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منظومة فی الرضاع </w:t>
      </w:r>
      <w:r>
        <w:rPr>
          <w:rtl w:val="true"/>
        </w:rPr>
        <w:t xml:space="preserve">- </w:t>
      </w:r>
      <w:r>
        <w:rPr>
          <w:rtl w:val="true"/>
        </w:rPr>
        <w:t>الارجوزه الرضاعیه و شرحها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5513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5515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5517_3804643083">
            <w:r>
              <w:rPr>
                <w:webHidden/>
                <w:rStyle w:val="IndexLink"/>
                <w:rtl w:val="true"/>
              </w:rPr>
              <w:t>مقدمة المحقق</w:t>
            </w:r>
            <w:r>
              <w:rPr>
                <w:rStyle w:val="IndexLink"/>
                <w:rtl w:val="true"/>
              </w:rPr>
              <w:tab/>
            </w:r>
            <w:r>
              <w:rPr>
                <w:rStyle w:val="IndexLink"/>
              </w:rPr>
              <w:t>5</w:t>
            </w:r>
          </w:hyperlink>
        </w:p>
        <w:p>
          <w:pPr>
            <w:pStyle w:val="Contents3"/>
            <w:tabs>
              <w:tab w:val="clear" w:pos="8459"/>
              <w:tab w:val="right" w:pos="9026" w:leader="dot"/>
            </w:tabs>
            <w:rPr/>
          </w:pPr>
          <w:hyperlink w:anchor="__RefHeading___Toc3755519_3804643083">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755521_3804643083">
            <w:r>
              <w:rPr>
                <w:webHidden/>
                <w:rStyle w:val="IndexLink"/>
                <w:rtl w:val="true"/>
              </w:rPr>
              <w:t>«</w:t>
            </w:r>
            <w:r>
              <w:rPr>
                <w:rStyle w:val="IndexLink"/>
                <w:rtl w:val="true"/>
              </w:rPr>
              <w:t>نسب المؤلف و مولده</w:t>
            </w:r>
            <w:r>
              <w:rPr>
                <w:rStyle w:val="IndexLink"/>
                <w:rtl w:val="true"/>
              </w:rPr>
              <w:t>»</w:t>
              <w:tab/>
            </w:r>
            <w:r>
              <w:rPr>
                <w:rStyle w:val="IndexLink"/>
              </w:rPr>
              <w:t>6</w:t>
            </w:r>
          </w:hyperlink>
        </w:p>
        <w:p>
          <w:pPr>
            <w:pStyle w:val="Contents3"/>
            <w:tabs>
              <w:tab w:val="clear" w:pos="8459"/>
              <w:tab w:val="right" w:pos="9026" w:leader="dot"/>
            </w:tabs>
            <w:rPr/>
          </w:pPr>
          <w:hyperlink w:anchor="__RefHeading___Toc3755523_3804643083">
            <w:r>
              <w:rPr>
                <w:webHidden/>
                <w:rStyle w:val="IndexLink"/>
                <w:rtl w:val="true"/>
              </w:rPr>
              <w:t>«</w:t>
            </w:r>
            <w:r>
              <w:rPr>
                <w:rStyle w:val="IndexLink"/>
                <w:rtl w:val="true"/>
              </w:rPr>
              <w:t>نشأته و تطور علمه حتى الاجتهاد</w:t>
            </w:r>
            <w:r>
              <w:rPr>
                <w:rStyle w:val="IndexLink"/>
                <w:rtl w:val="true"/>
              </w:rPr>
              <w:t>»</w:t>
              <w:tab/>
            </w:r>
            <w:r>
              <w:rPr>
                <w:rStyle w:val="IndexLink"/>
              </w:rPr>
              <w:t>10</w:t>
            </w:r>
          </w:hyperlink>
        </w:p>
        <w:p>
          <w:pPr>
            <w:pStyle w:val="Contents3"/>
            <w:tabs>
              <w:tab w:val="clear" w:pos="8459"/>
              <w:tab w:val="right" w:pos="9026" w:leader="dot"/>
            </w:tabs>
            <w:rPr/>
          </w:pPr>
          <w:hyperlink w:anchor="__RefHeading___Toc3755525_3804643083">
            <w:r>
              <w:rPr>
                <w:webHidden/>
                <w:rStyle w:val="IndexLink"/>
                <w:rtl w:val="true"/>
              </w:rPr>
              <w:t>«</w:t>
            </w:r>
            <w:r>
              <w:rPr>
                <w:rStyle w:val="IndexLink"/>
                <w:rtl w:val="true"/>
              </w:rPr>
              <w:t>أساتذته و مكانته العلمية و مشايخه</w:t>
            </w:r>
            <w:r>
              <w:rPr>
                <w:rStyle w:val="IndexLink"/>
                <w:rtl w:val="true"/>
              </w:rPr>
              <w:t>»</w:t>
              <w:tab/>
            </w:r>
            <w:r>
              <w:rPr>
                <w:rStyle w:val="IndexLink"/>
              </w:rPr>
              <w:t>12</w:t>
            </w:r>
          </w:hyperlink>
        </w:p>
        <w:p>
          <w:pPr>
            <w:pStyle w:val="Contents3"/>
            <w:tabs>
              <w:tab w:val="clear" w:pos="8459"/>
              <w:tab w:val="right" w:pos="9026" w:leader="dot"/>
            </w:tabs>
            <w:rPr/>
          </w:pPr>
          <w:hyperlink w:anchor="__RefHeading___Toc3755527_3804643083">
            <w:r>
              <w:rPr>
                <w:webHidden/>
                <w:rStyle w:val="IndexLink"/>
                <w:rtl w:val="true"/>
              </w:rPr>
              <w:t>«</w:t>
            </w:r>
            <w:r>
              <w:rPr>
                <w:rStyle w:val="IndexLink"/>
                <w:rtl w:val="true"/>
              </w:rPr>
              <w:t>مهارته في الشعر و الأدب</w:t>
            </w:r>
            <w:r>
              <w:rPr>
                <w:rStyle w:val="IndexLink"/>
                <w:rtl w:val="true"/>
              </w:rPr>
              <w:t>»</w:t>
              <w:tab/>
            </w:r>
            <w:r>
              <w:rPr>
                <w:rStyle w:val="IndexLink"/>
              </w:rPr>
              <w:t>16</w:t>
            </w:r>
          </w:hyperlink>
        </w:p>
        <w:p>
          <w:pPr>
            <w:pStyle w:val="Contents3"/>
            <w:tabs>
              <w:tab w:val="clear" w:pos="8459"/>
              <w:tab w:val="right" w:pos="9026" w:leader="dot"/>
            </w:tabs>
            <w:rPr/>
          </w:pPr>
          <w:hyperlink w:anchor="__RefHeading___Toc3755529_3804643083">
            <w:r>
              <w:rPr>
                <w:webHidden/>
                <w:rStyle w:val="IndexLink"/>
                <w:rtl w:val="true"/>
              </w:rPr>
              <w:t>«</w:t>
            </w:r>
            <w:r>
              <w:rPr>
                <w:rStyle w:val="IndexLink"/>
                <w:rtl w:val="true"/>
              </w:rPr>
              <w:t>سبب هجرته إلى أصفهان</w:t>
            </w:r>
            <w:r>
              <w:rPr>
                <w:rStyle w:val="IndexLink"/>
                <w:rtl w:val="true"/>
              </w:rPr>
              <w:t>»</w:t>
              <w:tab/>
            </w:r>
            <w:r>
              <w:rPr>
                <w:rStyle w:val="IndexLink"/>
              </w:rPr>
              <w:t>17</w:t>
            </w:r>
          </w:hyperlink>
        </w:p>
        <w:p>
          <w:pPr>
            <w:pStyle w:val="Contents3"/>
            <w:tabs>
              <w:tab w:val="clear" w:pos="8459"/>
              <w:tab w:val="right" w:pos="9026" w:leader="dot"/>
            </w:tabs>
            <w:rPr/>
          </w:pPr>
          <w:hyperlink w:anchor="__RefHeading___Toc3755531_3804643083">
            <w:r>
              <w:rPr>
                <w:webHidden/>
                <w:rStyle w:val="IndexLink"/>
                <w:rtl w:val="true"/>
              </w:rPr>
              <w:t>«</w:t>
            </w:r>
            <w:r>
              <w:rPr>
                <w:rStyle w:val="IndexLink"/>
                <w:rtl w:val="true"/>
              </w:rPr>
              <w:t>تلامذته و المجازين عنه</w:t>
            </w:r>
            <w:r>
              <w:rPr>
                <w:rStyle w:val="IndexLink"/>
                <w:rtl w:val="true"/>
              </w:rPr>
              <w:t>»</w:t>
              <w:tab/>
            </w:r>
            <w:r>
              <w:rPr>
                <w:rStyle w:val="IndexLink"/>
              </w:rPr>
              <w:t>19</w:t>
            </w:r>
          </w:hyperlink>
        </w:p>
        <w:p>
          <w:pPr>
            <w:pStyle w:val="Contents3"/>
            <w:tabs>
              <w:tab w:val="clear" w:pos="8459"/>
              <w:tab w:val="right" w:pos="9026" w:leader="dot"/>
            </w:tabs>
            <w:rPr/>
          </w:pPr>
          <w:hyperlink w:anchor="__RefHeading___Toc3755533_3804643083">
            <w:r>
              <w:rPr>
                <w:webHidden/>
                <w:rStyle w:val="IndexLink"/>
                <w:rtl w:val="true"/>
              </w:rPr>
              <w:t>«</w:t>
            </w:r>
            <w:r>
              <w:rPr>
                <w:rStyle w:val="IndexLink"/>
                <w:rtl w:val="true"/>
              </w:rPr>
              <w:t>سيرته و أخلاقه</w:t>
            </w:r>
            <w:r>
              <w:rPr>
                <w:rStyle w:val="IndexLink"/>
                <w:rtl w:val="true"/>
              </w:rPr>
              <w:t>»</w:t>
              <w:tab/>
            </w:r>
            <w:r>
              <w:rPr>
                <w:rStyle w:val="IndexLink"/>
              </w:rPr>
              <w:t>20</w:t>
            </w:r>
          </w:hyperlink>
        </w:p>
        <w:p>
          <w:pPr>
            <w:pStyle w:val="Contents3"/>
            <w:tabs>
              <w:tab w:val="clear" w:pos="8459"/>
              <w:tab w:val="right" w:pos="9026" w:leader="dot"/>
            </w:tabs>
            <w:rPr/>
          </w:pPr>
          <w:hyperlink w:anchor="__RefHeading___Toc3755535_3804643083">
            <w:r>
              <w:rPr>
                <w:webHidden/>
                <w:rStyle w:val="IndexLink"/>
                <w:rtl w:val="true"/>
              </w:rPr>
              <w:t>«</w:t>
            </w:r>
            <w:r>
              <w:rPr>
                <w:rStyle w:val="IndexLink"/>
                <w:rtl w:val="true"/>
              </w:rPr>
              <w:t>زوجاته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3755537_3804643083">
            <w:r>
              <w:rPr>
                <w:webHidden/>
                <w:rStyle w:val="IndexLink"/>
                <w:rtl w:val="true"/>
              </w:rPr>
              <w:t>«</w:t>
            </w:r>
            <w:r>
              <w:rPr>
                <w:rStyle w:val="IndexLink"/>
                <w:rtl w:val="true"/>
              </w:rPr>
              <w:t>أولاده</w:t>
            </w:r>
            <w:r>
              <w:rPr>
                <w:rStyle w:val="IndexLink"/>
                <w:rtl w:val="true"/>
              </w:rPr>
              <w:t>»</w:t>
              <w:tab/>
            </w:r>
            <w:r>
              <w:rPr>
                <w:rStyle w:val="IndexLink"/>
              </w:rPr>
              <w:t>21</w:t>
            </w:r>
          </w:hyperlink>
        </w:p>
        <w:p>
          <w:pPr>
            <w:pStyle w:val="Contents3"/>
            <w:tabs>
              <w:tab w:val="clear" w:pos="8459"/>
              <w:tab w:val="right" w:pos="9026" w:leader="dot"/>
            </w:tabs>
            <w:rPr/>
          </w:pPr>
          <w:hyperlink w:anchor="__RefHeading___Toc3755539_3804643083">
            <w:r>
              <w:rPr>
                <w:webHidden/>
                <w:rStyle w:val="IndexLink"/>
                <w:rtl w:val="true"/>
              </w:rPr>
              <w:t>«</w:t>
            </w:r>
            <w:r>
              <w:rPr>
                <w:rStyle w:val="IndexLink"/>
                <w:rtl w:val="true"/>
              </w:rPr>
              <w:t>وفاته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3755541_3804643083">
            <w:r>
              <w:rPr>
                <w:webHidden/>
                <w:rStyle w:val="IndexLink"/>
                <w:rtl w:val="true"/>
              </w:rPr>
              <w:t>«</w:t>
            </w:r>
            <w:r>
              <w:rPr>
                <w:rStyle w:val="IndexLink"/>
                <w:rtl w:val="true"/>
              </w:rPr>
              <w:t>آثاره و تأليفاته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3755543_3804643083">
            <w:r>
              <w:rPr>
                <w:webHidden/>
                <w:rStyle w:val="IndexLink"/>
                <w:rtl w:val="true"/>
              </w:rPr>
              <w:t>«</w:t>
            </w:r>
            <w:r>
              <w:rPr>
                <w:rStyle w:val="IndexLink"/>
                <w:rtl w:val="true"/>
              </w:rPr>
              <w:t>الكتاب الذي بين يديك و منهج التحقيق فيه</w:t>
            </w:r>
            <w:r>
              <w:rPr>
                <w:rStyle w:val="IndexLink"/>
                <w:rtl w:val="true"/>
              </w:rPr>
              <w:t>»</w:t>
              <w:tab/>
            </w:r>
            <w:r>
              <w:rPr>
                <w:rStyle w:val="IndexLink"/>
              </w:rPr>
              <w:t>26</w:t>
            </w:r>
          </w:hyperlink>
        </w:p>
        <w:p>
          <w:pPr>
            <w:pStyle w:val="Contents2"/>
            <w:tabs>
              <w:tab w:val="clear" w:pos="8743"/>
              <w:tab w:val="right" w:pos="9026" w:leader="dot"/>
            </w:tabs>
            <w:rPr/>
          </w:pPr>
          <w:hyperlink w:anchor="__RefHeading___Toc3755545_3804643083">
            <w:r>
              <w:rPr>
                <w:webHidden/>
                <w:rStyle w:val="IndexLink"/>
                <w:rtl w:val="true"/>
              </w:rPr>
              <w:t>[</w:t>
            </w:r>
            <w:r>
              <w:rPr>
                <w:rStyle w:val="IndexLink"/>
                <w:rtl w:val="true"/>
              </w:rPr>
              <w:t>منظومة في الرضاع</w:t>
            </w:r>
            <w:r>
              <w:rPr>
                <w:rStyle w:val="IndexLink"/>
                <w:rtl w:val="true"/>
              </w:rPr>
              <w:t>]</w:t>
              <w:tab/>
            </w:r>
            <w:r>
              <w:rPr>
                <w:rStyle w:val="IndexLink"/>
              </w:rPr>
              <w:t>28</w:t>
            </w:r>
          </w:hyperlink>
        </w:p>
        <w:p>
          <w:pPr>
            <w:pStyle w:val="Contents3"/>
            <w:tabs>
              <w:tab w:val="clear" w:pos="8459"/>
              <w:tab w:val="right" w:pos="9026" w:leader="dot"/>
            </w:tabs>
            <w:rPr/>
          </w:pPr>
          <w:hyperlink w:anchor="__RefHeading___Toc3755547_380464308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755549_3804643083">
            <w:r>
              <w:rPr>
                <w:webHidden/>
                <w:rStyle w:val="IndexLink"/>
                <w:rtl w:val="true"/>
              </w:rPr>
              <w:t>[</w:t>
            </w:r>
            <w:r>
              <w:rPr>
                <w:rStyle w:val="IndexLink"/>
                <w:rtl w:val="true"/>
              </w:rPr>
              <w:t>شرائط الرضاع</w:t>
            </w:r>
            <w:r>
              <w:rPr>
                <w:rStyle w:val="IndexLink"/>
                <w:rtl w:val="true"/>
              </w:rPr>
              <w:t>]</w:t>
              <w:tab/>
            </w:r>
            <w:r>
              <w:rPr>
                <w:rStyle w:val="IndexLink"/>
              </w:rPr>
              <w:t>47</w:t>
            </w:r>
          </w:hyperlink>
        </w:p>
        <w:p>
          <w:pPr>
            <w:pStyle w:val="Contents4"/>
            <w:tabs>
              <w:tab w:val="clear" w:pos="8176"/>
              <w:tab w:val="right" w:pos="9026" w:leader="dot"/>
            </w:tabs>
            <w:rPr/>
          </w:pPr>
          <w:hyperlink w:anchor="__RefHeading___Toc3755551_380464308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3755553_3804643083">
            <w:r>
              <w:rPr>
                <w:webHidden/>
                <w:rStyle w:val="IndexLink"/>
                <w:rtl w:val="true"/>
              </w:rPr>
              <w:t>فهنا مسألتان</w:t>
            </w:r>
            <w:r>
              <w:rPr>
                <w:rStyle w:val="IndexLink"/>
                <w:rtl w:val="true"/>
              </w:rPr>
              <w:t>:</w:t>
              <w:tab/>
            </w:r>
            <w:r>
              <w:rPr>
                <w:rStyle w:val="IndexLink"/>
              </w:rPr>
              <w:t>47</w:t>
            </w:r>
          </w:hyperlink>
        </w:p>
        <w:p>
          <w:pPr>
            <w:pStyle w:val="Contents5"/>
            <w:tabs>
              <w:tab w:val="clear" w:pos="7892"/>
              <w:tab w:val="right" w:pos="9026" w:leader="dot"/>
            </w:tabs>
            <w:rPr/>
          </w:pPr>
          <w:hyperlink w:anchor="__RefHeading___Toc3755555_3804643083">
            <w:r>
              <w:rPr>
                <w:webHidden/>
                <w:rStyle w:val="IndexLink"/>
                <w:rtl w:val="true"/>
              </w:rPr>
              <w:t>الأولى</w:t>
            </w:r>
            <w:r>
              <w:rPr>
                <w:rStyle w:val="IndexLink"/>
                <w:rtl w:val="true"/>
              </w:rPr>
              <w:t xml:space="preserve">: </w:t>
            </w:r>
            <w:r>
              <w:rPr>
                <w:rStyle w:val="IndexLink"/>
                <w:rtl w:val="true"/>
              </w:rPr>
              <w:t>الحياة، فلو أكمل الرضاع بعد وفاتها</w:t>
            </w:r>
            <w:r>
              <w:rPr>
                <w:rStyle w:val="IndexLink"/>
                <w:rtl w:val="true"/>
              </w:rPr>
              <w:tab/>
            </w:r>
            <w:r>
              <w:rPr>
                <w:rStyle w:val="IndexLink"/>
              </w:rPr>
              <w:t>47</w:t>
            </w:r>
          </w:hyperlink>
        </w:p>
        <w:p>
          <w:pPr>
            <w:pStyle w:val="Contents5"/>
            <w:tabs>
              <w:tab w:val="clear" w:pos="7892"/>
              <w:tab w:val="right" w:pos="9026" w:leader="dot"/>
            </w:tabs>
            <w:rPr/>
          </w:pPr>
          <w:hyperlink w:anchor="__RefHeading___Toc3755557_3804643083">
            <w:r>
              <w:rPr>
                <w:webHidden/>
                <w:rStyle w:val="IndexLink"/>
                <w:rtl w:val="true"/>
              </w:rPr>
              <w:t>الثانية</w:t>
            </w:r>
            <w:r>
              <w:rPr>
                <w:rStyle w:val="IndexLink"/>
                <w:rtl w:val="true"/>
              </w:rPr>
              <w:t xml:space="preserve">: </w:t>
            </w:r>
            <w:r>
              <w:rPr>
                <w:rStyle w:val="IndexLink"/>
                <w:rtl w:val="true"/>
              </w:rPr>
              <w:t>الوضع، فلا نشر في لبن الحامل إن لم يكن عن ولادة سابقة</w:t>
            </w:r>
            <w:r>
              <w:rPr>
                <w:rStyle w:val="IndexLink"/>
                <w:rtl w:val="true"/>
              </w:rPr>
              <w:tab/>
            </w:r>
            <w:r>
              <w:rPr>
                <w:rStyle w:val="IndexLink"/>
              </w:rPr>
              <w:t>48</w:t>
            </w:r>
          </w:hyperlink>
        </w:p>
        <w:p>
          <w:pPr>
            <w:pStyle w:val="Contents4"/>
            <w:tabs>
              <w:tab w:val="clear" w:pos="8176"/>
              <w:tab w:val="right" w:pos="9026" w:leader="dot"/>
            </w:tabs>
            <w:rPr/>
          </w:pPr>
          <w:hyperlink w:anchor="__RefHeading___Toc3755559_3804643083">
            <w:r>
              <w:rPr>
                <w:webHidden/>
                <w:rStyle w:val="IndexLink"/>
                <w:rtl w:val="true"/>
              </w:rPr>
              <w:t>[</w:t>
            </w:r>
            <w:r>
              <w:rPr>
                <w:rStyle w:val="IndexLink"/>
                <w:rtl w:val="true"/>
              </w:rPr>
              <w:t>وحدة الفحل لنشر الحرمة بالرضاع</w:t>
            </w:r>
            <w:r>
              <w:rPr>
                <w:rStyle w:val="IndexLink"/>
                <w:rtl w:val="true"/>
              </w:rPr>
              <w:t>]</w:t>
              <w:tab/>
            </w:r>
            <w:r>
              <w:rPr>
                <w:rStyle w:val="IndexLink"/>
              </w:rPr>
              <w:t>50</w:t>
            </w:r>
          </w:hyperlink>
        </w:p>
        <w:p>
          <w:pPr>
            <w:pStyle w:val="Contents4"/>
            <w:tabs>
              <w:tab w:val="clear" w:pos="8176"/>
              <w:tab w:val="right" w:pos="9026" w:leader="dot"/>
            </w:tabs>
            <w:rPr/>
          </w:pPr>
          <w:hyperlink w:anchor="__RefHeading___Toc3755561_3804643083">
            <w:r>
              <w:rPr>
                <w:webHidden/>
                <w:rStyle w:val="IndexLink"/>
                <w:rtl w:val="true"/>
              </w:rPr>
              <w:t>[</w:t>
            </w:r>
            <w:r>
              <w:rPr>
                <w:rStyle w:val="IndexLink"/>
                <w:rtl w:val="true"/>
              </w:rPr>
              <w:t>تحقق الرضاع قبل إتمام المرتضع حولين</w:t>
            </w:r>
            <w:r>
              <w:rPr>
                <w:rStyle w:val="IndexLink"/>
                <w:rtl w:val="true"/>
              </w:rPr>
              <w:t>]</w:t>
              <w:tab/>
            </w:r>
            <w:r>
              <w:rPr>
                <w:rStyle w:val="IndexLink"/>
              </w:rPr>
              <w:t>57</w:t>
            </w:r>
          </w:hyperlink>
        </w:p>
        <w:p>
          <w:pPr>
            <w:pStyle w:val="Contents4"/>
            <w:tabs>
              <w:tab w:val="clear" w:pos="8176"/>
              <w:tab w:val="right" w:pos="9026" w:leader="dot"/>
            </w:tabs>
            <w:rPr/>
          </w:pPr>
          <w:hyperlink w:anchor="__RefHeading___Toc3755563_3804643083">
            <w:r>
              <w:rPr>
                <w:webHidden/>
                <w:rStyle w:val="IndexLink"/>
                <w:rtl w:val="true"/>
              </w:rPr>
              <w:t>[</w:t>
            </w:r>
            <w:r>
              <w:rPr>
                <w:rStyle w:val="IndexLink"/>
                <w:rtl w:val="true"/>
              </w:rPr>
              <w:t>عدم كون الرضاع بلبن زنى</w:t>
            </w:r>
            <w:r>
              <w:rPr>
                <w:rStyle w:val="IndexLink"/>
                <w:rtl w:val="true"/>
              </w:rPr>
              <w:t>]</w:t>
              <w:tab/>
            </w:r>
            <w:r>
              <w:rPr>
                <w:rStyle w:val="IndexLink"/>
              </w:rPr>
              <w:t>63</w:t>
            </w:r>
          </w:hyperlink>
        </w:p>
        <w:p>
          <w:pPr>
            <w:pStyle w:val="Contents4"/>
            <w:tabs>
              <w:tab w:val="clear" w:pos="8176"/>
              <w:tab w:val="right" w:pos="9026" w:leader="dot"/>
            </w:tabs>
            <w:rPr/>
          </w:pPr>
          <w:hyperlink w:anchor="__RefHeading___Toc3755565_3804643083">
            <w:r>
              <w:rPr>
                <w:webHidden/>
                <w:rStyle w:val="IndexLink"/>
                <w:rtl w:val="true"/>
              </w:rPr>
              <w:t>[</w:t>
            </w:r>
            <w:r>
              <w:rPr>
                <w:rStyle w:val="IndexLink"/>
                <w:rtl w:val="true"/>
              </w:rPr>
              <w:t>الرضاع الكافي لنشر الحرمة</w:t>
            </w:r>
            <w:r>
              <w:rPr>
                <w:rStyle w:val="IndexLink"/>
                <w:rtl w:val="true"/>
              </w:rPr>
              <w:t>]</w:t>
              <w:tab/>
            </w:r>
            <w:r>
              <w:rPr>
                <w:rStyle w:val="IndexLink"/>
              </w:rPr>
              <w:t>67</w:t>
            </w:r>
          </w:hyperlink>
        </w:p>
        <w:p>
          <w:pPr>
            <w:pStyle w:val="Contents5"/>
            <w:tabs>
              <w:tab w:val="clear" w:pos="7892"/>
              <w:tab w:val="right" w:pos="9026" w:leader="dot"/>
            </w:tabs>
            <w:rPr/>
          </w:pPr>
          <w:hyperlink w:anchor="__RefHeading___Toc3755567_380464308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755569_3804643083">
            <w:r>
              <w:rPr>
                <w:webHidden/>
                <w:rStyle w:val="IndexLink"/>
                <w:rtl w:val="true"/>
              </w:rPr>
              <w:t>و الكلام عليها يقع في مقامات</w:t>
            </w:r>
            <w:r>
              <w:rPr>
                <w:rStyle w:val="IndexLink"/>
                <w:rtl w:val="true"/>
              </w:rPr>
              <w:t>:</w:t>
              <w:tab/>
            </w:r>
            <w:r>
              <w:rPr>
                <w:rStyle w:val="IndexLink"/>
              </w:rPr>
              <w:t>70</w:t>
            </w:r>
          </w:hyperlink>
        </w:p>
        <w:p>
          <w:pPr>
            <w:pStyle w:val="Contents6"/>
            <w:tabs>
              <w:tab w:val="clear" w:pos="7609"/>
              <w:tab w:val="right" w:pos="9026" w:leader="dot"/>
            </w:tabs>
            <w:rPr/>
          </w:pPr>
          <w:hyperlink w:anchor="__RefHeading___Toc3755571_3804643083">
            <w:r>
              <w:rPr>
                <w:webHidden/>
                <w:rStyle w:val="IndexLink"/>
                <w:rtl w:val="true"/>
              </w:rPr>
              <w:t>المقام الأوّل</w:t>
            </w:r>
            <w:r>
              <w:rPr>
                <w:rStyle w:val="IndexLink"/>
                <w:rtl w:val="true"/>
              </w:rPr>
              <w:t xml:space="preserve">: </w:t>
            </w:r>
            <w:r>
              <w:rPr>
                <w:rStyle w:val="IndexLink"/>
                <w:rtl w:val="true"/>
              </w:rPr>
              <w:t>التقدير بما أبنت اللّحم و شدّ العظم</w:t>
            </w:r>
            <w:r>
              <w:rPr>
                <w:rStyle w:val="IndexLink"/>
                <w:rtl w:val="true"/>
              </w:rPr>
              <w:tab/>
            </w:r>
            <w:r>
              <w:rPr>
                <w:rStyle w:val="IndexLink"/>
              </w:rPr>
              <w:t>70</w:t>
            </w:r>
          </w:hyperlink>
        </w:p>
        <w:p>
          <w:pPr>
            <w:pStyle w:val="Contents6"/>
            <w:tabs>
              <w:tab w:val="clear" w:pos="7609"/>
              <w:tab w:val="right" w:pos="9026" w:leader="dot"/>
            </w:tabs>
            <w:rPr/>
          </w:pPr>
          <w:hyperlink w:anchor="__RefHeading___Toc3755573_3804643083">
            <w:r>
              <w:rPr>
                <w:webHidden/>
                <w:rStyle w:val="IndexLink"/>
                <w:rtl w:val="true"/>
              </w:rPr>
              <w:t>المقام الثاني</w:t>
            </w:r>
            <w:r>
              <w:rPr>
                <w:rStyle w:val="IndexLink"/>
                <w:rtl w:val="true"/>
              </w:rPr>
              <w:t xml:space="preserve">: </w:t>
            </w:r>
            <w:r>
              <w:rPr>
                <w:rStyle w:val="IndexLink"/>
                <w:rtl w:val="true"/>
              </w:rPr>
              <w:t>التقدير بالعدد</w:t>
            </w:r>
            <w:r>
              <w:rPr>
                <w:rStyle w:val="IndexLink"/>
                <w:rtl w:val="true"/>
              </w:rPr>
              <w:tab/>
            </w:r>
            <w:r>
              <w:rPr>
                <w:rStyle w:val="IndexLink"/>
              </w:rPr>
              <w:t>72</w:t>
            </w:r>
          </w:hyperlink>
        </w:p>
        <w:p>
          <w:pPr>
            <w:pStyle w:val="Contents6"/>
            <w:tabs>
              <w:tab w:val="clear" w:pos="7609"/>
              <w:tab w:val="right" w:pos="9026" w:leader="dot"/>
            </w:tabs>
            <w:rPr/>
          </w:pPr>
          <w:hyperlink w:anchor="__RefHeading___Toc3755575_3804643083">
            <w:r>
              <w:rPr>
                <w:webHidden/>
                <w:rStyle w:val="IndexLink"/>
                <w:rtl w:val="true"/>
              </w:rPr>
              <w:t>المقام الثالث</w:t>
            </w:r>
            <w:r>
              <w:rPr>
                <w:rStyle w:val="IndexLink"/>
                <w:rtl w:val="true"/>
              </w:rPr>
              <w:t xml:space="preserve">: </w:t>
            </w:r>
            <w:r>
              <w:rPr>
                <w:rStyle w:val="IndexLink"/>
                <w:rtl w:val="true"/>
              </w:rPr>
              <w:t>التقدير بالمدّة</w:t>
            </w:r>
            <w:r>
              <w:rPr>
                <w:rStyle w:val="IndexLink"/>
                <w:rtl w:val="true"/>
              </w:rPr>
              <w:tab/>
            </w:r>
            <w:r>
              <w:rPr>
                <w:rStyle w:val="IndexLink"/>
              </w:rPr>
              <w:t>77</w:t>
            </w:r>
          </w:hyperlink>
        </w:p>
        <w:p>
          <w:pPr>
            <w:pStyle w:val="Contents4"/>
            <w:tabs>
              <w:tab w:val="clear" w:pos="8176"/>
              <w:tab w:val="right" w:pos="9026" w:leader="dot"/>
            </w:tabs>
            <w:rPr/>
          </w:pPr>
          <w:hyperlink w:anchor="__RefHeading___Toc3755577_3804643083">
            <w:r>
              <w:rPr>
                <w:webHidden/>
                <w:rStyle w:val="IndexLink"/>
                <w:rtl w:val="true"/>
              </w:rPr>
              <w:t>[</w:t>
            </w:r>
            <w:r>
              <w:rPr>
                <w:rStyle w:val="IndexLink"/>
                <w:rtl w:val="true"/>
              </w:rPr>
              <w:t>توالي الرضعات و عدم الفصل بينها برضاع آخر</w:t>
            </w:r>
            <w:r>
              <w:rPr>
                <w:rStyle w:val="IndexLink"/>
                <w:rtl w:val="true"/>
              </w:rPr>
              <w:t>]</w:t>
              <w:tab/>
            </w:r>
            <w:r>
              <w:rPr>
                <w:rStyle w:val="IndexLink"/>
              </w:rPr>
              <w:t>84</w:t>
            </w:r>
          </w:hyperlink>
        </w:p>
        <w:p>
          <w:pPr>
            <w:pStyle w:val="Contents4"/>
            <w:tabs>
              <w:tab w:val="clear" w:pos="8176"/>
              <w:tab w:val="right" w:pos="9026" w:leader="dot"/>
            </w:tabs>
            <w:rPr/>
          </w:pPr>
          <w:hyperlink w:anchor="__RefHeading___Toc3755579_3804643083">
            <w:r>
              <w:rPr>
                <w:webHidden/>
                <w:rStyle w:val="IndexLink"/>
                <w:rtl w:val="true"/>
              </w:rPr>
              <w:t>[</w:t>
            </w:r>
            <w:r>
              <w:rPr>
                <w:rStyle w:val="IndexLink"/>
                <w:rtl w:val="true"/>
              </w:rPr>
              <w:t>كون نصاب الرضاع كاملا من امرأة واحدة</w:t>
            </w:r>
            <w:r>
              <w:rPr>
                <w:rStyle w:val="IndexLink"/>
                <w:rtl w:val="true"/>
              </w:rPr>
              <w:t>]</w:t>
              <w:tab/>
            </w:r>
            <w:r>
              <w:rPr>
                <w:rStyle w:val="IndexLink"/>
              </w:rPr>
              <w:t>88</w:t>
            </w:r>
          </w:hyperlink>
        </w:p>
        <w:p>
          <w:pPr>
            <w:pStyle w:val="Contents4"/>
            <w:tabs>
              <w:tab w:val="clear" w:pos="8176"/>
              <w:tab w:val="right" w:pos="9026" w:leader="dot"/>
            </w:tabs>
            <w:rPr/>
          </w:pPr>
          <w:hyperlink w:anchor="__RefHeading___Toc3755581_3804643083">
            <w:r>
              <w:rPr>
                <w:webHidden/>
                <w:rStyle w:val="IndexLink"/>
                <w:rtl w:val="true"/>
              </w:rPr>
              <w:t>[</w:t>
            </w:r>
            <w:r>
              <w:rPr>
                <w:rStyle w:val="IndexLink"/>
                <w:rtl w:val="true"/>
              </w:rPr>
              <w:t>أن تكون كل رضعة من كل من النصب الثلاثة كاملة</w:t>
            </w:r>
            <w:r>
              <w:rPr>
                <w:rStyle w:val="IndexLink"/>
                <w:rtl w:val="true"/>
              </w:rPr>
              <w:t>]</w:t>
              <w:tab/>
            </w:r>
            <w:r>
              <w:rPr>
                <w:rStyle w:val="IndexLink"/>
              </w:rPr>
              <w:t>89</w:t>
            </w:r>
          </w:hyperlink>
        </w:p>
        <w:p>
          <w:pPr>
            <w:pStyle w:val="Contents3"/>
            <w:tabs>
              <w:tab w:val="clear" w:pos="8459"/>
              <w:tab w:val="right" w:pos="9026" w:leader="dot"/>
            </w:tabs>
            <w:rPr/>
          </w:pPr>
          <w:hyperlink w:anchor="__RefHeading___Toc3755583_3804643083">
            <w:r>
              <w:rPr>
                <w:webHidden/>
                <w:rStyle w:val="IndexLink"/>
                <w:rtl w:val="true"/>
              </w:rPr>
              <w:t>القول في نسب الرضاع</w:t>
            </w:r>
            <w:r>
              <w:rPr>
                <w:rStyle w:val="IndexLink"/>
                <w:rtl w:val="true"/>
              </w:rPr>
              <w:tab/>
            </w:r>
            <w:r>
              <w:rPr>
                <w:rStyle w:val="IndexLink"/>
              </w:rPr>
              <w:t>93</w:t>
            </w:r>
          </w:hyperlink>
        </w:p>
        <w:p>
          <w:pPr>
            <w:pStyle w:val="Contents3"/>
            <w:tabs>
              <w:tab w:val="clear" w:pos="8459"/>
              <w:tab w:val="right" w:pos="9026" w:leader="dot"/>
            </w:tabs>
            <w:rPr/>
          </w:pPr>
          <w:hyperlink w:anchor="__RefHeading___Toc3755585_3804643083">
            <w:r>
              <w:rPr>
                <w:webHidden/>
                <w:rStyle w:val="IndexLink"/>
                <w:rtl w:val="true"/>
              </w:rPr>
              <w:t>كيفيّة اتّحاد الفحل</w:t>
            </w:r>
            <w:r>
              <w:rPr>
                <w:rStyle w:val="IndexLink"/>
                <w:rtl w:val="true"/>
              </w:rPr>
              <w:tab/>
            </w:r>
            <w:r>
              <w:rPr>
                <w:rStyle w:val="IndexLink"/>
              </w:rPr>
              <w:t>96</w:t>
            </w:r>
          </w:hyperlink>
        </w:p>
        <w:p>
          <w:pPr>
            <w:pStyle w:val="Contents3"/>
            <w:tabs>
              <w:tab w:val="clear" w:pos="8459"/>
              <w:tab w:val="right" w:pos="9026" w:leader="dot"/>
            </w:tabs>
            <w:rPr/>
          </w:pPr>
          <w:hyperlink w:anchor="__RefHeading___Toc3755587_3804643083">
            <w:r>
              <w:rPr>
                <w:webHidden/>
                <w:rStyle w:val="IndexLink"/>
                <w:rtl w:val="true"/>
              </w:rPr>
              <w:t>القول في ردّ عموم المنزلة</w:t>
            </w:r>
            <w:r>
              <w:rPr>
                <w:rStyle w:val="IndexLink"/>
                <w:rtl w:val="true"/>
              </w:rPr>
              <w:tab/>
            </w:r>
            <w:r>
              <w:rPr>
                <w:rStyle w:val="IndexLink"/>
              </w:rPr>
              <w:t>103</w:t>
            </w:r>
          </w:hyperlink>
        </w:p>
        <w:p>
          <w:pPr>
            <w:pStyle w:val="Contents3"/>
            <w:tabs>
              <w:tab w:val="clear" w:pos="8459"/>
              <w:tab w:val="right" w:pos="9026" w:leader="dot"/>
            </w:tabs>
            <w:rPr/>
          </w:pPr>
          <w:hyperlink w:anchor="__RefHeading___Toc3755589_3804643083">
            <w:r>
              <w:rPr>
                <w:webHidden/>
                <w:rStyle w:val="IndexLink"/>
                <w:rtl w:val="true"/>
              </w:rPr>
              <w:t>القول في ما خرج عن عموم المنزلة بالدليل</w:t>
            </w:r>
            <w:r>
              <w:rPr>
                <w:rStyle w:val="IndexLink"/>
                <w:rtl w:val="true"/>
              </w:rPr>
              <w:tab/>
            </w:r>
            <w:r>
              <w:rPr>
                <w:rStyle w:val="IndexLink"/>
              </w:rPr>
              <w:t>111</w:t>
            </w:r>
          </w:hyperlink>
        </w:p>
        <w:p>
          <w:pPr>
            <w:pStyle w:val="Contents3"/>
            <w:tabs>
              <w:tab w:val="clear" w:pos="8459"/>
              <w:tab w:val="right" w:pos="9026" w:leader="dot"/>
            </w:tabs>
            <w:rPr/>
          </w:pPr>
          <w:hyperlink w:anchor="__RefHeading___Toc3755591_3804643083">
            <w:r>
              <w:rPr>
                <w:webHidden/>
                <w:rStyle w:val="IndexLink"/>
                <w:rtl w:val="true"/>
              </w:rPr>
              <w:t>أحكام المصاهرة في الرضاع</w:t>
            </w:r>
            <w:r>
              <w:rPr>
                <w:rStyle w:val="IndexLink"/>
                <w:rtl w:val="true"/>
              </w:rPr>
              <w:tab/>
            </w:r>
            <w:r>
              <w:rPr>
                <w:rStyle w:val="IndexLink"/>
              </w:rPr>
              <w:t>118</w:t>
            </w:r>
          </w:hyperlink>
        </w:p>
        <w:p>
          <w:pPr>
            <w:pStyle w:val="Contents3"/>
            <w:tabs>
              <w:tab w:val="clear" w:pos="8459"/>
              <w:tab w:val="right" w:pos="9026" w:leader="dot"/>
            </w:tabs>
            <w:rPr/>
          </w:pPr>
          <w:hyperlink w:anchor="__RefHeading___Toc3755593_3804643083">
            <w:r>
              <w:rPr>
                <w:webHidden/>
                <w:rStyle w:val="IndexLink"/>
                <w:rtl w:val="true"/>
              </w:rPr>
              <w:t>رضاع كلّ من الزوجين من ذوي الآخر</w:t>
            </w:r>
            <w:r>
              <w:rPr>
                <w:rStyle w:val="IndexLink"/>
                <w:rtl w:val="true"/>
              </w:rPr>
              <w:tab/>
            </w:r>
            <w:r>
              <w:rPr>
                <w:rStyle w:val="IndexLink"/>
              </w:rPr>
              <w:t>121</w:t>
            </w:r>
          </w:hyperlink>
        </w:p>
        <w:p>
          <w:pPr>
            <w:pStyle w:val="Contents3"/>
            <w:tabs>
              <w:tab w:val="clear" w:pos="8459"/>
              <w:tab w:val="right" w:pos="9026" w:leader="dot"/>
            </w:tabs>
            <w:rPr/>
          </w:pPr>
          <w:hyperlink w:anchor="__RefHeading___Toc3755595_3804643083">
            <w:r>
              <w:rPr>
                <w:webHidden/>
                <w:rStyle w:val="IndexLink"/>
                <w:rtl w:val="true"/>
              </w:rPr>
              <w:t>في رضاع بعض الأزواج من بعض و فيه مسائل</w:t>
            </w:r>
            <w:r>
              <w:rPr>
                <w:rStyle w:val="IndexLink"/>
                <w:rtl w:val="true"/>
              </w:rPr>
              <w:t>:</w:t>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0_16337"/>
      <w:bookmarkStart w:id="1" w:name="pg2480_16337"/>
      <w:bookmarkEnd w:id="1"/>
    </w:p>
    <w:p>
      <w:pPr>
        <w:pStyle w:val="Heading2"/>
        <w:numPr>
          <w:ilvl w:val="1"/>
          <w:numId w:val="1"/>
        </w:numPr>
        <w:rPr/>
      </w:pPr>
      <w:bookmarkStart w:id="2" w:name="pg2480_16337"/>
      <w:bookmarkStart w:id="3" w:name="__RefHeading___Toc375551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في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الأرجوزة الرضاعية و شرحها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منظوم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اصفهانى، سيد صدر الدين محمد بن صالح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انصاريان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على خادمى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5515_3804643083"/>
      <w:bookmarkStart w:id="6" w:name="_Toc2"/>
      <w:bookmarkEnd w:id="5"/>
      <w:r>
        <w:rPr>
          <w:rtl w:val="true"/>
        </w:rPr>
        <w:t>اشارة</w:t>
      </w:r>
      <w:bookmarkStart w:id="7" w:name="pg2480_16339"/>
      <w:bookmarkEnd w:id="6"/>
    </w:p>
    <w:p>
      <w:pPr>
        <w:pStyle w:val="Heading2"/>
        <w:numPr>
          <w:ilvl w:val="1"/>
          <w:numId w:val="1"/>
        </w:numPr>
        <w:rPr/>
      </w:pPr>
      <w:bookmarkStart w:id="8" w:name="__RefHeading___Toc3755517_3804643083"/>
      <w:bookmarkStart w:id="9" w:name="_Toc3"/>
      <w:bookmarkEnd w:id="7"/>
      <w:bookmarkEnd w:id="8"/>
      <w:r>
        <w:rPr>
          <w:rtl w:val="true"/>
        </w:rPr>
        <w:t>مقدمة المحقق</w:t>
      </w:r>
      <w:bookmarkEnd w:id="9"/>
    </w:p>
    <w:p>
      <w:pPr>
        <w:pStyle w:val="Heading3"/>
        <w:numPr>
          <w:ilvl w:val="2"/>
          <w:numId w:val="1"/>
        </w:numPr>
        <w:rPr/>
      </w:pPr>
      <w:bookmarkStart w:id="10" w:name="__RefHeading___Toc3755519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منظومة في الرضاع</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سيّدنا و نبيّنا محمّد و آله الطاهرين سيّما بقيّة اللّه في الأرضين، روحي و أرواح العالمين له الفداء،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أهمّ الأمور للحياة البشرية و إدارتها وجود القوانين الّتي تنظم سيرها و تدير شئونها، فإنّ لها بالفعل دورا فعّالا في توجيه الإنسان إلى الحياة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إذا كان منشئ تلك القوانين هو العقل البشري المحدود، فإنّ الإنسان لا يحصل على ما يؤمّن سعادته في عمود الزمان لقصور العقل عن إدراك المصالح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الوجدان خير شاهد على ذلك، فها هي القوانين الّتي اشتهرت في بعض المجتمعات، و كان أصحابها يدّعون أنّها تضمن للإنسان حقوقه، و توفّر له حاجاته، قد فشلت، و لم تجد في تأمين الإنسان، و لم يصل الإنسان تحت ظلّها إلى الاطمئنان و السكون و الراحة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القانون الإلهي فهو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اللّه خالق الإنسان، فهو الذي يعلم حاجاته و يعلم ما يصلحه و ما يفسده، فله الحكم و له الأمر 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2"/>
      </w:r>
      <w:bookmarkStart w:id="12" w:name="pg2480_16340"/>
    </w:p>
    <w:p>
      <w:pPr>
        <w:pStyle w:val="BookText"/>
        <w:rPr/>
      </w:pPr>
      <w:bookmarkEnd w:id="12"/>
      <w:r>
        <w:rPr>
          <w:rFonts w:ascii="Amiri" w:hAnsi="Amiri" w:eastAsia="Amiri" w:cs="Amiri"/>
          <w:color w:val="111111"/>
          <w:sz w:val="28"/>
          <w:sz w:val="28"/>
          <w:szCs w:val="28"/>
          <w:rtl w:val="true"/>
          <w:lang w:bidi="ar-SA"/>
        </w:rPr>
        <w:t>و الذي يضم القوانين الإلهية هو الإسلام، و هي قوانين شاملة و مستوعبة، لكلّ الحاجات البشرية، و قد بيّنها الرسول صلّى اللّه عليه و آله و سلّم للنّاس، و بيّنها بعده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أدرى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بسبب بيان الرسول و أهل بيته القوانين الإلهية كمّ هائل من الروايات، يتناول مختلف مجالات الحياة، من عقائد و أخلاق و معاملات و اقتصاد و اجتماع،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علماء أتعبوا أنفسهم في استخلاص و استنتاج القوانين الإلهية التي ضمّتها روايات أهل البيت، و بذلوا جهدهم، و استفرغوا طاقاتهم في ذلك منذ حصول الغيبة الكبرى حتّى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الموضوعات التي عالجها الإسلام و جاء فيها بقوانينه، موضوع الرضاع و هو من الموضوعات التي أتعب العلماء أنفسهم فيها و قد صار معتركا للآراء</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755521_3804643083"/>
      <w:bookmarkStart w:id="14" w:name="_Toc5"/>
      <w:bookmarkEnd w:id="13"/>
      <w:r>
        <w:rPr>
          <w:rtl w:val="true"/>
        </w:rPr>
        <w:t>«</w:t>
      </w:r>
      <w:r>
        <w:rPr>
          <w:rtl w:val="true"/>
        </w:rPr>
        <w:t>نسب المؤلف و مولده</w:t>
      </w:r>
      <w:r>
        <w:rPr>
          <w:rtl w:val="true"/>
        </w:rPr>
        <w:t>»</w:t>
      </w:r>
      <w:bookmarkEnd w:id="14"/>
    </w:p>
    <w:p>
      <w:pPr>
        <w:pStyle w:val="BookText"/>
        <w:rPr/>
      </w:pPr>
      <w:r>
        <w:rPr>
          <w:rFonts w:ascii="Amiri" w:hAnsi="Amiri" w:eastAsia="Amiri" w:cs="Amiri"/>
          <w:color w:val="111111"/>
          <w:sz w:val="28"/>
          <w:sz w:val="28"/>
          <w:szCs w:val="28"/>
          <w:rtl w:val="true"/>
          <w:lang w:bidi="ar-SA"/>
        </w:rPr>
        <w:t>سيّد الفقهاء الكاملين و سند العلماء الراسخين، أفضل المتأخرين، و أكمل المتبحرين، نادرة الخلف و بقية السلف، ذو البيت العالي العماد و الحسب الرفيع الآباء و الأجداد، السيد صدر الدين صدر العاملي، و نسبه الشريف كما ينقله المحدّث القمي في 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أولاد الإمام موسى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 السيد شرف الدين في البغية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سيد صالح بن محمد بن إبراهيم شرف الدين بن زين العابدين بن نور الدين بن على بن نور الدين بن حسين بن محمّد بن حسين بن علي بن محمد بن أبي الحسن تاج الدين عباس بن محمد بن عبد اللّه بن أحمد بن حمزة الصغير بن سعد اللّه بن حمزة الكبير بن محمد أبي السعادات ابن محمد بن عبد اللّه بن محمد بن أبي الحسن</w:t>
      </w:r>
    </w:p>
    <w:p>
      <w:pPr>
        <w:pStyle w:val="BookText"/>
        <w:rPr/>
      </w:pPr>
      <w:r>
        <w:rPr>
          <w:rFonts w:ascii="Amiri" w:hAnsi="Amiri" w:eastAsia="Amiri" w:cs="Amiri"/>
          <w:color w:val="111111"/>
          <w:sz w:val="28"/>
          <w:sz w:val="28"/>
          <w:szCs w:val="28"/>
          <w:rtl w:val="true"/>
          <w:lang w:bidi="ar-SA"/>
        </w:rPr>
        <w:t>على بن عبد اللّه بن أبي الحسن محمد المحدث بن أبي الطيب طاهر بن الحسين القطعي بن موسى أبي سبحة بن إبراهيم المرتضى بن الإمام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مزرعة لهم تدعى شد 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قرية معركة من أعمال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فأنبته اللّه نباتا حسنا، و آزره بوابل متصل من لطفه و توفيقه و عنايته، فكان كَزَرْعٍ أَخْرَجَ شَطْأَهُ فَآزَرَهُ فَاسْتَغْلَظَ فَاسْتَوىٰ عَلىٰ سُوقِهِ يُعْجِبُ الزُّرّٰاعَ</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فاذا اساريره و هو في المهد تنطق بأسرار عمر و العلى، و تشرق بأنوار شيبة الحمد، حتّى كأنّه المعنى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المهد ينطق عن سعادة جده أثر النجابة ساطع البرهان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أمّه الستّ بنت الشيخ على بن محيي الدين بن على بن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زين الدين الشهيد الثاني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أمّا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السيّد السند و الركن المعتمد السيد صالح سبط شيخنا الأجل الشيخ الحرّ العاملي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أعلام العلماء في عصره انتهت إليه رئاسة الإمامية في البلاد الشامية، و كان كثير الاطلاع غزير الحفظ، واسع الرواية، و له في الطبّ و الرياضيات يد طولى و قدح معلى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زاهدا عابدا ملتزما بصوم رجب و شعبان من كلّ سنة، و صوم يوم الجمعة من كل أسبوع، و كان يعامل النوافل الراتبة معاملة الفرائض، فإذا فاته شي‌ء منها لعذر</w:t>
      </w:r>
    </w:p>
    <w:p>
      <w:pPr>
        <w:pStyle w:val="BookText"/>
        <w:rPr/>
      </w:pPr>
      <w:r>
        <w:rPr>
          <w:rFonts w:ascii="Amiri" w:hAnsi="Amiri" w:eastAsia="Amiri" w:cs="Amiri"/>
          <w:color w:val="111111"/>
          <w:sz w:val="28"/>
          <w:sz w:val="28"/>
          <w:szCs w:val="28"/>
          <w:rtl w:val="true"/>
          <w:lang w:bidi="ar-SA"/>
        </w:rPr>
        <w:t>قضاه في أول أزمنة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تولده سنة اثنتين و عشرين و مائة بعد الألف، في قرية شحور من بلاد بشارة من بلاد جبل عامل، و أمّه بنت الشيخ الحر صاحب الوسائل</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قد هاجر من بلاد الشام الى النجف بسبب فتنة أحمد الجزّار في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في النجف الأشرف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والده السيد محمد بن السيد إبراهيم شرف الدين، وقف في عاملة على الفقيه العلامة أحمد بن الحسين بن أحمد بن سليمان العاملي النباطي و هاجر الى العراق سنة الثمانين بعد الألف، فأخذ العلم عن الشيخ حسام الدين بن الشيخ جمال الدين الطريحي النجفي، و وقف على غيره من أفاضل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إلى أصفهان للوقوف على أعلامها، و نال الخطوة بسلطانها الشاه عباس الثاني الصفوي، و تلمّذ على اعلم أعلامها الشيخ محمد باقر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فآثره السبزواري و زوّجه كريمته رغبة فيه، و ولد له منها ولدان قضى الوباء عليهما و على أمهما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أستاذه السبزواري سنة تسعين بعد الألف، فاختلف السيد بعده إلى الفقيه العلامة الشيخ على بن محمد بن الحسن 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يومئذ بأصفهان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عنه علما جمّا، و اجازه الشيخ إجازة عامّة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تسع و تسعين بعد الألف تشرف السيّد بزيارة الإمام الرضا عليه السّلام فرأى من استقبال العلماء و إقبالهم عليه ما هو اهله، و قرأ فيها على الشيخ الحرّ صاحب الوسائل و الأصل، و أجازه الشيخ إجازة مفصّلة، و زوّجه كريمته و هي أمّ الباقين من ذريته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ينبغي لنا أيضا ان نذكر مختصرا عن أجداده العلماء العاملين لكي نعرف علوّ نسب هذه الأسرة الكريمة،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العلماء الأجلاء و الفقهاء العظماء، قراء على والد الشهيد الثاني، و على الشيخ شمس الدين محمد بن مكّي العاملي الشامي أحد شيوخ الشهيد الثاني، و كان السيد صهره، و وقف على جماعة آخرين من الفقهاء و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الشهيد ابنته و أولدها بنتا، تزوجها تلميذه السيد على بن السيد حسين لأنها بنت عمته، فولدت له السيد محمد صاحب المدارك، و لهذا يعبّر عن الشهيد الثاني في المدارك بالجدّ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على الأول، المعروف بابن أبي الحسن و كان من تلامذة الشهيد الثاني و المجازين منه و كان متزوجا بزوجتين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الشهيد الثاني والدة صاحب المدارك رحمه اللّه،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الزوجة الثانية للشهيد الثاني، أم سيد نور الدين على المذكور، و قد تزوج بها بعد استشهاد زوجها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على الثاني ابن السيد نور الدين على الأول فهو أخ من الأب للسيد محمد صاحب المدارك و أخ من الأم للشيخ حسن صاحب المعالم، و كان من العلماء الكبار و له آثار و تصانيف عديدة و مات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و دفن في مقبرة أبي طالب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زين الدين بن السيد نور الدين و أمّه كريمة العلامة الفقيه المتكلم الشيخ نجيب الدين على بن محمد بن مكي العاملي الجبعي، و كان من العلماء و الفضلاء، سكن مكة</w:t>
      </w:r>
      <w:bookmarkStart w:id="15" w:name="pg2480_16344"/>
    </w:p>
    <w:p>
      <w:pPr>
        <w:pStyle w:val="BookText"/>
        <w:rPr/>
      </w:pPr>
      <w:bookmarkEnd w:id="15"/>
      <w:r>
        <w:rPr>
          <w:rFonts w:ascii="Amiri" w:hAnsi="Amiri" w:eastAsia="Amiri" w:cs="Amiri"/>
          <w:color w:val="111111"/>
          <w:sz w:val="28"/>
          <w:sz w:val="28"/>
          <w:szCs w:val="28"/>
          <w:rtl w:val="true"/>
          <w:lang w:bidi="ar-SA"/>
        </w:rPr>
        <w:t xml:space="preserve">المكرمة، و مات في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مقبرة المعلّى إلى جنب أبيه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إبراهيم بن السيد زين العابدين، و هو من العلماء العظام تلمّذ عند أبيه و بعض علماء عصره و أعمامه حتى وصل إلى مراتب عالية من العلم و الشهرة الكاملة بحيث أنّ بعض أعقابه الساكنين في العراق و الشام انتسبوا إليه و اشتهروا بآل شرف الدين و منهم العلّامة الفقيد السيد عبد الحسين شرف الدين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3"/>
        <w:numPr>
          <w:ilvl w:val="2"/>
          <w:numId w:val="1"/>
        </w:numPr>
        <w:rPr/>
      </w:pPr>
      <w:bookmarkStart w:id="16" w:name="__RefHeading___Toc3755523_3804643083"/>
      <w:bookmarkStart w:id="17" w:name="_Toc6"/>
      <w:bookmarkEnd w:id="16"/>
      <w:r>
        <w:rPr>
          <w:rtl w:val="true"/>
        </w:rPr>
        <w:t>«</w:t>
      </w:r>
      <w:r>
        <w:rPr>
          <w:rtl w:val="true"/>
        </w:rPr>
        <w:t>نشأته و تطور علمه حتى الاجتهاد</w:t>
      </w:r>
      <w:r>
        <w:rPr>
          <w:rtl w:val="true"/>
        </w:rPr>
        <w:t>»</w:t>
      </w:r>
      <w:bookmarkEnd w:id="17"/>
    </w:p>
    <w:p>
      <w:pPr>
        <w:pStyle w:val="BookText"/>
        <w:rPr/>
      </w:pPr>
      <w:r>
        <w:rPr>
          <w:rFonts w:ascii="Amiri" w:hAnsi="Amiri" w:eastAsia="Amiri" w:cs="Amiri"/>
          <w:color w:val="111111"/>
          <w:sz w:val="28"/>
          <w:sz w:val="28"/>
          <w:szCs w:val="28"/>
          <w:rtl w:val="true"/>
          <w:lang w:bidi="ar-SA"/>
        </w:rPr>
        <w:t xml:space="preserve">و في هذه البيئة نشأ آية من آيات اللّه سبحانه في صفاء النفس و لطافة الحسّ، و سمّوا المدارك و توقّد الذهن، عرفنا منه ذلك بخصائصه في نشأته، و حسبك أنّه غادر البلاد العاملية، و هو في السادسة من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فتنة أحمد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يرجع إليها حتى لحق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 ذلك يحدّث عن علمائها و زعمائها و عشائرها و أكابرها و بيوتاتها و أنساب ساداتها و عن زرعها و ضرعها و حقلها و بقلها، و ماشيتها و احراجها و عن أطوار أهلها و ازيائهم و سائر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زاره زائر أو اجتمع به منهم أحد، فإنّه يكلّمه بمصطلحهم لا يحزم ألفاظهم و لهجتهم، و لا تفوته أمثالهم السائرة في محاوراتهم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أنّها ليست ذات الشأن الأول من الخصائص المأثورة عنه، فقد كان يتردد قبل بلوغه الحلم إلى مجلس سيد الأمة، و بحر علوم الأئمة، المهدى الطباطبائي ليخوض عباب</w:t>
      </w:r>
    </w:p>
    <w:p>
      <w:pPr>
        <w:pStyle w:val="BookText"/>
        <w:rPr/>
      </w:pPr>
      <w:r>
        <w:rPr>
          <w:rFonts w:ascii="Amiri" w:hAnsi="Amiri" w:eastAsia="Amiri" w:cs="Amiri"/>
          <w:color w:val="111111"/>
          <w:sz w:val="28"/>
          <w:sz w:val="28"/>
          <w:szCs w:val="28"/>
          <w:rtl w:val="true"/>
          <w:lang w:bidi="ar-SA"/>
        </w:rPr>
        <w:t>علومه، و يغوص على إسرارها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بحر العلوم قد انتخبه يومئذ فيمن انتخبهم من شيوخ العلماء و فحول الأدباء ليعرض 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بهذا دليلا على صفاء ذهنه و رواء طبعه، و لو لا بلوغه الغاية في ذلك ما كان بحر العلوم ليلزّه و هو ابن لبون مع البزل القناعيس و ما لزّه و إيّاهم في قرن إلّا لعلمه بأنّه يجلّي في حلباتهم كما يجلّون، و يجوز قصب السبق في مضامير العلم و الأدب كما يجوزون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ربّاه والده العلامة بحيث كتب حاشية على شرح القطر و هو ابن سبع سنين، و يذكر في أول رسالته في حجية الظن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كربلاء سنة خمس و مأتين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الأستاذ الأكبر محمد باقر بن محمد أكمل، مصرّا على حجية الظن المطلق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ذلك أنّه كان من أهل العلم بمشاكل مسائل الأصول و هو في سنّ الاثني عشر، و حدثني والدي قدّس سرّه أنّه استجاز السيد صاحب الرياض في السنة العاشرة بعد المائتين و الألف، فأجازه و صرّح فيما كتبه من الإجازة أنّه مجتهد في الأحكام من قبل أربع سنوات، فيكون حصول ملكة الاجتهاد له في سنّ ثلاث عشرة من عمره</w:t>
      </w:r>
      <w:r>
        <w:rPr>
          <w:rFonts w:eastAsia="Amiri" w:cs="Amiri" w:ascii="Amiri" w:hAnsi="Amiri"/>
          <w:color w:val="111111"/>
          <w:sz w:val="28"/>
          <w:szCs w:val="28"/>
          <w:rtl w:val="true"/>
          <w:lang w:bidi="ar-SA"/>
        </w:rPr>
        <w:t xml:space="preserve">». </w:t>
      </w:r>
      <w:r>
        <w:rPr>
          <w:rStyle w:val="FootnoteAnchor"/>
          <w:rtl w:val="true"/>
        </w:rPr>
        <w:footnoteReference w:id="13"/>
      </w:r>
      <w:bookmarkStart w:id="18" w:name="pg2480_16346"/>
    </w:p>
    <w:p>
      <w:pPr>
        <w:pStyle w:val="Heading3"/>
        <w:numPr>
          <w:ilvl w:val="2"/>
          <w:numId w:val="1"/>
        </w:numPr>
        <w:rPr/>
      </w:pPr>
      <w:bookmarkStart w:id="19" w:name="__RefHeading___Toc3755525_3804643083"/>
      <w:bookmarkStart w:id="20" w:name="_Toc7"/>
      <w:bookmarkEnd w:id="18"/>
      <w:bookmarkEnd w:id="19"/>
      <w:r>
        <w:rPr>
          <w:rtl w:val="true"/>
        </w:rPr>
        <w:t>«</w:t>
      </w:r>
      <w:r>
        <w:rPr>
          <w:rtl w:val="true"/>
        </w:rPr>
        <w:t>أساتذته و مكانته العلمية و مشايخه</w:t>
      </w:r>
      <w:r>
        <w:rPr>
          <w:rtl w:val="true"/>
        </w:rPr>
        <w:t>»</w:t>
      </w:r>
      <w:bookmarkEnd w:id="20"/>
    </w:p>
    <w:p>
      <w:pPr>
        <w:pStyle w:val="BookText"/>
        <w:rPr/>
      </w:pPr>
      <w:r>
        <w:rPr>
          <w:rFonts w:ascii="Amiri" w:hAnsi="Amiri" w:eastAsia="Amiri" w:cs="Amiri"/>
          <w:color w:val="111111"/>
          <w:sz w:val="28"/>
          <w:sz w:val="28"/>
          <w:szCs w:val="28"/>
          <w:rtl w:val="true"/>
          <w:lang w:bidi="ar-SA"/>
        </w:rPr>
        <w:t>وقف أوّلا في تحصيل العلوم على كلّ من أبيه المقدس، و الفقيه العلّامة الشيخ سليمان بن معتوق العاملي، فأفاضا عليه سجال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بوأه من الثقافة مبوأ صدق، حتى لمع في حوزيتهما كوكبا، و سطع بدرا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فانتشر فضله في العراق، انتشار الصبح في الآفاق، و انتجع بعد هذا جهابذة أهل النظر في عصره، الراسخين في العلم من كل طود ينحدر عنه السيل، و لا يرقى اليه الطير كالسيد محسن الأعرجي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الوافي و الشيخ أسد اللّه ابن الشيخ إسماعيل الكاظميني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الشريف الأمير على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الشريف الميرزا محمد مهدي الشهرستاني الحائري، و امام الكل في الكل السيد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منزلة الصدر من نفسه منذ كان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مربية و مخرّجه الشيخ الأكبر كاشف الغطاء، و كان السيد صهره على كريمته و له منها ذرية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رنّ صيت الميرزا القمي في الأقطار، و تجاوبت بصدا ذكره محافل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السيد اليه رحاله و هو في قم فجمع بخدمته شتات العلوم و عبّد مناهجها، و احكم قواعد الفقه و قوانين الأصول، فائزا بغنائمها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قرظ يومئذ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بالبيتين السائرين المسجلين في فاتحته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ابن سينا درى إذ جاء مفتخرا باسم الرئيس بتصنيف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ذهاب السيد إلى قم عام تشرفه باعتاب الإمام أبي الحسن الرضا عليه السّلام و ذلك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رحلته إلى أصفهان بسنة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بعض التراجم ان السيد صدر الدين قد استفاد من بعض الأجلّاء الآخرين، مثل علم الأعلام الوحيد البهبهاني، حيث يقول السيد في رسالته في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رأيته في كربلاء سنة خمس و مائتين و ألف قبل وفاته بسنة، و أنا ابن اثنتي عشرة سنة، و هو شيخ قد ناهز التسعين، و لم يكن فيما حدثني به شيخ الطائفة جعفر بن خضر و جماعة من ثقاة العلماء، قبل سنة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 و ثمانين و مائة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يذهب إلى أنّ الأصل الثانوي حجية الظن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يستفيد من محضر الأستاذ الفقيه السيد جواد بن محمد الحسيني العاملي الشقراوي مؤلف كتاب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أيضا من درس العلامة الفقيه الشيخ موسى بن الشيخ جعفر كاشف الغطاء</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العلّامة السيد عبد الحسين شرف الدين في مكانته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النجف الأشرف على عهد أستاذه الشيخ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لمكانته من بعده، لكن نزوحه في حياة الشيخ إلى أصفهان و توطّنه فيها صرف الرئاسة العامة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العلماء كافّة من معاصريه و المتأخرين عنه يبوؤونه مكانة المرجع العام في شرائع الإسلام، و قد تصافقوا على أنّه أصلها و محلّها، جلالة قدر، و عظم شأن، و علوّ</w:t>
      </w:r>
    </w:p>
    <w:p>
      <w:pPr>
        <w:pStyle w:val="BookText"/>
        <w:rPr/>
      </w:pPr>
      <w:r>
        <w:rPr>
          <w:rFonts w:ascii="Amiri" w:hAnsi="Amiri" w:eastAsia="Amiri" w:cs="Amiri"/>
          <w:color w:val="111111"/>
          <w:sz w:val="28"/>
          <w:sz w:val="28"/>
          <w:szCs w:val="28"/>
          <w:rtl w:val="true"/>
          <w:lang w:bidi="ar-SA"/>
        </w:rPr>
        <w:t>مكانة علما و عملا، و ورعا و زهدا، و هديا و رأيا، يعدّونه من أبطال العلم و أعلامه البارزين و لا سيّما في الفقه و الأصول و الحديث و الدراية و الرجال، و العلوم العربية بأسرها و الفنون الأدبية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مقدّما في علوم القرآن، و أنساب العرب، و أخبار الماضين، و حوادث السنين، و له في العلوم العقلية و لا سيما الحكمة و الكلام مكانة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اللّه فيه علو الفهم، و قوة الحافظة، فكان إذا تلاعن لوح قلبه، رأيته يتلو عن لوح محفوظ، لا يفوته عند الحاجة شي‌ء من آي الذكر الحكيم، و لا يغيب عنه شي‌ء من السنن المأثورة و الحكم المسطورة، و لا تفوته دقيقة من ظرائف الكلام و لطائفة و نوادره و نكاته، يحفظ الكثير من مفردات اللغة، ممحصا لها، خبيرا في اشتقاقاتها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يقظ الفؤاد، ملتهب الذكاء، قوى الحجة، سديد البرهان، يتحرّى في رأيه القواعد و الأصول، و يتبع فيه أدلة المعقول و المنقول، فيترك خصمه معتقل اللسان، كأنّما أفرغ عليه ذنوبا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مواقف في بغداد شكرها اللّه له و رسوله و المؤمنون، و حسبك منها مناظراته و محاضراته مع فقيه الحنفية، و متكلم الأشاعرة، معاصره السيد صبغة اللّه، فقد أذاعها بريد الثناء، و رواها له لسان الحمد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العلامة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الجليل صادق الأعسم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ابن شيخ الطائفة الشيخ جعفر، كانا لما جاء السيد صدر الدين من أصفهان إلى النجف يعاملانه معاملة الأستاذ، و يجلسان بين يديه جلسة التلامذة، و هما يومئذ شيخا الإسلام في النجف و لعلهما ممن تلمّذ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يوما عند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السيد صدر الدين، فلمّا</w:t>
      </w:r>
    </w:p>
    <w:p>
      <w:pPr>
        <w:pStyle w:val="BookText"/>
        <w:rPr/>
      </w:pPr>
      <w:r>
        <w:rPr>
          <w:rFonts w:ascii="Amiri" w:hAnsi="Amiri" w:eastAsia="Amiri" w:cs="Amiri"/>
          <w:color w:val="111111"/>
          <w:sz w:val="28"/>
          <w:sz w:val="28"/>
          <w:szCs w:val="28"/>
          <w:rtl w:val="true"/>
          <w:lang w:bidi="ar-SA"/>
        </w:rPr>
        <w:t xml:space="preserve">أشرف علينا ركض الشيخ و استقبله و أخذ بابط السيد، حتّى جاء به و أجلسه في مكانه و جلس بين يديه، و في الأثناء جرى ذكر اختلاف الفقهاء، فأخذ السيّد يبيّن اختلاف مسالكهم في الفقه و شرع في بيان طبقاتهم من الصدر الأوّل إلى عصره و يبين اختلاف مسالك الفقهاء و اختلاف مبانيهم بما يبهر العقول حتى قال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خرج السيد،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جالس جميع طبقاتهم و بحث معهم و وقف على خصوصيات احذقتهم و مسالكهم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العجب العجائب، و نحن نعدّ أنفسنا من الفقهاء، هذا الفقيه المتبحّر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يوما في الصحن الشريف، فرأيت السيّد صدر الدين مقبلا، و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بابط السيد و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بابطه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السيّد كان فيه أثر الفالج، و لا بدّ أن يأخذ أحد بابطه إذا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جلالة السيد في نظر الشيخين، و أنّه في نظرهما في مرتبة الأساتيذ الأعاظم، فان الشيخين لم يكن في النجف، بل في الدنيا يومئذ أجلّ منهما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مشايخه الذين يروى عنهم بطريق الإجازة، فهم كثيرون جدّا، تنيف عدّتهم عن عشرة من الفقهاء و أعلاهم سندا والده السيد محمد، عن شيخه و أستاذه محمد بن الحسن الحرّ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فإنّه رحمه اللّه تعالى يروى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من هذا الطريق، و كذلك عن شيخه الشيخ سليمان العاملي عن السيد محمد المذكور</w:t>
      </w:r>
      <w:r>
        <w:rPr>
          <w:rFonts w:eastAsia="Amiri" w:cs="Amiri" w:ascii="Amiri" w:hAnsi="Amiri"/>
          <w:color w:val="111111"/>
          <w:sz w:val="28"/>
          <w:szCs w:val="28"/>
          <w:rtl w:val="true"/>
          <w:lang w:bidi="ar-SA"/>
        </w:rPr>
        <w:t xml:space="preserve">. </w:t>
      </w:r>
      <w:r>
        <w:rPr>
          <w:rStyle w:val="FootnoteAnchor"/>
          <w:rtl w:val="true"/>
        </w:rPr>
        <w:footnoteReference w:id="18"/>
      </w:r>
      <w:bookmarkStart w:id="21" w:name="pg2480_16350"/>
    </w:p>
    <w:p>
      <w:pPr>
        <w:pStyle w:val="Heading3"/>
        <w:numPr>
          <w:ilvl w:val="2"/>
          <w:numId w:val="1"/>
        </w:numPr>
        <w:rPr/>
      </w:pPr>
      <w:bookmarkStart w:id="22" w:name="__RefHeading___Toc3755527_3804643083"/>
      <w:bookmarkStart w:id="23" w:name="_Toc8"/>
      <w:bookmarkEnd w:id="21"/>
      <w:bookmarkEnd w:id="22"/>
      <w:r>
        <w:rPr>
          <w:rtl w:val="true"/>
        </w:rPr>
        <w:t>«</w:t>
      </w:r>
      <w:r>
        <w:rPr>
          <w:rtl w:val="true"/>
        </w:rPr>
        <w:t>مهارته في الشعر و الأدب</w:t>
      </w:r>
      <w:r>
        <w:rPr>
          <w:rtl w:val="true"/>
        </w:rPr>
        <w:t>»</w:t>
      </w:r>
      <w:bookmarkEnd w:id="23"/>
    </w:p>
    <w:p>
      <w:pPr>
        <w:pStyle w:val="BookText"/>
        <w:rPr/>
      </w:pPr>
      <w:r>
        <w:rPr>
          <w:rFonts w:ascii="Amiri" w:hAnsi="Amiri" w:eastAsia="Amiri" w:cs="Amiri"/>
          <w:color w:val="111111"/>
          <w:sz w:val="28"/>
          <w:sz w:val="28"/>
          <w:szCs w:val="28"/>
          <w:rtl w:val="true"/>
          <w:lang w:bidi="ar-SA"/>
        </w:rPr>
        <w:t>كان السيد صدر الدين من أشهر الأدباء و الشعراء في زمانه، و قد نقل العلّامة الصدر في كتابه،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حضر مجلس درس أستاذه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عمره اثنى عشر سنة ه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مشغولا بنظم الدرّة في الفقه، فاختاره في عرض الدرّة عليه لمهارته في الآداب و فنونه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يقول المحقق المهدوي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العلّامة السيد مهدي بحر العلوم كان من اساتيد الشعر و الأدب و من أعضاء اللجنة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انتخابه لتلميذه الشاب لهذه المهمة، كان من جهة احترامه و تشويقه له و لوالده العلامة السيد صالح</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قال العلامة الصدر بعد ما صرح بثبوت ملكة الاجتهاد للسيّد في سنّ الثالثة عشرة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يحكى عن العلامة الحلّي و الفاضل الهندي، و يفوقهما في صنعة الشعر و الأدب، فإنّي سمعت من شيخ الأدب الشيخ جابر الشاعر الكاظمي مخمس الهائية الأزدية، أنّ السيد صدر الدين كان أشعر من السيد الشريف الرّضي الذي هو أشعر قريش</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العلامة السيد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يرتجل الشعر ارتجالا، و يقتضبه اقتضابا، و لا يسهر عليه جفنا، و لا يكدر فيه طبعا، و لا يثبته في ديوان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هذه القصيدة في وصف رحلته إلى المشهد الرضوي على مشرفه السّلام،</w:t>
      </w:r>
      <w:bookmarkStart w:id="24" w:name="pg2480_16351"/>
    </w:p>
    <w:p>
      <w:pPr>
        <w:pStyle w:val="BookText"/>
        <w:rPr/>
      </w:pPr>
      <w:bookmarkEnd w:id="24"/>
      <w:r>
        <w:rPr>
          <w:rFonts w:ascii="Amiri" w:hAnsi="Amiri" w:eastAsia="Amiri" w:cs="Amiri"/>
          <w:color w:val="111111"/>
          <w:sz w:val="28"/>
          <w:sz w:val="28"/>
          <w:szCs w:val="28"/>
          <w:rtl w:val="true"/>
          <w:lang w:bidi="ar-SA"/>
        </w:rPr>
        <w:t>و هي من عزر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استباقا تقدّ القفارا سوابح تقدح في السير نارا</w:t>
      </w:r>
    </w:p>
    <w:p>
      <w:pPr>
        <w:pStyle w:val="BookText"/>
        <w:rPr/>
      </w:pPr>
      <w:r>
        <w:rPr>
          <w:rFonts w:ascii="Amiri" w:hAnsi="Amiri" w:eastAsia="Amiri" w:cs="Amiri"/>
          <w:color w:val="111111"/>
          <w:sz w:val="28"/>
          <w:sz w:val="28"/>
          <w:szCs w:val="28"/>
          <w:rtl w:val="true"/>
          <w:lang w:bidi="ar-SA"/>
        </w:rPr>
        <w:t>تثير مثار الحصى بالحصى و تتبع باقي الغبار الغبارا</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العلامة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عثرت عليه من شعره بخطّه الشريف على ظهر بعض كتبه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على و زعيم اللوى يوم الوغى و العلم الشامخ</w:t>
      </w:r>
    </w:p>
    <w:p>
      <w:pPr>
        <w:pStyle w:val="BookText"/>
        <w:rPr/>
      </w:pPr>
      <w:r>
        <w:rPr>
          <w:rFonts w:ascii="Amiri" w:hAnsi="Amiri" w:eastAsia="Amiri" w:cs="Amiri"/>
          <w:color w:val="111111"/>
          <w:sz w:val="28"/>
          <w:sz w:val="28"/>
          <w:szCs w:val="28"/>
          <w:rtl w:val="true"/>
          <w:lang w:bidi="ar-SA"/>
        </w:rPr>
        <w:t>أبى السراة الأنجبين الأولى خصوا فنون الشرف الباذخ</w:t>
      </w:r>
    </w:p>
    <w:p>
      <w:pPr>
        <w:pStyle w:val="BookText"/>
        <w:rPr/>
      </w:pPr>
      <w:r>
        <w:rPr>
          <w:rFonts w:ascii="Amiri" w:hAnsi="Amiri" w:eastAsia="Amiri" w:cs="Amiri"/>
          <w:color w:val="111111"/>
          <w:sz w:val="28"/>
          <w:sz w:val="28"/>
          <w:szCs w:val="28"/>
          <w:rtl w:val="true"/>
          <w:lang w:bidi="ar-SA"/>
        </w:rPr>
        <w:t>اولى المزايا الغرا عباؤها ينوء فيها قلم الناسخ</w:t>
      </w:r>
    </w:p>
    <w:p>
      <w:pPr>
        <w:pStyle w:val="BookText"/>
        <w:rPr/>
      </w:pPr>
      <w:r>
        <w:rPr>
          <w:rFonts w:ascii="Amiri" w:hAnsi="Amiri" w:eastAsia="Amiri" w:cs="Amiri"/>
          <w:color w:val="111111"/>
          <w:sz w:val="28"/>
          <w:sz w:val="28"/>
          <w:szCs w:val="28"/>
          <w:rtl w:val="true"/>
          <w:lang w:bidi="ar-SA"/>
        </w:rPr>
        <w:t>جاءت تجوب البيد سيارة تهوى هوى المرتد الصارخ</w:t>
      </w:r>
    </w:p>
    <w:p>
      <w:pPr>
        <w:pStyle w:val="BookText"/>
        <w:rPr/>
      </w:pPr>
      <w:r>
        <w:rPr>
          <w:rFonts w:ascii="Amiri" w:hAnsi="Amiri" w:eastAsia="Amiri" w:cs="Amiri"/>
          <w:color w:val="111111"/>
          <w:sz w:val="28"/>
          <w:sz w:val="28"/>
          <w:szCs w:val="28"/>
          <w:rtl w:val="true"/>
          <w:lang w:bidi="ar-SA"/>
        </w:rPr>
        <w:t xml:space="preserve">قد أيقنوا منه بجزل الحصا ان عليّا ليس بالواضح </w:t>
      </w:r>
      <w:r>
        <w:rPr>
          <w:rStyle w:val="FootnoteAnchor"/>
          <w:rtl w:val="true"/>
        </w:rPr>
        <w:footnoteReference w:id="23"/>
      </w:r>
    </w:p>
    <w:p>
      <w:pPr>
        <w:pStyle w:val="Heading3"/>
        <w:numPr>
          <w:ilvl w:val="2"/>
          <w:numId w:val="1"/>
        </w:numPr>
        <w:rPr/>
      </w:pPr>
      <w:bookmarkStart w:id="25" w:name="__RefHeading___Toc3755529_3804643083"/>
      <w:bookmarkStart w:id="26" w:name="_Toc9"/>
      <w:bookmarkEnd w:id="25"/>
      <w:r>
        <w:rPr>
          <w:rtl w:val="true"/>
        </w:rPr>
        <w:t>«</w:t>
      </w:r>
      <w:r>
        <w:rPr>
          <w:rtl w:val="true"/>
        </w:rPr>
        <w:t>سبب هجرته إلى أصفهان</w:t>
      </w:r>
      <w:r>
        <w:rPr>
          <w:rtl w:val="true"/>
        </w:rPr>
        <w:t>»</w:t>
      </w:r>
      <w:bookmarkEnd w:id="26"/>
    </w:p>
    <w:p>
      <w:pPr>
        <w:pStyle w:val="BookText"/>
        <w:rPr/>
      </w:pPr>
      <w:r>
        <w:rPr>
          <w:rFonts w:ascii="Amiri" w:hAnsi="Amiri" w:eastAsia="Amiri" w:cs="Amiri"/>
          <w:color w:val="111111"/>
          <w:sz w:val="28"/>
          <w:sz w:val="28"/>
          <w:szCs w:val="28"/>
          <w:rtl w:val="true"/>
          <w:lang w:bidi="ar-SA"/>
        </w:rPr>
        <w:t xml:space="preserve">كان ذهابه إلى أصفهان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زيارته المشهد الرضوي و إقامته في قم سنة أو أكثر، و إنّما أتاها لزيارة تربيه في الفضل، و صنويه في العلم و العمل الشيخ محمد تقى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محمد باقر الموسوي الشفتي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بينهما و بين السيد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رسخت قواعدها و مصافاة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توثقت عراها، فكانوا يتبادلون العواطف بالمواصلة، و يتبارون في بث الأشواق و</w:t>
      </w:r>
    </w:p>
    <w:p>
      <w:pPr>
        <w:pStyle w:val="BookText"/>
        <w:rPr/>
      </w:pPr>
      <w:r>
        <w:rPr>
          <w:rFonts w:ascii="Amiri" w:hAnsi="Amiri" w:eastAsia="Amiri" w:cs="Amiri"/>
          <w:color w:val="111111"/>
          <w:sz w:val="28"/>
          <w:sz w:val="28"/>
          <w:szCs w:val="28"/>
          <w:rtl w:val="true"/>
          <w:lang w:bidi="ar-SA"/>
        </w:rPr>
        <w:t>الحنين بالمراسلة، و حين استخفته إليهما نزيه الشوق، وجدهما ظمئين إلى لقائه، و وجد أهل العلم كافة في صنوة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الشيخ التقى و السيد باقر على أن يلتمسا من السيد توطّنه في أصفهان، و تبعهما على ذلك من سواهما من عالم و فاضل و أديب و تقى، و صمدوا إليه في ذلك، علما منهم بقوته في ذات اللّه، و مكانته في العلم و العمل و حسن أسلوبه في رفع منار الإسلام و تعظيم شعائر اللّه و نشر علوم آل محمد، و اذاعة هديهم و إحياء أمرهم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رأى ان من تكليفه الشرعي ان لا يرد هذين الإمامين المخلصين للّه تعالى، و ان لا يخيب رجاء من تبعهما من المؤمنين أجابهم إلى ملتمسهم متوكلا على اللّه تعالى</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قد ذكر المحقق الفقيد المهدوي الأسباب التي من أجلها توطّن السيد صدر الدين في أصفهان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أهالي أصفهان المحبّين للعلم منه بان يتوطن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الجوازات العلمية و المجامع الأدبية و العلماء الكبار و المجتهدين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اثنين من بنات المرحوم جعفر كاشف الغطاء في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أختان لامرأة السيد صدر 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من ذلك كله، خوفه من مخالفيه في العراق من أهل السنّة في بغداد</w:t>
      </w:r>
      <w:r>
        <w:rPr>
          <w:rFonts w:eastAsia="Amiri" w:cs="Amiri" w:ascii="Amiri" w:hAnsi="Amiri"/>
          <w:color w:val="111111"/>
          <w:sz w:val="28"/>
          <w:szCs w:val="28"/>
          <w:rtl w:val="true"/>
          <w:lang w:bidi="ar-SA"/>
        </w:rPr>
        <w:t xml:space="preserve">. </w:t>
      </w:r>
      <w:r>
        <w:rPr>
          <w:rStyle w:val="FootnoteAnchor"/>
          <w:rtl w:val="true"/>
        </w:rPr>
        <w:footnoteReference w:id="25"/>
      </w:r>
      <w:bookmarkStart w:id="27" w:name="pg2480_16353"/>
    </w:p>
    <w:p>
      <w:pPr>
        <w:pStyle w:val="Heading3"/>
        <w:numPr>
          <w:ilvl w:val="2"/>
          <w:numId w:val="1"/>
        </w:numPr>
        <w:rPr/>
      </w:pPr>
      <w:bookmarkStart w:id="28" w:name="__RefHeading___Toc3755531_3804643083"/>
      <w:bookmarkStart w:id="29" w:name="_Toc10"/>
      <w:bookmarkEnd w:id="27"/>
      <w:bookmarkEnd w:id="28"/>
      <w:r>
        <w:rPr>
          <w:rtl w:val="true"/>
        </w:rPr>
        <w:t>«</w:t>
      </w:r>
      <w:r>
        <w:rPr>
          <w:rtl w:val="true"/>
        </w:rPr>
        <w:t>تلامذته و المجازين عنه</w:t>
      </w:r>
      <w:r>
        <w:rPr>
          <w:rtl w:val="true"/>
        </w:rPr>
        <w:t>»</w:t>
      </w:r>
      <w:bookmarkEnd w:id="29"/>
    </w:p>
    <w:p>
      <w:pPr>
        <w:pStyle w:val="BookText"/>
        <w:rPr/>
      </w:pPr>
      <w:r>
        <w:rPr>
          <w:rFonts w:ascii="Amiri" w:hAnsi="Amiri" w:eastAsia="Amiri" w:cs="Amiri"/>
          <w:color w:val="111111"/>
          <w:sz w:val="28"/>
          <w:sz w:val="28"/>
          <w:szCs w:val="28"/>
          <w:rtl w:val="true"/>
          <w:lang w:bidi="ar-SA"/>
        </w:rPr>
        <w:t>ان العلّامة السيد صدر الدين كان من العلماء البارزين و الممتازين و مشارا اليه بالبنان من كل العلماء و المجتهدين في زمانه، خصوصا من حيث علمه و اطّلاعه و جامعيته في العلوم المختلفة و تبحّره في علم الرجال و الأدب و الشعر، كل ذلك يسبّب ان يجعل مجلس درسه من أحرّ الحوزات العلمية في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الزمن الذي كان يعيش فيه السيد في أصفهان كانت تلك المدينة مركزا للحوزات العلمية، و أحد المراكز العلمية العالية في الدنيا، فقد وجد علماء كبار أمثال المحقق الكلباسي، و السيد حجة الإسلام شفتي و الحاج ملا على حكيم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عشرات الآخرين من العلماء و الفقهاء و المجتهدين و كل ذلك يعطى المركزية العلمية و الدينية لتلك البلدة و يجعلها محورا لتوجه الطلاب من أقصى نقاط الدنيا إليها لكسب الفيوضات المعنونية 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نتوقع، هو وجود أشخاص عديدين الذين استفادوا من هذا العالم الكبير، و كان من المفروض للتاريخ ان يسجل أسمائهم لنا، و لكننا لم نجد كثيرا بل وجدنا عددا قليلا،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الرجالي ميرزا محمد باقر 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بن محمد أشرف الطباطبائي اليزدي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الشيخ محمد حسن بن محمد باقر الأصفهاني النجفي صاحب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محمد حسن بن محمد تقي الموسوي الأصفهاني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الشيخ حسن بن شيخ الطائفة الشيخ جعفر النجفي صاحب كشف</w:t>
      </w:r>
      <w:bookmarkStart w:id="30" w:name="pg2480_16354"/>
    </w:p>
    <w:p>
      <w:pPr>
        <w:pStyle w:val="BookText"/>
        <w:rPr/>
      </w:pPr>
      <w:bookmarkEnd w:id="30"/>
      <w:r>
        <w:rPr>
          <w:rFonts w:ascii="Amiri" w:hAnsi="Amiri" w:eastAsia="Amiri" w:cs="Amiri"/>
          <w:color w:val="111111"/>
          <w:sz w:val="28"/>
          <w:sz w:val="28"/>
          <w:szCs w:val="28"/>
          <w:rtl w:val="true"/>
          <w:lang w:bidi="ar-SA"/>
        </w:rPr>
        <w:t xml:space="preserve">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الحاج ميرزا زين العابدين موسوي چهار 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الحاج السيد شفيع جاپلقى مؤلف كتاب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السيد عيسى بن محمد على العاملي ابن أخي السيد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الأصولي المرحوم ملا محمد شريف العلماء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الحجة الباري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هادي بن محمد على ابن أخ السيد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ميرزا محمد هاشم چهار 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تكمله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31" w:name="__RefHeading___Toc3755533_3804643083"/>
      <w:bookmarkStart w:id="32" w:name="_Toc11"/>
      <w:bookmarkEnd w:id="31"/>
      <w:r>
        <w:rPr>
          <w:rtl w:val="true"/>
        </w:rPr>
        <w:t>«</w:t>
      </w:r>
      <w:r>
        <w:rPr>
          <w:rtl w:val="true"/>
        </w:rPr>
        <w:t>سيرته و أخلاقه</w:t>
      </w:r>
      <w:r>
        <w:rPr>
          <w:rtl w:val="true"/>
        </w:rPr>
        <w:t>»</w:t>
      </w:r>
      <w:bookmarkEnd w:id="32"/>
    </w:p>
    <w:p>
      <w:pPr>
        <w:pStyle w:val="BookText"/>
        <w:rPr/>
      </w:pPr>
      <w:r>
        <w:rPr>
          <w:rFonts w:ascii="Amiri" w:hAnsi="Amiri" w:eastAsia="Amiri" w:cs="Amiri"/>
          <w:color w:val="111111"/>
          <w:sz w:val="28"/>
          <w:sz w:val="28"/>
          <w:szCs w:val="28"/>
          <w:rtl w:val="true"/>
          <w:lang w:bidi="ar-SA"/>
        </w:rPr>
        <w:t>كان السيد صدر الدين عالما ربانيا لا تأخذه في اللّه لومة لائم، يأمر بالمعروف و ينهى عن المنكر و يقيم الحدود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أزهد أهل زمانه، لم يحظ من الدنيا بنائل و لم يخلف لأولاده غير الدار التي كان السيد حجة الإسلام شفتي قد اشتراها له و غير بعض الكتب لم يكن له عقار و لا قوى و لا أملاك، و كان كثير العيال و لم يغيّر وضعه الذي كان عليه في النجف منه حيث اللباس و المأكل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الشيخ العالم عبد العالي الأصفهاني النجفي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من ليالي شهر رمضان في حرم أمير المؤمنين عليه السّلام فجاء السيد صدر الدين إلى الحرم، و لمّا فرغ من الزيارة</w:t>
      </w:r>
      <w:bookmarkStart w:id="33" w:name="pg2480_16355"/>
    </w:p>
    <w:p>
      <w:pPr>
        <w:pStyle w:val="BookText"/>
        <w:rPr/>
      </w:pPr>
      <w:bookmarkEnd w:id="33"/>
      <w:r>
        <w:rPr>
          <w:rFonts w:ascii="Amiri" w:hAnsi="Amiri" w:eastAsia="Amiri" w:cs="Amiri"/>
          <w:color w:val="111111"/>
          <w:sz w:val="28"/>
          <w:sz w:val="28"/>
          <w:szCs w:val="28"/>
          <w:rtl w:val="true"/>
          <w:lang w:bidi="ar-SA"/>
        </w:rPr>
        <w:t>جلس خلف الضريح المقدّس، فكنت قريبا منه، فشرع في دعاء السحر الذي رواه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زاد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كرّرها و هو يبكي حتّى أغمي عليه و حملوه من الحرم و هو 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قدّس سرّه غزير الدمعة كثير المناجاة، و رأيت له أبياتا في المناجاة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رضاك رضاك لا جنات عدن و هل عدن تطيب بلا رضاكا </w:t>
      </w:r>
      <w:r>
        <w:rPr>
          <w:rStyle w:val="FootnoteAnchor"/>
          <w:rtl w:val="true"/>
        </w:rPr>
        <w:footnoteReference w:id="26"/>
      </w:r>
    </w:p>
    <w:p>
      <w:pPr>
        <w:pStyle w:val="Heading3"/>
        <w:numPr>
          <w:ilvl w:val="2"/>
          <w:numId w:val="1"/>
        </w:numPr>
        <w:rPr/>
      </w:pPr>
      <w:bookmarkStart w:id="34" w:name="__RefHeading___Toc3755535_3804643083"/>
      <w:bookmarkStart w:id="35" w:name="_Toc12"/>
      <w:bookmarkEnd w:id="34"/>
      <w:r>
        <w:rPr>
          <w:rtl w:val="true"/>
        </w:rPr>
        <w:t>«</w:t>
      </w:r>
      <w:r>
        <w:rPr>
          <w:rtl w:val="true"/>
        </w:rPr>
        <w:t>زوجاته</w:t>
      </w:r>
      <w:r>
        <w:rPr>
          <w:rtl w:val="true"/>
        </w:rPr>
        <w:t>»</w:t>
      </w:r>
      <w:bookmarkEnd w:id="35"/>
    </w:p>
    <w:p>
      <w:pPr>
        <w:pStyle w:val="BookText"/>
        <w:rPr/>
      </w:pPr>
      <w:r>
        <w:rPr>
          <w:rFonts w:ascii="Amiri" w:hAnsi="Amiri" w:eastAsia="Amiri" w:cs="Amiri"/>
          <w:color w:val="111111"/>
          <w:sz w:val="28"/>
          <w:sz w:val="28"/>
          <w:szCs w:val="28"/>
          <w:rtl w:val="true"/>
          <w:lang w:bidi="ar-SA"/>
        </w:rPr>
        <w:t>و قد تزوج السيد بعدة 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العلامة الفقيد شيخ الطائفة الشيخ جعفر النجفي و هي أمّ أكثر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المرحوم السيد أبو الحسن خوشمزه الأصفهاني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من مدينة 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دائمية من أصفهان، و هي أمّ العلامة السيد إسماعيل الصدر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755537_3804643083"/>
      <w:bookmarkStart w:id="37" w:name="_Toc13"/>
      <w:bookmarkEnd w:id="36"/>
      <w:r>
        <w:rPr>
          <w:rtl w:val="true"/>
        </w:rPr>
        <w:t>«</w:t>
      </w:r>
      <w:r>
        <w:rPr>
          <w:rtl w:val="true"/>
        </w:rPr>
        <w:t>أولاده</w:t>
      </w:r>
      <w:r>
        <w:rPr>
          <w:rtl w:val="true"/>
        </w:rPr>
        <w:t>»</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عقب السيد سبعة من السادة الأشراف، مات اثنان منهم على عهده و لم يعقبا، و كانا من الفضل و الدين مثل أبيهما، أحدهما السيد محمد تقى و الثاني السيد علي، و كانت وفاتهما مصيبة عظيمة نكب بها أبوهما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و هما و ان كانا من أهل الفضل و الزهد و العلم و لكن لم يحصلا على شهرة في المدارج العلمية مثل سائر أخواتهم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السيد إسماعيل الصدر، من أعاظم العلماء و أكابر المراجع، اختص بالمجدد الشيرازي مدة حياته، هاجر إلى الحائر الشريف مروجا للدين و حافظا للعلماء و مساعدا للمشتغلين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مراجع التقليد في أغلب الأطراف</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بآقا مجتهد، و أمّه بنت الشيخ الأكبر كاشف الغطاء، و قد كتب قبل 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المبين في أحكام الصبيان و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أبوه و السيد حجة الإسلام شفتي باجتهاده قبل ذلك و كان لا يصرح باجتهاد أحد إلّا أن يبلغ أقصى ذراه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جعفر، و أمّه كريمة شيخ الطائفة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العلم عن أخيه آقا مجتهد و عن الشيخ محمد باقر النجفي الأصفهاني، و تزوج بكريمة السيد أسد اللّه بن السيد حجة الإسلام الشفتي و أخذ إجازة الاجتهاد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خلف منها ثمانية أولاد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أشهرهم و أعلمهم والدي المرحوم آية اللّه السيد حسين خادمي رحمه اللّه</w:t>
      </w:r>
      <w:r>
        <w:rPr>
          <w:rFonts w:eastAsia="Amiri" w:cs="Amiri" w:ascii="Amiri" w:hAnsi="Amiri"/>
          <w:color w:val="111111"/>
          <w:sz w:val="28"/>
          <w:szCs w:val="28"/>
          <w:rtl w:val="true"/>
          <w:lang w:bidi="ar-SA"/>
        </w:rPr>
        <w:t>.</w:t>
      </w:r>
      <w:bookmarkStart w:id="38" w:name="pg2480_16357"/>
    </w:p>
    <w:p>
      <w:pPr>
        <w:pStyle w:val="Heading3"/>
        <w:numPr>
          <w:ilvl w:val="2"/>
          <w:numId w:val="1"/>
        </w:numPr>
        <w:rPr/>
      </w:pPr>
      <w:bookmarkStart w:id="39" w:name="__RefHeading___Toc3755539_3804643083"/>
      <w:bookmarkStart w:id="40" w:name="_Toc14"/>
      <w:bookmarkEnd w:id="38"/>
      <w:bookmarkEnd w:id="39"/>
      <w:r>
        <w:rPr>
          <w:rtl w:val="true"/>
        </w:rPr>
        <w:t>«</w:t>
      </w:r>
      <w:r>
        <w:rPr>
          <w:rtl w:val="true"/>
        </w:rPr>
        <w:t>وفاته</w:t>
      </w:r>
      <w:r>
        <w:rPr>
          <w:rtl w:val="true"/>
        </w:rPr>
        <w:t>»</w:t>
      </w:r>
      <w:bookmarkEnd w:id="40"/>
    </w:p>
    <w:p>
      <w:pPr>
        <w:pStyle w:val="BookText"/>
        <w:rPr/>
      </w:pPr>
      <w:r>
        <w:rPr>
          <w:rFonts w:ascii="Amiri" w:hAnsi="Amiri" w:eastAsia="Amiri" w:cs="Amiri"/>
          <w:color w:val="111111"/>
          <w:sz w:val="28"/>
          <w:sz w:val="28"/>
          <w:szCs w:val="28"/>
          <w:rtl w:val="true"/>
          <w:lang w:bidi="ar-SA"/>
        </w:rPr>
        <w:t>منى السيد في أواخر عمره بمصائب و نوائب، أمرضت جسمه فانحلته، و أضعفت قواه فاوهتها، و أصيب بفقد ولديه المبرزين في الفضل و الدين و الأخلاق السيد محمد تقى و السيد على، فهدّه موتهما، و أصبح صريعا على فراشه لا يستطيع النهوض، فرأى في المنام أمير المؤمنين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ضيافتي في النجف، ففهم انه يموت قريبا، فرغب في التشرف بأعتاب آبائه الطاهرين، رجأ أن تكون خاتمته في جوارهم و ان يطيب رمسه في قدسي تربتهم، فرحل منفردا إلى النجف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النجف و بقي قليلا، و توفّى في أول ليلة من شهر صفر و كانت ليلة الجمعة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صلّى عليه زعيم آل كاشف الغطاء يومئذ الفقيه الشيخ محمد بن على بن الشيخ جعفر، في خلائق كثيره و دفن في بعض حجرات الصحن الحيدري عليه السّلام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755541_3804643083"/>
      <w:bookmarkStart w:id="42" w:name="_Toc15"/>
      <w:bookmarkEnd w:id="41"/>
      <w:r>
        <w:rPr>
          <w:rtl w:val="true"/>
        </w:rPr>
        <w:t>«</w:t>
      </w:r>
      <w:r>
        <w:rPr>
          <w:rtl w:val="true"/>
        </w:rPr>
        <w:t>آثاره و تأليفاته</w:t>
      </w:r>
      <w:r>
        <w:rPr>
          <w:rtl w:val="true"/>
        </w:rPr>
        <w:t>»</w:t>
      </w:r>
      <w:bookmarkEnd w:id="42"/>
    </w:p>
    <w:p>
      <w:pPr>
        <w:pStyle w:val="BookText"/>
        <w:rPr/>
      </w:pPr>
      <w:r>
        <w:rPr>
          <w:rFonts w:ascii="Amiri" w:hAnsi="Amiri" w:eastAsia="Amiri" w:cs="Amiri"/>
          <w:color w:val="111111"/>
          <w:sz w:val="28"/>
          <w:sz w:val="28"/>
          <w:szCs w:val="28"/>
          <w:rtl w:val="true"/>
          <w:lang w:bidi="ar-SA"/>
        </w:rPr>
        <w:t>و للسيّد تأليفات و آثار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أثره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الفقه و هو كتاب استدلالي</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التعليقة على رجال أبي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على هامش نسخته فدوّنها العلّامة</w:t>
      </w:r>
    </w:p>
    <w:p>
      <w:pPr>
        <w:pStyle w:val="BookText"/>
        <w:rPr/>
      </w:pPr>
      <w:r>
        <w:rPr>
          <w:rFonts w:ascii="Amiri" w:hAnsi="Amiri" w:eastAsia="Amiri" w:cs="Amiri"/>
          <w:color w:val="111111"/>
          <w:sz w:val="28"/>
          <w:sz w:val="28"/>
          <w:szCs w:val="28"/>
          <w:rtl w:val="true"/>
          <w:lang w:bidi="ar-SA"/>
        </w:rPr>
        <w:t xml:space="preserve">السيد حسن الصدر و 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 على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العلامة مير مصطفى تفرشي، و هي موجودة على نسخته المخطوطة في مكتبة المرحوم آية اللّه حاج حسين خادمي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لأبي عبد اللّه محمد بن عبد اللّه المعروف بابن مالك النحوي،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على كتاب منتهى أمل الأريب من كلام مغني اللبيب،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بن على،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ملّا 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الروضات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قد رأيت المجلد الأوّل من شرح المغني لابن ملّا بخطّ المصنف و عليه حواش كثيرة من شيخنا العلامة السيد صدر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على شرح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كتب هذه التعليقات عليه و هو ابن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الإشعار، إنّ السيد صدر الدين كان من الشعراء الكبار و له أشعار و قصائد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قصيدة رأييه له يخاطب فيها الإمام الثامن علي بن موسى عليه السّلام،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استباقا تقد القفارا سوابح تقدح في السير نارا</w:t>
      </w:r>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ستة و ستين بيتا من القصيدة قد افتقد منها صفحة أو أكثر من وسطها، و يحتمل على هذا أنها كانت أكثر من مأة 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عزر الشعر</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لبعض ولده و هي كتاب</w:t>
      </w:r>
    </w:p>
    <w:p>
      <w:pPr>
        <w:pStyle w:val="BookText"/>
        <w:rPr/>
      </w:pPr>
      <w:r>
        <w:rPr>
          <w:rFonts w:ascii="Amiri" w:hAnsi="Amiri" w:eastAsia="Amiri" w:cs="Amiri"/>
          <w:color w:val="111111"/>
          <w:sz w:val="28"/>
          <w:sz w:val="28"/>
          <w:szCs w:val="28"/>
          <w:rtl w:val="true"/>
          <w:lang w:bidi="ar-SA"/>
        </w:rPr>
        <w:t>جليل في بابه تفوق على المغني، كما نصّ على ذلك تلميذه الميرزا محمد هاشم في أول معدن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 صغر حجمها تفوق على المغني لابن هشام مع طوله و بسطه، فهذه الرسالة لا توافق إلّا فهم المنتهى</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هي 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في نهاية البسط متضمنة لقواعد شرعية و فقهية و فوائد 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المستقيم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حجية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ردّ دليل الانسداد، كما بحث 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الظن المطلق و حجيّة الظن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موجودة في مكتبنا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المحقق التنكابني أنّ نسخته موجودة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ذي الرأسين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عترة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مختصر كتابه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 العترة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عملية فارسية لمقلديه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الفقهية التي لم يتعرض لها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أحال إليه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هذه الرسالة في شي‌ء من كتب التراجم التي ترجمت</w:t>
      </w:r>
      <w:bookmarkStart w:id="43" w:name="pg2480_16360"/>
    </w:p>
    <w:p>
      <w:pPr>
        <w:pStyle w:val="BookText"/>
        <w:rPr/>
      </w:pPr>
      <w:bookmarkEnd w:id="43"/>
      <w:r>
        <w:rPr>
          <w:rFonts w:ascii="Amiri" w:hAnsi="Amiri" w:eastAsia="Amiri" w:cs="Amiri"/>
          <w:color w:val="111111"/>
          <w:sz w:val="28"/>
          <w:sz w:val="28"/>
          <w:szCs w:val="28"/>
          <w:rtl w:val="true"/>
          <w:lang w:bidi="ar-SA"/>
        </w:rPr>
        <w:t xml:space="preserve">للسيد و ربّما تكون بخط المؤلف و هي موجودة في مكتبة الرضوي برقم </w:t>
      </w:r>
      <w:r>
        <w:rPr>
          <w:rFonts w:eastAsia="Amiri" w:cs="Amiri" w:ascii="Amiri" w:hAnsi="Amiri"/>
          <w:color w:val="111111"/>
          <w:sz w:val="28"/>
          <w:szCs w:val="28"/>
          <w:lang w:bidi="ar-SA"/>
        </w:rPr>
        <w:t>13251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منظومة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رسالتنا هذه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755543_3804643083"/>
      <w:bookmarkStart w:id="45" w:name="_Toc16"/>
      <w:bookmarkEnd w:id="44"/>
      <w:r>
        <w:rPr>
          <w:rtl w:val="true"/>
        </w:rPr>
        <w:t>«</w:t>
      </w:r>
      <w:r>
        <w:rPr>
          <w:rtl w:val="true"/>
        </w:rPr>
        <w:t>الكتاب الذي بين يديك و منهج التحقيق فيه</w:t>
      </w:r>
      <w:r>
        <w:rPr>
          <w:rtl w:val="true"/>
        </w:rPr>
        <w:t>»</w:t>
      </w:r>
      <w:bookmarkEnd w:id="45"/>
    </w:p>
    <w:p>
      <w:pPr>
        <w:pStyle w:val="BookText"/>
        <w:rPr/>
      </w:pPr>
      <w:r>
        <w:rPr>
          <w:rFonts w:ascii="Amiri" w:hAnsi="Amiri" w:eastAsia="Amiri" w:cs="Amiri"/>
          <w:color w:val="111111"/>
          <w:sz w:val="28"/>
          <w:sz w:val="28"/>
          <w:szCs w:val="28"/>
          <w:rtl w:val="true"/>
          <w:lang w:bidi="ar-SA"/>
        </w:rPr>
        <w:t>لمّا كان بحث الرضاع من المباحث الفقهية الغامضة، فقد اهتمّ به الفقهاء حتّى ألّف أكثرهم رسالة فيه، و نقّحوا غوامض مسائله، و ممن ألّف في هذا البحث مترجمنا فقد ألّف فيه رسالة و هي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كما سترى، تدلّ على مدى قوّة المصنف في الفقه و سعة اطّلاعه على الآراء و الانظار، و هي بالإضافة الى ذلك أوّل أثر فقهي يصدر من هذا الفقيه المتبحّر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متن الرسالة خاليا من الأخطاء، و من أجل ذلك، حاولنا ان نحصل على نسخة يمكننا ان نعتمد عليها، و من خلال كتب التراجم عرفنا أنّ المرحوم الميرزا محمد تقي الشيرازي شرح هذه الرسالة فبحثنا عن هذا الشرح في أكثر المكتبات المعتبرة في إيران و لكن دون جدوى، و لكننا حصلنا على نسخ مختلفة الكتاب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الموجودة في مكتبة المرحوم آية اللّه الحاج آقا حسين خادمي، و هي من أحسن النسخ لقلة أخطائها و امتيازها عن النسخ الأخرى بوجود بعض الحواشي فيها و هي موقعه في نهايتها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جعلنا هذه النسخة أصلا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مجلس الشورى التي تفضل المسؤولون في المكتبة علينا بالاستفادة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مكتبة المرحوم الصفائي الخوانساري قدّس سرّه و ارجوا له الرحمة و الغفران و علوّ الدرجة عند الرحمن،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مكتبة حجة الإسلام السيد محمد على روضاتي الذي تفضّل باعطائنا صورة منها، و هذه النسخة كثيرة الأخطاء و رزمنا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بالذكر أنّ والدي المرحوم آية اللّه حاج آقا حسين خادمي رحمه اللّه هو المشجّع على هذا العمل فإنّه كان معجبا بهذا الكتاب و بأسلوبه الفقهي من جدّة الأعلى رحمه اللّه، لذا اهدى ثواب هذا الجهد منّى إلى روحه و أرجو من اللّه ان يجعله راضيا عنّى و ان يلحقني بآبائي في الايمان حيث وعد اللّه تعالى وَ 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بذلت كل جهدي في الحصول على أصح النسخ، و في تحقيق العناوين من منابعها الأولية، و لكن جلّ من لا يخطئ، فإن الإنسان في معرض الخطأ، فإذا وجد خطأ فارجوا من الفضلاء و العلماء المعذرة و الإرشاد إلى الصواب، و آخر دعوانا أن الحمد للّه ربّ العالمين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خادمي</w:t>
      </w:r>
      <w:bookmarkStart w:id="46" w:name="pg2480_16363"/>
    </w:p>
    <w:p>
      <w:pPr>
        <w:pStyle w:val="BookText"/>
        <w:rPr/>
      </w:pPr>
      <w:bookmarkEnd w:id="4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7" w:name="__RefHeading___Toc3755545_3804643083"/>
      <w:bookmarkStart w:id="48" w:name="_Toc17"/>
      <w:bookmarkEnd w:id="47"/>
      <w:r>
        <w:rPr>
          <w:rtl w:val="true"/>
        </w:rPr>
        <w:t>[</w:t>
      </w:r>
      <w:r>
        <w:rPr>
          <w:rtl w:val="true"/>
        </w:rPr>
        <w:t>منظومة في الرضاع</w:t>
      </w:r>
      <w:r>
        <w:rPr>
          <w:rtl w:val="true"/>
        </w:rPr>
        <w:t>]</w:t>
      </w:r>
      <w:bookmarkEnd w:id="48"/>
    </w:p>
    <w:p>
      <w:pPr>
        <w:pStyle w:val="Heading3"/>
        <w:numPr>
          <w:ilvl w:val="2"/>
          <w:numId w:val="1"/>
        </w:numPr>
        <w:rPr/>
      </w:pPr>
      <w:bookmarkStart w:id="49" w:name="__RefHeading___Toc3755547_380464308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الحمد للّه الذي أدرّ أخلاف طوله بعموم فضله و خصوص عدله، و الصلاة على أفضل رسله و الخيرة المصطفين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فهذه منظومة في الرضاع، تعشّقها الطباع، و لا تمجّها الأسماع، أوردتها في ضمن ما يفتح مقفلها، و يحلّ مشكلها، و رجوت أن أودع بين دفّتي رقيمة تبصرة لرضيع الفقه، و تذكرة لفطيمه على غير دعة مكدّة و لا عدّة كتب ممدّة </w:t>
      </w:r>
      <w:r>
        <w:rPr>
          <w:rStyle w:val="FootnoteAnchor"/>
          <w:rtl w:val="true"/>
        </w:rPr>
        <w:footnoteReference w:id="35"/>
      </w:r>
      <w:r>
        <w:rPr>
          <w:rFonts w:ascii="Amiri" w:hAnsi="Amiri" w:eastAsia="Amiri" w:cs="Amiri"/>
          <w:color w:val="111111"/>
          <w:sz w:val="28"/>
          <w:sz w:val="28"/>
          <w:szCs w:val="28"/>
          <w:rtl w:val="true"/>
          <w:lang w:bidi="ar-SA"/>
        </w:rPr>
        <w:t xml:space="preserve">بل غربة منغصه </w:t>
      </w:r>
      <w:r>
        <w:rPr>
          <w:rStyle w:val="FootnoteAnchor"/>
          <w:rtl w:val="true"/>
        </w:rPr>
        <w:footnoteReference w:id="36"/>
      </w:r>
      <w:r>
        <w:rPr>
          <w:rFonts w:ascii="IRNazanin" w:hAnsi="IRNazanin" w:eastAsia="IRNazanin"/>
          <w:color w:val="111111"/>
          <w:sz w:val="28"/>
          <w:sz w:val="28"/>
          <w:szCs w:val="28"/>
          <w:rtl w:val="true"/>
          <w:lang w:bidi="fa-IR"/>
        </w:rPr>
        <w:t xml:space="preserve">و فرقه </w:t>
      </w:r>
      <w:r>
        <w:rPr>
          <w:rStyle w:val="FootnoteAnchor"/>
          <w:rtl w:val="true"/>
        </w:rPr>
        <w:footnoteReference w:id="37"/>
      </w:r>
      <w:r>
        <w:rPr>
          <w:rFonts w:ascii="Amiri" w:hAnsi="Amiri" w:eastAsia="Amiri" w:cs="Amiri"/>
          <w:color w:val="111111"/>
          <w:sz w:val="28"/>
          <w:sz w:val="28"/>
          <w:szCs w:val="28"/>
          <w:rtl w:val="true"/>
          <w:lang w:bidi="ar-SA"/>
        </w:rPr>
        <w:t>مغصصة،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أحرز الرضاع شرطه نشر تحريم تزويج و تحليل نظر</w:t>
      </w:r>
    </w:p>
    <w:p>
      <w:pPr>
        <w:pStyle w:val="BookText"/>
        <w:rPr/>
      </w:pPr>
      <w:r>
        <w:rPr>
          <w:rFonts w:ascii="Amiri" w:hAnsi="Amiri" w:eastAsia="Amiri" w:cs="Amiri"/>
          <w:color w:val="111111"/>
          <w:sz w:val="28"/>
          <w:sz w:val="28"/>
          <w:szCs w:val="28"/>
          <w:rtl w:val="true"/>
          <w:lang w:bidi="ar-SA"/>
        </w:rPr>
        <w:t>ما يحرم به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نسب، أو سبب،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الأمومة و الأبوة و الخؤلة و العمومة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السبب، فأقسام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معه النظر، كاللعان، و اللواط، و إفضاء الصغيرة، و الزنا بذات البعل</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معه النظر، و هو المصاهرة و الرضاع، لكن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مؤبّد التحريم، كأمّ الزوجة و بنتها من رضاع، أو نسب مع الدخول بالأمّ، و زوجة كلّ من الأب أو الفحل و الابن، أو الرضيع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غير مؤبّدة، كأخت الزوجة رضاعا أو نسبا، و ابنتها قبل الدخول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ابنتي أخيها و أختها كذلك الّا مع رضاها، فما لم يكن مؤبّد التحريم من مصاهرة أو رضاع لم يحلّ معه النظر من كل من الرجل و المرأة إلى الأخر سيان فيه و من التحريم و ما بعده، و امّا ما كان منهما مؤبد التحريم فالنظر فيه سائغ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حكى الإجماع على حلية النظر في الرضاع فخر المحققين في الإيضاح </w:t>
      </w:r>
      <w:r>
        <w:rPr>
          <w:rStyle w:val="FootnoteAnchor"/>
          <w:rtl w:val="true"/>
        </w:rPr>
        <w:footnoteReference w:id="38"/>
      </w:r>
      <w:r>
        <w:rPr>
          <w:rFonts w:ascii="Amiri" w:hAnsi="Amiri" w:eastAsia="Amiri" w:cs="Amiri"/>
          <w:color w:val="111111"/>
          <w:sz w:val="28"/>
          <w:sz w:val="28"/>
          <w:szCs w:val="28"/>
          <w:rtl w:val="true"/>
          <w:lang w:bidi="ar-SA"/>
        </w:rPr>
        <w:t xml:space="preserve">، و حكى الفاضل الهندي </w:t>
      </w:r>
      <w:r>
        <w:rPr>
          <w:rStyle w:val="FootnoteAnchor"/>
          <w:rtl w:val="true"/>
        </w:rPr>
        <w:footnoteReference w:id="39"/>
      </w:r>
      <w:r>
        <w:rPr>
          <w:rFonts w:ascii="Amiri" w:hAnsi="Amiri" w:eastAsia="Amiri" w:cs="Amiri"/>
          <w:color w:val="111111"/>
          <w:sz w:val="28"/>
          <w:sz w:val="28"/>
          <w:szCs w:val="28"/>
          <w:rtl w:val="true"/>
          <w:lang w:bidi="ar-SA"/>
        </w:rPr>
        <w:t>الاتّفاق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انّا أهل بيت كبير فربّما كان الفرح و الحزن الذي يجمع فيه الرجال و النساء، فربما استحيت المرأة ان تكشف رأسها عند الرجل الذي بينها و بينه الرضاع و ربّما استحى الرجل ان ينظر الى ذلك فما الذي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اللحم و الدم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لو قلنا انه لا يجوز للرجل أن ينفرد بالأجنبية الّا و معهما ثالث جاز ان ينفرد هنا بمحرمة من الرضاع لكن الظاهر أن لا مستند للمنع الّا ما رواه العامّة عن النّبيّ صلّى اللّه عليه و آله و سلّم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رجل بامرأة، فإنّ الشيطان ثالثهما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في انعتاق من يملك ينعتق خلف و عندي انّه ليس برقّ</w:t>
      </w:r>
    </w:p>
    <w:p>
      <w:pPr>
        <w:pStyle w:val="BookText"/>
        <w:rPr/>
      </w:pPr>
      <w:r>
        <w:rPr>
          <w:rFonts w:ascii="Amiri" w:hAnsi="Amiri" w:eastAsia="Amiri" w:cs="Amiri"/>
          <w:color w:val="111111"/>
          <w:sz w:val="28"/>
          <w:sz w:val="28"/>
          <w:szCs w:val="28"/>
          <w:rtl w:val="true"/>
          <w:lang w:bidi="ar-SA"/>
        </w:rPr>
        <w:t>أجمع أصحابنا كافة على أنه ليس للرجل و لا المرأة ملك العمودين و لا للرجل ملك محارمه من النسب، فلو ملك الإنسان أباه أو امّه أو أحد ولده أو ملك الرجل أخته أو عمته أو نحوهما انعتقوا على المالك بمجرد الملك، و قد اختلفوا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الصدوق </w:t>
      </w:r>
      <w:r>
        <w:rPr>
          <w:rStyle w:val="FootnoteAnchor"/>
          <w:rtl w:val="true"/>
        </w:rPr>
        <w:footnoteReference w:id="42"/>
      </w:r>
      <w:r>
        <w:rPr>
          <w:rFonts w:ascii="Amiri" w:hAnsi="Amiri" w:eastAsia="Amiri" w:cs="Amiri"/>
          <w:color w:val="111111"/>
          <w:sz w:val="28"/>
          <w:sz w:val="28"/>
          <w:szCs w:val="28"/>
          <w:rtl w:val="true"/>
          <w:lang w:bidi="ar-SA"/>
        </w:rPr>
        <w:t xml:space="preserve">و الشيخ </w:t>
      </w:r>
      <w:r>
        <w:rPr>
          <w:rStyle w:val="FootnoteAnchor"/>
          <w:rtl w:val="true"/>
        </w:rPr>
        <w:footnoteReference w:id="43"/>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4"/>
      </w:r>
      <w:r>
        <w:rPr>
          <w:rFonts w:ascii="Amiri" w:hAnsi="Amiri" w:eastAsia="Amiri" w:cs="Amiri"/>
          <w:color w:val="111111"/>
          <w:sz w:val="28"/>
          <w:sz w:val="28"/>
          <w:szCs w:val="28"/>
          <w:rtl w:val="true"/>
          <w:lang w:bidi="ar-SA"/>
        </w:rPr>
        <w:t xml:space="preserve">و ابن حمزة </w:t>
      </w:r>
      <w:r>
        <w:rPr>
          <w:rStyle w:val="FootnoteAnchor"/>
          <w:rtl w:val="true"/>
        </w:rPr>
        <w:footnoteReference w:id="45"/>
      </w:r>
      <w:r>
        <w:rPr>
          <w:rFonts w:ascii="Amiri" w:hAnsi="Amiri" w:eastAsia="Amiri" w:cs="Amiri"/>
          <w:color w:val="111111"/>
          <w:sz w:val="28"/>
          <w:sz w:val="28"/>
          <w:szCs w:val="28"/>
          <w:rtl w:val="true"/>
          <w:lang w:bidi="ar-SA"/>
        </w:rPr>
        <w:t xml:space="preserve">و العلّامة </w:t>
      </w:r>
      <w:r>
        <w:rPr>
          <w:rStyle w:val="FootnoteAnchor"/>
          <w:rtl w:val="true"/>
        </w:rPr>
        <w:footnoteReference w:id="46"/>
      </w:r>
      <w:r>
        <w:rPr>
          <w:rFonts w:ascii="Amiri" w:hAnsi="Amiri" w:eastAsia="Amiri" w:cs="Amiri"/>
          <w:color w:val="111111"/>
          <w:sz w:val="28"/>
          <w:sz w:val="28"/>
          <w:szCs w:val="28"/>
          <w:rtl w:val="true"/>
          <w:lang w:bidi="ar-SA"/>
        </w:rPr>
        <w:t>و كثير من المتأخرين إلى انّه لا يملك من الرضاع ما ينعتق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القديمان </w:t>
      </w:r>
      <w:r>
        <w:rPr>
          <w:rStyle w:val="FootnoteAnchor"/>
          <w:rtl w:val="true"/>
        </w:rPr>
        <w:footnoteReference w:id="47"/>
      </w:r>
      <w:r>
        <w:rPr>
          <w:rFonts w:ascii="Amiri" w:hAnsi="Amiri" w:eastAsia="Amiri" w:cs="Amiri"/>
          <w:color w:val="111111"/>
          <w:sz w:val="28"/>
          <w:sz w:val="28"/>
          <w:szCs w:val="28"/>
          <w:rtl w:val="true"/>
          <w:lang w:bidi="ar-SA"/>
        </w:rPr>
        <w:t xml:space="preserve">و المفيد </w:t>
      </w:r>
      <w:r>
        <w:rPr>
          <w:rStyle w:val="FootnoteAnchor"/>
          <w:rtl w:val="true"/>
        </w:rPr>
        <w:footnoteReference w:id="48"/>
      </w:r>
      <w:r>
        <w:rPr>
          <w:rFonts w:ascii="Amiri" w:hAnsi="Amiri" w:eastAsia="Amiri" w:cs="Amiri"/>
          <w:color w:val="111111"/>
          <w:sz w:val="28"/>
          <w:sz w:val="28"/>
          <w:szCs w:val="28"/>
          <w:rtl w:val="true"/>
          <w:lang w:bidi="ar-SA"/>
        </w:rPr>
        <w:t xml:space="preserve">و سلّار </w:t>
      </w:r>
      <w:r>
        <w:rPr>
          <w:rStyle w:val="FootnoteAnchor"/>
          <w:rtl w:val="true"/>
        </w:rPr>
        <w:footnoteReference w:id="49"/>
      </w:r>
      <w:r>
        <w:rPr>
          <w:rFonts w:ascii="Amiri" w:hAnsi="Amiri" w:eastAsia="Amiri" w:cs="Amiri"/>
          <w:color w:val="111111"/>
          <w:sz w:val="28"/>
          <w:sz w:val="28"/>
          <w:szCs w:val="28"/>
          <w:rtl w:val="true"/>
          <w:lang w:bidi="ar-SA"/>
        </w:rPr>
        <w:t xml:space="preserve">و ابن إدريس </w:t>
      </w:r>
      <w:r>
        <w:rPr>
          <w:rStyle w:val="FootnoteAnchor"/>
          <w:rtl w:val="true"/>
        </w:rPr>
        <w:footnoteReference w:id="50"/>
      </w:r>
      <w:r>
        <w:rPr>
          <w:rFonts w:ascii="Amiri" w:hAnsi="Amiri" w:eastAsia="Amiri" w:cs="Amiri"/>
          <w:color w:val="111111"/>
          <w:sz w:val="28"/>
          <w:sz w:val="28"/>
          <w:szCs w:val="28"/>
          <w:rtl w:val="true"/>
          <w:lang w:bidi="ar-SA"/>
        </w:rPr>
        <w:t>بجوازه على كراهيّة، لنا ما في صحيح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أمّه من الرّضاعة و لا عمّته و لا خالته إذا ملكن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من النساء ذات رحم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ترضع مملوكها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صحيحتي الحلبي و ابن سنان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في أخرى لابن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ابنها من الرضاع حرم عليها بيعه و أكل ثمنه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في رواية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 و هي كارهة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تلك الروايات يستدلّ عليه السّلام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توضيحه أنّ التحريم لا يعقل تعلّقه بالأعيان، فيصرف الى المنافع،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و التملّك و الاستخدام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الآخرون بروايات مشتركة في ضعف السند و في عدم الدلالة على موضع النزاع الّا روايتان عن الصادق عليه السّلام إحداهما لابن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أو أخاه فملكه فهو حرّ الّا ما كان من قبل الرضاع</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 الأخرى للحلبي في بيع الامّ من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 في الأخبار الأول من صحة السند و كثرة العدد و موافقة الكتاب و السنّة المعلومة ما يقنع في الترجيح </w:t>
      </w:r>
      <w:r>
        <w:rPr>
          <w:rStyle w:val="FootnoteAnchor"/>
          <w:rtl w:val="true"/>
        </w:rPr>
        <w:footnoteReference w:id="58"/>
      </w:r>
      <w:r>
        <w:rPr>
          <w:rFonts w:ascii="Amiri" w:hAnsi="Amiri" w:eastAsia="Amiri" w:cs="Amiri"/>
          <w:color w:val="111111"/>
          <w:sz w:val="28"/>
          <w:sz w:val="28"/>
          <w:szCs w:val="28"/>
          <w:rtl w:val="true"/>
          <w:lang w:bidi="ar-SA"/>
        </w:rPr>
        <w:t xml:space="preserve">، و عليه فيمتنع على الرضيع ملك المرضعة و الفحل و آبائهما و إن علوا كما أنّه يمتنع عليهم ملكه و ملك ولده و إن نزلوا من دون فرق في الآباء و الولد بين كونهم لرضاع أو نسب، و لو وطأ الرضيع مملوكة الفحل أو المرضعة أو أحد آبائهما لم يملكوا ولده منها، و كذا لو أرضعت تلك المملوكة بلبن الرضيع ولدا مملوكا لصيرورته ولدا له، و لو أولد الفحل جارية للرضيع </w:t>
      </w:r>
      <w:r>
        <w:rPr>
          <w:rStyle w:val="FootnoteAnchor"/>
          <w:rtl w:val="true"/>
        </w:rPr>
        <w:footnoteReference w:id="59"/>
      </w:r>
      <w:r>
        <w:rPr>
          <w:rFonts w:ascii="Amiri" w:hAnsi="Amiri" w:eastAsia="Amiri" w:cs="Amiri"/>
          <w:color w:val="111111"/>
          <w:sz w:val="28"/>
          <w:sz w:val="28"/>
          <w:szCs w:val="28"/>
          <w:rtl w:val="true"/>
          <w:lang w:bidi="ar-SA"/>
        </w:rPr>
        <w:t>أو أرضعت بلبنه ولدا مملوكا للمرتضع عتق ان كان أنثى</w:t>
      </w:r>
    </w:p>
    <w:p>
      <w:pPr>
        <w:pStyle w:val="BookText"/>
        <w:rPr/>
      </w:pPr>
      <w:r>
        <w:rPr>
          <w:rFonts w:ascii="Amiri" w:hAnsi="Amiri" w:eastAsia="Amiri" w:cs="Amiri"/>
          <w:color w:val="111111"/>
          <w:sz w:val="28"/>
          <w:sz w:val="28"/>
          <w:szCs w:val="28"/>
          <w:rtl w:val="true"/>
          <w:lang w:bidi="ar-SA"/>
        </w:rPr>
        <w:t xml:space="preserve">لأنّها أخته بخلاف الذكر لأنّه أخوه، و كذا لو وطأ الرضيع جارية أخ لأحد </w:t>
      </w:r>
      <w:r>
        <w:rPr>
          <w:rStyle w:val="FootnoteAnchor"/>
          <w:rtl w:val="true"/>
        </w:rPr>
        <w:footnoteReference w:id="60"/>
      </w:r>
      <w:r>
        <w:rPr>
          <w:rFonts w:ascii="Amiri" w:hAnsi="Amiri" w:eastAsia="Amiri" w:cs="Amiri"/>
          <w:color w:val="111111"/>
          <w:sz w:val="28"/>
          <w:sz w:val="28"/>
          <w:szCs w:val="28"/>
          <w:rtl w:val="true"/>
          <w:lang w:bidi="ar-SA"/>
        </w:rPr>
        <w:t xml:space="preserve">صاحبي اللبن لانّ ابنتها إمّا أبنت ابن أخ المالك أو أبنت ابن أخته، نعم لو أولدها ذكرا فولد الذكر أنثى عتقت و لو كانت الجارية لأخت صاحبي اللبن أو كان الواطى لجارية الرضيع </w:t>
      </w:r>
      <w:r>
        <w:rPr>
          <w:rStyle w:val="FootnoteAnchor"/>
          <w:rtl w:val="true"/>
        </w:rPr>
        <w:footnoteReference w:id="61"/>
      </w:r>
      <w:r>
        <w:rPr>
          <w:rFonts w:ascii="Amiri" w:hAnsi="Amiri" w:eastAsia="Amiri" w:cs="Amiri"/>
          <w:color w:val="111111"/>
          <w:sz w:val="28"/>
          <w:sz w:val="28"/>
          <w:szCs w:val="28"/>
          <w:rtl w:val="true"/>
          <w:lang w:bidi="ar-SA"/>
        </w:rPr>
        <w:t>أعمامها أو أخوالها لم ينعتق شي‌ء من ولدها أصلا، كلّ ذلك إذا كان الوطي عن تحليل و شرط المالك الرقّية و إلّا فالولد تابع لأشرف الأبوين و لو كان عن زنى فلا عتق مطلقا البتة إذ لا نسب بينهم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المحظور من محذور أن يشتبه فيما عدا المحصور</w:t>
      </w:r>
    </w:p>
    <w:p>
      <w:pPr>
        <w:pStyle w:val="BookText"/>
        <w:rPr/>
      </w:pPr>
      <w:r>
        <w:rPr>
          <w:rFonts w:ascii="Amiri" w:hAnsi="Amiri" w:eastAsia="Amiri" w:cs="Amiri"/>
          <w:color w:val="111111"/>
          <w:sz w:val="28"/>
          <w:sz w:val="28"/>
          <w:szCs w:val="28"/>
          <w:rtl w:val="true"/>
          <w:lang w:bidi="ar-SA"/>
        </w:rPr>
        <w:t>المحصور المتضمن محظورا سواء كان المشتبه المحلّل أو المحظور كالنجس بالطاهر و الميتة بالمذكّى و بالعكس يغلّب فيه حكم الحظر من باب المقدّمة و دفعا للضرر المظنون و قد روى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على الحلال</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بخلاف غير المحصور، تفاديا </w:t>
      </w:r>
      <w:r>
        <w:rPr>
          <w:rStyle w:val="FootnoteAnchor"/>
          <w:rtl w:val="true"/>
        </w:rPr>
        <w:footnoteReference w:id="63"/>
      </w:r>
      <w:r>
        <w:rPr>
          <w:rFonts w:ascii="Amiri" w:hAnsi="Amiri" w:eastAsia="Amiri" w:cs="Amiri"/>
          <w:color w:val="111111"/>
          <w:sz w:val="28"/>
          <w:sz w:val="28"/>
          <w:szCs w:val="28"/>
          <w:rtl w:val="true"/>
          <w:lang w:bidi="ar-SA"/>
        </w:rPr>
        <w:t>عن الجرح، و انّه ربّما أدّى الى اجتناب جميع ذلك النوع في الدنيا قاطبة، و هل يجب التجنّب مع تيسّر المقطوع بحلّه أم لا؟ الأشبه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تقدير الحصر و عدمه الى العرف، فما يعسر على الناظر بمجرّد النظر عدّه لو جمع على صعيد واحد ليس بمحصور كالألف و الألفين و المحصور ما عداه كالعشر و العشرين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الطرفين وسائط تلحق بأحدهما </w:t>
      </w:r>
      <w:r>
        <w:rPr>
          <w:rStyle w:val="FootnoteAnchor"/>
          <w:rtl w:val="true"/>
        </w:rPr>
        <w:footnoteReference w:id="64"/>
      </w:r>
      <w:r>
        <w:rPr>
          <w:rFonts w:ascii="Amiri" w:hAnsi="Amiri" w:eastAsia="Amiri" w:cs="Amiri"/>
          <w:color w:val="111111"/>
          <w:sz w:val="28"/>
          <w:sz w:val="28"/>
          <w:szCs w:val="28"/>
          <w:rtl w:val="true"/>
          <w:lang w:bidi="ar-SA"/>
        </w:rPr>
        <w:t>بالظن، و ما وقع الشك فيه فالأصل</w:t>
      </w:r>
    </w:p>
    <w:p>
      <w:pPr>
        <w:pStyle w:val="BookText"/>
        <w:rPr/>
      </w:pPr>
      <w:r>
        <w:rPr>
          <w:rFonts w:ascii="Amiri" w:hAnsi="Amiri" w:eastAsia="Amiri" w:cs="Amiri"/>
          <w:color w:val="111111"/>
          <w:sz w:val="28"/>
          <w:sz w:val="28"/>
          <w:szCs w:val="28"/>
          <w:rtl w:val="true"/>
          <w:lang w:bidi="ar-SA"/>
        </w:rPr>
        <w:t>وجوب الاجتناب، نعم يختلف الأمر بكميّة المشتبه، فالألف مثلا مع كون المشتبه مائة أو أكثر محصور و مع كونه واحدا أو خمسة ليس بمحصور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اشتبه المحرم الرضاعي بالمحلّل أو بالعكس وجب الإمساك مع النحصار عن الجميع، بل عن اصولهنّ و فروعهنّ مع الاشتمال على ما يحرم أصوله كالعمّة و الخالة أو فروعه كالبنت، أو كلاهما كالجدّة إلّا في مثل ما إذا علم انّ هذه أجنبيّة مثلا، ثم قطع بكون أمّها أو بنتها في المحصورات، و لكن لا يعلم أيّها هي؟ و لو عقد على إحداهنّ قال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باطلا، لثبوت المنع من جميعهنّ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زال اللبس بعد العقد و تبيّن انّ المعقود عليها غير المحرّم ففي الحكم بصحة النكاح حينئذ تردّد لسبق الحكم ببطلانه، و لأنّه وقع مع عدم اعتقاد العاقد صحته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الحكم بالبطلان هنا نظير الحكم بالتنجّس الملاقي لأحد الإنائين المشتبهين بزعم انّهما محكوم بنجاستهما شرعا و هو لكثير من الفقهاء، و توضيحه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الاشتباه قد صيّرهنّ بحكم المحارم في التحريم، و ذلك أمر زائد على مجرّد التكليف بالاجتناب و مقتضى القواعد استصحاب الطهارة في الملاقي لعدم القطع بقدح العارض فيها و استصحاب الحرمة السابقة على العقد فيما نحن فيه الى أن يتحقّق كون ذلك العارض قادحا أو لا من دون نحكم بصحّته من تلك الحيثيّة و لا بطلان و ان نحكم بعد زوال الاشتباه و انكشاف أنّ المنكوحة أجنبية بصحة ذلك العقد سواء قلنا بنجاسة الملاقي أو كونهنّ في حكم المحارم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القائل بنجاسة الملاقي استصحاب النجاسة فيه بعد انكشاف ملاقاته للطاهر و هو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صورا أربعا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العقد إمّا أن يكون سابقا على العلم بالاختلاط أو لا، و الثاني إمّا أن يكون</w:t>
      </w:r>
    </w:p>
    <w:p>
      <w:pPr>
        <w:pStyle w:val="BookText"/>
        <w:rPr/>
      </w:pPr>
      <w:r>
        <w:rPr>
          <w:rFonts w:ascii="Amiri" w:hAnsi="Amiri" w:eastAsia="Amiri" w:cs="Amiri"/>
          <w:color w:val="111111"/>
          <w:sz w:val="28"/>
          <w:sz w:val="28"/>
          <w:szCs w:val="28"/>
          <w:rtl w:val="true"/>
          <w:lang w:bidi="ar-SA"/>
        </w:rPr>
        <w:t>العاقد جاهلا بوجوب الاجتناب أو لا، و الثاني إمّا أن يكون مستحضرا للحكم عند الإيقاع أو لا، فان قلنا بأنّ النهي في المعاملات ممّا يقتضي الفساد، فلا مناص في الصورة الثالثة عن الحكم بالفساد، و امّا الأولى فالأظهر فيها الصحة لعدم توجّه النهى عند الإيقاع و أمّا مع عدم الحكم بالاقتضاء الفساد ففي الثالثة إشكال من جهة أخرى و هي انّه هل يشترط في صحة العقد اعتقاد كون المتعلق مما يقبل التأثير أم لا كما لو باع التركة مع الشكّ في موت المورّث أو ما في الزق مع الشكّ في كونه خلًّا أو خمرا؟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لعموم الأمر بالوفاء بالعقد </w:t>
      </w:r>
      <w:r>
        <w:rPr>
          <w:rStyle w:val="FootnoteAnchor"/>
          <w:rtl w:val="true"/>
        </w:rPr>
        <w:footnoteReference w:id="66"/>
      </w:r>
      <w:r>
        <w:rPr>
          <w:rFonts w:ascii="Amiri" w:hAnsi="Amiri" w:eastAsia="Amiri" w:cs="Amiri"/>
          <w:color w:val="111111"/>
          <w:sz w:val="28"/>
          <w:sz w:val="28"/>
          <w:szCs w:val="28"/>
          <w:rtl w:val="true"/>
          <w:lang w:bidi="ar-SA"/>
        </w:rPr>
        <w:t>و ليس ذلك من التعليق في الإنشاء بل هو تنجيز بمعنى بعتكه على تقدير أنّه لي أو انّه خلّ لا إن كان خلًّا بعتكه، و حينئذ فلو تبيّن سبق الموت و كون المبيع خلًّا، حكم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فحيثما حكمنا فيما نحن فيه بعدم بطلان العقد و كونه موقوفا على حصول الكاشف فلو عصى فأولدها لم يقطع على كون الولد لغيّة و إن علم الواطى الحكم، لعدم العلم بالزنا و لا لرشدة لأنّ الشبهة كونه ظانّا للحلّ لا مجرّد كونه غير عالم بما هو الواقع و حينئذ فلا يبعد الإقراع بينهنّ </w:t>
      </w:r>
      <w:r>
        <w:rPr>
          <w:rStyle w:val="FootnoteAnchor"/>
          <w:rtl w:val="true"/>
        </w:rPr>
        <w:footnoteReference w:id="67"/>
      </w:r>
      <w:r>
        <w:rPr>
          <w:rFonts w:ascii="Amiri" w:hAnsi="Amiri" w:eastAsia="Amiri" w:cs="Amiri"/>
          <w:color w:val="111111"/>
          <w:sz w:val="28"/>
          <w:sz w:val="28"/>
          <w:szCs w:val="28"/>
          <w:rtl w:val="true"/>
          <w:lang w:bidi="ar-SA"/>
        </w:rPr>
        <w:t>فإن أخرجت القرعة كون الولد لرشدة جرت عليه أحكام النسب من الولاية و النفقة و التوارث و غيرها بل لا بعد في ثبوت المهر و النفقة لامّه أيضا و إن كنّا نمنعه من وطيها إذ لا يشترط في تحقّق الدخول بالزوجة العلم بكونها زوجة عنده و لا في وجوب النفقة إلّا انتفاء موانع التمكين من قبلها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68"/>
      </w:r>
      <w:r>
        <w:rPr>
          <w:rFonts w:ascii="Amiri" w:hAnsi="Amiri" w:eastAsia="Amiri" w:cs="Amiri"/>
          <w:color w:val="111111"/>
          <w:sz w:val="28"/>
          <w:sz w:val="28"/>
          <w:szCs w:val="28"/>
          <w:rtl w:val="true"/>
          <w:lang w:bidi="ar-SA"/>
        </w:rPr>
        <w:t>أرضعت زوجة له أو لأبيه من لبنه قبل القرعة، لم تحرم الراضعة استصحابا للحقوق و الحلّ مع الشكّ في قدح العارض، و هكذا الحكم في كلّ من شكّ في زوجيّتها إذا</w:t>
      </w:r>
    </w:p>
    <w:p>
      <w:pPr>
        <w:pStyle w:val="BookText"/>
        <w:rPr/>
      </w:pPr>
      <w:r>
        <w:rPr>
          <w:rFonts w:ascii="Amiri" w:hAnsi="Amiri" w:eastAsia="Amiri" w:cs="Amiri"/>
          <w:color w:val="111111"/>
          <w:sz w:val="28"/>
          <w:sz w:val="28"/>
          <w:szCs w:val="28"/>
          <w:rtl w:val="true"/>
          <w:lang w:bidi="ar-SA"/>
        </w:rPr>
        <w:t>أرضعت كما لو طلقت فاشتبهت و كذا لو أسلم عن أكثر من أربع فمات قبل الاختيار في وجه و نحو ذلك ثم الأقرب أنّه لا يقام على العاقد و الموطوئة حدّ المحرم و إن سوّينا فيه بين الرضاع و النسب و إن غلب المحرم، و كان المشتبه الأجنبيّة درأ للحد بالشبهة القائمة من الشكّ في المحرمية و احتمال الزوجيّة و احجاما عن التهجم على الدماء كما انّه لا شبهة في استحقاقه العقوبة في الجملة بالإقدام على المنكر، و لكن هل تبلغ حدّ الحدّ بناء على صيرورتهنّ في وجوب الاجتناب كالأجنبيّات، أم يعدّ مجرّد ذلك العقد شبهة دارئة؟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الثاني و لو قذفهما قاذف لم يكن عليه أكثر من التعزير لوجود الشبهة في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هل يجوز الإتيان هنا على العدد الذي ليس بمحصور كاستباحتهنّ متعة أو بملك يمين، نظرا إلى أنّ الاشتباه قد نفى الحظر أم لا بدّ من استثناء ما يبقى معه احتمال تجنّب المحذور؟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أشبههما الثاني </w:t>
      </w:r>
      <w:r>
        <w:rPr>
          <w:rStyle w:val="FootnoteAnchor"/>
          <w:rtl w:val="true"/>
        </w:rPr>
        <w:footnoteReference w:id="69"/>
      </w:r>
      <w:r>
        <w:rPr>
          <w:rFonts w:ascii="Amiri" w:hAnsi="Amiri" w:eastAsia="Amiri" w:cs="Amiri"/>
          <w:color w:val="111111"/>
          <w:sz w:val="28"/>
          <w:sz w:val="28"/>
          <w:szCs w:val="28"/>
          <w:rtl w:val="true"/>
          <w:lang w:bidi="ar-SA"/>
        </w:rPr>
        <w:t>و عليه فلو نكح منهنّ الى أن بقي عدد محصور فهل يمنع حينئذ الجميع أم يستصحب الجواز الى أن تبقى واحدة؟ وجهان أيضا أوجههما الثاني و 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مات منهنّ عدد بحيث بقي من في الحيوة محصورا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أنّه لا فرق في الملاقي للمشتبهين بين المحصور و غيره، فان جعلنا تحريم الأصول و الفروع بالسراية عمّا هما أصوله و فروعه حرمتا، و إن لم تكونا محصورتين و لا حرج </w:t>
      </w:r>
      <w:r>
        <w:rPr>
          <w:rStyle w:val="FootnoteAnchor"/>
          <w:rtl w:val="true"/>
        </w:rPr>
        <w:footnoteReference w:id="70"/>
      </w:r>
      <w:r>
        <w:rPr>
          <w:rFonts w:ascii="Amiri" w:hAnsi="Amiri" w:eastAsia="Amiri" w:cs="Amiri"/>
          <w:color w:val="111111"/>
          <w:sz w:val="28"/>
          <w:sz w:val="28"/>
          <w:szCs w:val="28"/>
          <w:rtl w:val="true"/>
          <w:lang w:bidi="ar-SA"/>
        </w:rPr>
        <w:t>، إذ لا يمتنع أن يكون لكل من زيد و أبيه و جدّيه الف بنت بلا عسر في اجتناب زيد لجميعهنّ قطعا غير أن الأظهر كون التحريم لوقوع الاشتباه في الأصول و الفروع أنفسهما، و لو نقصا عما هما أصوله و فروعه كما لو اشتبهت الأخت في عشر و لخمس منهنّ</w:t>
      </w:r>
    </w:p>
    <w:p>
      <w:pPr>
        <w:pStyle w:val="BookText"/>
        <w:rPr/>
      </w:pPr>
      <w:r>
        <w:rPr>
          <w:rFonts w:ascii="Amiri" w:hAnsi="Amiri" w:eastAsia="Amiri" w:cs="Amiri"/>
          <w:color w:val="111111"/>
          <w:sz w:val="28"/>
          <w:sz w:val="28"/>
          <w:szCs w:val="28"/>
          <w:rtl w:val="true"/>
          <w:lang w:bidi="ar-SA"/>
        </w:rPr>
        <w:t xml:space="preserve">خمس بنات فحسب كفى في الاشتباه احتمال كون كل من الخمس أبنت أخت و إن لم يقطع على دخول المحرم فيهنّ بالفعل نظير ما لو مات سبع من العشر مثلا و في تجويز النكاح في الخمس الى ان يوجد الخمس الأخر </w:t>
      </w:r>
      <w:r>
        <w:rPr>
          <w:rStyle w:val="FootnoteAnchor"/>
          <w:rtl w:val="true"/>
        </w:rPr>
        <w:footnoteReference w:id="71"/>
      </w:r>
      <w:r>
        <w:rPr>
          <w:rFonts w:ascii="Amiri" w:hAnsi="Amiri" w:eastAsia="Amiri" w:cs="Amiri"/>
          <w:color w:val="111111"/>
          <w:sz w:val="28"/>
          <w:sz w:val="28"/>
          <w:szCs w:val="28"/>
          <w:rtl w:val="true"/>
          <w:lang w:bidi="ar-SA"/>
        </w:rPr>
        <w:t>فينفسخن و يحرم نكاحهنّ ما لا يخفى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في التحريم فلو بلغ الأصول و الفروع عددا كثيرا فان كان بسبب تعدّد البطون مثل ان تشتبه الأخت في عشر و يلد العشر عشرين و العشرون ثلثين و هكذا فالظاهر تحريم الجميع و ان كانت الكثرة في طبقة واحدة كان يشبه أخوه أو أبوه في عشرين و يلد العشرون ألفين فالظاهر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التشبيه في المظاهرة بمحرم الرضاع ذو مشاجرة</w:t>
      </w:r>
    </w:p>
    <w:p>
      <w:pPr>
        <w:pStyle w:val="BookText"/>
        <w:rPr/>
      </w:pPr>
      <w:r>
        <w:rPr>
          <w:rFonts w:ascii="Amiri" w:hAnsi="Amiri" w:eastAsia="Amiri" w:cs="Amiri"/>
          <w:color w:val="111111"/>
          <w:sz w:val="28"/>
          <w:sz w:val="28"/>
          <w:szCs w:val="28"/>
          <w:rtl w:val="true"/>
          <w:lang w:bidi="ar-SA"/>
        </w:rPr>
        <w:t>لا خلاف في وقوع الظهار مع التشبيه بالأمّ النسبيّة كما أنّه لا خلاف في عدم وقوعه مع التشبيه بمن لا يحرم مؤبّدا من رضاع أو نسب كأخت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اختلفوا في ما عدا ذلك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الانعقاد في غير الأمّ النسبيّة و هو لابن إدريس </w:t>
      </w:r>
      <w:r>
        <w:rPr>
          <w:rStyle w:val="FootnoteAnchor"/>
          <w:rtl w:val="true"/>
        </w:rPr>
        <w:footnoteReference w:id="72"/>
      </w:r>
      <w:r>
        <w:rPr>
          <w:rFonts w:ascii="IRNazanin" w:hAnsi="IRNazanin" w:eastAsia="IRNazanin"/>
          <w:color w:val="111111"/>
          <w:sz w:val="28"/>
          <w:sz w:val="28"/>
          <w:szCs w:val="28"/>
          <w:rtl w:val="true"/>
          <w:lang w:bidi="fa-IR"/>
        </w:rPr>
        <w:t xml:space="preserve">و المحقق </w:t>
      </w:r>
      <w:r>
        <w:rPr>
          <w:rStyle w:val="FootnoteAnchor"/>
          <w:rtl w:val="true"/>
        </w:rPr>
        <w:footnoteReference w:id="73"/>
      </w:r>
      <w:r>
        <w:rPr>
          <w:rFonts w:ascii="Amiri" w:hAnsi="Amiri" w:eastAsia="Amiri" w:cs="Amiri"/>
          <w:color w:val="111111"/>
          <w:sz w:val="28"/>
          <w:sz w:val="28"/>
          <w:szCs w:val="28"/>
          <w:rtl w:val="true"/>
          <w:lang w:bidi="ar-SA"/>
        </w:rPr>
        <w:t>و قوّاه في الإيضاح</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انعقاده في الرّضاعية أيضا نقله في الكفاية</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انعقاده بكلّ محرم نسبيّ فقط اختاره ابن البرّاج</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في كل محرّم برضاع أو نسب و هو للشيخين </w:t>
      </w:r>
      <w:r>
        <w:rPr>
          <w:rStyle w:val="FootnoteAnchor"/>
          <w:rtl w:val="true"/>
        </w:rPr>
        <w:footnoteReference w:id="77"/>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78"/>
      </w:r>
      <w:r>
        <w:rPr>
          <w:rFonts w:ascii="Amiri" w:hAnsi="Amiri" w:eastAsia="Amiri" w:cs="Amiri"/>
          <w:color w:val="111111"/>
          <w:sz w:val="28"/>
          <w:sz w:val="28"/>
          <w:szCs w:val="28"/>
          <w:rtl w:val="true"/>
          <w:lang w:bidi="ar-SA"/>
        </w:rPr>
        <w:t xml:space="preserve">و ابن حمزة </w:t>
      </w:r>
      <w:r>
        <w:rPr>
          <w:rStyle w:val="FootnoteAnchor"/>
          <w:rtl w:val="true"/>
        </w:rPr>
        <w:footnoteReference w:id="79"/>
      </w:r>
      <w:r>
        <w:rPr>
          <w:rFonts w:ascii="Amiri" w:hAnsi="Amiri" w:eastAsia="Amiri" w:cs="Amiri"/>
          <w:color w:val="111111"/>
          <w:sz w:val="28"/>
          <w:sz w:val="28"/>
          <w:szCs w:val="28"/>
          <w:rtl w:val="true"/>
          <w:lang w:bidi="ar-SA"/>
        </w:rPr>
        <w:t xml:space="preserve">و اختاره في القواعد </w:t>
      </w:r>
      <w:r>
        <w:rPr>
          <w:rStyle w:val="FootnoteAnchor"/>
          <w:rtl w:val="true"/>
        </w:rPr>
        <w:footnoteReference w:id="80"/>
      </w:r>
      <w:r>
        <w:rPr>
          <w:rFonts w:ascii="Amiri" w:hAnsi="Amiri" w:eastAsia="Amiri" w:cs="Amiri"/>
          <w:color w:val="111111"/>
          <w:sz w:val="28"/>
          <w:sz w:val="28"/>
          <w:szCs w:val="28"/>
          <w:rtl w:val="true"/>
          <w:lang w:bidi="ar-SA"/>
        </w:rPr>
        <w:t xml:space="preserve">و عليه الشهرة في الروضة </w:t>
      </w:r>
      <w:r>
        <w:rPr>
          <w:rStyle w:val="FootnoteAnchor"/>
          <w:rtl w:val="true"/>
        </w:rPr>
        <w:footnoteReference w:id="81"/>
      </w:r>
      <w:r>
        <w:rPr>
          <w:rFonts w:ascii="Amiri" w:hAnsi="Amiri" w:eastAsia="Amiri" w:cs="Amiri"/>
          <w:color w:val="111111"/>
          <w:sz w:val="28"/>
          <w:sz w:val="28"/>
          <w:szCs w:val="28"/>
          <w:rtl w:val="true"/>
          <w:lang w:bidi="ar-SA"/>
        </w:rPr>
        <w:t xml:space="preserve">و الكفاية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فيما ذكر و في المصاهرة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احتجوا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سيف التمار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أنت علىّ كظهر أختي </w:t>
      </w:r>
      <w:r>
        <w:rPr>
          <w:rStyle w:val="FootnoteAnchor"/>
          <w:rtl w:val="true"/>
        </w:rPr>
        <w:footnoteReference w:id="84"/>
      </w:r>
      <w:r>
        <w:rPr>
          <w:rFonts w:ascii="Amiri" w:hAnsi="Amiri" w:eastAsia="Amiri" w:cs="Amiri"/>
          <w:color w:val="111111"/>
          <w:sz w:val="28"/>
          <w:sz w:val="28"/>
          <w:szCs w:val="28"/>
          <w:rtl w:val="true"/>
          <w:lang w:bidi="ar-SA"/>
        </w:rPr>
        <w:t>أو عمتي أو خالتي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ذكر اللّه الأمّهات و انّ هذا الحرام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أجاب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يدلّ على عدم الوقوع بإحدى الدلالات </w:t>
      </w:r>
      <w:r>
        <w:rPr>
          <w:rStyle w:val="FootnoteAnchor"/>
          <w:rtl w:val="true"/>
        </w:rPr>
        <w:footnoteReference w:id="86"/>
      </w:r>
      <w:r>
        <w:rPr>
          <w:rFonts w:ascii="Amiri" w:hAnsi="Amiri" w:eastAsia="Amiri" w:cs="Amiri"/>
          <w:color w:val="111111"/>
          <w:sz w:val="28"/>
          <w:sz w:val="28"/>
          <w:szCs w:val="28"/>
          <w:rtl w:val="true"/>
          <w:lang w:bidi="ar-SA"/>
        </w:rPr>
        <w:t xml:space="preserve">و ردّه ولده بأنّه لو لم يدلّ لزم تأخير البيان عن وقت الحاجة أو السؤال </w:t>
      </w:r>
      <w:r>
        <w:rPr>
          <w:rStyle w:val="FootnoteAnchor"/>
          <w:rtl w:val="true"/>
        </w:rPr>
        <w:footnoteReference w:id="87"/>
      </w:r>
      <w:r>
        <w:rPr>
          <w:rFonts w:ascii="Amiri" w:hAnsi="Amiri" w:eastAsia="Amiri" w:cs="Amiri"/>
          <w:color w:val="111111"/>
          <w:sz w:val="28"/>
          <w:sz w:val="28"/>
          <w:szCs w:val="28"/>
          <w:rtl w:val="true"/>
          <w:lang w:bidi="ar-SA"/>
        </w:rPr>
        <w:t>و الحق انّ سؤال الراوي إن كان عن حلية هذا الظهار و عدمها لما راى من تحريم ما عداه المدلول عليه بقوله عزّ اسمه وَ إِنَّهُمْ لَيَقُولُونَ مُنْكَراً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فهم العلّامة بقرينة ظاهر الجواب إذ لم يجب عليه السّلام بأنّه محرّم، فلا تأخير بيان البتة،</w:t>
      </w:r>
    </w:p>
    <w:p>
      <w:pPr>
        <w:pStyle w:val="BookText"/>
        <w:rPr/>
      </w:pPr>
      <w:r>
        <w:rPr>
          <w:rFonts w:ascii="Amiri" w:hAnsi="Amiri" w:eastAsia="Amiri" w:cs="Amiri"/>
          <w:color w:val="111111"/>
          <w:sz w:val="28"/>
          <w:sz w:val="28"/>
          <w:szCs w:val="28"/>
          <w:rtl w:val="true"/>
          <w:lang w:bidi="ar-SA"/>
        </w:rPr>
        <w:t>و إن كان عن وقوع الظّهار و عدمه كما فهم الفخر، التفاتا إلى ما هو الأغلب في العادة فلا بدّ من جعل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هذا 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مستقلا، و ما قبله دالّا على عدم الوقوع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انّ التحريم بالظهار سببه التشبيه بالنسب لا نفس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بأخذ من فيه تعليلية نظير مِمّٰا خَطِيئٰاتِهِمْ أُغْرِقُوا </w:t>
      </w:r>
      <w:r>
        <w:rPr>
          <w:rStyle w:val="FootnoteAnchor"/>
          <w:rtl w:val="true"/>
        </w:rPr>
        <w:footnoteReference w:id="89"/>
      </w:r>
      <w:r>
        <w:rPr>
          <w:rFonts w:ascii="Amiri" w:hAnsi="Amiri" w:eastAsia="Amiri" w:cs="Amiri"/>
          <w:color w:val="111111"/>
          <w:sz w:val="28"/>
          <w:sz w:val="28"/>
          <w:szCs w:val="28"/>
          <w:rtl w:val="true"/>
          <w:lang w:bidi="ar-SA"/>
        </w:rPr>
        <w:t xml:space="preserve">، اى بحرم بسبب الرضاع ما يحرم بسبب النسب، و التحريم في الظهار </w:t>
      </w:r>
      <w:r>
        <w:rPr>
          <w:rStyle w:val="FootnoteAnchor"/>
          <w:rtl w:val="true"/>
        </w:rPr>
        <w:footnoteReference w:id="90"/>
      </w:r>
      <w:r>
        <w:rPr>
          <w:rFonts w:ascii="Amiri" w:hAnsi="Amiri" w:eastAsia="Amiri" w:cs="Amiri"/>
          <w:color w:val="111111"/>
          <w:sz w:val="28"/>
          <w:sz w:val="28"/>
          <w:szCs w:val="28"/>
          <w:rtl w:val="true"/>
          <w:lang w:bidi="ar-SA"/>
        </w:rPr>
        <w:t>بسبب النسب ثابت في الجملة إجماعا غير أنّ ذلك معنى مجازي لا يصار اليه الّا عن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التعميم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فصحيحة جميل بن درّاج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 أنت علىّ كظهر عمّتي أو خالتي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بضميمة الإجماع على عدم الفرق في النسبيّات 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Style w:val="FootnoteAnchor"/>
          <w:rtl w:val="true"/>
        </w:rPr>
        <w:footnoteReference w:id="92"/>
      </w:r>
      <w:r>
        <w:rPr>
          <w:rFonts w:ascii="Amiri" w:hAnsi="Amiri" w:eastAsia="Amiri" w:cs="Amiri"/>
          <w:color w:val="111111"/>
          <w:sz w:val="28"/>
          <w:sz w:val="28"/>
          <w:szCs w:val="28"/>
          <w:rtl w:val="true"/>
          <w:lang w:bidi="ar-SA"/>
        </w:rPr>
        <w:t>على نفى ما عداه من المحارم فكون الرّضاع و المصاهرة طارئان متجددان، إذ كانت الاستباحة بالعقد ممكنة سابقا فالتشبيه بهما أعم من التشبيه بالحالة الحاضرة أو السابقة عليها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التعليق له بصحيح سيف السابق </w:t>
      </w:r>
      <w:r>
        <w:rPr>
          <w:rStyle w:val="FootnoteAnchor"/>
          <w:rtl w:val="true"/>
        </w:rPr>
        <w:footnoteReference w:id="93"/>
      </w:r>
      <w:r>
        <w:rPr>
          <w:rFonts w:ascii="Amiri" w:hAnsi="Amiri" w:eastAsia="Amiri" w:cs="Amiri"/>
          <w:color w:val="111111"/>
          <w:sz w:val="28"/>
          <w:sz w:val="28"/>
          <w:szCs w:val="28"/>
          <w:rtl w:val="true"/>
          <w:lang w:bidi="ar-SA"/>
        </w:rPr>
        <w:t>أيضا بادّعاء الملازمة بين تحريم الظهار نفسه و بين وقوعه نظرا الى كونه عند عدم التأثير لغوا فيكون كظهار الأجنبية و فيه منع عدم التحريم و لو كان لغوا بشاهد تحريم طلاق الحائض و النفساء مع كونه لغوا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أخر و هو أن يكون هذا في الصّحيح إشارة إلى القسم الذي يحرم بالتشبيه بما ذكره الراوي من المحارم بعد أن يفرض كون السؤال عن الوقوع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المتقدّم و قد عرفت ما فيه، و خصوص 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 ذي محرم أمّا أو اختار أو عمّة أو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و اعترض بانّ المنساق </w:t>
      </w:r>
      <w:r>
        <w:rPr>
          <w:rStyle w:val="FootnoteAnchor"/>
          <w:rtl w:val="true"/>
        </w:rPr>
        <w:footnoteReference w:id="95"/>
      </w:r>
      <w:r>
        <w:rPr>
          <w:rFonts w:ascii="Amiri" w:hAnsi="Amiri" w:eastAsia="Amiri" w:cs="Amiri"/>
          <w:color w:val="111111"/>
          <w:sz w:val="28"/>
          <w:sz w:val="28"/>
          <w:szCs w:val="28"/>
          <w:rtl w:val="true"/>
          <w:lang w:bidi="ar-SA"/>
        </w:rPr>
        <w:t>من المحرم إنّما هو الفرد الشائع أعنى النسبي، و يؤيّده التفسير بالأم و الأخت و العمة و الخالة مع كونها حقيقة فيه مجازا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الذي يحمل على الإفراد الشائعة انّما هو المطلق و أمّا التفسير فان قلنا بكون العام مجازا في الباقي لم يتعيّن التخصيص هنا إذ لا بدّ من كون القرينة صارفة فلا يكفى كونها صالحة لذلك، و أمّا إذا لم نقل بالمجازية أمكن أن يقال بترجيح كونه مخصّصا لأن التأسيس خير من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التأسيس ممكن من وجه أخر أيضا و هو حمل الامّ و من </w:t>
      </w:r>
      <w:r>
        <w:rPr>
          <w:rStyle w:val="FootnoteAnchor"/>
          <w:rtl w:val="true"/>
        </w:rPr>
        <w:footnoteReference w:id="96"/>
      </w:r>
      <w:r>
        <w:rPr>
          <w:rFonts w:ascii="Amiri" w:hAnsi="Amiri" w:eastAsia="Amiri" w:cs="Amiri"/>
          <w:color w:val="111111"/>
          <w:sz w:val="28"/>
          <w:sz w:val="28"/>
          <w:szCs w:val="28"/>
          <w:rtl w:val="true"/>
          <w:lang w:bidi="ar-SA"/>
        </w:rPr>
        <w:t xml:space="preserve">بعدها على ما يشتمل الرّضاعية من باب عموم المجاز ليتطابق </w:t>
      </w:r>
      <w:r>
        <w:rPr>
          <w:rStyle w:val="FootnoteAnchor"/>
          <w:rtl w:val="true"/>
        </w:rPr>
        <w:footnoteReference w:id="97"/>
      </w:r>
      <w:r>
        <w:rPr>
          <w:rFonts w:ascii="Amiri" w:hAnsi="Amiri" w:eastAsia="Amiri" w:cs="Amiri"/>
          <w:color w:val="111111"/>
          <w:sz w:val="28"/>
          <w:sz w:val="28"/>
          <w:szCs w:val="28"/>
          <w:rtl w:val="true"/>
          <w:lang w:bidi="ar-SA"/>
        </w:rPr>
        <w:t>المفسر و المفسر و تلك قرينة المجاز فيدور الأمر حينئذ بين كون التخصيص أرجح أو المجاز،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لما ذكرت إلّا تقوية العموم السّابق و التنصيص على عدم التخصيص منه و هو معنى التوكيد، و لو كان كلّ ما يراد منه معنى تأسيسا لزم أن لا يعدّ في التوكيد إلّا اللّغو </w:t>
      </w:r>
      <w:r>
        <w:rPr>
          <w:rStyle w:val="FootnoteAnchor"/>
          <w:rtl w:val="true"/>
        </w:rPr>
        <w:footnoteReference w:id="98"/>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الحقّ أنّ التخصيص لا معنى له أعمّ من ان يقال بكون العامّ حقيقة في الباقي أو</w:t>
      </w:r>
    </w:p>
    <w:p>
      <w:pPr>
        <w:pStyle w:val="BookText"/>
        <w:rPr/>
      </w:pPr>
      <w:r>
        <w:rPr>
          <w:rFonts w:ascii="Amiri" w:hAnsi="Amiri" w:eastAsia="Amiri" w:cs="Amiri"/>
          <w:color w:val="111111"/>
          <w:sz w:val="28"/>
          <w:sz w:val="28"/>
          <w:szCs w:val="28"/>
          <w:rtl w:val="true"/>
          <w:lang w:bidi="ar-SA"/>
        </w:rPr>
        <w:t>مجازا إذ ليس المحرم النسبي منحصرا في الأربعة المذكورة، و لا قائل بقصر الحكم عليهنّ و انّما ذكرت على سبيل المثال، نعم يبقى المطالبة حينئذ بدليل التخصيص بالمحرم النسبي و الرّضاعي دون محرم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الرّابع و قد علمت أنّ الصحيح له انهض، و أمّا العموم فلا يتمّ له إلّا بعد ملاحظة أنّ التحريم تحريم من النسب أيضا، لأنّ أمّ الزوجة إنّما تحرم لكونها امّا لها من النسب، نظير اندراج تحريم زوجة كلّ من الفحل و الطّفل على الأخر بذلك العموم نفسه </w:t>
      </w:r>
      <w:r>
        <w:rPr>
          <w:rStyle w:val="FootnoteAnchor"/>
          <w:rtl w:val="true"/>
        </w:rPr>
        <w:footnoteReference w:id="99"/>
      </w:r>
      <w:r>
        <w:rPr>
          <w:rFonts w:ascii="Amiri" w:hAnsi="Amiri" w:eastAsia="Amiri" w:cs="Amiri"/>
          <w:color w:val="111111"/>
          <w:sz w:val="28"/>
          <w:sz w:val="28"/>
          <w:szCs w:val="28"/>
          <w:rtl w:val="true"/>
          <w:lang w:bidi="ar-SA"/>
        </w:rPr>
        <w:t>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تبيّن من ذلك انّ التشبيه بالمحارم النسبيّة ممّا ينبغي القطع على وقوع الظهار به لنهوض الصحيحين </w:t>
      </w:r>
      <w:r>
        <w:rPr>
          <w:rStyle w:val="FootnoteAnchor"/>
          <w:rtl w:val="true"/>
        </w:rPr>
        <w:footnoteReference w:id="100"/>
      </w:r>
      <w:r>
        <w:rPr>
          <w:rFonts w:ascii="IRNazanin" w:hAnsi="IRNazanin" w:eastAsia="IRNazanin"/>
          <w:color w:val="111111"/>
          <w:sz w:val="28"/>
          <w:sz w:val="28"/>
          <w:szCs w:val="28"/>
          <w:rtl w:val="true"/>
          <w:lang w:bidi="fa-IR"/>
        </w:rPr>
        <w:t xml:space="preserve">بل الثلاث </w:t>
      </w:r>
      <w:r>
        <w:rPr>
          <w:rStyle w:val="FootnoteAnchor"/>
          <w:rtl w:val="true"/>
        </w:rPr>
        <w:footnoteReference w:id="101"/>
      </w:r>
      <w:r>
        <w:rPr>
          <w:rFonts w:ascii="Amiri" w:hAnsi="Amiri" w:eastAsia="Amiri" w:cs="Amiri"/>
          <w:color w:val="111111"/>
          <w:sz w:val="28"/>
          <w:sz w:val="28"/>
          <w:szCs w:val="28"/>
          <w:rtl w:val="true"/>
          <w:lang w:bidi="ar-SA"/>
        </w:rPr>
        <w:t>له و اعتضادها بالشّهرة و امّا من عداهنّ فالرجحان لدليل الخامس غير انّ الشهرة مع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كلّ من الشروط محقّق للشك في المشروط</w:t>
      </w:r>
    </w:p>
    <w:p>
      <w:pPr>
        <w:pStyle w:val="BookText"/>
        <w:rPr/>
      </w:pPr>
      <w:r>
        <w:rPr>
          <w:rFonts w:ascii="Amiri" w:hAnsi="Amiri" w:eastAsia="Amiri" w:cs="Amiri"/>
          <w:color w:val="111111"/>
          <w:sz w:val="28"/>
          <w:sz w:val="28"/>
          <w:szCs w:val="28"/>
          <w:rtl w:val="true"/>
          <w:lang w:bidi="ar-SA"/>
        </w:rPr>
        <w:t>الشك امّا أن يقع في شرطية فينفى الى أن ينهض الدّليل على الثبوت كما تنفى السببيّة و المانعيّة لأنّ الأصل في كلّ شي‌ء عدمه حتى يثبت و امّا في وجود ذلك الشرط و حصوله بعد ثبوت كونه شرطا و هو المقصود بالبحث هنا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الشرط مما يلزم من عدمه عدم المشروط و إلّا فليس بشرط، كان الشك في وجوده محقّقا للشك في وجود مشروطه، فلو شككنا في اتحاد الفحل أو في الأنوثة، كما لو ارتضع من الخنثى المشكل، أو في صحّة النكاح المستند </w:t>
      </w:r>
      <w:r>
        <w:rPr>
          <w:rStyle w:val="FootnoteAnchor"/>
          <w:rtl w:val="true"/>
        </w:rPr>
        <w:footnoteReference w:id="102"/>
      </w:r>
      <w:r>
        <w:rPr>
          <w:rFonts w:ascii="Amiri" w:hAnsi="Amiri" w:eastAsia="Amiri" w:cs="Amiri"/>
          <w:color w:val="111111"/>
          <w:sz w:val="28"/>
          <w:sz w:val="28"/>
          <w:szCs w:val="28"/>
          <w:rtl w:val="true"/>
          <w:lang w:bidi="ar-SA"/>
        </w:rPr>
        <w:t>إليه الرضاع، أو في بلوغ</w:t>
      </w:r>
    </w:p>
    <w:p>
      <w:pPr>
        <w:pStyle w:val="BookText"/>
        <w:rPr/>
      </w:pPr>
      <w:r>
        <w:rPr>
          <w:rFonts w:ascii="Amiri" w:hAnsi="Amiri" w:eastAsia="Amiri" w:cs="Amiri"/>
          <w:color w:val="111111"/>
          <w:sz w:val="28"/>
          <w:sz w:val="28"/>
          <w:szCs w:val="28"/>
          <w:rtl w:val="true"/>
          <w:lang w:bidi="ar-SA"/>
        </w:rPr>
        <w:t>النصاب، كأن يشك في تمام العدد أو كمال رضعة أو رضعات من النصاب، أو كمال الفاصلة أو اتحاد المرضعة، فقد وقع التعارض بين استصحاب حال الحلّ و استصحاب حال الحرمة، فإنّ السابق على الرضاع إمكان استباحتها بالعقد، و على العقد المنع من وطيها، فينتفى الأمران بانتفاء سببهما بعد التساقط، و تثبت الإباحة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ارتفاع النقيضين، و هذا يرجع بالآخرة إلى نفى المشروط بالشك في الشرط، لأنّ بقاء الحلّ مشروط باختلاف الفحل و الذكورة، و القصور عن النصاب و حصول التحريم مشروط بضدّ ذلك كلّه، فيتقابل الشك في شرطي الحلّ و الحرمة، ثم يسرى ذلك الى الشك في مشروطيهما، و نعني بالحلّ المستصحب ما جاء به عموم الكتاب و السنّة من الاذن مثل فَانْكِحُوا مٰا طٰابَ لَكُمْ </w:t>
      </w:r>
      <w:r>
        <w:rPr>
          <w:rStyle w:val="FootnoteAnchor"/>
          <w:rtl w:val="true"/>
        </w:rPr>
        <w:footnoteReference w:id="103"/>
      </w:r>
      <w:r>
        <w:rPr>
          <w:rFonts w:ascii="Amiri" w:hAnsi="Amiri" w:eastAsia="Amiri" w:cs="Amiri"/>
          <w:color w:val="111111"/>
          <w:sz w:val="28"/>
          <w:sz w:val="28"/>
          <w:szCs w:val="28"/>
          <w:rtl w:val="true"/>
          <w:lang w:bidi="ar-SA"/>
        </w:rPr>
        <w:t xml:space="preserve">، وَ أَنْكِحُوا الْأَيٰامىٰ مِنْكُمْ </w:t>
      </w:r>
      <w:r>
        <w:rPr>
          <w:rStyle w:val="FootnoteAnchor"/>
          <w:rtl w:val="true"/>
        </w:rPr>
        <w:footnoteReference w:id="104"/>
      </w:r>
      <w:r>
        <w:rPr>
          <w:rFonts w:ascii="Amiri" w:hAnsi="Amiri" w:eastAsia="Amiri" w:cs="Amiri"/>
          <w:color w:val="111111"/>
          <w:sz w:val="28"/>
          <w:sz w:val="28"/>
          <w:szCs w:val="28"/>
          <w:rtl w:val="true"/>
          <w:lang w:bidi="ar-SA"/>
        </w:rPr>
        <w:t xml:space="preserve">و نظائرهما، فيعتضد بأصل الإباحة، لأنّها الأصل في المنافع و بأصل البراءة، لأنّ التحريم حكم شرعي فلا بدّ في الشغل من الدليل، و ان شئت أضفت إليهما، استصحاب حال الإجماع، لثبوت الحلّ قبل الرضاع فيستصحب الى موضع النزاع، مضافا إلى ذلك كله، ما حكى المحقق الثاني من عدم الخلاف في أنّ لبن الخنثى لا ينشر </w:t>
      </w:r>
      <w:r>
        <w:rPr>
          <w:rStyle w:val="FootnoteAnchor"/>
          <w:rtl w:val="true"/>
        </w:rPr>
        <w:footnoteReference w:id="105"/>
      </w:r>
      <w:r>
        <w:rPr>
          <w:rFonts w:ascii="Amiri" w:hAnsi="Amiri" w:eastAsia="Amiri" w:cs="Amiri"/>
          <w:color w:val="111111"/>
          <w:sz w:val="28"/>
          <w:sz w:val="28"/>
          <w:szCs w:val="28"/>
          <w:rtl w:val="true"/>
          <w:lang w:bidi="ar-SA"/>
        </w:rPr>
        <w:t xml:space="preserve">و لو شككنا في وقوع الرضاع في الحولين زاد عمّا ذكر استصحاب </w:t>
      </w:r>
      <w:r>
        <w:rPr>
          <w:rStyle w:val="FootnoteAnchor"/>
          <w:rtl w:val="true"/>
        </w:rPr>
        <w:footnoteReference w:id="106"/>
      </w:r>
      <w:r>
        <w:rPr>
          <w:rFonts w:ascii="Amiri" w:hAnsi="Amiri" w:eastAsia="Amiri" w:cs="Amiri"/>
          <w:color w:val="111111"/>
          <w:sz w:val="28"/>
          <w:sz w:val="28"/>
          <w:szCs w:val="28"/>
          <w:rtl w:val="true"/>
          <w:lang w:bidi="ar-SA"/>
        </w:rPr>
        <w:t>بقاء المدّة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فيسقط بإحدى الثلاثة العاضدة، و يبقى اثنان، مع أنّ المدّة معلوم تاريخها فيحكم بكون المجهول هو المتأخر، لأنّ تقدّمه يقتضي تحقّقه في أزمنة تزيد على أزمنة تأخره، و الأصل عدم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الشك في مجموع النصاب، و أنّه هل وقع في الحولين أم لا؟ فواضح، و ان كان الشك في خروج بعضه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على تأخر ذلك البعض بأصالة تأخر الحادث، لأنّ البعض هو المجهول تاريخه، و قد ترجّح الإباحة في الجميع بقوله تعالى وَ أُحِلَّ لَكُمْ مٰا وَرٰاءَ ذٰلِكُمْ </w:t>
      </w:r>
      <w:r>
        <w:rPr>
          <w:rStyle w:val="FootnoteAnchor"/>
          <w:rtl w:val="true"/>
        </w:rPr>
        <w:footnoteReference w:id="107"/>
      </w:r>
      <w:r>
        <w:rPr>
          <w:rFonts w:ascii="Amiri" w:hAnsi="Amiri" w:eastAsia="Amiri" w:cs="Amiri"/>
          <w:color w:val="111111"/>
          <w:sz w:val="28"/>
          <w:sz w:val="28"/>
          <w:szCs w:val="28"/>
          <w:rtl w:val="true"/>
          <w:lang w:bidi="ar-SA"/>
        </w:rPr>
        <w:t xml:space="preserve">بعد قوله سبحانه وَ أُمَّهٰاتُكُمُ اللّٰاتِي أَرْضَعْنَكُمْ </w:t>
      </w:r>
      <w:r>
        <w:rPr>
          <w:rStyle w:val="FootnoteAnchor"/>
          <w:rtl w:val="true"/>
        </w:rPr>
        <w:footnoteReference w:id="108"/>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الجامع لشرائط التحريم و منها كونه في الحولين، و بعد تقابل الأصلين، لا يحكم بالاستجماع، و قد يرجح التحريم بانّ الناقل يقدّم </w:t>
      </w:r>
      <w:r>
        <w:rPr>
          <w:rStyle w:val="FootnoteAnchor"/>
          <w:rtl w:val="true"/>
        </w:rPr>
        <w:footnoteReference w:id="109"/>
      </w:r>
      <w:r>
        <w:rPr>
          <w:rFonts w:ascii="Amiri" w:hAnsi="Amiri" w:eastAsia="Amiri" w:cs="Amiri"/>
          <w:color w:val="111111"/>
          <w:sz w:val="28"/>
          <w:sz w:val="28"/>
          <w:szCs w:val="28"/>
          <w:rtl w:val="true"/>
          <w:lang w:bidi="ar-SA"/>
        </w:rPr>
        <w:t>على المقرر، إذا تعارضا، لأنّ التأسيس خير، و بأنّه إذا اجتمع الحرام و الحلال غلب الحرام و بأنّ فيه دفعا للضّرر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الأوّل فبأنّ الناقل إنّما يرجّح في النصوص، لأنّ الحكم المقرّر معلوم بالعقل، بخلاف الناقل، و في الكلام لما فيه من الزيادة على التوكيد، كما يحمل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 محصّل الأمر في المقامين أنّ بيان ما يجهله المخاطب اولى بالحكمة و ذلك في الأصلين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التغليب لما ثبت تحريمه شرعا مثل المحظور المشتبه في محصور، و دعوى ثبوت التحريم فيما نحن فيه مع وجود المعارض، مصادرة على المطلوب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الضرر إنما يكون في جانب الحرمة مظنونا، لو لم يوجد المعارض، أمّا معه فموهوم أو مشكوك، و في الموثق، عن أبي يحيى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و أبنت أخي في حجري و أردت أن أزوّجها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أرضعناهما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فارادني على أن أوقت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كلّما ينشر حظرا سابقا ينشره بلا خلاف لا حقا</w:t>
      </w:r>
    </w:p>
    <w:p>
      <w:pPr>
        <w:pStyle w:val="BookText"/>
        <w:rPr/>
      </w:pPr>
      <w:r>
        <w:rPr>
          <w:rFonts w:ascii="Amiri" w:hAnsi="Amiri" w:eastAsia="Amiri" w:cs="Amiri"/>
          <w:color w:val="111111"/>
          <w:sz w:val="28"/>
          <w:sz w:val="28"/>
          <w:szCs w:val="28"/>
          <w:rtl w:val="true"/>
          <w:lang w:bidi="ar-SA"/>
        </w:rPr>
        <w:t xml:space="preserve">ما يمنع الناكح، إمّا ان يمنع سابقا على العقد فقط كإيقاب أخ المرأة أو ابنها أو أبيها، و امّا ان يمنع لا حقا فقط، كقذف الخرساء و الصمّاء، و كالإفضاء قبل التسع على رأى، و امّا ان يمنع سابقا و لا حقا كالكفر، فيمنع الكافر من المسلمة ابتداء، و لو ارتدّ المسلم، فان كان قبل الدخول أو عن فطرة </w:t>
      </w:r>
      <w:r>
        <w:rPr>
          <w:rStyle w:val="FootnoteAnchor"/>
          <w:rtl w:val="true"/>
        </w:rPr>
        <w:footnoteReference w:id="111"/>
      </w:r>
      <w:r>
        <w:rPr>
          <w:rFonts w:ascii="Amiri" w:hAnsi="Amiri" w:eastAsia="Amiri" w:cs="Amiri"/>
          <w:color w:val="111111"/>
          <w:sz w:val="28"/>
          <w:sz w:val="28"/>
          <w:szCs w:val="28"/>
          <w:rtl w:val="true"/>
          <w:lang w:bidi="ar-SA"/>
        </w:rPr>
        <w:t>بطل النكاح حالًّا و إلّا وقف على انقضاء العدّة، و الرضاع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حكى المحقق الثاني </w:t>
      </w:r>
      <w:r>
        <w:rPr>
          <w:rStyle w:val="FootnoteAnchor"/>
          <w:rtl w:val="true"/>
        </w:rPr>
        <w:footnoteReference w:id="112"/>
      </w:r>
      <w:r>
        <w:rPr>
          <w:rFonts w:ascii="Amiri" w:hAnsi="Amiri" w:eastAsia="Amiri" w:cs="Amiri"/>
          <w:color w:val="111111"/>
          <w:sz w:val="28"/>
          <w:sz w:val="28"/>
          <w:szCs w:val="28"/>
          <w:rtl w:val="true"/>
          <w:lang w:bidi="ar-SA"/>
        </w:rPr>
        <w:t xml:space="preserve">و غيره </w:t>
      </w:r>
      <w:r>
        <w:rPr>
          <w:rStyle w:val="FootnoteAnchor"/>
          <w:rtl w:val="true"/>
        </w:rPr>
        <w:footnoteReference w:id="113"/>
      </w:r>
      <w:r>
        <w:rPr>
          <w:rFonts w:ascii="Amiri" w:hAnsi="Amiri" w:eastAsia="Amiri" w:cs="Amiri"/>
          <w:color w:val="111111"/>
          <w:sz w:val="28"/>
          <w:sz w:val="28"/>
          <w:szCs w:val="28"/>
          <w:rtl w:val="true"/>
          <w:lang w:bidi="ar-SA"/>
        </w:rPr>
        <w:t xml:space="preserve">، فلو أرضعت أمّه أو أخته أو بنته أو غيرهنّ، ممّن لا يحلّ له النكاح في ولدها أو ولد صاحب اللّبن، صغيرة، فان كان الرضاع قبل النكاح امتنع العقد له عليها و إن كان بعده انفسخ و لم يسغ تجديده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نشو الرضاع ان الى الوطي استند وطيا به يمكن إلحاق الولد</w:t>
      </w:r>
    </w:p>
    <w:p>
      <w:pPr>
        <w:pStyle w:val="BookText"/>
        <w:rPr/>
      </w:pPr>
      <w:r>
        <w:rPr>
          <w:rFonts w:ascii="Amiri" w:hAnsi="Amiri" w:eastAsia="Amiri" w:cs="Amiri"/>
          <w:color w:val="111111"/>
          <w:sz w:val="28"/>
          <w:sz w:val="28"/>
          <w:szCs w:val="28"/>
          <w:rtl w:val="true"/>
          <w:lang w:bidi="ar-SA"/>
        </w:rPr>
        <w:t xml:space="preserve">قد علمت أنّ انتشار حرمة النكاح و حلّ النظر عن الرضاع إنّما يكون مع إحراز الشرط </w:t>
      </w:r>
      <w:r>
        <w:rPr>
          <w:rStyle w:val="FootnoteAnchor"/>
          <w:rtl w:val="true"/>
        </w:rPr>
        <w:footnoteReference w:id="115"/>
      </w: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استناده الى الوطئ الممكن معه إلحاق الولد شرعا، فكان هنا مقامان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اللبن عن وطئ و هو إجماع، كما حكى المحقق الثاني </w:t>
      </w:r>
      <w:r>
        <w:rPr>
          <w:rStyle w:val="FootnoteAnchor"/>
          <w:rtl w:val="true"/>
        </w:rPr>
        <w:footnoteReference w:id="11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صاحب المسالك </w:t>
      </w:r>
      <w:r>
        <w:rPr>
          <w:rStyle w:val="FootnoteAnchor"/>
          <w:rtl w:val="true"/>
        </w:rPr>
        <w:footnoteReference w:id="117"/>
      </w:r>
      <w:r>
        <w:rPr>
          <w:rFonts w:ascii="Amiri" w:hAnsi="Amiri" w:eastAsia="Amiri" w:cs="Amiri"/>
          <w:color w:val="111111"/>
          <w:sz w:val="28"/>
          <w:sz w:val="28"/>
          <w:szCs w:val="28"/>
          <w:rtl w:val="true"/>
          <w:lang w:bidi="ar-SA"/>
        </w:rPr>
        <w:t xml:space="preserve">، و نعني بذلك كونه قد تكون عن المسيس قبلا أو دبرا، فلو درّ من قبل نفسه لم ينشر إجماعا، و لا فرق في ذلك بين كون اللبن لذات بعل أو أيّم، صغيرة أو كبيرة، و منه ما لو أرضع الرّجل بلبن نفسه لصدق الدرور، و عدم الاستناد إلى الوطئ، فلا ينشر بلا خلاف، كما حكى المحقق الثاني </w:t>
      </w:r>
      <w:r>
        <w:rPr>
          <w:rStyle w:val="FootnoteAnchor"/>
          <w:rtl w:val="true"/>
        </w:rPr>
        <w:footnoteReference w:id="118"/>
      </w:r>
      <w:r>
        <w:rPr>
          <w:rFonts w:ascii="Amiri" w:hAnsi="Amiri" w:eastAsia="Amiri" w:cs="Amiri"/>
          <w:color w:val="111111"/>
          <w:sz w:val="28"/>
          <w:sz w:val="28"/>
          <w:szCs w:val="28"/>
          <w:rtl w:val="true"/>
          <w:lang w:bidi="ar-SA"/>
        </w:rPr>
        <w:t>أيضا، و يدلّ على ذلك ما سنذكره في اشتراط الانفصال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أيضا باشتراط كون اللبن عن وطئ ما لو حملت عن مساحقة من سبقت بالمواقعة، أو عن اجتذاب النطفة من ثوب و نحوه، كما قد روى وقوعه في زمن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أعلم أنّه لا يشترط في الوطئ غيبوبة الحشفة كما يشترط في كفارة </w:t>
      </w:r>
      <w:r>
        <w:rPr>
          <w:rStyle w:val="FootnoteAnchor"/>
          <w:rtl w:val="true"/>
        </w:rPr>
        <w:footnoteReference w:id="120"/>
      </w:r>
      <w:r>
        <w:rPr>
          <w:rFonts w:ascii="Amiri" w:hAnsi="Amiri" w:eastAsia="Amiri" w:cs="Amiri"/>
          <w:color w:val="111111"/>
          <w:sz w:val="28"/>
          <w:sz w:val="28"/>
          <w:szCs w:val="28"/>
          <w:rtl w:val="true"/>
          <w:lang w:bidi="ar-SA"/>
        </w:rPr>
        <w:t>الحيض و وجوب العدّة و صيرورة البكر ممّن يعتبر نطقها في النكاح و التمكّن من الرجعة في العدّة و شبه ذلك، بل يكفى هنا مجرّد المباشرة، و لو في خارج الفرج من دون ان يلتقي الختانان، فربما حملت البكر قبل الافتضاض، كما شوهد في عصرنا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الإلحاق و هو في الوطئ الصحيح، أعنى ما سوى الزنى الصريح، فدخل ما كان عن نكاح دائم أو متعة أو ملك يمين أو تحليل أو غصب أو شبهة أو عكسها، فالشبهة وطئ لم يملك و لم يقترن به علم تحريمه، فيدخل وطئ الصبيّ و السكران و المجنون و شبه ذلك، و العكس كونه مملوكا و لم يقترن به علم تحليله، و ما ذكر من تسوية الشبهة بغيرها من أقسام الصحيح هو المعروف بين الأصحاب حتى لا نعلم قاطعاً منهم على</w:t>
      </w:r>
    </w:p>
    <w:p>
      <w:pPr>
        <w:pStyle w:val="BookText"/>
        <w:rPr/>
      </w:pPr>
      <w:r>
        <w:rPr>
          <w:rFonts w:ascii="Amiri" w:hAnsi="Amiri" w:eastAsia="Amiri" w:cs="Amiri"/>
          <w:color w:val="111111"/>
          <w:sz w:val="28"/>
          <w:sz w:val="28"/>
          <w:szCs w:val="28"/>
          <w:rtl w:val="true"/>
          <w:lang w:bidi="ar-SA"/>
        </w:rPr>
        <w:t>الخلاف، و ذلك لمساواتها له في سائر الأحكام، و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قد وقع لابن إدريس فيه نوع اضطراب، فحكم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لبن الشبهة لا ينشر حرمة،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الأصحاب لا يفصلون بينه و بين الفاسد إلّا في إلحاق الولد و رفع الحدّ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قوى التحريم،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ذلك نظر و تأمّل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لعلّ الجنوح إلى عدم النشر فيه تمسّكا بالإباحة الأصليّة، و ما ورد في 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لبن الفحل،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 لبن ولدك ولد امرأة أخرى</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في صحيحة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الرضاع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سيأتيان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بالأصل إنّما يصحّ فيما لا نعلم اندراجه في عمومات الرضاع، و لا شبهة في انعقاد النسب بها، فتندرج في عموم ما يحرم منه، و الأخذ بظاهر الإضافة في الصحيحين يستدعي خروج التحليل و الملك بل المنقطع أيضا و هو خلاف الإجماع، فلا بدّ من الاكتفاء بأدنى ملابسة، مثل شهادة اللّه، و كوكب الخرقاء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الفصل بينها و بين الفاسد إلّا في إلحاق الولد و</w:t>
      </w:r>
    </w:p>
    <w:p>
      <w:pPr>
        <w:pStyle w:val="BookText"/>
        <w:rPr/>
      </w:pPr>
      <w:r>
        <w:rPr>
          <w:rFonts w:ascii="Amiri" w:hAnsi="Amiri" w:eastAsia="Amiri" w:cs="Amiri"/>
          <w:color w:val="111111"/>
          <w:sz w:val="28"/>
          <w:sz w:val="28"/>
          <w:szCs w:val="28"/>
          <w:rtl w:val="true"/>
          <w:lang w:bidi="ar-SA"/>
        </w:rPr>
        <w:t>رفع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عليه بل لم يفصلوا بينهما و بين الصحيح إلّا ما ذهب قوم </w:t>
      </w:r>
      <w:r>
        <w:rPr>
          <w:rStyle w:val="FootnoteAnchor"/>
          <w:rtl w:val="true"/>
        </w:rPr>
        <w:footnoteReference w:id="125"/>
      </w:r>
      <w:r>
        <w:rPr>
          <w:rFonts w:ascii="Amiri" w:hAnsi="Amiri" w:eastAsia="Amiri" w:cs="Amiri"/>
          <w:color w:val="111111"/>
          <w:sz w:val="28"/>
          <w:sz w:val="28"/>
          <w:szCs w:val="28"/>
          <w:rtl w:val="true"/>
          <w:lang w:bidi="ar-SA"/>
        </w:rPr>
        <w:t>من أنّ وطئ كلّ من الأمّ و البنت لشبهة لا ينشر الحرمة، فالترجيح لما عليه الجمهور، و ان كان الوقوف عند الشبهة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الشبهة ان عمّت من الطرفين فذاك، و إلّا فالنشر في حقّ من وقع به الإلحاق، أعنى المتّصف بالاشتباه من المتناكحين، و كذا القول في العضب، فلو عضب الرجل المرأة أو بالعكس الحق بالمعضوب منهما، و كان له اللبن، و لو عضبهما ثالث، كان الإلحاق بهما معا 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تقييد الوطئ بإمكان الإلحاق، تنبيها على أنّ لبن البهيمة لا ينشر، و هو ممّا لا خلاف فيه عندنا، كما حكى المحقق الثاني </w:t>
      </w:r>
      <w:r>
        <w:rPr>
          <w:rStyle w:val="FootnoteAnchor"/>
          <w:rtl w:val="true"/>
        </w:rPr>
        <w:footnoteReference w:id="126"/>
      </w:r>
      <w:r>
        <w:rPr>
          <w:rFonts w:ascii="Amiri" w:hAnsi="Amiri" w:eastAsia="Amiri" w:cs="Amiri"/>
          <w:color w:val="111111"/>
          <w:sz w:val="28"/>
          <w:sz w:val="28"/>
          <w:szCs w:val="28"/>
          <w:rtl w:val="true"/>
          <w:lang w:bidi="ar-SA"/>
        </w:rPr>
        <w:t xml:space="preserve">و صاحب المسالك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خرافات العامّة ما حكى عن مالك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البهيمة يتعلّق به التحريم، و ذهب بعض الشافعية إلى تعلق التحريم بلبن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راجعنا الكتب الّتي يذكر فتاوى مالك فلم نجد ما نسب اليه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المدونة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انّ صبيين غذيا بلبن بهيمة من البهائم أ يكونان أخوين في قول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مالك فيه شيئا، و لكنّي أرى أن لا تكون الحرمة في الرضاع إلّا في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الخلاف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ارتضع مولود من لبن بهيمة شاة أو بقرة أو غيرهما، لم يتعلّق به تحريم بحال، و به قال جميع الفقهاء، و ذهب بعض السلف إلى أنّه يتعلق به التحريم فيصيران أخوين من الرضاعة، و ربما حكى ذلك عن مالك، و الصحيح، أنّه غيره بعض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الحاوي الكبير في شرح مختصر المزني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لبن البهيمة إنّما يحرم لبن الآدميات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ارتضع رجلان من لبن بهيمة لم يصيرا أخوين، و لم يتعلق بلبنها تحريم، و قال بعض السلف، و أضيف ذلك الى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لبن البهيمة يحرم و يصيرا بلبنها أخوين استدلالا باجتماعهما على لبن واحد، فوجب أن يصيرا به أخوين كلبن الادميّات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البهيمة يتعلّق به التحريم بين</w:t>
      </w:r>
      <w:bookmarkStart w:id="51" w:name="pg2480_16382"/>
    </w:p>
    <w:p>
      <w:pPr>
        <w:pStyle w:val="BookText"/>
        <w:rPr/>
      </w:pPr>
      <w:bookmarkEnd w:id="51"/>
      <w:r>
        <w:rPr>
          <w:rFonts w:ascii="Amiri" w:hAnsi="Amiri" w:eastAsia="Amiri" w:cs="Amiri"/>
          <w:color w:val="111111"/>
          <w:sz w:val="28"/>
          <w:sz w:val="28"/>
          <w:szCs w:val="28"/>
          <w:rtl w:val="true"/>
          <w:lang w:bidi="ar-SA"/>
        </w:rPr>
        <w:t>المرتضعين منها، و عليه فلو اغتذى بلبنها حرم عليه أكلها، لأنّها أمّه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لا يشترط في النشر إذن المولى في الإرضاع، و إن عصت الأمة بإتلاف ماله و لا الزوج و إن استلزم إرضاع الزوجة تعطيل بعض حقوقه لإطلاق النصوص و عدم التلازم بين التحريم عليهما و التحريم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الوقوع في حياة المرضعة و وضع حمل لنصوص أربعة </w:t>
      </w:r>
      <w:r>
        <w:rPr>
          <w:rStyle w:val="FootnoteAnchor"/>
          <w:rtl w:val="true"/>
        </w:rPr>
        <w:footnoteReference w:id="130"/>
      </w:r>
    </w:p>
    <w:p>
      <w:pPr>
        <w:pStyle w:val="Heading3"/>
        <w:numPr>
          <w:ilvl w:val="2"/>
          <w:numId w:val="1"/>
        </w:numPr>
        <w:rPr/>
      </w:pPr>
      <w:bookmarkStart w:id="52" w:name="__RefHeading___Toc3755549_3804643083"/>
      <w:bookmarkStart w:id="53" w:name="_Toc19"/>
      <w:bookmarkEnd w:id="52"/>
      <w:r>
        <w:rPr>
          <w:rtl w:val="true"/>
        </w:rPr>
        <w:t>[</w:t>
      </w:r>
      <w:r>
        <w:rPr>
          <w:rtl w:val="true"/>
        </w:rPr>
        <w:t>شرائط الرضاع</w:t>
      </w:r>
      <w:r>
        <w:rPr>
          <w:rtl w:val="true"/>
        </w:rPr>
        <w:t>]</w:t>
      </w:r>
      <w:bookmarkEnd w:id="53"/>
    </w:p>
    <w:p>
      <w:pPr>
        <w:pStyle w:val="Heading4"/>
        <w:numPr>
          <w:ilvl w:val="3"/>
          <w:numId w:val="1"/>
        </w:numPr>
        <w:rPr/>
      </w:pPr>
      <w:bookmarkStart w:id="54" w:name="__RefHeading___Toc3755551_380464308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من شرائط الرضاع حياة المرضعة و وضع حملها،</w:t>
      </w:r>
    </w:p>
    <w:p>
      <w:pPr>
        <w:pStyle w:val="Heading4"/>
        <w:numPr>
          <w:ilvl w:val="3"/>
          <w:numId w:val="1"/>
        </w:numPr>
        <w:rPr/>
      </w:pPr>
      <w:bookmarkStart w:id="56" w:name="__RefHeading___Toc3755553_3804643083"/>
      <w:bookmarkStart w:id="57" w:name="_Toc21"/>
      <w:bookmarkEnd w:id="56"/>
      <w:r>
        <w:rPr>
          <w:rtl w:val="true"/>
        </w:rPr>
        <w:t>فهنا مسألتان</w:t>
      </w:r>
      <w:r>
        <w:rPr>
          <w:rtl w:val="true"/>
        </w:rPr>
        <w:t>:</w:t>
      </w:r>
      <w:bookmarkEnd w:id="57"/>
    </w:p>
    <w:p>
      <w:pPr>
        <w:pStyle w:val="Heading5"/>
        <w:numPr>
          <w:ilvl w:val="4"/>
          <w:numId w:val="1"/>
        </w:numPr>
        <w:rPr/>
      </w:pPr>
      <w:bookmarkStart w:id="58" w:name="__RefHeading___Toc3755555_3804643083"/>
      <w:bookmarkStart w:id="59" w:name="_Toc22"/>
      <w:bookmarkEnd w:id="58"/>
      <w:r>
        <w:rPr>
          <w:rtl w:val="true"/>
        </w:rPr>
        <w:t>الأولى</w:t>
      </w:r>
      <w:r>
        <w:rPr>
          <w:rtl w:val="true"/>
        </w:rPr>
        <w:t xml:space="preserve">: </w:t>
      </w:r>
      <w:r>
        <w:rPr>
          <w:rtl w:val="true"/>
        </w:rPr>
        <w:t>الحياة، فلو أكمل الرضاع بعد وفاتها</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ينشر حرمة على المشهور، كما في المسالك </w:t>
      </w:r>
      <w:r>
        <w:rPr>
          <w:rStyle w:val="FootnoteAnchor"/>
          <w:rtl w:val="true"/>
        </w:rPr>
        <w:footnoteReference w:id="131"/>
      </w:r>
      <w:r>
        <w:rPr>
          <w:rFonts w:ascii="Amiri" w:hAnsi="Amiri" w:eastAsia="Amiri" w:cs="Amiri"/>
          <w:color w:val="111111"/>
          <w:sz w:val="28"/>
          <w:sz w:val="28"/>
          <w:szCs w:val="28"/>
          <w:rtl w:val="true"/>
          <w:lang w:bidi="ar-SA"/>
        </w:rPr>
        <w:t xml:space="preserve">و الكفاية </w:t>
      </w:r>
      <w:r>
        <w:rPr>
          <w:rStyle w:val="FootnoteAnchor"/>
          <w:rtl w:val="true"/>
        </w:rPr>
        <w:footnoteReference w:id="132"/>
      </w:r>
      <w:r>
        <w:rPr>
          <w:rFonts w:ascii="Amiri" w:hAnsi="Amiri" w:eastAsia="Amiri" w:cs="Amiri"/>
          <w:color w:val="111111"/>
          <w:sz w:val="28"/>
          <w:sz w:val="28"/>
          <w:szCs w:val="28"/>
          <w:rtl w:val="true"/>
          <w:lang w:bidi="ar-SA"/>
        </w:rPr>
        <w:t xml:space="preserve">و غيرهما </w:t>
      </w:r>
      <w:r>
        <w:rPr>
          <w:rStyle w:val="FootnoteAnchor"/>
          <w:rtl w:val="true"/>
        </w:rPr>
        <w:footnoteReference w:id="133"/>
      </w:r>
      <w:r>
        <w:rPr>
          <w:rFonts w:ascii="Amiri" w:hAnsi="Amiri" w:eastAsia="Amiri" w:cs="Amiri"/>
          <w:color w:val="111111"/>
          <w:sz w:val="28"/>
          <w:sz w:val="28"/>
          <w:szCs w:val="28"/>
          <w:rtl w:val="true"/>
          <w:lang w:bidi="ar-SA"/>
        </w:rPr>
        <w:t xml:space="preserve">، بل حكى العلامة </w:t>
      </w:r>
      <w:r>
        <w:rPr>
          <w:rStyle w:val="FootnoteAnchor"/>
          <w:rtl w:val="true"/>
        </w:rPr>
        <w:footnoteReference w:id="134"/>
      </w:r>
      <w:r>
        <w:rPr>
          <w:rFonts w:ascii="Amiri" w:hAnsi="Amiri" w:eastAsia="Amiri" w:cs="Amiri"/>
          <w:color w:val="111111"/>
          <w:sz w:val="28"/>
          <w:sz w:val="28"/>
          <w:szCs w:val="28"/>
          <w:rtl w:val="true"/>
          <w:lang w:bidi="ar-SA"/>
        </w:rPr>
        <w:t xml:space="preserve">و الصيمري </w:t>
      </w:r>
      <w:r>
        <w:rPr>
          <w:rStyle w:val="FootnoteAnchor"/>
          <w:rtl w:val="true"/>
        </w:rPr>
        <w:footnoteReference w:id="135"/>
      </w:r>
      <w:r>
        <w:rPr>
          <w:rFonts w:ascii="IRNazanin" w:hAnsi="IRNazanin" w:eastAsia="IRNazanin"/>
          <w:color w:val="111111"/>
          <w:sz w:val="28"/>
          <w:sz w:val="28"/>
          <w:szCs w:val="28"/>
          <w:rtl w:val="true"/>
          <w:lang w:bidi="fa-IR"/>
        </w:rPr>
        <w:t>الاتفاق</w:t>
      </w:r>
      <w:bookmarkStart w:id="60" w:name="pg2480_16383"/>
    </w:p>
    <w:p>
      <w:pPr>
        <w:pStyle w:val="BookText"/>
        <w:rPr/>
      </w:pPr>
      <w:bookmarkEnd w:id="60"/>
      <w:r>
        <w:rPr>
          <w:rFonts w:ascii="Amiri" w:hAnsi="Amiri" w:eastAsia="Amiri" w:cs="Amiri"/>
          <w:color w:val="111111"/>
          <w:sz w:val="28"/>
          <w:sz w:val="28"/>
          <w:szCs w:val="28"/>
          <w:rtl w:val="true"/>
          <w:lang w:bidi="ar-SA"/>
        </w:rPr>
        <w:t xml:space="preserve">عليه، و مستندهم في ذلك ورود أكثر ما جاء في هذا الباب بلفظ الإرضاع و المنساق منه الاختيار، فلا يصدق بعد موتها مع أصل البراءة، و عموم قوله تعالى وَ أُحِلَّ لَكُمْ مٰا وَرٰاءَ ذٰلِكُمْ </w:t>
      </w:r>
      <w:r>
        <w:rPr>
          <w:rStyle w:val="FootnoteAnchor"/>
          <w:rtl w:val="true"/>
        </w:rPr>
        <w:footnoteReference w:id="136"/>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ورود بعضها بغير لفظ الإرضاع كما في أَخَوٰاتُكُمْ مِنَ الرَّضٰاعَةِ </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غير ضائر، لكونه مطلقا، فيحمل على الفرد الشائع، و إنّما لم نقل أنّه يحمل على المقيّد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وقوع النشر بالارتضاع من ثدي النائمة و نحوها ممّا لا يدخل تحت الإرضاع، فإن صدق عليه الشياع، ليدخل في الإفراد المعهودة، و الّا كفانا الإجماع، و إنّما لم ينبّه على الرضيع و إن كان مساويا في اشتراط الحياة للمرضعة، لأنّ الكلام في شرائط الرّضاع، و الظئر الميتة يصدق الارتضاع منها بخلاف الطفل الميّت، إذ لا يعقل فيه إرضاع و لا ارتضاع البتّة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755557_3804643083"/>
      <w:bookmarkStart w:id="62" w:name="_Toc23"/>
      <w:bookmarkEnd w:id="61"/>
      <w:r>
        <w:rPr>
          <w:rtl w:val="true"/>
        </w:rPr>
        <w:t>الثانية</w:t>
      </w:r>
      <w:r>
        <w:rPr>
          <w:rtl w:val="true"/>
        </w:rPr>
        <w:t xml:space="preserve">: </w:t>
      </w:r>
      <w:r>
        <w:rPr>
          <w:rtl w:val="true"/>
        </w:rPr>
        <w:t>الوضع، فلا نشر في لبن الحامل إن لم يكن عن ولادة سابقة</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على ذلك الحمل، وفاقا للتحرير </w:t>
      </w:r>
      <w:r>
        <w:rPr>
          <w:rStyle w:val="FootnoteAnchor"/>
          <w:rtl w:val="true"/>
        </w:rPr>
        <w:footnoteReference w:id="139"/>
      </w:r>
      <w:r>
        <w:rPr>
          <w:rFonts w:ascii="Amiri" w:hAnsi="Amiri" w:eastAsia="Amiri" w:cs="Amiri"/>
          <w:color w:val="111111"/>
          <w:sz w:val="28"/>
          <w:sz w:val="28"/>
          <w:szCs w:val="28"/>
          <w:rtl w:val="true"/>
          <w:lang w:bidi="ar-SA"/>
        </w:rPr>
        <w:t xml:space="preserve">و النهاية </w:t>
      </w:r>
      <w:r>
        <w:rPr>
          <w:rStyle w:val="FootnoteAnchor"/>
          <w:rtl w:val="true"/>
        </w:rPr>
        <w:footnoteReference w:id="140"/>
      </w:r>
      <w:r>
        <w:rPr>
          <w:rFonts w:ascii="Amiri" w:hAnsi="Amiri" w:eastAsia="Amiri" w:cs="Amiri"/>
          <w:color w:val="111111"/>
          <w:sz w:val="28"/>
          <w:sz w:val="28"/>
          <w:szCs w:val="28"/>
          <w:rtl w:val="true"/>
          <w:lang w:bidi="ar-SA"/>
        </w:rPr>
        <w:t xml:space="preserve">و حكى عن السرائر </w:t>
      </w:r>
      <w:r>
        <w:rPr>
          <w:rStyle w:val="FootnoteAnchor"/>
          <w:rtl w:val="true"/>
        </w:rPr>
        <w:footnoteReference w:id="141"/>
      </w:r>
      <w:r>
        <w:rPr>
          <w:rFonts w:ascii="IRNazanin" w:hAnsi="IRNazanin" w:eastAsia="IRNazanin"/>
          <w:color w:val="111111"/>
          <w:sz w:val="28"/>
          <w:sz w:val="28"/>
          <w:szCs w:val="28"/>
          <w:rtl w:val="true"/>
          <w:lang w:bidi="fa-IR"/>
        </w:rPr>
        <w:t xml:space="preserve">و الخلاف </w:t>
      </w:r>
      <w:r>
        <w:rPr>
          <w:rStyle w:val="FootnoteAnchor"/>
          <w:rtl w:val="true"/>
        </w:rPr>
        <w:footnoteReference w:id="142"/>
      </w:r>
      <w:r>
        <w:rPr>
          <w:rFonts w:ascii="Amiri" w:hAnsi="Amiri" w:eastAsia="Amiri" w:cs="Amiri"/>
          <w:color w:val="111111"/>
          <w:sz w:val="28"/>
          <w:sz w:val="28"/>
          <w:szCs w:val="28"/>
          <w:rtl w:val="true"/>
          <w:lang w:bidi="ar-SA"/>
        </w:rPr>
        <w:t xml:space="preserve">و الغنية </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مدعين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الأصل، قوله في صحيحة ابن سنان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أرضعت امرأتك من لبنك و لبن ولدك</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في حسنة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من لبن ولدك</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 موثقة يونس بن يعقوب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درّ لبنها من غير ولادة فأرضعت جارية و غلاما بذلك اللبن هل يحرم بذلك اللبن 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رواية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 لبنها من غير ولادة، فأرضعت ذكرانا و أناثا، أ يحرم من ذلك ما يحرم من الرضاع؟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أرضعت الحامل ذكرا و أنثى لم يحرم الذّكر على المرضعة و لا الرّضيعة، و لو أرضعت بعض النصاب في الحمل و بعضه بعد الوضع، لم ينتشر الحرمة، و ان كان اللبن لفحل واحد، و عن المحقّق </w:t>
      </w:r>
      <w:r>
        <w:rPr>
          <w:rStyle w:val="FootnoteAnchor"/>
          <w:rtl w:val="true"/>
        </w:rPr>
        <w:footnoteReference w:id="148"/>
      </w:r>
      <w:r>
        <w:rPr>
          <w:rFonts w:ascii="Amiri" w:hAnsi="Amiri" w:eastAsia="Amiri" w:cs="Amiri"/>
          <w:color w:val="111111"/>
          <w:sz w:val="28"/>
          <w:sz w:val="28"/>
          <w:szCs w:val="28"/>
          <w:rtl w:val="true"/>
          <w:lang w:bidi="ar-SA"/>
        </w:rPr>
        <w:t xml:space="preserve">و الشيخ في موضع من المبسوط </w:t>
      </w:r>
      <w:r>
        <w:rPr>
          <w:rStyle w:val="FootnoteAnchor"/>
          <w:rtl w:val="true"/>
        </w:rPr>
        <w:footnoteReference w:id="149"/>
      </w:r>
      <w:r>
        <w:rPr>
          <w:rFonts w:ascii="Amiri" w:hAnsi="Amiri" w:eastAsia="Amiri" w:cs="Amiri"/>
          <w:color w:val="111111"/>
          <w:sz w:val="28"/>
          <w:sz w:val="28"/>
          <w:szCs w:val="28"/>
          <w:rtl w:val="true"/>
          <w:lang w:bidi="ar-SA"/>
        </w:rPr>
        <w:t xml:space="preserve">الاكتفاء بالحمل، و به قطع في القواعد </w:t>
      </w:r>
      <w:r>
        <w:rPr>
          <w:rStyle w:val="FootnoteAnchor"/>
          <w:rtl w:val="true"/>
        </w:rPr>
        <w:footnoteReference w:id="150"/>
      </w:r>
      <w:r>
        <w:rPr>
          <w:rFonts w:ascii="Amiri" w:hAnsi="Amiri" w:eastAsia="Amiri" w:cs="Amiri"/>
          <w:color w:val="111111"/>
          <w:sz w:val="28"/>
          <w:sz w:val="28"/>
          <w:szCs w:val="28"/>
          <w:rtl w:val="true"/>
          <w:lang w:bidi="ar-SA"/>
        </w:rPr>
        <w:t xml:space="preserve">، و اختاره في المسالك </w:t>
      </w:r>
      <w:r>
        <w:rPr>
          <w:rStyle w:val="FootnoteAnchor"/>
          <w:rtl w:val="true"/>
        </w:rPr>
        <w:footnoteReference w:id="151"/>
      </w:r>
      <w:r>
        <w:rPr>
          <w:rFonts w:ascii="Amiri" w:hAnsi="Amiri" w:eastAsia="Amiri" w:cs="Amiri"/>
          <w:color w:val="111111"/>
          <w:sz w:val="28"/>
          <w:sz w:val="28"/>
          <w:szCs w:val="28"/>
          <w:rtl w:val="true"/>
          <w:lang w:bidi="ar-SA"/>
        </w:rPr>
        <w:t xml:space="preserve">و الكفاية </w:t>
      </w:r>
      <w:r>
        <w:rPr>
          <w:rStyle w:val="FootnoteAnchor"/>
          <w:rtl w:val="true"/>
        </w:rPr>
        <w:footnoteReference w:id="152"/>
      </w:r>
      <w:r>
        <w:rPr>
          <w:rFonts w:ascii="Amiri" w:hAnsi="Amiri" w:eastAsia="Amiri" w:cs="Amiri"/>
          <w:color w:val="111111"/>
          <w:sz w:val="28"/>
          <w:sz w:val="28"/>
          <w:szCs w:val="28"/>
          <w:rtl w:val="true"/>
          <w:lang w:bidi="ar-SA"/>
        </w:rPr>
        <w:t>، و لعلّ ذلك للتمسّك بإطلاق ما جاء في الرضاع، استضعافا لدلالة ما جاء في الاشتراط، لإمكان حمل الولد في الروايتين</w:t>
      </w:r>
      <w:bookmarkStart w:id="63" w:name="pg2480_16385"/>
    </w:p>
    <w:p>
      <w:pPr>
        <w:pStyle w:val="BookText"/>
        <w:rPr/>
      </w:pPr>
      <w:bookmarkEnd w:id="63"/>
      <w:r>
        <w:rPr>
          <w:rFonts w:ascii="Amiri" w:hAnsi="Amiri" w:eastAsia="Amiri" w:cs="Amiri"/>
          <w:color w:val="111111"/>
          <w:sz w:val="28"/>
          <w:sz w:val="28"/>
          <w:szCs w:val="28"/>
          <w:rtl w:val="true"/>
          <w:lang w:bidi="ar-SA"/>
        </w:rPr>
        <w:t>الأوليين و الولادة في الأخيرتين على ما يعمّ الحمل، أو ردّ الأخيرتين على ما يعمّ الحمل، أو ردّ الأخيرتين بضعف السند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التعلق بالعموم، فلأنّ المطلق إنّما يحمل على المتعارف المعهود، و الرضاع في الحمل ليس بمعهود و لا متعارف، و منه يعرف صحّة ما قدّمناه من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تأويل المخصص، فبأنّه لا بدّ في الانصراف عن المعنى الحقيقي من وجود القرينة أو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السّند فلو سلّم كون الموثّق من الضعيف فما فوق ما سمعت من الإجماع من مرجّح</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755559_3804643083"/>
      <w:bookmarkStart w:id="65" w:name="_Toc24"/>
      <w:bookmarkEnd w:id="64"/>
      <w:r>
        <w:rPr>
          <w:rtl w:val="true"/>
        </w:rPr>
        <w:t>[</w:t>
      </w:r>
      <w:r>
        <w:rPr>
          <w:rtl w:val="true"/>
        </w:rPr>
        <w:t>وحدة الفحل لنشر الحرمة بالرضاع</w:t>
      </w:r>
      <w:r>
        <w:rPr>
          <w:rtl w:val="true"/>
        </w:rPr>
        <w:t>]</w:t>
      </w:r>
      <w:bookmarkEnd w:id="65"/>
    </w:p>
    <w:p>
      <w:pPr>
        <w:pStyle w:val="BookText"/>
        <w:rPr/>
      </w:pPr>
      <w:r>
        <w:rPr>
          <w:rFonts w:ascii="Amiri" w:hAnsi="Amiri" w:eastAsia="Amiri" w:cs="Amiri"/>
          <w:color w:val="111111"/>
          <w:sz w:val="28"/>
          <w:sz w:val="28"/>
          <w:szCs w:val="28"/>
          <w:rtl w:val="true"/>
          <w:lang w:bidi="ar-SA"/>
        </w:rPr>
        <w:t>و وحدة الفحل بلا نزاع للأصل و الاخبار و الإجماع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تفردت به الإماميّة اشتراط أن يتّحد الفحل في الرضاع و إجماعهم عليه محصّل و منقول عن التذكرة </w:t>
      </w:r>
      <w:r>
        <w:rPr>
          <w:rStyle w:val="FootnoteAnchor"/>
          <w:rtl w:val="true"/>
        </w:rPr>
        <w:footnoteReference w:id="15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54"/>
      </w:r>
      <w:r>
        <w:rPr>
          <w:rFonts w:ascii="Amiri" w:hAnsi="Amiri" w:eastAsia="Amiri" w:cs="Amiri"/>
          <w:color w:val="111111"/>
          <w:sz w:val="28"/>
          <w:sz w:val="28"/>
          <w:szCs w:val="28"/>
          <w:rtl w:val="true"/>
          <w:lang w:bidi="ar-SA"/>
        </w:rPr>
        <w:t xml:space="preserve">و حكاه المحقق الثاني </w:t>
      </w:r>
      <w:r>
        <w:rPr>
          <w:rStyle w:val="FootnoteAnchor"/>
          <w:rtl w:val="true"/>
        </w:rPr>
        <w:footnoteReference w:id="155"/>
      </w:r>
      <w:r>
        <w:rPr>
          <w:rFonts w:ascii="Amiri" w:hAnsi="Amiri" w:eastAsia="Amiri" w:cs="Amiri"/>
          <w:color w:val="111111"/>
          <w:sz w:val="28"/>
          <w:sz w:val="28"/>
          <w:szCs w:val="28"/>
          <w:rtl w:val="true"/>
          <w:lang w:bidi="ar-SA"/>
        </w:rPr>
        <w:t xml:space="preserve">و التقي المجلسي </w:t>
      </w:r>
      <w:r>
        <w:rPr>
          <w:rStyle w:val="FootnoteAnchor"/>
          <w:rtl w:val="true"/>
        </w:rPr>
        <w:footnoteReference w:id="156"/>
      </w:r>
      <w:r>
        <w:rPr>
          <w:rFonts w:ascii="Amiri" w:hAnsi="Amiri" w:eastAsia="Amiri" w:cs="Amiri"/>
          <w:color w:val="111111"/>
          <w:sz w:val="28"/>
          <w:sz w:val="28"/>
          <w:szCs w:val="28"/>
          <w:rtl w:val="true"/>
          <w:lang w:bidi="ar-SA"/>
        </w:rPr>
        <w:t xml:space="preserve">و غيرهما، فاللبن مع عدم اتحاد الفحل عندهم ممّا لا حكم له، كلبن البهيمة، و الذي يدرّ بنفسه أو يرتضع بعد الحولين و شبه ذلك، و لا خلاف إلّا ما يحكى عن مجمع البيان </w:t>
      </w:r>
      <w:r>
        <w:rPr>
          <w:rStyle w:val="FootnoteAnchor"/>
          <w:rtl w:val="true"/>
        </w:rPr>
        <w:footnoteReference w:id="157"/>
      </w:r>
      <w:r>
        <w:rPr>
          <w:rFonts w:ascii="IRNazanin" w:hAnsi="IRNazanin" w:eastAsia="IRNazanin"/>
          <w:color w:val="111111"/>
          <w:sz w:val="28"/>
          <w:sz w:val="28"/>
          <w:szCs w:val="28"/>
          <w:rtl w:val="true"/>
          <w:lang w:bidi="fa-IR"/>
        </w:rPr>
        <w:t>من عدم</w:t>
      </w:r>
    </w:p>
    <w:p>
      <w:pPr>
        <w:pStyle w:val="BookText"/>
        <w:rPr/>
      </w:pPr>
      <w:r>
        <w:rPr>
          <w:rFonts w:ascii="Amiri" w:hAnsi="Amiri" w:eastAsia="Amiri" w:cs="Amiri"/>
          <w:color w:val="111111"/>
          <w:sz w:val="28"/>
          <w:sz w:val="28"/>
          <w:szCs w:val="28"/>
          <w:rtl w:val="true"/>
          <w:lang w:bidi="ar-SA"/>
        </w:rPr>
        <w:t xml:space="preserve">الاشتراط، و عبارته ليست ظاهرة في ذلك </w:t>
      </w:r>
      <w:r>
        <w:rPr>
          <w:rStyle w:val="FootnoteAnchor"/>
          <w:rtl w:val="true"/>
        </w:rPr>
        <w:footnoteReference w:id="158"/>
      </w:r>
      <w:r>
        <w:rPr>
          <w:rFonts w:ascii="Amiri" w:hAnsi="Amiri" w:eastAsia="Amiri" w:cs="Amiri"/>
          <w:color w:val="111111"/>
          <w:sz w:val="28"/>
          <w:sz w:val="28"/>
          <w:szCs w:val="28"/>
          <w:rtl w:val="true"/>
          <w:lang w:bidi="ar-SA"/>
        </w:rPr>
        <w:t>، و يقين الوفاق لا ينفى باحتمال الخلاف، لنا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لعدم الدليل على الاقتناع بالأخوة من الأمّ كما ستعرف، و تقرير الأصل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المنافع عدم الحظر، إلّا ان يعلم من الشرع، و هو المسمّى بالإباحة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عدم اشتغال الذمّة إلى ان تقوم عليه الحجّة و هو المسمى بالبراءة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الإباحة المستفاد من خَلَقَ لَكُمْ مٰا فِي الْأَرْضِ جَمِيعاً </w:t>
      </w:r>
      <w:r>
        <w:rPr>
          <w:rStyle w:val="FootnoteAnchor"/>
          <w:rtl w:val="true"/>
        </w:rPr>
        <w:footnoteReference w:id="159"/>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المستفاد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تكليف إلّا بعد البيان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قبل الرضاع إجماع فيستصحب حكمه إلى محلّ النزاع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المحصّلة من عموم الكتاب، مثل فَانْكِحُوا مٰا طٰابَ لَكُمْ </w:t>
      </w:r>
      <w:r>
        <w:rPr>
          <w:rStyle w:val="FootnoteAnchor"/>
          <w:rtl w:val="true"/>
        </w:rPr>
        <w:footnoteReference w:id="16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 أَنْكِحُوا الْأَيٰامىٰ مِنْكُمْ </w:t>
      </w:r>
      <w:r>
        <w:rPr>
          <w:rStyle w:val="FootnoteAnchor"/>
          <w:rtl w:val="true"/>
        </w:rPr>
        <w:footnoteReference w:id="163"/>
      </w:r>
      <w:r>
        <w:rPr>
          <w:rFonts w:ascii="Amiri" w:hAnsi="Amiri" w:eastAsia="Amiri" w:cs="Amiri"/>
          <w:color w:val="111111"/>
          <w:sz w:val="28"/>
          <w:sz w:val="28"/>
          <w:szCs w:val="28"/>
          <w:rtl w:val="true"/>
          <w:lang w:bidi="ar-SA"/>
        </w:rPr>
        <w:t xml:space="preserve">و وَ أُحِلَّ لَكُمْ مٰا وَرٰاءَ ذٰلِكُمْ </w:t>
      </w:r>
      <w:r>
        <w:rPr>
          <w:rStyle w:val="FootnoteAnchor"/>
          <w:rtl w:val="true"/>
        </w:rPr>
        <w:footnoteReference w:id="164"/>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النكاح عند تعقّبه بالرّضاع و استصحاب حقوق الزوجيّة من الطرفين فيثبت الحلّ قبل النكاح أيضا، إذ 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ذكره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 الأخبار عن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صحيحة عبد اللّه بن سنان و حسنته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 لبن ولدك ولد امرأة أخرى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أنّها في الحسن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لبنك</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بريد العجلّي و حسنته أيضا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قول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الرضاع الذي قال رسول اللّه صلّى اللّه عليه و آله و سلّم، و كلّ امرأة أرضعت من لبن فحلين كانا لها واحدا بعد واحد من جارية أو غلام فإنّ ذلك رضاع ليس بالرضاع الذي قال رسول اللّه صلّى اللّه عليه و آله و سلّم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يرضع من امرأة و هو غلام فهل يحلّ له أن يتزوج أختها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يحل؟ و إن كانت المرأتان رضعتا</w:t>
      </w:r>
    </w:p>
    <w:p>
      <w:pPr>
        <w:pStyle w:val="BookText"/>
        <w:rPr/>
      </w:pPr>
      <w:r>
        <w:rPr>
          <w:rFonts w:ascii="Amiri" w:hAnsi="Amiri" w:eastAsia="Amiri" w:cs="Amiri"/>
          <w:color w:val="111111"/>
          <w:sz w:val="28"/>
          <w:sz w:val="28"/>
          <w:szCs w:val="28"/>
          <w:rtl w:val="true"/>
          <w:lang w:bidi="ar-SA"/>
        </w:rPr>
        <w:t>من امرأة واحدة من لبن فحلين، فلا بأس بذلك</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صحيحة مالك 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الرجل يتزوّج المرأة، فتلد منه، ثمّ ترضع من لبنها جارية أ يصلح لولده من غيرها أن يتزوج بتلك الجارية الّتي أرضعتها؟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بمنزلة الأخت من الرضاعة، لأنّ اللّبن لفحل واحد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في رواية صفوان بن يحيى، عن أبي الحسن عليه السّلام بسند صحيح و آخر فيه 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 أمّي جارية بلبني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 لي من أمّي لم ترضعها أمّي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أبوها، و أمّك أمّها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نحوها رواية أخرى له بسند فيه جهالة أيضا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موثقة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غلام رضع من امرأة أ 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فاختلفت الفحلان فلا بأس</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البزنطي بسند حسن و آخر ضعيف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 أبا الحسن عليه السّلام عن</w:t>
      </w:r>
    </w:p>
    <w:p>
      <w:pPr>
        <w:pStyle w:val="BookText"/>
        <w:rPr/>
      </w:pPr>
      <w:r>
        <w:rPr>
          <w:rFonts w:ascii="Amiri" w:hAnsi="Amiri" w:eastAsia="Amiri" w:cs="Amiri"/>
          <w:color w:val="111111"/>
          <w:sz w:val="28"/>
          <w:sz w:val="28"/>
          <w:szCs w:val="28"/>
          <w:rtl w:val="true"/>
          <w:lang w:bidi="ar-SA"/>
        </w:rPr>
        <w:t>امرأة أرضعت جارية، و لزوجها ابن من غيرها، أ يحلّ للغلام ابن زوجها أن يتزوج الجارية الّتي أرضعت؟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موثقة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 ليلة أو خمس عشرة رضعة متواليات من امرأة واحدة من لبن فحل واحد لم يفصل بينها رضعة امرأة غيرها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هذا كلّه، و الكاشيّ </w:t>
      </w:r>
      <w:r>
        <w:rPr>
          <w:rStyle w:val="FootnoteAnchor"/>
          <w:rtl w:val="true"/>
        </w:rPr>
        <w:footnoteReference w:id="176"/>
      </w:r>
      <w:r>
        <w:rPr>
          <w:rFonts w:ascii="Amiri" w:hAnsi="Amiri" w:eastAsia="Amiri" w:cs="Amiri"/>
          <w:color w:val="111111"/>
          <w:sz w:val="28"/>
          <w:sz w:val="28"/>
          <w:szCs w:val="28"/>
          <w:rtl w:val="true"/>
          <w:lang w:bidi="ar-SA"/>
        </w:rPr>
        <w:t xml:space="preserve">قد نقل أوّلا عن الطبرسي، عدم اشتراط ان يتّحد الفحل و استدلّ له بعموم وَ أَخَوٰاتُكُمْ مِنَ الرَّضٰاعَةِ </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و يؤيده النصّ الصريح، فما بال الرضاع يحرّم من قبل الفحل و لا يحرّم من قبل الأمهات؟ و إنّما حرّم اللّه الرضاع من قبل الأمهات، و ان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الموافق للكتاب و السنة أولى بالمراعاة ممّا يخالفه، و لا سيّما إذا كان</w:t>
      </w:r>
    </w:p>
    <w:p>
      <w:pPr>
        <w:pStyle w:val="BookText"/>
        <w:rPr/>
      </w:pPr>
      <w:r>
        <w:rPr>
          <w:rFonts w:ascii="Amiri" w:hAnsi="Amiri" w:eastAsia="Amiri" w:cs="Amiri"/>
          <w:color w:val="111111"/>
          <w:sz w:val="28"/>
          <w:sz w:val="28"/>
          <w:szCs w:val="28"/>
          <w:rtl w:val="true"/>
          <w:lang w:bidi="ar-SA"/>
        </w:rPr>
        <w:t>الاحتياط معه، و الشهرة ليست بمحلّ الاعتماد، مع احتمال مستند المشهور التقيّة، هذا لفظه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حاصل الاستدلال بالآية و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الرضيعة مع اختلاف الفحل أخت للأم، فتكون فردا من عموم الآية، و يصدق عليها حكم الرواية، لأنّ الأخت للأمّ محرمة نسبا، فتكون رضاعه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بالنسبة إلى اللغة صحيح، و من ثمّ ذهب جلّ العامّة إلى أنّ مسمّى الرضاع كاف في التحريم </w:t>
      </w:r>
      <w:r>
        <w:rPr>
          <w:rStyle w:val="FootnoteAnchor"/>
          <w:rtl w:val="true"/>
        </w:rPr>
        <w:footnoteReference w:id="181"/>
      </w:r>
      <w:r>
        <w:rPr>
          <w:rFonts w:ascii="Amiri" w:hAnsi="Amiri" w:eastAsia="Amiri" w:cs="Amiri"/>
          <w:color w:val="111111"/>
          <w:sz w:val="28"/>
          <w:sz w:val="28"/>
          <w:szCs w:val="28"/>
          <w:rtl w:val="true"/>
          <w:lang w:bidi="ar-SA"/>
        </w:rPr>
        <w:t>، لكن المنصوص عن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أمر مخصوص مشتمل على 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اتحاد الفحل، ألا ترى؟ الى قوله عليه السّلام في صحيحة العجلي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الرضاع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 إذا ثبت تفسير الامام عليه السّلام للسنة النبوية بشي‌ء، فكيف يجوز العدول إلى غيره؟ أم كيف يجوز تفسير الكتاب بخلافه؟ و قول النبيّ صلّى اللّه عليه و آله و سلّم من الكتاب وَ مٰا يَنْطِقُ عَنِ الْهَوىٰ، إِنْ هُوَ إِلّٰا وَحْيٌ يُوحىٰ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 الذي زعم أنّه صريح، فهو رواية محمد بن عبيد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جاءتهم الرواية عنك، إنّك تحرم من الرضاع ما يحرم من النسب، فرجعوا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أمير المؤمنين سألني عنها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 أنا أكره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أمهات أولاد شتّى، فأرضعت واحدة منهنّ بلبنها غلاما</w:t>
      </w:r>
    </w:p>
    <w:p>
      <w:pPr>
        <w:pStyle w:val="BookText"/>
        <w:rPr/>
      </w:pPr>
      <w:r>
        <w:rPr>
          <w:rFonts w:ascii="Amiri" w:hAnsi="Amiri" w:eastAsia="Amiri" w:cs="Amiri"/>
          <w:color w:val="111111"/>
          <w:sz w:val="28"/>
          <w:sz w:val="28"/>
          <w:szCs w:val="28"/>
          <w:rtl w:val="true"/>
          <w:lang w:bidi="ar-SA"/>
        </w:rPr>
        <w:t>غريبا، أ ليس كلّ شي‌ء من ولد ذلك الرجل من أمّهات الأولاد الشتّى محرّم 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 لا يحرّم من قبل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حرّم اللّه الرضاع من قبل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تحريم أحد المرتضعين من ثدي على الأخر </w:t>
      </w:r>
      <w:r>
        <w:rPr>
          <w:rStyle w:val="FootnoteAnchor"/>
          <w:rtl w:val="true"/>
        </w:rPr>
        <w:footnoteReference w:id="185"/>
      </w:r>
      <w:r>
        <w:rPr>
          <w:rFonts w:ascii="IRNazanin" w:hAnsi="IRNazanin" w:eastAsia="IRNazanin"/>
          <w:color w:val="111111"/>
          <w:sz w:val="28"/>
          <w:sz w:val="28"/>
          <w:szCs w:val="28"/>
          <w:rtl w:val="true"/>
          <w:lang w:bidi="fa-IR"/>
        </w:rPr>
        <w:t>مع اختلاف الفحل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تحريم أولاد المرضعة نسبا على المرتضع منها مع اختلافه أيضا، و سؤال المأمون إنّما كان عن الثاني بقرينة المثال الذي ضربه، و ستقف على أنّه ممّا لا يشترط فيه اتّحاد الفحل إجماعا، بل لو فرض نهوضه بمدّعي الخصم لكان في ضعف سنده ما يقع في ردّه، و دعوى أولويّته بالمراعاة لموافقته الكتاب دون غيره بما مرّ دور </w:t>
      </w:r>
      <w:r>
        <w:rPr>
          <w:rStyle w:val="FootnoteAnchor"/>
          <w:rtl w:val="true"/>
        </w:rPr>
        <w:footnoteReference w:id="186"/>
      </w:r>
      <w:r>
        <w:rPr>
          <w:rFonts w:ascii="Amiri" w:hAnsi="Amiri" w:eastAsia="Amiri" w:cs="Amiri"/>
          <w:color w:val="111111"/>
          <w:sz w:val="28"/>
          <w:sz w:val="28"/>
          <w:szCs w:val="28"/>
          <w:rtl w:val="true"/>
          <w:lang w:bidi="ar-SA"/>
        </w:rPr>
        <w:t xml:space="preserve">، بأنّ المنساق من مخالفة الكتاب إنّما هو معارضة النصّ له، لا كونه أخصّ منه، مع حصول شرط التخصيص كما هنا، على أنّه ليس في الكتاب أكثر من أَخَوٰاتُكُمْ مِنَ الرَّضٰاعَةِ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المعلومة قضت بأنّ اللّبن مع اختلاف الفحل كالّذي درّ بنفسه، فكيف يثمر الأخوّة؟ و كون الاحتياط معه، إن أريد به في الجملة فممنوع، و لكن لا يجديه نفعا، و إن أريد دائما فممنوع، لكونه بعد وقوع النكاح معنا قطعا، و الشهرة التي جعلها لا في محلّ الاعتماد، هي الّتي يقول صلوات اللّه عليه، فيها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لما اشتهر بين أصحابك و دع الشاذّ النادر 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لعمر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كان</w:t>
      </w:r>
      <w:bookmarkStart w:id="66" w:name="pg2480_16392"/>
    </w:p>
    <w:p>
      <w:pPr>
        <w:pStyle w:val="BookText"/>
        <w:rPr/>
      </w:pPr>
      <w:bookmarkEnd w:id="66"/>
      <w:r>
        <w:rPr>
          <w:rFonts w:ascii="Amiri" w:hAnsi="Amiri" w:eastAsia="Amiri" w:cs="Amiri"/>
          <w:color w:val="111111"/>
          <w:sz w:val="28"/>
          <w:sz w:val="28"/>
          <w:szCs w:val="28"/>
          <w:rtl w:val="true"/>
          <w:lang w:bidi="ar-SA"/>
        </w:rPr>
        <w:t>من روايتهما في ذلك الذي حكما به المجمع عليه بين أصحابك، 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بل ليس ما نحن فيه بمشهور فحسب، و إنّما هو إجماع كما عرفت، و لو كان الطبرسي مخالفا لم يقدح ذلك في الإجماع، لأنّه ليس عندنا عبارة عن الاتّفاق، بل عمّا كان أصحاب الأئمّة إذا جائهم أحد عن الامام عليه السّلام بخلافه،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من جراب النورة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أطرف من ذلك كلّه، احتماله في مستند المشهور التقية و كان الذي دعاه إلى القطع على انتفائها في حديثه الذي استند اليه تسمية المأمون فيه بأمير المؤمنين، و قوله عليه السّلام أنّه كان يكره الكلام، و إلّا فاشتراط الفحل من خواص الخاصّة، و لا شريك للعامّة في عدم الاشتراط إلّا الكاشي كما قد عرفت </w:t>
      </w:r>
      <w:r>
        <w:rPr>
          <w:rStyle w:val="FootnoteAnchor"/>
          <w:rtl w:val="true"/>
        </w:rPr>
        <w:footnoteReference w:id="191"/>
      </w:r>
      <w:r>
        <w:rPr>
          <w:rFonts w:ascii="Amiri" w:hAnsi="Amiri" w:eastAsia="Amiri" w:cs="Amiri"/>
          <w:color w:val="111111"/>
          <w:sz w:val="28"/>
          <w:sz w:val="28"/>
          <w:szCs w:val="28"/>
          <w:rtl w:val="true"/>
          <w:lang w:bidi="ar-SA"/>
        </w:rPr>
        <w:t>، و اللّه المسدّد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755561_3804643083"/>
      <w:bookmarkStart w:id="68" w:name="_Toc25"/>
      <w:bookmarkEnd w:id="67"/>
      <w:r>
        <w:rPr>
          <w:rtl w:val="true"/>
        </w:rPr>
        <w:t>[</w:t>
      </w:r>
      <w:r>
        <w:rPr>
          <w:rtl w:val="true"/>
        </w:rPr>
        <w:t>تحقق الرضاع قبل إتمام المرتضع حولين</w:t>
      </w:r>
      <w:r>
        <w:rPr>
          <w:rtl w:val="true"/>
        </w:rPr>
        <w:t>]</w:t>
      </w:r>
      <w:bookmarkEnd w:id="68"/>
    </w:p>
    <w:p>
      <w:pPr>
        <w:pStyle w:val="BookText"/>
        <w:rPr/>
      </w:pPr>
      <w:r>
        <w:rPr>
          <w:rFonts w:ascii="Amiri" w:hAnsi="Amiri" w:eastAsia="Amiri" w:cs="Amiri"/>
          <w:color w:val="111111"/>
          <w:sz w:val="28"/>
          <w:sz w:val="28"/>
          <w:szCs w:val="28"/>
          <w:rtl w:val="true"/>
          <w:lang w:bidi="ar-SA"/>
        </w:rPr>
        <w:t>و كونه قبل فصال المرتضع و في فصال الضئر خلف متّسع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نشر الرضاع كونه واقعا بتمامه قبل أن يتمّ المرتضع الحولين إجماعا، كما في</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192"/>
      </w:r>
      <w:r>
        <w:rPr>
          <w:rFonts w:ascii="Amiri" w:hAnsi="Amiri" w:eastAsia="Amiri" w:cs="Amiri"/>
          <w:color w:val="111111"/>
          <w:sz w:val="28"/>
          <w:sz w:val="28"/>
          <w:szCs w:val="28"/>
          <w:rtl w:val="true"/>
          <w:lang w:bidi="ar-SA"/>
        </w:rPr>
        <w:t xml:space="preserve">و الغنية </w:t>
      </w:r>
      <w:r>
        <w:rPr>
          <w:rStyle w:val="FootnoteAnchor"/>
          <w:rtl w:val="true"/>
        </w:rPr>
        <w:footnoteReference w:id="193"/>
      </w:r>
      <w:r>
        <w:rPr>
          <w:rFonts w:ascii="IRNazanin" w:hAnsi="IRNazanin" w:eastAsia="IRNazanin"/>
          <w:color w:val="111111"/>
          <w:sz w:val="28"/>
          <w:sz w:val="28"/>
          <w:szCs w:val="28"/>
          <w:rtl w:val="true"/>
          <w:lang w:bidi="fa-IR"/>
        </w:rPr>
        <w:t xml:space="preserve">و السرائر </w:t>
      </w:r>
      <w:r>
        <w:rPr>
          <w:rStyle w:val="FootnoteAnchor"/>
          <w:rtl w:val="true"/>
        </w:rPr>
        <w:footnoteReference w:id="194"/>
      </w:r>
      <w:r>
        <w:rPr>
          <w:rFonts w:ascii="IRNazanin" w:hAnsi="IRNazanin" w:eastAsia="IRNazanin"/>
          <w:color w:val="111111"/>
          <w:sz w:val="28"/>
          <w:sz w:val="28"/>
          <w:szCs w:val="28"/>
          <w:rtl w:val="true"/>
          <w:lang w:bidi="fa-IR"/>
        </w:rPr>
        <w:t xml:space="preserve">و القواعد </w:t>
      </w:r>
      <w:r>
        <w:rPr>
          <w:rStyle w:val="FootnoteAnchor"/>
          <w:rtl w:val="true"/>
        </w:rPr>
        <w:footnoteReference w:id="195"/>
      </w:r>
      <w:r>
        <w:rPr>
          <w:rFonts w:ascii="Amiri" w:hAnsi="Amiri" w:eastAsia="Amiri" w:cs="Amiri"/>
          <w:color w:val="111111"/>
          <w:sz w:val="28"/>
          <w:sz w:val="28"/>
          <w:szCs w:val="28"/>
          <w:rtl w:val="true"/>
          <w:lang w:bidi="ar-SA"/>
        </w:rPr>
        <w:t xml:space="preserve">و شرحيها للفخر </w:t>
      </w:r>
      <w:r>
        <w:rPr>
          <w:rStyle w:val="FootnoteAnchor"/>
          <w:rtl w:val="true"/>
        </w:rPr>
        <w:footnoteReference w:id="196"/>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197"/>
      </w:r>
      <w:r>
        <w:rPr>
          <w:rFonts w:ascii="Amiri" w:hAnsi="Amiri" w:eastAsia="Amiri" w:cs="Amiri"/>
          <w:color w:val="111111"/>
          <w:sz w:val="28"/>
          <w:sz w:val="28"/>
          <w:szCs w:val="28"/>
          <w:rtl w:val="true"/>
          <w:lang w:bidi="ar-SA"/>
        </w:rPr>
        <w:t xml:space="preserve">و المسالك </w:t>
      </w:r>
      <w:r>
        <w:rPr>
          <w:rStyle w:val="FootnoteAnchor"/>
          <w:rtl w:val="true"/>
        </w:rPr>
        <w:footnoteReference w:id="19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ارتضع الأخيرة أو بعضها بعد الحولين لم ينتشر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تمت مع الحولين نشر، لقول الصادق عليه السّلام في حسنة الحلبي </w:t>
      </w:r>
      <w:r>
        <w:rPr>
          <w:rStyle w:val="FootnoteAnchor"/>
          <w:rtl w:val="true"/>
        </w:rPr>
        <w:footnoteReference w:id="199"/>
      </w:r>
      <w:r>
        <w:rPr>
          <w:rFonts w:ascii="Amiri" w:hAnsi="Amiri" w:eastAsia="Amiri" w:cs="Amiri"/>
          <w:color w:val="111111"/>
          <w:sz w:val="28"/>
          <w:sz w:val="28"/>
          <w:szCs w:val="28"/>
          <w:rtl w:val="true"/>
          <w:lang w:bidi="ar-SA"/>
        </w:rPr>
        <w:t xml:space="preserve">و موثقتي منصور بن حازم </w:t>
      </w:r>
      <w:r>
        <w:rPr>
          <w:rStyle w:val="FootnoteAnchor"/>
          <w:rtl w:val="true"/>
        </w:rPr>
        <w:footnoteReference w:id="200"/>
      </w:r>
      <w:r>
        <w:rPr>
          <w:rFonts w:ascii="IRNazanin" w:hAnsi="IRNazanin" w:eastAsia="IRNazanin"/>
          <w:color w:val="111111"/>
          <w:sz w:val="28"/>
          <w:sz w:val="28"/>
          <w:szCs w:val="28"/>
          <w:rtl w:val="true"/>
          <w:lang w:bidi="fa-IR"/>
        </w:rPr>
        <w:t xml:space="preserve">و حماد بن عثمان </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الحولين </w:t>
      </w:r>
      <w:r>
        <w:rPr>
          <w:rStyle w:val="FootnoteAnchor"/>
          <w:rtl w:val="true"/>
        </w:rPr>
        <w:footnoteReference w:id="202"/>
      </w:r>
      <w:r>
        <w:rPr>
          <w:rFonts w:ascii="Amiri" w:hAnsi="Amiri" w:eastAsia="Amiri" w:cs="Amiri"/>
          <w:color w:val="111111"/>
          <w:sz w:val="28"/>
          <w:sz w:val="28"/>
          <w:szCs w:val="28"/>
          <w:rtl w:val="true"/>
          <w:lang w:bidi="ar-SA"/>
        </w:rPr>
        <w:t>اللّذين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الفريقان عنه صلّى اللّه عليه و آله و 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فصال</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 الفصال الحولان لقوله تعالى وَ فِصٰالُهُ فِي عٰامَيْنِ </w:t>
      </w:r>
      <w:r>
        <w:rPr>
          <w:rStyle w:val="FootnoteAnchor"/>
          <w:rtl w:val="true"/>
        </w:rPr>
        <w:footnoteReference w:id="204"/>
      </w:r>
      <w:r>
        <w:rPr>
          <w:rFonts w:ascii="Amiri" w:hAnsi="Amiri" w:eastAsia="Amiri" w:cs="Amiri"/>
          <w:color w:val="111111"/>
          <w:sz w:val="28"/>
          <w:sz w:val="28"/>
          <w:szCs w:val="28"/>
          <w:rtl w:val="true"/>
          <w:lang w:bidi="ar-SA"/>
        </w:rPr>
        <w:t>و في آخر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كان في الحولين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احتجّوا أيضا بقوله سبحانه وَ الْوٰالِدٰاتُ يُرْضِعْنَ أَوْلٰادَهُنَّ حَوْلَيْنِ كٰامِلَيْنِ لِمَنْ أَرٰادَ أَنْ يُتِمَّ الرَّضٰاعَةَ </w:t>
      </w:r>
      <w:r>
        <w:rPr>
          <w:rStyle w:val="FootnoteAnchor"/>
          <w:rtl w:val="true"/>
        </w:rPr>
        <w:footnoteReference w:id="206"/>
      </w:r>
      <w:r>
        <w:rPr>
          <w:rFonts w:ascii="Amiri" w:hAnsi="Amiri" w:eastAsia="Amiri" w:cs="Amiri"/>
          <w:color w:val="111111"/>
          <w:sz w:val="28"/>
          <w:sz w:val="28"/>
          <w:szCs w:val="28"/>
          <w:rtl w:val="true"/>
          <w:lang w:bidi="ar-SA"/>
        </w:rPr>
        <w:t xml:space="preserve">حيث جعل إتمام الرضاعة في الحولين، فما خرج عنهما ليس برضاع، و قد يحتجّ له برواية الفضل ابن عبد الملك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قبل الحولين قبل ان يفطم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التوكيد </w:t>
      </w:r>
      <w:r>
        <w:rPr>
          <w:rStyle w:val="FootnoteAnchor"/>
          <w:rtl w:val="true"/>
        </w:rPr>
        <w:footnoteReference w:id="208"/>
      </w:r>
      <w:r>
        <w:rPr>
          <w:rFonts w:ascii="Amiri" w:hAnsi="Amiri" w:eastAsia="Amiri" w:cs="Amiri"/>
          <w:color w:val="111111"/>
          <w:sz w:val="28"/>
          <w:sz w:val="28"/>
          <w:szCs w:val="28"/>
          <w:rtl w:val="true"/>
          <w:lang w:bidi="ar-SA"/>
        </w:rPr>
        <w:t>و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الرضاع بعد الحولين و لم يتوسّط بين الرضاعين، فطام بعد الحولين حرم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فوافق القوم في عدم النشر مع وقوع الفطام و الرضاع ممّا بعد الحولين، و خالف بدعوى النشر مع الارتضاع بعدهما من دون فطام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مسبوق بالإجماع و ملحوق به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 ابن الجنيد غير بعيد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 احتج له بموثقة منصور السابق </w:t>
      </w:r>
      <w:r>
        <w:rPr>
          <w:rStyle w:val="FootnoteAnchor"/>
          <w:rtl w:val="true"/>
        </w:rPr>
        <w:footnoteReference w:id="212"/>
      </w:r>
      <w:r>
        <w:rPr>
          <w:rFonts w:ascii="Amiri" w:hAnsi="Amiri" w:eastAsia="Amiri" w:cs="Amiri"/>
          <w:color w:val="111111"/>
          <w:sz w:val="28"/>
          <w:sz w:val="28"/>
          <w:szCs w:val="28"/>
          <w:rtl w:val="true"/>
          <w:lang w:bidi="ar-SA"/>
        </w:rPr>
        <w:t>و موثقة داود بن حصين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بعد الحولين قبل أن يفطم يحرم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قد رأيت تفسير الموثق</w:t>
      </w:r>
    </w:p>
    <w:p>
      <w:pPr>
        <w:pStyle w:val="BookText"/>
        <w:rPr/>
      </w:pPr>
      <w:r>
        <w:rPr>
          <w:rFonts w:ascii="Amiri" w:hAnsi="Amiri" w:eastAsia="Amiri" w:cs="Amiri"/>
          <w:color w:val="111111"/>
          <w:sz w:val="28"/>
          <w:sz w:val="28"/>
          <w:szCs w:val="28"/>
          <w:rtl w:val="true"/>
          <w:lang w:bidi="ar-SA"/>
        </w:rPr>
        <w:t xml:space="preserve">الأوّل في موثقة حمّاد </w:t>
      </w:r>
      <w:r>
        <w:rPr>
          <w:rStyle w:val="FootnoteAnchor"/>
          <w:rtl w:val="true"/>
        </w:rPr>
        <w:footnoteReference w:id="214"/>
      </w:r>
      <w:r>
        <w:rPr>
          <w:rFonts w:ascii="Amiri" w:hAnsi="Amiri" w:eastAsia="Amiri" w:cs="Amiri"/>
          <w:color w:val="111111"/>
          <w:sz w:val="28"/>
          <w:sz w:val="28"/>
          <w:szCs w:val="28"/>
          <w:rtl w:val="true"/>
          <w:lang w:bidi="ar-SA"/>
        </w:rPr>
        <w:t>المعتضدة بما سمعت من الإجماع المحصل و المنقول، و اما الثاني فسيذكر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الشرب بعد الفطام لا يحرّم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شرب من لبن المرأة بعد ما تفطمه لا يحرّم ذلك الرضاع التناكح</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الفطام محمول في كلامهما على الفطام الشرعي الذي سبق إليك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لبن المرضعة مع كون ولدها في الحولين ممّا ينشر سواء فطمته فيهما أوّلا، و إنّما اختلفوا فيما لو أرضعت الآخر بعدهما، و هو المشار إليه في عجز البيت، و المراد أنّ في اشتراط الرضاع بكونه قبل فصال المرضعة خلف، فإضافة الفصال فيه الى الفاعل، و في الصدر إلى المفعول، و قد اتّسع الخرق هنا بين المختلفين حتّى حكى عن ابن زهرة الإجماع على اشتراط النشر بكون ولد المرضعة في الحولين </w:t>
      </w:r>
      <w:r>
        <w:rPr>
          <w:rStyle w:val="FootnoteAnchor"/>
          <w:rtl w:val="true"/>
        </w:rPr>
        <w:footnoteReference w:id="217"/>
      </w:r>
      <w:r>
        <w:rPr>
          <w:rFonts w:ascii="Amiri" w:hAnsi="Amiri" w:eastAsia="Amiri" w:cs="Amiri"/>
          <w:color w:val="111111"/>
          <w:sz w:val="28"/>
          <w:sz w:val="28"/>
          <w:szCs w:val="28"/>
          <w:rtl w:val="true"/>
          <w:lang w:bidi="ar-SA"/>
        </w:rPr>
        <w:t>، و حكى الفاضل الهندي عن غيره الإجماع على عدم اشتراطه</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أبى الصلاح </w:t>
      </w:r>
      <w:r>
        <w:rPr>
          <w:rStyle w:val="FootnoteAnchor"/>
          <w:rtl w:val="true"/>
        </w:rPr>
        <w:footnoteReference w:id="219"/>
      </w:r>
      <w:r>
        <w:rPr>
          <w:rFonts w:ascii="Amiri" w:hAnsi="Amiri" w:eastAsia="Amiri" w:cs="Amiri"/>
          <w:color w:val="111111"/>
          <w:sz w:val="28"/>
          <w:sz w:val="28"/>
          <w:szCs w:val="28"/>
          <w:rtl w:val="true"/>
          <w:lang w:bidi="ar-SA"/>
        </w:rPr>
        <w:t xml:space="preserve">، و ابن حمزة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w:t>
      </w:r>
      <w:r>
        <w:rPr>
          <w:rStyle w:val="FootnoteAnchor"/>
          <w:rtl w:val="true"/>
        </w:rPr>
        <w:footnoteReference w:id="221"/>
      </w:r>
      <w:r>
        <w:rPr>
          <w:rFonts w:ascii="IRNazanin" w:hAnsi="IRNazanin" w:eastAsia="IRNazanin"/>
          <w:color w:val="111111"/>
          <w:sz w:val="28"/>
          <w:sz w:val="28"/>
          <w:szCs w:val="28"/>
          <w:rtl w:val="true"/>
          <w:lang w:bidi="fa-IR"/>
        </w:rPr>
        <w:t xml:space="preserve">و المحقق </w:t>
      </w:r>
      <w:r>
        <w:rPr>
          <w:rStyle w:val="FootnoteAnchor"/>
          <w:rtl w:val="true"/>
        </w:rPr>
        <w:footnoteReference w:id="222"/>
      </w:r>
      <w:r>
        <w:rPr>
          <w:rFonts w:ascii="Amiri" w:hAnsi="Amiri" w:eastAsia="Amiri" w:cs="Amiri"/>
          <w:color w:val="111111"/>
          <w:sz w:val="28"/>
          <w:sz w:val="28"/>
          <w:szCs w:val="28"/>
          <w:rtl w:val="true"/>
          <w:lang w:bidi="ar-SA"/>
        </w:rPr>
        <w:t xml:space="preserve">و الشهيدين </w:t>
      </w:r>
      <w:r>
        <w:rPr>
          <w:rStyle w:val="FootnoteAnchor"/>
          <w:rtl w:val="true"/>
        </w:rPr>
        <w:footnoteReference w:id="223"/>
      </w:r>
      <w:r>
        <w:rPr>
          <w:rFonts w:ascii="Amiri" w:hAnsi="Amiri" w:eastAsia="Amiri" w:cs="Amiri"/>
          <w:color w:val="111111"/>
          <w:sz w:val="28"/>
          <w:sz w:val="28"/>
          <w:szCs w:val="28"/>
          <w:rtl w:val="true"/>
          <w:lang w:bidi="ar-SA"/>
        </w:rPr>
        <w:t xml:space="preserve">و فخر المحققين </w:t>
      </w:r>
      <w:r>
        <w:rPr>
          <w:rStyle w:val="FootnoteAnchor"/>
          <w:rtl w:val="true"/>
        </w:rPr>
        <w:footnoteReference w:id="224"/>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225"/>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226"/>
      </w:r>
      <w:r>
        <w:rPr>
          <w:rFonts w:ascii="Amiri" w:hAnsi="Amiri" w:eastAsia="Amiri" w:cs="Amiri"/>
          <w:color w:val="111111"/>
          <w:sz w:val="28"/>
          <w:sz w:val="28"/>
          <w:szCs w:val="28"/>
          <w:rtl w:val="true"/>
          <w:lang w:bidi="ar-SA"/>
        </w:rPr>
        <w:t xml:space="preserve">، و كثير من المتأخرين، و قطع به العلامة في جملة من كتبه </w:t>
      </w:r>
      <w:r>
        <w:rPr>
          <w:rStyle w:val="FootnoteAnchor"/>
          <w:rtl w:val="true"/>
        </w:rPr>
        <w:footnoteReference w:id="227"/>
      </w:r>
      <w:r>
        <w:rPr>
          <w:rFonts w:ascii="Amiri" w:hAnsi="Amiri" w:eastAsia="Amiri" w:cs="Amiri"/>
          <w:color w:val="111111"/>
          <w:sz w:val="28"/>
          <w:sz w:val="28"/>
          <w:szCs w:val="28"/>
          <w:rtl w:val="true"/>
          <w:lang w:bidi="ar-SA"/>
        </w:rPr>
        <w:t xml:space="preserve">، لكنّه توقف في المختلف </w:t>
      </w:r>
      <w:r>
        <w:rPr>
          <w:rStyle w:val="FootnoteAnchor"/>
          <w:rtl w:val="true"/>
        </w:rPr>
        <w:footnoteReference w:id="228"/>
      </w:r>
      <w:r>
        <w:rPr>
          <w:rFonts w:ascii="Amiri" w:hAnsi="Amiri" w:eastAsia="Amiri" w:cs="Amiri"/>
          <w:color w:val="111111"/>
          <w:sz w:val="28"/>
          <w:sz w:val="28"/>
          <w:szCs w:val="28"/>
          <w:rtl w:val="true"/>
          <w:lang w:bidi="ar-SA"/>
        </w:rPr>
        <w:t xml:space="preserve">، و قصارى ما اشترط الشيخان </w:t>
      </w:r>
      <w:r>
        <w:rPr>
          <w:rStyle w:val="FootnoteAnchor"/>
          <w:rtl w:val="true"/>
        </w:rPr>
        <w:footnoteReference w:id="229"/>
      </w:r>
      <w:r>
        <w:rPr>
          <w:rFonts w:ascii="Amiri" w:hAnsi="Amiri" w:eastAsia="Amiri" w:cs="Amiri"/>
          <w:color w:val="111111"/>
          <w:sz w:val="28"/>
          <w:sz w:val="28"/>
          <w:szCs w:val="28"/>
          <w:rtl w:val="true"/>
          <w:lang w:bidi="ar-SA"/>
        </w:rPr>
        <w:t>و أكثر المتقدمين ان يكون الرضاع في الحولين من دون تخصيص بالمرتضع و لا تعرض لولد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مرّ في المرتضع، فإنّه يتناول ولد المرضعة أيضا، و ما روى على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الفضال سأل ابن بكير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 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ذلك بينهما، لأنّه رضاع بعد فطام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أنّه إذا تمّ للغلام سنتان أو الجارية، فقد خرج عن حدّ اللبن، و لا يفسد بينه و بين من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يفسد إلّا أنّ الصبيّ و الصبيّة يشربان شربة، شربة</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الشرطية، فيتمسّك بالعمومات، حتّى تثبت، و</w:t>
      </w:r>
    </w:p>
    <w:p>
      <w:pPr>
        <w:pStyle w:val="BookText"/>
        <w:rPr/>
      </w:pPr>
      <w:r>
        <w:rPr>
          <w:rFonts w:ascii="Amiri" w:hAnsi="Amiri" w:eastAsia="Amiri" w:cs="Amiri"/>
          <w:color w:val="111111"/>
          <w:sz w:val="28"/>
          <w:sz w:val="28"/>
          <w:szCs w:val="28"/>
          <w:rtl w:val="true"/>
          <w:lang w:bidi="ar-SA"/>
        </w:rPr>
        <w:t>أجابوا عن 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إنّما هو فطام المرتضع دون ولد المرضعة، و أنّ ما ذكر عن ابن بكير ليس برواية، بل رأى رآه، فلا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 كلام ابن بكير لا يخلو عن تشابه، و لو كان رواية لم يدلّ بعد التنقيح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للقول الثاني مضافا الى ما سبق، باستصحاب حال الإجماع، لثبوت النشر قبل الحولين، فيستصحب الى موضع النزاع، و بالموثّق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بعد حولين قبل ان يفطم يحرم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اى الرضاع بعد حولي ولد المرضعة قبل أن يفطم الرضيع و يتمّ حولاه، و إنّما تعيّن ما ذكرنا من التفسير لئلا يخالف الإجماع، و قد بقي الكلام فيما حكينا عن ابن زهرة من الإجماع، و ما حكاه الفاضل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بذلك الغير ابن إدريس، حيث خطّأ أوّلا القائل باشتراط ان يكون ولد المرضعة في الحولين، ثمّ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الولادة من حلال إذا مضى لها أكثر من حولين نشر لبنها الحرمة بغير خلاف من محصّل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في المختلف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استدلال بالإجماع في المختلف، و هو اولى بالخطاء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السرّ في حكاية كل الإجماع على خلاف الآخر، ما قد حكيناه سابقا عن الأكثرين من اشتراط ان يكون الرضاع في الحولين من دون تخصيص بالمرتضع، و لا تعميم فيه و في ولد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على الأعمّ من حولي المرتضع و ولد المرضعة، استنادا إلى الإطلاق </w:t>
      </w:r>
      <w:r>
        <w:rPr>
          <w:rStyle w:val="FootnoteAnchor"/>
          <w:rtl w:val="true"/>
        </w:rPr>
        <w:footnoteReference w:id="235"/>
      </w:r>
      <w:r>
        <w:rPr>
          <w:rFonts w:ascii="Amiri" w:hAnsi="Amiri" w:eastAsia="Amiri" w:cs="Amiri"/>
          <w:color w:val="111111"/>
          <w:sz w:val="28"/>
          <w:sz w:val="28"/>
          <w:szCs w:val="28"/>
          <w:rtl w:val="true"/>
          <w:lang w:bidi="ar-SA"/>
        </w:rPr>
        <w:t>، و جعلهما ابن إدريس عبارة من حولي</w:t>
      </w:r>
      <w:bookmarkStart w:id="69" w:name="pg2480_16398"/>
    </w:p>
    <w:p>
      <w:pPr>
        <w:pStyle w:val="BookText"/>
        <w:rPr/>
      </w:pPr>
      <w:bookmarkEnd w:id="69"/>
      <w:r>
        <w:rPr>
          <w:rFonts w:ascii="Amiri" w:hAnsi="Amiri" w:eastAsia="Amiri" w:cs="Amiri"/>
          <w:color w:val="111111"/>
          <w:sz w:val="28"/>
          <w:sz w:val="28"/>
          <w:szCs w:val="28"/>
          <w:rtl w:val="true"/>
          <w:lang w:bidi="ar-SA"/>
        </w:rPr>
        <w:t>المرتضع، نظرا الى المنساق، فصحّ لابن زهرة حكاية الإجماع، لأنّه قطع على أنّ فتوى الأصحاب إنّما هي بالأعمّ، و لابن إدريس ان ينفى الخلاف، لأنّه قطع على أنّهم لم يتعرضوا لولد المرضعة، فمراده من نفى الخلاف عدم التصريح بالاشتراط، لا التصريح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فاذا تساقط الإجماعان بالتعارض، أو انتفى كونهما اجماعين بما ذكرناه من التأويل فقد بقي للقول الثاني نوع رجحان، غير أنّ المسألة قويّة الإشكال، و طريق 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الحولين الأهلّة، كما في سنتين البلوغ و أشهر العدّة و أجل العنّة و أشباه ذلك من أبواب الفقه، لأنّه هو المتبادر و المنساق عند أهل اللّسان، بخلاف الشمسية، بل ربّما حكى عليه الاتفاق فيعدّ أربعة و عشرون شهرا من انفصال تمام الولد، فان انكسر الأوّل حسب ثلاثة و عشرون و أتمّ المنكسر من الخامس و العشرين معدودا بثلاثين، و إن نقص في وجه، و يحتمل انكسار الجميع، و الأوّل أقوى</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755563_3804643083"/>
      <w:bookmarkStart w:id="71" w:name="_Toc26"/>
      <w:bookmarkEnd w:id="70"/>
      <w:r>
        <w:rPr>
          <w:rtl w:val="true"/>
        </w:rPr>
        <w:t>[</w:t>
      </w:r>
      <w:r>
        <w:rPr>
          <w:rtl w:val="true"/>
        </w:rPr>
        <w:t>عدم كون الرضاع بلبن زنى</w:t>
      </w:r>
      <w:r>
        <w:rPr>
          <w:rtl w:val="true"/>
        </w:rPr>
        <w:t>]</w:t>
      </w:r>
      <w:bookmarkEnd w:id="71"/>
    </w:p>
    <w:p>
      <w:pPr>
        <w:pStyle w:val="BookText"/>
        <w:rPr/>
      </w:pPr>
      <w:r>
        <w:rPr>
          <w:rFonts w:ascii="Amiri" w:hAnsi="Amiri" w:eastAsia="Amiri" w:cs="Amiri"/>
          <w:color w:val="111111"/>
          <w:sz w:val="28"/>
          <w:sz w:val="28"/>
          <w:szCs w:val="28"/>
          <w:rtl w:val="true"/>
          <w:lang w:bidi="ar-SA"/>
        </w:rPr>
        <w:t>و ابن الجنيد في السّفاح قد ذهب فردا إلى أنّ الرضاع كالنسب</w:t>
      </w:r>
    </w:p>
    <w:p>
      <w:pPr>
        <w:pStyle w:val="BookText"/>
        <w:rPr/>
      </w:pPr>
      <w:r>
        <w:rPr>
          <w:rFonts w:ascii="Amiri" w:hAnsi="Amiri" w:eastAsia="Amiri" w:cs="Amiri"/>
          <w:color w:val="111111"/>
          <w:sz w:val="28"/>
          <w:sz w:val="28"/>
          <w:szCs w:val="28"/>
          <w:rtl w:val="true"/>
          <w:lang w:bidi="ar-SA"/>
        </w:rPr>
        <w:t xml:space="preserve">ما تقدّم من عدم النشر بلبن الزنا هو المذهب، و قد حكى عليه الفاضل الهندي الإجماع </w:t>
      </w:r>
      <w:r>
        <w:rPr>
          <w:rStyle w:val="FootnoteAnchor"/>
          <w:rtl w:val="true"/>
        </w:rPr>
        <w:footnoteReference w:id="236"/>
      </w:r>
      <w:r>
        <w:rPr>
          <w:rFonts w:ascii="Amiri" w:hAnsi="Amiri" w:eastAsia="Amiri" w:cs="Amiri"/>
          <w:color w:val="111111"/>
          <w:sz w:val="28"/>
          <w:sz w:val="28"/>
          <w:szCs w:val="28"/>
          <w:rtl w:val="true"/>
          <w:lang w:bidi="ar-SA"/>
        </w:rPr>
        <w:t xml:space="preserve">، بل في المسالك </w:t>
      </w:r>
      <w:r>
        <w:rPr>
          <w:rStyle w:val="FootnoteAnchor"/>
          <w:rtl w:val="true"/>
        </w:rPr>
        <w:footnoteReference w:id="237"/>
      </w:r>
      <w:r>
        <w:rPr>
          <w:rFonts w:ascii="Amiri" w:hAnsi="Amiri" w:eastAsia="Amiri" w:cs="Amiri"/>
          <w:color w:val="111111"/>
          <w:sz w:val="28"/>
          <w:sz w:val="28"/>
          <w:szCs w:val="28"/>
          <w:rtl w:val="true"/>
          <w:lang w:bidi="ar-SA"/>
        </w:rPr>
        <w:t xml:space="preserve">و شرح القواعد للمحقق الثاني، عدم الخلاف </w:t>
      </w:r>
      <w:r>
        <w:rPr>
          <w:rStyle w:val="FootnoteAnchor"/>
          <w:rtl w:val="true"/>
        </w:rPr>
        <w:footnoteReference w:id="238"/>
      </w:r>
      <w:r>
        <w:rPr>
          <w:rFonts w:ascii="Amiri" w:hAnsi="Amiri" w:eastAsia="Amiri" w:cs="Amiri"/>
          <w:color w:val="111111"/>
          <w:sz w:val="28"/>
          <w:sz w:val="28"/>
          <w:szCs w:val="28"/>
          <w:rtl w:val="true"/>
          <w:lang w:bidi="ar-SA"/>
        </w:rPr>
        <w:t>، 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أرضعت بلبن حمل من الزنا حرمت و أهلها على المرتضع و كان تجنّبه أهل الزاني أولى و أحوط</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حكى </w:t>
      </w:r>
      <w:r>
        <w:rPr>
          <w:rStyle w:val="FootnoteAnchor"/>
          <w:rtl w:val="true"/>
        </w:rPr>
        <w:footnoteReference w:id="240"/>
      </w:r>
      <w:r>
        <w:rPr>
          <w:rFonts w:ascii="Amiri" w:hAnsi="Amiri" w:eastAsia="Amiri" w:cs="Amiri"/>
          <w:color w:val="111111"/>
          <w:sz w:val="28"/>
          <w:sz w:val="28"/>
          <w:szCs w:val="28"/>
          <w:rtl w:val="true"/>
          <w:lang w:bidi="ar-SA"/>
        </w:rPr>
        <w:t>النشر بلبن الزنا عن المبسوط أيضا، و هو وهم، و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وطأ امرأة وطأ يلحق به النسب بنكاح صحيح أو فاسد أو وطئ شبهة أو ملك يمين، فخلق الولد بينهما فهو ابنهما معا، فاذا نزل له لبن كان لهما، فإذا أرضعت به مولودا العدد الذي يحرم فان الرضيع ولدهما معا من الرضاعة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نظر ابن الجنيد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غير أنّ الفرق حينئذ بين المرضعة و الفحل غير واضح، و كيف كان، فالنسب محمول في الخبر على الشرعيّ، إذ عرف الشارع هو المعتبر عند التعارض، و ليس تحريم الولد من الزّنا على أبويه لنسب بينهما، بل لحكم آخر من الشارع، دلّنا على 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للمطلق اللّبان ما اتّصل إلّا إذا الحمل من الثاني انفصل</w:t>
      </w:r>
    </w:p>
    <w:p>
      <w:pPr>
        <w:pStyle w:val="BookText"/>
        <w:rPr/>
      </w:pPr>
      <w:r>
        <w:rPr>
          <w:rFonts w:ascii="Amiri" w:hAnsi="Amiri" w:eastAsia="Amiri" w:cs="Amiri"/>
          <w:color w:val="111111"/>
          <w:sz w:val="28"/>
          <w:sz w:val="28"/>
          <w:szCs w:val="28"/>
          <w:rtl w:val="true"/>
          <w:lang w:bidi="ar-SA"/>
        </w:rPr>
        <w:t>و إن يطل جفافه فالثاني لزوجها الثاني مع الإمكان</w:t>
      </w:r>
    </w:p>
    <w:p>
      <w:pPr>
        <w:pStyle w:val="BookText"/>
        <w:rPr/>
      </w:pPr>
      <w:r>
        <w:rPr>
          <w:rFonts w:ascii="Amiri" w:hAnsi="Amiri" w:eastAsia="Amiri" w:cs="Amiri"/>
          <w:color w:val="111111"/>
          <w:sz w:val="28"/>
          <w:sz w:val="28"/>
          <w:szCs w:val="28"/>
          <w:rtl w:val="true"/>
          <w:lang w:bidi="ar-SA"/>
        </w:rPr>
        <w:t>قد عرفت أنّ حكم اللبن تابع للنّكاح الصحيح، فان طلّقها الزوج أو مات و هي حامل منه أو مرضع، فهناك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قبل أن تنكح غيره أو بعد أن نكحت، و لكن لم تحمل من الأخر، فاللبن للاوّل إجماعا من غير فرق فيه بين استمراره و عوده غبّ انقطاع ما لم يدخل العود في الدّرور بنفسه، و لا في الإرضاع بين كونه في العدّة أو بعدها، و لا فيما بعدها بين امتداد المدّة، و قصرها إلّا ان نشترط كون ولد المرضعة في الحولين فيحكم بكون ما بعدهما كما درّ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بعد الحمل من الثاني و قبل الولادة و لم ينقطع اللبن انقطاعا بينّا و لم يحدث فيه زيادة، و هو للاوّل لا نعلم فيه خلافا كما في التذكرة</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لكن تجدّد في اللبن زيادة، و لا نعلم أيضا خلافا في أنّه</w:t>
      </w:r>
    </w:p>
    <w:p>
      <w:pPr>
        <w:pStyle w:val="BookText"/>
        <w:rPr/>
      </w:pPr>
      <w:r>
        <w:rPr>
          <w:rFonts w:ascii="Amiri" w:hAnsi="Amiri" w:eastAsia="Amiri" w:cs="Amiri"/>
          <w:color w:val="111111"/>
          <w:sz w:val="28"/>
          <w:sz w:val="28"/>
          <w:szCs w:val="28"/>
          <w:rtl w:val="true"/>
          <w:lang w:bidi="ar-SA"/>
        </w:rPr>
        <w:t>للاوّل، و بالجملة فنحن نستصحب كونه للأوّل في الصور الثلاث، غير أنّه إن حدثت في اللبن زيادة فالشك في قدح العارض، لاحتمال امتزاجه بالغير، و إلّا ففي عروض القادح، و أمّا من يرى النشر بلبن الحمل فالشك عنده مع حملها في الثاني في قدح العارض، سواء زاد اللبن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ترضع بعد الوضع من الثاني فهو للثاني إجماعا، كما في التذكرة </w:t>
      </w:r>
      <w:r>
        <w:rPr>
          <w:rStyle w:val="FootnoteAnchor"/>
          <w:rtl w:val="true"/>
        </w:rPr>
        <w:footnoteReference w:id="244"/>
      </w:r>
      <w:r>
        <w:rPr>
          <w:rFonts w:ascii="Amiri" w:hAnsi="Amiri" w:eastAsia="Amiri" w:cs="Amiri"/>
          <w:color w:val="111111"/>
          <w:sz w:val="28"/>
          <w:sz w:val="28"/>
          <w:szCs w:val="28"/>
          <w:rtl w:val="true"/>
          <w:lang w:bidi="ar-SA"/>
        </w:rPr>
        <w:t>سواء انقطع قبل الوضع أم لا، و سواء زاد به أم لا، و هذه الصور كلها مستفادة من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ينقطع اللّبن انقطاعا بينّا، أعنى مدّة طويلة لا يتخلّل مثلها اللّبن الواحد غالبا ثمّ يعود، فإن أمكن كونه من الثاني كان له بلا خلاف يعرف، إذ صرفه عن السبب الصالح إلى المقتضي الأوّل بعد زواله ممّا يقتضي التجدد، و الأصل عدمه، غير أنّ النسبة إلى الزوج الثاني لا تثمر عندنا أكثر من الانصراف عن الأوّل، لمّا مرّ من أنّ لبن الحمل لا ينشر، و إن تعذّر كونه للثاني صرف الى ما يقتضيه الحال، فان لم تكن حملت بعد فراق الأوّل فهو درور من نفسه، و إن حملت و لكن من غير الزوج الثاني، فإن كان عن شبهة فللمشتبه، و ان كان عن زنا فلغو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يعيد الاعتراف بالولد بعد اللعان النشر في رأي أسدّ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الملاعنة إذا أرضعت ولدا حرم عليها و على عصبتها، و ان زعم الملاعن أنّ حملها لغيّة، لثبوت النسب بينها و بين ولدها نصّا و إجماعا، فلا يقدح كونها بنسبة الولد الى الملاعن قد نفت إلحاقه من غيره على وجه يصحّ، و أمّا الملاعن فينفى اللبن عنه، ما استمرّ على الإنكار إجماعا، فهل يمنع من نكاح زوجة الرضيع و الرضيع من نكاح زوجته أو من يحرم من قرابته بتقدير كونه فحلا؟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اللبن عنه و كونه</w:t>
      </w:r>
    </w:p>
    <w:p>
      <w:pPr>
        <w:pStyle w:val="BookText"/>
        <w:rPr/>
      </w:pPr>
      <w:r>
        <w:rPr>
          <w:rFonts w:ascii="Amiri" w:hAnsi="Amiri" w:eastAsia="Amiri" w:cs="Amiri"/>
          <w:color w:val="111111"/>
          <w:sz w:val="28"/>
          <w:sz w:val="28"/>
          <w:szCs w:val="28"/>
          <w:rtl w:val="true"/>
          <w:lang w:bidi="ar-SA"/>
        </w:rPr>
        <w:t xml:space="preserve">متزلزلا مراعي بالإصرار، و لو رجع عن الإنكار ثبت الميراث للولد دونه نصّا </w:t>
      </w:r>
      <w:r>
        <w:rPr>
          <w:rStyle w:val="FootnoteAnchor"/>
          <w:rtl w:val="true"/>
        </w:rPr>
        <w:footnoteReference w:id="245"/>
      </w:r>
      <w:r>
        <w:rPr>
          <w:rFonts w:ascii="Amiri" w:hAnsi="Amiri" w:eastAsia="Amiri" w:cs="Amiri"/>
          <w:color w:val="111111"/>
          <w:sz w:val="28"/>
          <w:sz w:val="28"/>
          <w:szCs w:val="28"/>
          <w:rtl w:val="true"/>
          <w:lang w:bidi="ar-SA"/>
        </w:rPr>
        <w:t>و إجماعا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التوريث ما ذكر من الدليل، لا نفس الإقرار، و إلّا كان بالنسبة إلى الوارث الآخر في حقّ الغير، و لقائل أن يمنع كونه في حق الغير، بل هو كما لو أقرّ بأنّ ما في يده وقف عليه و على زيد بعده،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النصوص و لا في الفتاوى الفرق في توريث الولد بين إنكاره للابوّة و عدمه، و لعلّ الإطلاق نظرا إلى ما هو الأغلب من عدم اطّلاع الولد، و إلّا كيف يورث مع إنكاره النسب، و في توريث وارث الولد حينئذ بعد موته إن لم يشارك في الإنكار وجهان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بقية أحكام النسب فالظاهر أنّها تابعة لحكم الإقرار،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تصادقا في ثبوت النسب مضى بالنسبة إلى الحقوق الدنيوية، فيجب الإنفاق من كل منهما على الأخر مع الاستحقاق و يمنع من نكاح زوجته و يجوز أكله من بيته بدون إذنه، و لا يرجع فيما يصلح الرجوع به على الأجنبيّ من الهبة، و امّا فيما كان للّه أو لعباده فيه حقّ، فالأقرب عدم تأثير الإقرار فيه، فلا يمكن كلّ من النظر الى محارم الآخر و لا من دفعه الزكاة اليه مع وجود المسوّغ، و لا يحلّ الملاعن نذر الولد و لا تردّ شهادته عليه و لا له استباحة من عقد له عليهما في صغره، نعم لو كان من قسم الحدود، كقطع كلّ منها بسرقة مال الأخر، و حدّه بقذفه و درأته الشبهة، و لو اختصّ الإقرار بأحدهما أخذ به و لم ينفذ على الأخر، فيجب على الملاعن تمرينه للصلاة و الصوم، على القول بالوجوب، و لا يتوقف نذر الولد و لآخر وجه إلى الجهاد، و لا خلوص صومه عن الكراهة على إذن الملاعن، و لا له ان يحرم به في صغره و له ان يقتله، إن سمع منه سبّ النبيّ صلّى اللّه عليه و آله و سلّم أو أحد الأئمّة أو كان حربيّا من دون اذن الإمام، و لو كان كافرا لم يتبعه في التنجيس و لا يثبت له و لا لمولاه الولاية عليه</w:t>
      </w:r>
      <w:r>
        <w:rPr>
          <w:rFonts w:eastAsia="Amiri" w:cs="Amiri" w:ascii="Amiri" w:hAnsi="Amiri"/>
          <w:color w:val="111111"/>
          <w:sz w:val="28"/>
          <w:szCs w:val="28"/>
          <w:rtl w:val="true"/>
          <w:lang w:bidi="ar-SA"/>
        </w:rPr>
        <w:t>.</w:t>
      </w:r>
      <w:bookmarkStart w:id="72" w:name="pg2480_16402"/>
    </w:p>
    <w:p>
      <w:pPr>
        <w:pStyle w:val="BookText"/>
        <w:rPr/>
      </w:pPr>
      <w:bookmarkEnd w:id="72"/>
      <w:r>
        <w:rPr>
          <w:rFonts w:ascii="Amiri" w:hAnsi="Amiri" w:eastAsia="Amiri" w:cs="Amiri"/>
          <w:color w:val="111111"/>
          <w:sz w:val="28"/>
          <w:sz w:val="28"/>
          <w:szCs w:val="28"/>
          <w:rtl w:val="true"/>
          <w:lang w:bidi="ar-SA"/>
        </w:rPr>
        <w:t>و من هنا ظهر أنّ نشر اللّبن لا يعود بالاعتراف بعد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الرضاع دائر أيضا مدار الإقرار، فلو كان الرضيع أنثى، منع الملاعن من النظر إليها، أقرّ باللبن أو أنكره، و لو سوّغنا له العقد عليها استصحب حكم العقد في جانبها دونه، بخلاف ما لو سوّغنا للرضيع النكاح فيمن ينتسب إلى الملاعن، فنكح أحد ولده أو من ارتضع من لبن آخر له لم يلاعن فيه، فإنّا نستصحب حكم العقد بعد إقرار الملاعن مطلقا، و لو كان الرضيع رقّا للملاعن 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عود النسب بالإقرار استصحابا، لحالي النفي و الإجماع، و قد يحتمل العود نظرا إلى وجود المقتضى أعنى الفراش، و إنّما كان المانع الإنكار و قد زال، و من ثمّة جعل الفقهاء اللّعان من موانع الإرث دون الزنا، و لقول الصادق عليه السّلام في عدّة روايات، منها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الولد فإنّي أردّه إليه إذا ادّعاه و لا أدع ولده و ليس له ميراث</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أمّا عدم توريث الأب فامّا تعبد أو مؤاخذة له على فعله، و وجه آخر و هو العود بالنسبة إلى الولد فقط استضعافا لما ذكر من الاعتبار و وقوفا عند ما أخرجه النصّ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المانع بين رافع المقتضى و رافع أثره، و اللّعان من الأوّل، بخلاف نحو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 إنّما هو الردّ الخاصّ أعنى ما يقتضيه الإقرار، و منه التوريث لا الردّ مطلقا، و من طلب المزيد عن ذلك فليرجع إلى ما كتبنا في المواريث، و اللّه الموفّق</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755565_3804643083"/>
      <w:bookmarkStart w:id="74" w:name="_Toc27"/>
      <w:bookmarkEnd w:id="73"/>
      <w:r>
        <w:rPr>
          <w:rtl w:val="true"/>
        </w:rPr>
        <w:t>[</w:t>
      </w:r>
      <w:r>
        <w:rPr>
          <w:rtl w:val="true"/>
        </w:rPr>
        <w:t>الرضاع الكافي لنشر الحرمة</w:t>
      </w:r>
      <w:r>
        <w:rPr>
          <w:rtl w:val="true"/>
        </w:rPr>
        <w:t>]</w:t>
      </w:r>
      <w:bookmarkEnd w:id="74"/>
    </w:p>
    <w:p>
      <w:pPr>
        <w:pStyle w:val="Heading5"/>
        <w:numPr>
          <w:ilvl w:val="4"/>
          <w:numId w:val="1"/>
        </w:numPr>
        <w:rPr/>
      </w:pPr>
      <w:bookmarkStart w:id="75" w:name="__RefHeading___Toc3755567_3804643083"/>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 ليس يكفي رضعة بل إمّا ما أنبتت اللّحم و شدّ العظما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خمس عشرة على المختار لينتفي تعارض الأخبار</w:t>
      </w:r>
    </w:p>
    <w:p>
      <w:pPr>
        <w:pStyle w:val="BookText"/>
        <w:rPr/>
      </w:pPr>
      <w:r>
        <w:rPr>
          <w:rFonts w:ascii="Amiri" w:hAnsi="Amiri" w:eastAsia="Amiri" w:cs="Amiri"/>
          <w:color w:val="111111"/>
          <w:sz w:val="28"/>
          <w:sz w:val="28"/>
          <w:szCs w:val="28"/>
          <w:rtl w:val="true"/>
          <w:lang w:bidi="ar-SA"/>
        </w:rPr>
        <w:t>أو ليلة و اليوم، إن تمّ العدد أو لم يتمّ، لعموم ما ورد</w:t>
      </w:r>
    </w:p>
    <w:p>
      <w:pPr>
        <w:pStyle w:val="BookText"/>
        <w:rPr/>
      </w:pPr>
      <w:r>
        <w:rPr>
          <w:rFonts w:ascii="Amiri" w:hAnsi="Amiri" w:eastAsia="Amiri" w:cs="Amiri"/>
          <w:color w:val="111111"/>
          <w:sz w:val="28"/>
          <w:sz w:val="28"/>
          <w:szCs w:val="28"/>
          <w:rtl w:val="true"/>
          <w:lang w:bidi="ar-SA"/>
        </w:rPr>
        <w:t xml:space="preserve">أجمع الأصحاب، كما حكى ابن إدريس </w:t>
      </w:r>
      <w:r>
        <w:rPr>
          <w:rStyle w:val="FootnoteAnchor"/>
          <w:rtl w:val="true"/>
        </w:rPr>
        <w:footnoteReference w:id="247"/>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248"/>
      </w:r>
      <w:r>
        <w:rPr>
          <w:rFonts w:ascii="IRNazanin" w:hAnsi="IRNazanin" w:eastAsia="IRNazanin"/>
          <w:color w:val="111111"/>
          <w:sz w:val="28"/>
          <w:sz w:val="28"/>
          <w:szCs w:val="28"/>
          <w:rtl w:val="true"/>
          <w:lang w:bidi="fa-IR"/>
        </w:rPr>
        <w:t xml:space="preserve">و الفاضل المقدّس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يشترط في نشر الرّضاع الغير المنفصل برضاع أخرى الزيادة عن الخمس عشرة، و اختلفوا فيما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ابن الجنيد إلى الاكتفاء برضعة تملأ جوف المرتضع إمّا بالمصّ أو الوجور </w:t>
      </w:r>
      <w:r>
        <w:rPr>
          <w:rStyle w:val="FootnoteAnchor"/>
          <w:rtl w:val="true"/>
        </w:rPr>
        <w:footnoteReference w:id="250"/>
      </w:r>
      <w:r>
        <w:rPr>
          <w:rFonts w:ascii="Amiri" w:hAnsi="Amiri" w:eastAsia="Amiri" w:cs="Amiri"/>
          <w:color w:val="111111"/>
          <w:sz w:val="28"/>
          <w:sz w:val="28"/>
          <w:szCs w:val="28"/>
          <w:rtl w:val="true"/>
          <w:lang w:bidi="ar-SA"/>
        </w:rPr>
        <w:t xml:space="preserve">، و هو في كلا المسألتين مسبوق بالإجماع و ملحوق به، و قد احتجّوا الاكتفاء بالرضعة بعموم قوله تعالى وَ أُمَّهٰاتُكُمُ اللّٰاتِي أَرْضَعْنَكُمْ وَ أَخَوٰاتُكُمْ مِنَ الرَّضٰاعَةِ </w:t>
      </w:r>
      <w:r>
        <w:rPr>
          <w:rStyle w:val="FootnoteAnchor"/>
          <w:rtl w:val="true"/>
        </w:rPr>
        <w:footnoteReference w:id="251"/>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بن مهزيار كتب إلى أبي الحسن عليه السّلام يسأله عمّا يحرم من الرّضاع؟ فكتب عليه السّلام قليله و كثيره حرام </w:t>
      </w:r>
      <w:r>
        <w:rPr>
          <w:rStyle w:val="FootnoteAnchor"/>
          <w:rtl w:val="true"/>
        </w:rPr>
        <w:footnoteReference w:id="253"/>
      </w:r>
      <w:r>
        <w:rPr>
          <w:rFonts w:ascii="Amiri" w:hAnsi="Amiri" w:eastAsia="Amiri" w:cs="Amiri"/>
          <w:color w:val="111111"/>
          <w:sz w:val="28"/>
          <w:sz w:val="28"/>
          <w:szCs w:val="28"/>
          <w:rtl w:val="true"/>
          <w:lang w:bidi="ar-SA"/>
        </w:rPr>
        <w:t>، و ما روى عن زيد بن علىّ عن آبائه عن على عليه السّلام الرضعة الواحدة كالمائة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العموم فبالإجماع على التخصيص، لاتفاق الإمامية على أنّ مسمّى الرّضاع ليس بكاف في التحريم، و إنّما يدّعى كلّ منا و من ابن الجنيد مخصّصا،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كون ما يدّعيه مخصّصا فلا بدّ من العمل على ما هو من المخصّصين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أيسر ما فيهما موافقة العامّة، كما هو المعروف من مذهب أبي حنيفة و مالك و الأوزاعيّ و ابن عمر، بل نسبه الشيخ إلى جميعهم </w:t>
      </w:r>
      <w:r>
        <w:rPr>
          <w:rStyle w:val="FootnoteAnchor"/>
          <w:rtl w:val="true"/>
        </w:rPr>
        <w:footnoteReference w:id="255"/>
      </w:r>
      <w:r>
        <w:rPr>
          <w:rFonts w:ascii="Amiri" w:hAnsi="Amiri" w:eastAsia="Amiri" w:cs="Amiri"/>
          <w:color w:val="111111"/>
          <w:sz w:val="28"/>
          <w:sz w:val="28"/>
          <w:szCs w:val="28"/>
          <w:rtl w:val="true"/>
          <w:lang w:bidi="ar-SA"/>
        </w:rPr>
        <w:t xml:space="preserve">، مضافا إلى أنّ الثاني لم يروه إلّا رجال من العامّة و الزيديّة، كما صرّح به الشيخ أيضا </w:t>
      </w:r>
      <w:r>
        <w:rPr>
          <w:rStyle w:val="FootnoteAnchor"/>
          <w:rtl w:val="true"/>
        </w:rPr>
        <w:footnoteReference w:id="256"/>
      </w:r>
      <w:r>
        <w:rPr>
          <w:rFonts w:ascii="Amiri" w:hAnsi="Amiri" w:eastAsia="Amiri" w:cs="Amiri"/>
          <w:color w:val="111111"/>
          <w:sz w:val="28"/>
          <w:sz w:val="28"/>
          <w:szCs w:val="28"/>
          <w:rtl w:val="true"/>
          <w:lang w:bidi="ar-SA"/>
        </w:rPr>
        <w:t>، على أنّهما غير معلومي الورود في مطلوبه، لجواز كونهما في الرضاع بعد الفصال، بل هو الأظهر منهما، إذ لا يحرم الرضاع الناشر للتحريم، إلّا في بعض الأحيان، كما إذا استلزم فسخ زوجة الرجل بدون إذنه و بعد تسليم الورود فيما هو المقصود، فقصارى الصحيح منهما الإطلاق، إذ القلّة و الكثرة من الأمور الإضافية فيجب التقييد بالعشر أو ما فوقها على الخلاف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الاجتزاء بالوجور، فقد حكاه العلّامة </w:t>
      </w:r>
      <w:r>
        <w:rPr>
          <w:rStyle w:val="FootnoteAnchor"/>
          <w:rtl w:val="true"/>
        </w:rPr>
        <w:footnoteReference w:id="257"/>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258"/>
      </w:r>
      <w:r>
        <w:rPr>
          <w:rFonts w:ascii="Amiri" w:hAnsi="Amiri" w:eastAsia="Amiri" w:cs="Amiri"/>
          <w:color w:val="111111"/>
          <w:sz w:val="28"/>
          <w:sz w:val="28"/>
          <w:szCs w:val="28"/>
          <w:rtl w:val="true"/>
          <w:lang w:bidi="ar-SA"/>
        </w:rPr>
        <w:t xml:space="preserve">و غيرهما عن المبسوط </w:t>
      </w:r>
      <w:r>
        <w:rPr>
          <w:rStyle w:val="FootnoteAnchor"/>
          <w:rtl w:val="true"/>
        </w:rPr>
        <w:footnoteReference w:id="259"/>
      </w:r>
      <w:r>
        <w:rPr>
          <w:rFonts w:ascii="Amiri" w:hAnsi="Amiri" w:eastAsia="Amiri" w:cs="Amiri"/>
          <w:color w:val="111111"/>
          <w:sz w:val="28"/>
          <w:sz w:val="28"/>
          <w:szCs w:val="28"/>
          <w:rtl w:val="true"/>
          <w:lang w:bidi="ar-SA"/>
        </w:rPr>
        <w:t>أيضا، لكنّ الثابت في عدّة مواضع منه، أنّه لا اعتبار بالوجور، و لعلّ ابن الجنيد يستند في ذلك إلى التنقيح، إذ الغاية المطلوبة إنّما هي النشؤ، و صريح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 الصبيّ اللبن بمنزلة الرضاع</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ذلك هو الغاية مطلقا، بل عند الامتصاص من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فمردود بالإرسال و إعراض الطائفة عنه و عدم معلوميّة الورود في مطلوبه و معارض بالصّحاح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لمحمّد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حلبت من لبنها فأسقت زوجها</w:t>
      </w:r>
      <w:bookmarkStart w:id="77" w:name="pg2480_16405"/>
    </w:p>
    <w:p>
      <w:pPr>
        <w:pStyle w:val="BookText"/>
        <w:rPr/>
      </w:pPr>
      <w:bookmarkEnd w:id="77"/>
      <w:r>
        <w:rPr>
          <w:rFonts w:ascii="Amiri" w:hAnsi="Amiri" w:eastAsia="Amiri" w:cs="Amiri"/>
          <w:color w:val="111111"/>
          <w:sz w:val="28"/>
          <w:sz w:val="28"/>
          <w:szCs w:val="28"/>
          <w:rtl w:val="true"/>
          <w:lang w:bidi="ar-SA"/>
        </w:rPr>
        <w:t>لتحرم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و أوجع ظهرها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ثانيها للحلبي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حلبت من لبنها في مكوك فأسقته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امرأتك و عليك بجاريتك</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ثالثها لعبيد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إذ قد بطل القول بالرضعة الواحدة، فقد تعيّن العمل على ما هو المذكور في النظم من العمل على الكميّات الثلاث،</w:t>
      </w:r>
    </w:p>
    <w:p>
      <w:pPr>
        <w:pStyle w:val="Heading5"/>
        <w:numPr>
          <w:ilvl w:val="4"/>
          <w:numId w:val="1"/>
        </w:numPr>
        <w:rPr/>
      </w:pPr>
      <w:bookmarkStart w:id="78" w:name="__RefHeading___Toc3755569_3804643083"/>
      <w:bookmarkStart w:id="79" w:name="_Toc29"/>
      <w:bookmarkEnd w:id="78"/>
      <w:r>
        <w:rPr>
          <w:rtl w:val="true"/>
        </w:rPr>
        <w:t>و الكلام عليها يقع في مقامات</w:t>
      </w:r>
      <w:r>
        <w:rPr>
          <w:rtl w:val="true"/>
        </w:rPr>
        <w:t>:</w:t>
      </w:r>
      <w:bookmarkEnd w:id="79"/>
    </w:p>
    <w:p>
      <w:pPr>
        <w:pStyle w:val="Heading6"/>
        <w:numPr>
          <w:ilvl w:val="5"/>
          <w:numId w:val="1"/>
        </w:numPr>
        <w:rPr/>
      </w:pPr>
      <w:bookmarkStart w:id="80" w:name="__RefHeading___Toc3755571_3804643083"/>
      <w:bookmarkStart w:id="81" w:name="_Toc30"/>
      <w:bookmarkEnd w:id="80"/>
      <w:r>
        <w:rPr>
          <w:rtl w:val="true"/>
        </w:rPr>
        <w:t>المقام الأوّل</w:t>
      </w:r>
      <w:r>
        <w:rPr>
          <w:rtl w:val="true"/>
        </w:rPr>
        <w:t xml:space="preserve">: </w:t>
      </w:r>
      <w:r>
        <w:rPr>
          <w:rtl w:val="true"/>
        </w:rPr>
        <w:t>التقدير بما أبنت اللّحم و شدّ العظم</w:t>
      </w:r>
      <w:bookmarkEnd w:id="81"/>
    </w:p>
    <w:p>
      <w:pPr>
        <w:pStyle w:val="BookText"/>
        <w:rPr/>
      </w:pPr>
      <w:r>
        <w:rPr>
          <w:rFonts w:ascii="Amiri" w:hAnsi="Amiri" w:eastAsia="Amiri" w:cs="Amiri"/>
          <w:color w:val="111111"/>
          <w:sz w:val="28"/>
          <w:sz w:val="28"/>
          <w:szCs w:val="28"/>
          <w:rtl w:val="true"/>
          <w:lang w:bidi="ar-SA"/>
        </w:rPr>
        <w:t>و يعبّر عنه بالتقدير النشوى، و يدلّ عليه رواية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أنبتت اللحم و شدّ العظم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موثقته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 الرضعتان و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اشتدّ عليه العظم و نبت اللحم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صحيحة مسعدة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 أبنت اللّحم، و أمّا الرضعة و الرضعتان و الثلاثة حتّى بلغ عشرا 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على بن رئاب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تنبت اللحم</w:t>
      </w:r>
    </w:p>
    <w:p>
      <w:pPr>
        <w:pStyle w:val="BookText"/>
        <w:rPr/>
      </w:pPr>
      <w:r>
        <w:rPr>
          <w:rFonts w:ascii="IRNazanin" w:hAnsi="IRNazanin" w:eastAsia="IRNazanin"/>
          <w:color w:val="111111"/>
          <w:sz w:val="28"/>
          <w:sz w:val="28"/>
          <w:szCs w:val="28"/>
          <w:rtl w:val="true"/>
          <w:lang w:bidi="fa-IR"/>
        </w:rPr>
        <w:t>و لا تشدّ العظم عشر رضعات</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الأربعة صريحة في حصر التحريم فيما ينبت اللحم و يشدّ العظم، و هنا روايات آخر تدلّ على الحصر فيما ينبت اللحم و الدّم، كموثّقة عبيد بن زرارة عن الصادق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ما ادنى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اللّحم و الدّم،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واحدة تنبته؟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أذل أعد عليه حتّى بلغ عشر رضعات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حمّاد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أنبتت اللحم و الدّم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 في صحيحة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اللحم و الدّم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ليس ذكر الدّم موجبا للتعارض، لكون إنبات اللحم ملزوما لإنبات الدّم البتّة، فإنّ ابتداء الدّم عند الانجذاب إلى الكبد بعد تمام الهضم الأوّل، ثمّ يتصفّى أحسنه إلى الاوردة و ما يتشعّب منها و العروق الشعريّة، فينهضم الانهضام الثالث، و إنبات اللّحم إنّما يكون بعد انتشاره في الأعضاء و حصول الهضم الرابع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 التعارض بين حصر التحريم في الإنبات تارة و فيه مع الشدّ أخرى، فإن صحّ التلازم بين الوصفين المذكورين فليس هو بتعارض في الحقيقة، إذ غاية الأمر ان يكون عليه السّلام قد اكتفى بذكر أحد المتلازمين عن الآخر، و امّا مع عدم التلازم و جواز الانفكاك فليس المقصود من الحصر في إنبات اللحم و الدّم، أنّه لا مدخليّة لشدّ العظم، بل القصد من الحصرين معا إنما هو الردّ على من يعتقد النشر بالرضعة و الرضعتين، كما هو</w:t>
      </w:r>
      <w:bookmarkStart w:id="82" w:name="pg2480_16407"/>
    </w:p>
    <w:p>
      <w:pPr>
        <w:pStyle w:val="BookText"/>
        <w:rPr/>
      </w:pPr>
      <w:bookmarkEnd w:id="82"/>
      <w:r>
        <w:rPr>
          <w:rFonts w:ascii="Amiri" w:hAnsi="Amiri" w:eastAsia="Amiri" w:cs="Amiri"/>
          <w:color w:val="111111"/>
          <w:sz w:val="28"/>
          <w:sz w:val="28"/>
          <w:szCs w:val="28"/>
          <w:rtl w:val="true"/>
          <w:lang w:bidi="ar-SA"/>
        </w:rPr>
        <w:t xml:space="preserve">ظاهر من سوق الروايات نفسها، إذ كانت العامة بين من يرى النشر بالواحدة و من يراه بالخمسة، و من يراه بالمسمّى، و كانت هذه المذاهب شائعة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فمرّة كان عليه السّلام يقصد إلى مجرّد تخطئة المخاطب، يكتفى بأحد الوصفين، و اخرى إلى بيان الحكم معها، فيذكرهما معا، و من ثمّة أطبق الأصحاب على اعتبار الوصفين معا في التحريم، إلّا ما وقع في اللمعة </w:t>
      </w:r>
      <w:r>
        <w:rPr>
          <w:rStyle w:val="FootnoteAnchor"/>
          <w:rtl w:val="true"/>
        </w:rPr>
        <w:footnoteReference w:id="271"/>
      </w:r>
      <w:r>
        <w:rPr>
          <w:rFonts w:ascii="Amiri" w:hAnsi="Amiri" w:eastAsia="Amiri" w:cs="Amiri"/>
          <w:color w:val="111111"/>
          <w:sz w:val="28"/>
          <w:sz w:val="28"/>
          <w:szCs w:val="28"/>
          <w:rtl w:val="true"/>
          <w:lang w:bidi="ar-SA"/>
        </w:rPr>
        <w:t xml:space="preserve">من عطف أحدهما على الأخر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للاكتفاء بواحد منهما فحسب، و لعلّه رحمه اللّه حاول بذلك دفع ما أشرنا إليه من التعارض، فان كان ذلك فليس بشي‌ء، 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الأزيد و 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زيد أحد المحصورين فيهما أوّلا، و كيف كان فالأمر في ذلك سهل، إذ لا يعرف الخلاف الّا من الشهيد، مع أنّه يجوز ان يكون من رأيه التلازم بين الوصفين، فعطف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ذلك فينتفى الخلاف حينئذ أصلا</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3755573_3804643083"/>
      <w:bookmarkStart w:id="84" w:name="_Toc31"/>
      <w:bookmarkEnd w:id="83"/>
      <w:r>
        <w:rPr>
          <w:rtl w:val="true"/>
        </w:rPr>
        <w:t>المقام الثاني</w:t>
      </w:r>
      <w:r>
        <w:rPr>
          <w:rtl w:val="true"/>
        </w:rPr>
        <w:t xml:space="preserve">: </w:t>
      </w:r>
      <w:r>
        <w:rPr>
          <w:rtl w:val="true"/>
        </w:rPr>
        <w:t>التقدير بالعدد</w:t>
      </w:r>
      <w:bookmarkEnd w:id="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قد اختلف فيه كلمة الأصحاب فقال الشيخ </w:t>
      </w:r>
      <w:r>
        <w:rPr>
          <w:rStyle w:val="FootnoteAnchor"/>
          <w:rtl w:val="true"/>
        </w:rPr>
        <w:footnoteReference w:id="272"/>
      </w:r>
      <w:r>
        <w:rPr>
          <w:rFonts w:ascii="Amiri" w:hAnsi="Amiri" w:eastAsia="Amiri" w:cs="Amiri"/>
          <w:color w:val="111111"/>
          <w:sz w:val="28"/>
          <w:sz w:val="28"/>
          <w:szCs w:val="28"/>
          <w:rtl w:val="true"/>
          <w:lang w:bidi="ar-SA"/>
        </w:rPr>
        <w:t xml:space="preserve">و العلّامة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كتبهما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الأوّل </w:t>
      </w:r>
      <w:r>
        <w:rPr>
          <w:rStyle w:val="FootnoteAnchor"/>
          <w:rtl w:val="true"/>
        </w:rPr>
        <w:footnoteReference w:id="274"/>
      </w:r>
      <w:r>
        <w:rPr>
          <w:rFonts w:ascii="Amiri" w:hAnsi="Amiri" w:eastAsia="Amiri" w:cs="Amiri"/>
          <w:color w:val="111111"/>
          <w:sz w:val="28"/>
          <w:sz w:val="28"/>
          <w:szCs w:val="28"/>
          <w:rtl w:val="true"/>
          <w:lang w:bidi="ar-SA"/>
        </w:rPr>
        <w:t xml:space="preserve">و الثاني </w:t>
      </w:r>
      <w:r>
        <w:rPr>
          <w:rStyle w:val="FootnoteAnchor"/>
          <w:rtl w:val="true"/>
        </w:rPr>
        <w:footnoteReference w:id="275"/>
      </w:r>
      <w:r>
        <w:rPr>
          <w:rFonts w:ascii="Amiri" w:hAnsi="Amiri" w:eastAsia="Amiri" w:cs="Amiri"/>
          <w:color w:val="111111"/>
          <w:sz w:val="28"/>
          <w:sz w:val="28"/>
          <w:szCs w:val="28"/>
          <w:rtl w:val="true"/>
          <w:lang w:bidi="ar-SA"/>
        </w:rPr>
        <w:t xml:space="preserve">و فخر المحققين </w:t>
      </w:r>
      <w:r>
        <w:rPr>
          <w:rStyle w:val="FootnoteAnchor"/>
          <w:rtl w:val="true"/>
        </w:rPr>
        <w:footnoteReference w:id="276"/>
      </w:r>
      <w:r>
        <w:rPr>
          <w:rFonts w:ascii="IRNazanin" w:hAnsi="IRNazanin" w:eastAsia="IRNazanin"/>
          <w:color w:val="111111"/>
          <w:sz w:val="28"/>
          <w:sz w:val="28"/>
          <w:szCs w:val="28"/>
          <w:rtl w:val="true"/>
          <w:lang w:bidi="fa-IR"/>
        </w:rPr>
        <w:t>و صاحب</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277"/>
      </w:r>
      <w:r>
        <w:rPr>
          <w:rFonts w:ascii="Amiri" w:hAnsi="Amiri" w:eastAsia="Amiri" w:cs="Amiri"/>
          <w:color w:val="111111"/>
          <w:sz w:val="28"/>
          <w:sz w:val="28"/>
          <w:szCs w:val="28"/>
          <w:rtl w:val="true"/>
          <w:lang w:bidi="ar-SA"/>
        </w:rPr>
        <w:t xml:space="preserve">و الروضة </w:t>
      </w:r>
      <w:r>
        <w:rPr>
          <w:rStyle w:val="FootnoteAnchor"/>
          <w:rtl w:val="true"/>
        </w:rPr>
        <w:footnoteReference w:id="278"/>
      </w:r>
      <w:r>
        <w:rPr>
          <w:rFonts w:ascii="Amiri" w:hAnsi="Amiri" w:eastAsia="Amiri" w:cs="Amiri"/>
          <w:color w:val="111111"/>
          <w:sz w:val="28"/>
          <w:sz w:val="28"/>
          <w:szCs w:val="28"/>
          <w:rtl w:val="true"/>
          <w:lang w:bidi="ar-SA"/>
        </w:rPr>
        <w:t xml:space="preserve">و الكفاية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ينتشر التحريم أقلّ من خمس عشرة رضعة، و في التذكرة </w:t>
      </w:r>
      <w:r>
        <w:rPr>
          <w:rStyle w:val="FootnoteAnchor"/>
          <w:rtl w:val="true"/>
        </w:rPr>
        <w:footnoteReference w:id="280"/>
      </w:r>
      <w:r>
        <w:rPr>
          <w:rFonts w:ascii="Amiri" w:hAnsi="Amiri" w:eastAsia="Amiri" w:cs="Amiri"/>
          <w:color w:val="111111"/>
          <w:sz w:val="28"/>
          <w:sz w:val="28"/>
          <w:szCs w:val="28"/>
          <w:rtl w:val="true"/>
          <w:lang w:bidi="ar-SA"/>
        </w:rPr>
        <w:t xml:space="preserve">أنّه المشهور، و ذهب ابن أبي عقيل </w:t>
      </w:r>
      <w:r>
        <w:rPr>
          <w:rStyle w:val="FootnoteAnchor"/>
          <w:rtl w:val="true"/>
        </w:rPr>
        <w:footnoteReference w:id="281"/>
      </w:r>
      <w:r>
        <w:rPr>
          <w:rFonts w:ascii="Amiri" w:hAnsi="Amiri" w:eastAsia="Amiri" w:cs="Amiri"/>
          <w:color w:val="111111"/>
          <w:sz w:val="28"/>
          <w:sz w:val="28"/>
          <w:szCs w:val="28"/>
          <w:rtl w:val="true"/>
          <w:lang w:bidi="ar-SA"/>
        </w:rPr>
        <w:t xml:space="preserve">و المفيد </w:t>
      </w:r>
      <w:r>
        <w:rPr>
          <w:rStyle w:val="FootnoteAnchor"/>
          <w:rtl w:val="true"/>
        </w:rPr>
        <w:footnoteReference w:id="282"/>
      </w:r>
      <w:r>
        <w:rPr>
          <w:rFonts w:ascii="IRNazanin" w:hAnsi="IRNazanin" w:eastAsia="IRNazanin"/>
          <w:color w:val="111111"/>
          <w:sz w:val="28"/>
          <w:sz w:val="28"/>
          <w:szCs w:val="28"/>
          <w:rtl w:val="true"/>
          <w:lang w:bidi="fa-IR"/>
        </w:rPr>
        <w:t xml:space="preserve">و المرتضى </w:t>
      </w:r>
      <w:r>
        <w:rPr>
          <w:rStyle w:val="FootnoteAnchor"/>
          <w:rtl w:val="true"/>
        </w:rPr>
        <w:footnoteReference w:id="283"/>
      </w:r>
      <w:r>
        <w:rPr>
          <w:rFonts w:ascii="Amiri" w:hAnsi="Amiri" w:eastAsia="Amiri" w:cs="Amiri"/>
          <w:color w:val="111111"/>
          <w:sz w:val="28"/>
          <w:sz w:val="28"/>
          <w:szCs w:val="28"/>
          <w:rtl w:val="true"/>
          <w:lang w:bidi="ar-SA"/>
        </w:rPr>
        <w:t xml:space="preserve">و سلّار </w:t>
      </w:r>
      <w:r>
        <w:rPr>
          <w:rStyle w:val="FootnoteAnchor"/>
          <w:rtl w:val="true"/>
        </w:rPr>
        <w:footnoteReference w:id="28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28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286"/>
      </w:r>
      <w:r>
        <w:rPr>
          <w:rFonts w:ascii="Amiri" w:hAnsi="Amiri" w:eastAsia="Amiri" w:cs="Amiri"/>
          <w:color w:val="111111"/>
          <w:sz w:val="28"/>
          <w:sz w:val="28"/>
          <w:szCs w:val="28"/>
          <w:rtl w:val="true"/>
          <w:lang w:bidi="ar-SA"/>
        </w:rPr>
        <w:t xml:space="preserve">و ابن حمزة </w:t>
      </w:r>
      <w:r>
        <w:rPr>
          <w:rStyle w:val="FootnoteAnchor"/>
          <w:rtl w:val="true"/>
        </w:rPr>
        <w:footnoteReference w:id="287"/>
      </w:r>
      <w:r>
        <w:rPr>
          <w:rFonts w:ascii="Amiri" w:hAnsi="Amiri" w:eastAsia="Amiri" w:cs="Amiri"/>
          <w:color w:val="111111"/>
          <w:sz w:val="28"/>
          <w:sz w:val="28"/>
          <w:szCs w:val="28"/>
          <w:rtl w:val="true"/>
          <w:lang w:bidi="ar-SA"/>
        </w:rPr>
        <w:t xml:space="preserve">و العلّامة في المختلف </w:t>
      </w:r>
      <w:r>
        <w:rPr>
          <w:rStyle w:val="FootnoteAnchor"/>
          <w:rtl w:val="true"/>
        </w:rPr>
        <w:footnoteReference w:id="288"/>
      </w:r>
      <w:r>
        <w:rPr>
          <w:rFonts w:ascii="Amiri" w:hAnsi="Amiri" w:eastAsia="Amiri" w:cs="Amiri"/>
          <w:color w:val="111111"/>
          <w:sz w:val="28"/>
          <w:sz w:val="28"/>
          <w:szCs w:val="28"/>
          <w:rtl w:val="true"/>
          <w:lang w:bidi="ar-SA"/>
        </w:rPr>
        <w:t xml:space="preserve">و الشهيد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الاجتزاء بعشر، و نسبه في المختلف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جماعة كالشهيد الثاني </w:t>
      </w:r>
      <w:r>
        <w:rPr>
          <w:rStyle w:val="FootnoteAnchor"/>
          <w:rtl w:val="true"/>
        </w:rPr>
        <w:footnoteReference w:id="290"/>
      </w:r>
      <w:r>
        <w:rPr>
          <w:rFonts w:ascii="Amiri" w:hAnsi="Amiri" w:eastAsia="Amiri" w:cs="Amiri"/>
          <w:color w:val="111111"/>
          <w:sz w:val="28"/>
          <w:sz w:val="28"/>
          <w:szCs w:val="28"/>
          <w:rtl w:val="true"/>
          <w:lang w:bidi="ar-SA"/>
        </w:rPr>
        <w:t xml:space="preserve">و التقيّ المجلسي </w:t>
      </w:r>
      <w:r>
        <w:rPr>
          <w:rStyle w:val="FootnoteAnchor"/>
          <w:rtl w:val="true"/>
        </w:rPr>
        <w:footnoteReference w:id="291"/>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الشهرة من المتقدمين على الثاني و من المتأخرين على الأوّل، و كلا القولين لابن إدريس </w:t>
      </w:r>
      <w:r>
        <w:rPr>
          <w:rStyle w:val="FootnoteAnchor"/>
          <w:rtl w:val="true"/>
        </w:rPr>
        <w:footnoteReference w:id="293"/>
      </w:r>
      <w:r>
        <w:rPr>
          <w:rFonts w:ascii="Amiri" w:hAnsi="Amiri" w:eastAsia="Amiri" w:cs="Amiri"/>
          <w:color w:val="111111"/>
          <w:sz w:val="28"/>
          <w:sz w:val="28"/>
          <w:szCs w:val="28"/>
          <w:rtl w:val="true"/>
          <w:lang w:bidi="ar-SA"/>
        </w:rPr>
        <w:t>، و الروايات متعارضة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يدلّ على الأوّل، و هو موثقة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 ليلة أو خمس عشرة رضعة متواليات من امرأة واحدة من لبن فحل واحد و لم يفصل بينها رضعة امرأة غيرها، فلو أنّ امرأة أرضعت غلاما أو جارية عشر رضعات من لبن فحل واحد و أرضعتهما امرأة أخرى من لبن فحل آخر عشر رضعات لم يحرم نكاحهما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موثقة عبيد بن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موثقة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في صحيحة ابن رئاب السابقة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لا تنبت اللحم و لا تشدّ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التقريب في الثلاث الأخيرة أنّه إذا انتفت العشر تثبت الخمس عشرة، لعدم القائل بالفصل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يدلّ على الثاني و هو صحيحة الفضيل بن يسار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المخبورة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المخبورة؟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تربّى أو ظئر تستأجر أو أمة تشترى ثم ترضع عشر رضعات يروى الصبيّ و ينام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 صحيحة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في المسالك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ينبت اللحم و الدّم عشر رضعات</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موثقة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الغلام يرضع الرضعة و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حتى أكملت عشر رضعات،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كانت متفرقة فلا بأس</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المتقدمة </w:t>
      </w:r>
      <w:r>
        <w:rPr>
          <w:rStyle w:val="FootnoteAnchor"/>
          <w:rtl w:val="true"/>
        </w:rPr>
        <w:footnoteReference w:id="302"/>
      </w:r>
      <w:r>
        <w:rPr>
          <w:rFonts w:ascii="Amiri" w:hAnsi="Amiri" w:eastAsia="Amiri" w:cs="Amiri"/>
          <w:color w:val="111111"/>
          <w:sz w:val="28"/>
          <w:sz w:val="28"/>
          <w:szCs w:val="28"/>
          <w:rtl w:val="true"/>
          <w:lang w:bidi="ar-SA"/>
        </w:rPr>
        <w:t>، و مفهوم ذلك النشر بهنّ متواليات، و قد ترجّح الاخبار الأوّل بأصل البراءة و الحلّ و الاستصحاب، و أنّها موضع الإجماع و الاتفاق، و قد ترجّح الثواني بالأقربية من الكتاب و الشهرة و الاحتياط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الأقربية فبأنّ كلّا من المخصصين أمر واحد، فالعبرة باقويهما ظنّا، لا أقلّهما افرادا، و امّا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متعارضة من الجانبين، و أمّا الاحتياط و فمختلفة موارده، فيكون مع الأوّل تارة، و مع الثاني أخرى، و الأمر فيه غير خفيّ على من تأمّل، فتبقى مرجّحات الأخبار الأوّل سليمة عن المعارض، و يزيدها ترجيحا أنّه عليه السّلام قد نسب العشر في صحيحة عبيد إلى غيره، و لمّا كرّر الراوي السؤال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 في ذلك دليل واضح على أنّ ما يفتي به من العشر انّما كان تقية، فتسقط الروايتان</w:t>
      </w:r>
    </w:p>
    <w:p>
      <w:pPr>
        <w:pStyle w:val="BookText"/>
        <w:rPr/>
      </w:pPr>
      <w:r>
        <w:rPr>
          <w:rFonts w:ascii="Amiri" w:hAnsi="Amiri" w:eastAsia="Amiri" w:cs="Amiri"/>
          <w:color w:val="111111"/>
          <w:sz w:val="28"/>
          <w:sz w:val="28"/>
          <w:szCs w:val="28"/>
          <w:rtl w:val="true"/>
          <w:lang w:bidi="ar-SA"/>
        </w:rPr>
        <w:t xml:space="preserve">الأخيرتان أيضا </w:t>
      </w:r>
      <w:r>
        <w:rPr>
          <w:rStyle w:val="FootnoteAnchor"/>
          <w:rtl w:val="true"/>
        </w:rPr>
        <w:footnoteReference w:id="304"/>
      </w:r>
      <w:r>
        <w:rPr>
          <w:rFonts w:ascii="Amiri" w:hAnsi="Amiri" w:eastAsia="Amiri" w:cs="Amiri"/>
          <w:color w:val="111111"/>
          <w:sz w:val="28"/>
          <w:sz w:val="28"/>
          <w:szCs w:val="28"/>
          <w:rtl w:val="true"/>
          <w:lang w:bidi="ar-SA"/>
        </w:rPr>
        <w:t xml:space="preserve">، و قد تقدّم لعبيد بن زرارة خبران </w:t>
      </w:r>
      <w:r>
        <w:rPr>
          <w:rStyle w:val="FootnoteAnchor"/>
          <w:rtl w:val="true"/>
        </w:rPr>
        <w:footnoteReference w:id="305"/>
      </w:r>
      <w:r>
        <w:rPr>
          <w:rFonts w:ascii="Amiri" w:hAnsi="Amiri" w:eastAsia="Amiri" w:cs="Amiri"/>
          <w:color w:val="111111"/>
          <w:sz w:val="28"/>
          <w:sz w:val="28"/>
          <w:szCs w:val="28"/>
          <w:rtl w:val="true"/>
          <w:lang w:bidi="ar-SA"/>
        </w:rPr>
        <w:t>، و هذا الثالث، و لم يجبه عليه السّلام في واحد منها بما يزيح العلّة و موثقته الّتي لا غبار على متنها، صريحة في أنّ العشر لا تحرم كما قد رأيت</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يؤيّد ما ذكرنا من الحمل على التقية أنّهم عليه السّلام كانوا كثيرا ما يميلون إلى الإجمال عند السؤال عمّا يحرم من الرضاع، فيجيبون تارة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الاطلاع على ذلك إن أمكن، فلن يكون إلّا في قليل من الأحيان،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يبهمون فلا يظفر السائل بمقصوده، كما اتّفق لعبيد بن زرارة المذكورة، و في صحيحة صفوان بن يحيى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الرّضاع ما يحرم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عليه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ليس بها بأس، و ثنتان، حتّى بلغ خمس رضعات،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 أو مصّة بعد مصّة؟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آخر عنه، فانتهى به إلى 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أسأل عن الرضاع؟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أنت في هذا عندك حدّ أكثر من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أخبرتك بالّذي أجاب فيه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أجاب أبوك فيه، و لكن قلت لعلّه يكون فيه حدّ لم يخبر به فتخبرني 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أبي</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فمن تتبع ما ذكرنا في المقامين من الروايات علم كيف شأن العشر في ذلك العصر، و رأى كيف يلهج بها الرواة و يكررون ذكرها، و ما ذلك إلّا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هي المشهورة بين العامّة، و الّتي كان عليها مدارهم أو لأنّها كانت منكرة عندهم</w:t>
      </w:r>
      <w:bookmarkStart w:id="85" w:name="pg2480_16412"/>
    </w:p>
    <w:p>
      <w:pPr>
        <w:pStyle w:val="BookText"/>
        <w:rPr/>
      </w:pPr>
      <w:bookmarkEnd w:id="85"/>
      <w:r>
        <w:rPr>
          <w:rFonts w:ascii="Amiri" w:hAnsi="Amiri" w:eastAsia="Amiri" w:cs="Amiri"/>
          <w:color w:val="111111"/>
          <w:sz w:val="28"/>
          <w:sz w:val="28"/>
          <w:szCs w:val="28"/>
          <w:rtl w:val="true"/>
          <w:lang w:bidi="ar-SA"/>
        </w:rPr>
        <w:t>معروفة في ألفية الناجية، فيبهم الأمر فيها حذرا من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العامّة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مما أنزل في القرآن أنّ عشر رضعات معلومات يحرّمن، ثمّ نسخن بخمس معلومات، و توفّى رسول اللّه صلّى اللّه عليه و آله و سلّم و هي ممّا تقرء في القرآن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 هذا ما يقتضيه الترجيح لقسم من الاخبار مع طرح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يقتضيه الجمع و هو ما أشرنا إليه في النظم، فالّذي ينبغي حمل ما جاء في العشر على ما إذا كانت في يوم و ليلة، لأنّ حصر التحريم في موثقة زياد </w:t>
      </w:r>
      <w:r>
        <w:rPr>
          <w:rStyle w:val="FootnoteAnchor"/>
          <w:rtl w:val="true"/>
        </w:rPr>
        <w:footnoteReference w:id="309"/>
      </w:r>
      <w:r>
        <w:rPr>
          <w:rFonts w:ascii="Amiri" w:hAnsi="Amiri" w:eastAsia="Amiri" w:cs="Amiri"/>
          <w:color w:val="111111"/>
          <w:sz w:val="28"/>
          <w:sz w:val="28"/>
          <w:szCs w:val="28"/>
          <w:rtl w:val="true"/>
          <w:lang w:bidi="ar-SA"/>
        </w:rPr>
        <w:t>في الزّماني و العددي دليل على أنّ العشر إذا كان في أقلّ من يوم و ليلة لم تنتشر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التناقض واقع بين كون العشر محرّمة و كونها لا تحرم، فتعيّن حمل المحرّمة على كونها في المدّة و غير المحرّمة على كونها في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للقائلين بالعشر رفع التناقض بوجه آخر،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يحمل ما دلّ على عدم التحريم بها على ما إذا كانت متفرقة، بدليل التصريح به في الروايات الأخر، و المراد من المتفرق تخلّل الفاصل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إنّما يمكن مع طرح موثقة زياد، و قد علمت أنّ الأمر إذا عاد إلى الطرح كانت رواياتهم بالإطراح أولى، و قد بلغ من اعتبار موثقة زياد هذه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استنبطوا منها من المسائل أكثر من عدد كلماتها و بعد ذلك كلّه، فالقول بالعشر قوى و ان كان القول بالخمس عشرة أقوى، و منهج النجاة الاحتياط</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3755575_3804643083"/>
      <w:bookmarkStart w:id="87" w:name="_Toc32"/>
      <w:bookmarkEnd w:id="86"/>
      <w:r>
        <w:rPr>
          <w:rtl w:val="true"/>
        </w:rPr>
        <w:t>المقام الثالث</w:t>
      </w:r>
      <w:r>
        <w:rPr>
          <w:rtl w:val="true"/>
        </w:rPr>
        <w:t xml:space="preserve">: </w:t>
      </w:r>
      <w:r>
        <w:rPr>
          <w:rtl w:val="true"/>
        </w:rPr>
        <w:t>التقدير بالمدّة</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يوم و ليلة، و الأكثرون كما حكى التقيّ</w:t>
      </w:r>
    </w:p>
    <w:p>
      <w:pPr>
        <w:pStyle w:val="BookText"/>
        <w:rPr/>
      </w:pPr>
      <w:r>
        <w:rPr>
          <w:rFonts w:ascii="Amiri" w:hAnsi="Amiri" w:eastAsia="Amiri" w:cs="Amiri"/>
          <w:color w:val="111111"/>
          <w:sz w:val="28"/>
          <w:sz w:val="28"/>
          <w:szCs w:val="28"/>
          <w:rtl w:val="true"/>
          <w:lang w:bidi="ar-SA"/>
        </w:rPr>
        <w:t xml:space="preserve">المجلسي على اعتبارها </w:t>
      </w:r>
      <w:r>
        <w:rPr>
          <w:rStyle w:val="FootnoteAnchor"/>
          <w:rtl w:val="true"/>
        </w:rPr>
        <w:footnoteReference w:id="310"/>
      </w:r>
      <w:r>
        <w:rPr>
          <w:rFonts w:ascii="Amiri" w:hAnsi="Amiri" w:eastAsia="Amiri" w:cs="Amiri"/>
          <w:color w:val="111111"/>
          <w:sz w:val="28"/>
          <w:sz w:val="28"/>
          <w:szCs w:val="28"/>
          <w:rtl w:val="true"/>
          <w:lang w:bidi="ar-SA"/>
        </w:rPr>
        <w:t xml:space="preserve">، و في الكفاية أنّه المعروف بين الأصحاب </w:t>
      </w:r>
      <w:r>
        <w:rPr>
          <w:rStyle w:val="FootnoteAnchor"/>
          <w:rtl w:val="true"/>
        </w:rPr>
        <w:footnoteReference w:id="311"/>
      </w:r>
      <w:r>
        <w:rPr>
          <w:rFonts w:ascii="Amiri" w:hAnsi="Amiri" w:eastAsia="Amiri" w:cs="Amiri"/>
          <w:color w:val="111111"/>
          <w:sz w:val="28"/>
          <w:sz w:val="28"/>
          <w:szCs w:val="28"/>
          <w:rtl w:val="true"/>
          <w:lang w:bidi="ar-SA"/>
        </w:rPr>
        <w:t xml:space="preserve">و لقد أحسن التقيّ المجلسيّ حيث تعجّب من أنّ أكثر من قال بالنشر بالعشر قائل بالنشر بالمدّة </w:t>
      </w:r>
      <w:r>
        <w:rPr>
          <w:rStyle w:val="FootnoteAnchor"/>
          <w:rtl w:val="true"/>
        </w:rPr>
        <w:footnoteReference w:id="312"/>
      </w:r>
      <w:r>
        <w:rPr>
          <w:rFonts w:ascii="Amiri" w:hAnsi="Amiri" w:eastAsia="Amiri" w:cs="Amiri"/>
          <w:color w:val="111111"/>
          <w:sz w:val="28"/>
          <w:sz w:val="28"/>
          <w:szCs w:val="28"/>
          <w:rtl w:val="true"/>
          <w:lang w:bidi="ar-SA"/>
        </w:rPr>
        <w:t>، مع أنّ دليلها هو دليل الخمس عشرة، أعني موثقة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الرضاع أقلّ من رضاع يوم و ليلة أو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ليس يشترط في تحقق المدّة عدد معيّن، لعموم النصّ لما ساوي العدد و ما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المعتبر كونه في جميع تلك المدّة رويّا من ذلك اللبن، بحيث يرضع كلّما احتاج اليه عادة بلا خلاف أعرفه من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بالمدّة، فيختلف الأمر فيها باختلاف الأولاد في السنّ و المزاج، بل باختلاف الزمان و البلاد و شبه ذلك، فربّ رضيع لا يبلغ العدد المعيّن و أخر يساويه، و ربّ فصل و أرض تضاعف فيهما الشهوة، و آخرين تنقص، إلى غير ذلك من الأسباب كالرّياضية، أو تناول ما يزيد في الشهوة أو ينقصها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عدّة روايات في أنّ الرضعتين و الثلاث الى العشر لا تنشر تحريما من دون فرق بين كونها في اليوم و الليلة و عدمه، فالتعارض واقع بين ذلك الإطلاق و بين إطلاق ما جاء في المدّة و كما يمكن تقييد الأوّل بما لم يكن في المدّة،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تقييد الثاني بما يزيد عن العشر، فالمصير إلى أحدهما دون الأخر لا يكون إلّا عن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من الاخبار صريح في أنّ عدم النشر بالعشر فما دونها إنّما كان لعدم النشؤ و ذلك دليل على عدم كونه في المدّة لأنّ المدّة ممّا يحصل النشؤ بها قطعا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المحققين من الأطبّاء على أنّ الولد لا ينبغي أن يزاد في اليوم عن رضعتين</w:t>
      </w:r>
    </w:p>
    <w:p>
      <w:pPr>
        <w:pStyle w:val="BookText"/>
        <w:rPr/>
      </w:pPr>
      <w:r>
        <w:rPr>
          <w:rFonts w:ascii="Amiri" w:hAnsi="Amiri" w:eastAsia="Amiri" w:cs="Amiri"/>
          <w:color w:val="111111"/>
          <w:sz w:val="28"/>
          <w:sz w:val="28"/>
          <w:szCs w:val="28"/>
          <w:rtl w:val="true"/>
          <w:lang w:bidi="ar-SA"/>
        </w:rPr>
        <w:t>أو ثلاث، و زعموا أنّ الغذاء في المعدة لا يتقدّم انهضامه عن ستّ ساعات، و لا يتأخر عن اثنى عشر،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كلّ من اليوم و اللّيلة تامّا أم يكفي التكسير و التلفيق بحيث لو ابتدأ ظهرا مثلا أجزأ إرضاعه إلى الظهر الآخر؟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صدق الشرط و تحقّق المعنى، و الأقرب الأوّل للأصل، و منع ما ذكر من التحقّق، لأنّ المطلوب حصول النشؤ، و إمكان إخلال التلفيق بذلك لا يخلو إنكاره عن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تأخّر الشروع عن أوّل الوقت لم ينشر التحريم، لعدم تحقّق المدّة و لو تقدّم عليه كما لو شرع قبل غروب الجمعة، فاستغنى بذلك إلى مضيّ ساعة أو مثلها من اللّيل ثمّ توالى ارتضاعه إلى غروب يوم السبت ففي النشر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الرّي بلبن المرضعة في جميع المدّة، و من عدم صدق الارتضاع يوما و ليلة، و لعلّ عدم النشر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مقارنة الشروع الأوّل الوقت عرفا أم يشترط المقارنة الحقيقيّة بحيث يدخل جزء ممّا قبل المدّة من باب المقدّمة؟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مقادير الشّرع مبنيّة على التحقيق لا التقريب، و من أنّ المقارنة الحقيقيّة ملزومة لوقوع بعض الاولى قبل المدّة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بالطفل ما يمنع الارتضاع كعارض في الشفة أو الحلق أو المري‌ء، فلم يكمل العدد المعتاد في المدّة أو المتعارف فيها فلا نشر، و لو نقص الرضاع لمرض تنقص معه الشهوة، ففي النشر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المدّة، و الشكّ في النشؤ و الأقرب النشر، لانّ الكميّة ليست هي السبب في النشؤ، بل ربّما كان نقصانها باعثا على زيادته، لسهولة الهضم حينئذ على الطبيعة و ما يشاهد من تتابع الذبول في بعض الأمراض ليس دليلا على عدم النشؤ، لانّ النشؤ لا يظهر للحسّ إلّا مع ضعف المقتضى للتحلّل، و أمّا مع قوّته فتكون الزيادة</w:t>
      </w:r>
    </w:p>
    <w:p>
      <w:pPr>
        <w:pStyle w:val="BookText"/>
        <w:rPr/>
      </w:pPr>
      <w:r>
        <w:rPr>
          <w:rFonts w:ascii="Amiri" w:hAnsi="Amiri" w:eastAsia="Amiri" w:cs="Amiri"/>
          <w:color w:val="111111"/>
          <w:sz w:val="28"/>
          <w:sz w:val="28"/>
          <w:szCs w:val="28"/>
          <w:rtl w:val="true"/>
          <w:lang w:bidi="ar-SA"/>
        </w:rPr>
        <w:t xml:space="preserve">الحاصلة بالنشؤ متبوعة بالنقصان الحاصل من التحلّل </w:t>
      </w:r>
      <w:r>
        <w:rPr>
          <w:rStyle w:val="FootnoteAnchor"/>
          <w:rtl w:val="true"/>
        </w:rPr>
        <w:footnoteReference w:id="314"/>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للطبيعة ما يشغلها عن إجادة الهضم بعروض وجع أو التفات إلى تخليق عضو كما قد يتّفق للأطفال عند نبات الأسنان، ففيه النظر السابق أيضا، و الأقرب النشر، لأنّ الطبيعة لا تنفكّ عن توليد خلط محمود من شأنه أن يصير جزءا من جوهر المغتذي، إذ لا بدّ من بدل شي‌ء، ممّا يتحلّل منه، و بالجملة فغاية ما يلزم من الأمرين أعني نقصان الكميّة و اشتغال الطّبيعة نقصان النشؤ لا بطلانه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من ثلثهنّ ما سبق أصلا بفقده انتفاء النشر صدق</w:t>
      </w:r>
    </w:p>
    <w:p>
      <w:pPr>
        <w:pStyle w:val="BookText"/>
        <w:rPr/>
      </w:pPr>
      <w:r>
        <w:rPr>
          <w:rFonts w:ascii="Amiri" w:hAnsi="Amiri" w:eastAsia="Amiri" w:cs="Amiri"/>
          <w:color w:val="111111"/>
          <w:sz w:val="28"/>
          <w:sz w:val="28"/>
          <w:szCs w:val="28"/>
          <w:rtl w:val="true"/>
          <w:lang w:bidi="ar-SA"/>
        </w:rPr>
        <w:t xml:space="preserve">الحقّ أنّ الأصل من الكميّات ما سبق منها أعني النشويّ، و نعني بذلك أنّ نشره بالأصالة و نشر الآخرين باعتبار تحقّقه و حصوله بهما، فلو انفردا عنه لم ينشرا تحريما، و هو قول الطبرسي </w:t>
      </w:r>
      <w:r>
        <w:rPr>
          <w:rStyle w:val="FootnoteAnchor"/>
          <w:rtl w:val="true"/>
        </w:rPr>
        <w:footnoteReference w:id="315"/>
      </w:r>
      <w:r>
        <w:rPr>
          <w:rFonts w:ascii="Amiri" w:hAnsi="Amiri" w:eastAsia="Amiri" w:cs="Amiri"/>
          <w:color w:val="111111"/>
          <w:sz w:val="28"/>
          <w:sz w:val="28"/>
          <w:szCs w:val="28"/>
          <w:rtl w:val="true"/>
          <w:lang w:bidi="ar-SA"/>
        </w:rPr>
        <w:t xml:space="preserve">و الشيخ في كتابي الأخبار </w:t>
      </w:r>
      <w:r>
        <w:rPr>
          <w:rStyle w:val="FootnoteAnchor"/>
          <w:rtl w:val="true"/>
        </w:rPr>
        <w:footnoteReference w:id="316"/>
      </w:r>
      <w:r>
        <w:rPr>
          <w:rFonts w:ascii="Amiri" w:hAnsi="Amiri" w:eastAsia="Amiri" w:cs="Amiri"/>
          <w:color w:val="111111"/>
          <w:sz w:val="28"/>
          <w:sz w:val="28"/>
          <w:szCs w:val="28"/>
          <w:rtl w:val="true"/>
          <w:lang w:bidi="ar-SA"/>
        </w:rPr>
        <w:t xml:space="preserve">و الفاضل الهندي </w:t>
      </w:r>
      <w:r>
        <w:rPr>
          <w:rStyle w:val="FootnoteAnchor"/>
          <w:rtl w:val="true"/>
        </w:rPr>
        <w:footnoteReference w:id="317"/>
      </w:r>
      <w:r>
        <w:rPr>
          <w:rFonts w:ascii="Amiri" w:hAnsi="Amiri" w:eastAsia="Amiri" w:cs="Amiri"/>
          <w:color w:val="111111"/>
          <w:sz w:val="28"/>
          <w:sz w:val="28"/>
          <w:szCs w:val="28"/>
          <w:rtl w:val="true"/>
          <w:lang w:bidi="ar-SA"/>
        </w:rPr>
        <w:t xml:space="preserve">و التقيّ المجلسي </w:t>
      </w:r>
      <w:r>
        <w:rPr>
          <w:rStyle w:val="FootnoteAnchor"/>
          <w:rtl w:val="true"/>
        </w:rPr>
        <w:footnoteReference w:id="318"/>
      </w:r>
      <w:r>
        <w:rPr>
          <w:rFonts w:ascii="Amiri" w:hAnsi="Amiri" w:eastAsia="Amiri" w:cs="Amiri"/>
          <w:color w:val="111111"/>
          <w:sz w:val="28"/>
          <w:sz w:val="28"/>
          <w:szCs w:val="28"/>
          <w:rtl w:val="true"/>
          <w:lang w:bidi="ar-SA"/>
        </w:rPr>
        <w:t>و الحجّة فيه ما تقدّم في النشوىّ من الروايات الحاصرة للتحريم في الإنبات و الشدّة و المعللة لعدم النشر بالعشر فما دونها بعدم النشؤ، بل يظهر من مجمع البيان أنّه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لا يحرم إلّا ما أنبت اللّحم و شدّ العظم، و إنّما يعتبر ذلك برضاع يوم و ليلة، لا يفصل بينه برضاع امرأة أخرى أو بخمس عشرة متواليات لا يفصل بينها برضاع امرأة</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إنبات اللحم و شدّ العظم و إلّا فالاعتبار بخمس</w:t>
      </w:r>
    </w:p>
    <w:p>
      <w:pPr>
        <w:pStyle w:val="BookText"/>
        <w:rPr/>
      </w:pPr>
      <w:r>
        <w:rPr>
          <w:rFonts w:ascii="Amiri" w:hAnsi="Amiri" w:eastAsia="Amiri" w:cs="Amiri"/>
          <w:color w:val="111111"/>
          <w:sz w:val="28"/>
          <w:sz w:val="28"/>
          <w:szCs w:val="28"/>
          <w:rtl w:val="true"/>
          <w:lang w:bidi="ar-SA"/>
        </w:rPr>
        <w:t xml:space="preserve">عشرة </w:t>
      </w:r>
      <w:r>
        <w:rPr>
          <w:rStyle w:val="FootnoteAnchor"/>
          <w:rtl w:val="true"/>
        </w:rPr>
        <w:footnoteReference w:id="320"/>
      </w:r>
      <w:r>
        <w:rPr>
          <w:rFonts w:ascii="Amiri" w:hAnsi="Amiri" w:eastAsia="Amiri" w:cs="Amiri"/>
          <w:color w:val="111111"/>
          <w:sz w:val="28"/>
          <w:sz w:val="28"/>
          <w:szCs w:val="28"/>
          <w:rtl w:val="true"/>
          <w:lang w:bidi="ar-SA"/>
        </w:rPr>
        <w:t xml:space="preserve">و ذهب فخر المحققين </w:t>
      </w:r>
      <w:r>
        <w:rPr>
          <w:rStyle w:val="FootnoteAnchor"/>
          <w:rtl w:val="true"/>
        </w:rPr>
        <w:footnoteReference w:id="321"/>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322"/>
      </w:r>
      <w:r>
        <w:rPr>
          <w:rFonts w:ascii="Amiri" w:hAnsi="Amiri" w:eastAsia="Amiri" w:cs="Amiri"/>
          <w:color w:val="111111"/>
          <w:sz w:val="28"/>
          <w:sz w:val="28"/>
          <w:szCs w:val="28"/>
          <w:rtl w:val="true"/>
          <w:lang w:bidi="ar-SA"/>
        </w:rPr>
        <w:t>الى أنّ الثلاثة أصول، لورود النصّ بكلّ منها، و جوابه يظهر ممّا استندنا اليه من الحصر و التعليل، و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هو العدد و إنّما يعتبر الآخران عند عدم الانضباط بالعدد </w:t>
      </w:r>
      <w:r>
        <w:rPr>
          <w:rStyle w:val="FootnoteAnchor"/>
          <w:rtl w:val="true"/>
        </w:rPr>
        <w:footnoteReference w:id="323"/>
      </w:r>
      <w:r>
        <w:rPr>
          <w:rFonts w:ascii="Amiri" w:hAnsi="Amiri" w:eastAsia="Amiri" w:cs="Amiri"/>
          <w:color w:val="111111"/>
          <w:sz w:val="28"/>
          <w:sz w:val="28"/>
          <w:szCs w:val="28"/>
          <w:rtl w:val="true"/>
          <w:lang w:bidi="ar-SA"/>
        </w:rPr>
        <w:t>، و عن التذكرة أنّ اليوم و اللّيلة لمن لا يضبط العدد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يمكن الاحتجاج لهما بأنّ العدد لو لم يكن أصلا للزم أن لا يعتبر أصلا، لأنّ الآخرين لو تحقّقا بالأكثر كالعشرين لزم عدم التحريم عند بلوغ العدد و إن نقصا كالثمانية لزم وجود التحريم قبل بلوغه، و إن ساويا كان إسناد التحريم إليه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فبالنقض، لأنّ الآخرين إن تحقّقا بالأقلّ لزم التحريم عند وجودهما، و امّا ثانيا فيمنع الملازمة، لما ستعرف من اجتماع هذه التقديرات تارة و انفراد كلّ اخرى، فاللازم عدم اعتبار العدد وقتا ما لا مطلقا،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بكلام المبسوط و التذكرة غنى عن التنقيح لأنّ الثلاثة إن كانت متلازمة فأيّ فائدة في جعل العدد أصلا؟ أم بأيّ مرجّح يكون كذلك و إن لم تكن فكيف صحّ الاستدلال على العدد بالآخرين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أكثر من وقفنا على كلامه من المصنّفين قد عطفوا النصب الثلاثة بعضا على 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للتغاير، و ظاهره كون الكلّ عندهم أصولا يصح أن ينفرد كلّ منها عن قسيميه، غير أنّ كثيرا من هؤلاء يعقّبون ذلك العطف باشتراط التوالي في التحريم غير مفصّلين بين العدد و غيره كما هو الثابت في القواعد و غيرها، و مقتضى هذا الإطلاق عدم جواز أن ينفرد النشويّ عن الآخرين ضرورة أنّ انفراده لا يكون إلّا مع الفصل برضاع</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أحسن فخر المحقّقين </w:t>
      </w:r>
      <w:r>
        <w:rPr>
          <w:rStyle w:val="FootnoteAnchor"/>
          <w:rtl w:val="true"/>
        </w:rPr>
        <w:footnoteReference w:id="325"/>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326"/>
      </w:r>
      <w:r>
        <w:rPr>
          <w:rFonts w:ascii="Amiri" w:hAnsi="Amiri" w:eastAsia="Amiri" w:cs="Amiri"/>
          <w:color w:val="111111"/>
          <w:sz w:val="28"/>
          <w:sz w:val="28"/>
          <w:szCs w:val="28"/>
          <w:rtl w:val="true"/>
          <w:lang w:bidi="ar-SA"/>
        </w:rPr>
        <w:t xml:space="preserve">حيث جعلا ما اشترطه في القواعد </w:t>
      </w:r>
      <w:r>
        <w:rPr>
          <w:rStyle w:val="FootnoteAnchor"/>
          <w:rtl w:val="true"/>
        </w:rPr>
        <w:footnoteReference w:id="327"/>
      </w:r>
      <w:r>
        <w:rPr>
          <w:rFonts w:ascii="Amiri" w:hAnsi="Amiri" w:eastAsia="Amiri" w:cs="Amiri"/>
          <w:color w:val="111111"/>
          <w:sz w:val="28"/>
          <w:sz w:val="28"/>
          <w:szCs w:val="28"/>
          <w:rtl w:val="true"/>
          <w:lang w:bidi="ar-SA"/>
        </w:rPr>
        <w:t>من التوالي شرطا لتحقّق العدد، و على ذلك ينبغي أن يحمل كلام الباقين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أنّ لاعتبار التوالي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أن يتمّ النصاب من امرأة، فلو لفّق من امرأتين و لو من فحل واحد لم ينشر تحريما، و الثانية وقوع العدد غير منفصل برضاع اخرى</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أسلوب كلامه يشعر بأنّ المعنى المصطلح للتوالي هو ما ذكره من الجهتين، و عليه فلا يكون ما حكينا عن الفخر و المحقّق الثاني حملا و تأويلا بل تفسيرا بما هو المعهود و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باتّفاق عنه ثانيها انفرد لا يفقد النشر و إن نشوا فقد</w:t>
      </w:r>
    </w:p>
    <w:p>
      <w:pPr>
        <w:pStyle w:val="BookText"/>
        <w:rPr/>
      </w:pPr>
      <w:r>
        <w:rPr>
          <w:rFonts w:ascii="Amiri" w:hAnsi="Amiri" w:eastAsia="Amiri" w:cs="Amiri"/>
          <w:color w:val="111111"/>
          <w:sz w:val="28"/>
          <w:sz w:val="28"/>
          <w:szCs w:val="28"/>
          <w:rtl w:val="true"/>
          <w:lang w:bidi="ar-SA"/>
        </w:rPr>
        <w:t>هذا تخصيص لما ذكر في البيت السّابق من الضابط و تنصيص على أنّ انفراد العدديّ عن النشويّ إنّما كان عن الإجماع المخصّص لقاعدة أنّ كلّ ما به النشر فيه النشؤ، و المحصّل من هذا البيت و سابقه و لاحقيه أنّ بين النشوىّ و الزّماني عموما مطلقا و بين كلّ منهما و بين العدد عموم من وجه و على القول بأنّ الثلاثة أصول فبين كلّ منهما و قسيمه عموم من وجه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المتحقّق بالرضاع أمّا أحد الثلاثة أو اثنان منهما أو الثلاثة معا، فهاتى صور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العدد عن الآخرين و ذلك عند تفريقه في مثل السنتين و السّنة، للاتّفاق على أنّ المأكول و المشروب كثيره و قليله غير قادح في العدد، و معلوم أنّ النشؤ لا يحصل في مثل هذه المدّة، لأنّه إن منع من النشؤ فصله برضاع اخرى فلان يمنع أكلات متعدّدة و شربات متكثّرة أولى، و إنّما قطعنا على منع الفاصلة من النشؤ لما قامت عليه الحجّة من أنّ كلّ ما به النشر فيه النشؤ و بالعكس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الزّماني و ذلك غير جائز عندنا بل يقتضيه مذهب القائلين بأنّ </w:t>
      </w:r>
      <w:r>
        <w:rPr>
          <w:rStyle w:val="FootnoteAnchor"/>
          <w:rtl w:val="true"/>
        </w:rPr>
        <w:footnoteReference w:id="329"/>
      </w:r>
      <w:r>
        <w:rPr>
          <w:rFonts w:ascii="Amiri" w:hAnsi="Amiri" w:eastAsia="Amiri" w:cs="Amiri"/>
          <w:color w:val="111111"/>
          <w:sz w:val="28"/>
          <w:sz w:val="28"/>
          <w:szCs w:val="28"/>
          <w:rtl w:val="true"/>
          <w:lang w:bidi="ar-SA"/>
        </w:rPr>
        <w:t xml:space="preserve">الكلّ أصول، و قد صرّح في الروضة بجوازه أيضا </w:t>
      </w:r>
      <w:r>
        <w:rPr>
          <w:rStyle w:val="FootnoteAnchor"/>
          <w:rtl w:val="true"/>
        </w:rPr>
        <w:footnoteReference w:id="330"/>
      </w:r>
      <w:r>
        <w:rPr>
          <w:rFonts w:ascii="Amiri" w:hAnsi="Amiri" w:eastAsia="Amiri" w:cs="Amiri"/>
          <w:color w:val="111111"/>
          <w:sz w:val="28"/>
          <w:sz w:val="28"/>
          <w:szCs w:val="28"/>
          <w:rtl w:val="true"/>
          <w:lang w:bidi="ar-SA"/>
        </w:rPr>
        <w:t xml:space="preserve">، و يمكن فرض انفراده مع عروض مرض ينقص معه الرّضاع أو الانهضام، و قد تقدّم الكلام فيه </w:t>
      </w:r>
      <w:r>
        <w:rPr>
          <w:rStyle w:val="FootnoteAnchor"/>
          <w:rtl w:val="true"/>
        </w:rPr>
        <w:footnoteReference w:id="331"/>
      </w:r>
      <w:r>
        <w:rPr>
          <w:rFonts w:ascii="Amiri" w:hAnsi="Amiri" w:eastAsia="Amiri" w:cs="Amiri"/>
          <w:color w:val="111111"/>
          <w:sz w:val="28"/>
          <w:sz w:val="28"/>
          <w:szCs w:val="28"/>
          <w:rtl w:val="true"/>
          <w:lang w:bidi="ar-SA"/>
        </w:rPr>
        <w:t>، و قد يستخرج من ذلك صورة لانفراد العدد أيضا، لأنّ على نقصان الرضعات، فربّما نقص مجموع الخمس عشرة حينئذ عن مجموع الخمسة في الصحّة و 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النشويّ، و يتصوّر فيما لو فصل العدد برضاع اخرى و سيأتي شرح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النشؤ و المدّة فقط و ذلك فيما إذا تحققت المدّة بأقلّ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النشؤ و العدد فقط و ذلك عند تلفيق المدّة أو فصلها و لو بالإخلال بالرّي أو تحقّق العدد بأقلّ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العدد و المدّة فقط و ليس بجائز عندنا أيضا، و يمكن فرضه فيما لو تقيّا النصاب أو شيئا منه، لأنّ الغذاء إذا لم ينهضم الهضم الرابع لم يتكيّف بكيفيّة الأعضاء، فلا يحصل النشؤ المطلوب معه البتّة</w:t>
      </w:r>
      <w:r>
        <w:rPr>
          <w:rFonts w:eastAsia="Amiri" w:cs="Amiri" w:ascii="Amiri" w:hAnsi="Amiri"/>
          <w:color w:val="111111"/>
          <w:sz w:val="28"/>
          <w:szCs w:val="28"/>
          <w:rtl w:val="true"/>
          <w:lang w:bidi="ar-SA"/>
        </w:rPr>
        <w:t>.</w:t>
      </w:r>
      <w:bookmarkStart w:id="88" w:name="pg2480_16419"/>
    </w:p>
    <w:p>
      <w:pPr>
        <w:pStyle w:val="BookText"/>
        <w:rPr/>
      </w:pPr>
      <w:bookmarkEnd w:id="88"/>
      <w:r>
        <w:rPr>
          <w:rFonts w:ascii="Amiri" w:hAnsi="Amiri" w:eastAsia="Amiri" w:cs="Amiri"/>
          <w:color w:val="111111"/>
          <w:sz w:val="28"/>
          <w:sz w:val="28"/>
          <w:szCs w:val="28"/>
          <w:rtl w:val="true"/>
          <w:lang w:bidi="ar-SA"/>
        </w:rPr>
        <w:t>و جوابه أنّ في الغذاء و لا سيّما اللّطيف منه خاصيته تسارع الطبيعية إلى جذبها عند الاحتياج فتصرفها فيما يجب انصرافها إليه 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 لذلك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أشرف من الجوع على الموت يحصل له من مجرّد ورود الغذاء إلى المعدة انتعاش و قوّة في الأعضاء من دون تخلّل زمان ينهضم فيه جوهر ذلك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ترى أنّ دائم القي‌ء قد يعيش سنين متطاولة، و لو أمسك عن ذلك الغذاء الذي لا يلبث </w:t>
      </w:r>
      <w:r>
        <w:rPr>
          <w:rStyle w:val="FootnoteAnchor"/>
          <w:rtl w:val="true"/>
        </w:rPr>
        <w:footnoteReference w:id="333"/>
      </w:r>
      <w:r>
        <w:rPr>
          <w:rFonts w:ascii="Amiri" w:hAnsi="Amiri" w:eastAsia="Amiri" w:cs="Amiri"/>
          <w:color w:val="111111"/>
          <w:sz w:val="28"/>
          <w:sz w:val="28"/>
          <w:szCs w:val="28"/>
          <w:rtl w:val="true"/>
          <w:lang w:bidi="ar-SA"/>
        </w:rPr>
        <w:t xml:space="preserve">أن يتقيّأ فلم يتناوله لعاجله حتفه، و لم تكد حياته تستمرّ أكثر من ثلاثة أيّام أو أربع، هذا كلّه فيما إذا وقع الرضاع على الخوي، و أمّا إذا وقع على الريّ ففي النشر مع القي‌ء تردّد، من تحقّق النّصاب، و عدم العلم بالنشؤ </w:t>
      </w:r>
      <w:r>
        <w:rPr>
          <w:rStyle w:val="FootnoteAnchor"/>
          <w:rtl w:val="true"/>
        </w:rPr>
        <w:footnoteReference w:id="334"/>
      </w:r>
      <w:r>
        <w:rPr>
          <w:rFonts w:ascii="Amiri" w:hAnsi="Amiri" w:eastAsia="Amiri" w:cs="Amiri"/>
          <w:color w:val="111111"/>
          <w:sz w:val="28"/>
          <w:sz w:val="28"/>
          <w:szCs w:val="28"/>
          <w:rtl w:val="true"/>
          <w:lang w:bidi="ar-SA"/>
        </w:rPr>
        <w:t>، و لعلّ الأقرب النشر، لأنّ الأصل في المدّة و العدّة النشؤ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رأيت المحقّق الثاني بعد أن ذكر اشتراط أن يصل اللّبن إلى المعدة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بقاؤه فيها، فلو تقيّأه في الحال لم يعتدّ به، و هو مقرّب التذكرة لعدم صلاحيته لاغتذائه و انتفاء إنبات اللحم و شدّ العظم عنه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الثلاثة و ذلك فيما لو شرع في العدد المتوالي في أوّل المدّة و أتمّه في آخرها أو قبله بزمان لا يحتاج فيه قبل انتهائها إلى رضاع آخر و اللّه أعلم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755577_3804643083"/>
      <w:bookmarkStart w:id="90" w:name="_Toc33"/>
      <w:bookmarkEnd w:id="89"/>
      <w:r>
        <w:rPr>
          <w:rtl w:val="true"/>
        </w:rPr>
        <w:t>[</w:t>
      </w:r>
      <w:r>
        <w:rPr>
          <w:rtl w:val="true"/>
        </w:rPr>
        <w:t>توالي الرضعات و عدم الفصل بينها برضاع آخر</w:t>
      </w:r>
      <w:r>
        <w:rPr>
          <w:rtl w:val="true"/>
        </w:rPr>
        <w:t>]</w:t>
      </w:r>
      <w:bookmarkEnd w:id="90"/>
    </w:p>
    <w:p>
      <w:pPr>
        <w:pStyle w:val="BookText"/>
        <w:rPr/>
      </w:pPr>
      <w:r>
        <w:rPr>
          <w:rFonts w:ascii="Amiri" w:hAnsi="Amiri" w:eastAsia="Amiri" w:cs="Amiri"/>
          <w:color w:val="111111"/>
          <w:sz w:val="28"/>
          <w:sz w:val="28"/>
          <w:szCs w:val="28"/>
          <w:rtl w:val="true"/>
          <w:lang w:bidi="ar-SA"/>
        </w:rPr>
        <w:t>و ليس في الأوّل قطّ من ولاء و لا الأخير مطلقا أن يفصلا</w:t>
      </w:r>
    </w:p>
    <w:p>
      <w:pPr>
        <w:pStyle w:val="BookText"/>
        <w:rPr/>
      </w:pPr>
      <w:r>
        <w:rPr>
          <w:rFonts w:ascii="Amiri" w:hAnsi="Amiri" w:eastAsia="Amiri" w:cs="Amiri"/>
          <w:color w:val="111111"/>
          <w:sz w:val="28"/>
          <w:sz w:val="28"/>
          <w:szCs w:val="28"/>
          <w:rtl w:val="true"/>
          <w:lang w:bidi="ar-SA"/>
        </w:rPr>
        <w:t>و الفضل في الثاني برضعة خطر لكنّه بالأكل و الشرب اغتفر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أنّ فصل العدد بالأكل و الشرب و لو بالوجور من لبن غير المرضعة لا يمنع</w:t>
      </w:r>
    </w:p>
    <w:p>
      <w:pPr>
        <w:pStyle w:val="BookText"/>
        <w:rPr/>
      </w:pPr>
      <w:r>
        <w:rPr>
          <w:rFonts w:ascii="Amiri" w:hAnsi="Amiri" w:eastAsia="Amiri" w:cs="Amiri"/>
          <w:color w:val="111111"/>
          <w:sz w:val="28"/>
          <w:sz w:val="28"/>
          <w:szCs w:val="28"/>
          <w:rtl w:val="true"/>
          <w:lang w:bidi="ar-SA"/>
        </w:rPr>
        <w:t xml:space="preserve">التحريم، لإطلاق الموثّق الدالّ على النشر به </w:t>
      </w:r>
      <w:r>
        <w:rPr>
          <w:rStyle w:val="FootnoteAnchor"/>
          <w:rtl w:val="true"/>
        </w:rPr>
        <w:footnoteReference w:id="336"/>
      </w:r>
      <w:r>
        <w:rPr>
          <w:rFonts w:ascii="Amiri" w:hAnsi="Amiri" w:eastAsia="Amiri" w:cs="Amiri"/>
          <w:color w:val="111111"/>
          <w:sz w:val="28"/>
          <w:sz w:val="28"/>
          <w:szCs w:val="28"/>
          <w:rtl w:val="true"/>
          <w:lang w:bidi="ar-SA"/>
        </w:rPr>
        <w:t xml:space="preserve">مع فقد ما يدلّ على الموالاة بل هو اتّفاق، كما في المسالك </w:t>
      </w:r>
      <w:r>
        <w:rPr>
          <w:rStyle w:val="FootnoteAnchor"/>
          <w:rtl w:val="true"/>
        </w:rPr>
        <w:footnoteReference w:id="337"/>
      </w:r>
      <w:r>
        <w:rPr>
          <w:rFonts w:ascii="Amiri" w:hAnsi="Amiri" w:eastAsia="Amiri" w:cs="Amiri"/>
          <w:color w:val="111111"/>
          <w:sz w:val="28"/>
          <w:sz w:val="28"/>
          <w:szCs w:val="28"/>
          <w:rtl w:val="true"/>
          <w:lang w:bidi="ar-SA"/>
        </w:rPr>
        <w:t>، و قد يستنبط ذلك من الموثّق المذكور لأنّ تفسير المتواليات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امرأة واحدة من لبن 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تخلّل المأكول و المشروب أو طول الزمان لا يخلّ بالتوالي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ينبغي أن ينزل ما رواه الصدوق مرفوعا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رضاع خمسة عشر يوما و لياليهنّ ليس بينهنّ رضاع</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 توضيحه أنّ مفهوم الوصف يقتضي جواز الفصل بما عدا الرّضاع و لم يعيّن مقدار الفاصل، فوجب أن يكون مقدارا لا يرتضع معه في كلّ يوم و ليلة إلّا رضعة واحدة، ردّا للمتشابه إلى المحكم، و لا يستبعدنّ </w:t>
      </w:r>
      <w:r>
        <w:rPr>
          <w:rStyle w:val="FootnoteAnchor"/>
          <w:rtl w:val="true"/>
        </w:rPr>
        <w:footnoteReference w:id="339"/>
      </w:r>
      <w:r>
        <w:rPr>
          <w:rFonts w:ascii="Amiri" w:hAnsi="Amiri" w:eastAsia="Amiri" w:cs="Amiri"/>
          <w:color w:val="111111"/>
          <w:sz w:val="28"/>
          <w:sz w:val="28"/>
          <w:szCs w:val="28"/>
          <w:rtl w:val="true"/>
          <w:lang w:bidi="ar-SA"/>
        </w:rPr>
        <w:t>أمثال هذا التأويل، فربّ مقام يجب فيه الإبهام، كما يجب في غيره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فصل العدد برضعة أو أكثر من لبن غير المرضعة لم ينشر إجماعا لما مرّ في موثّقة ابن سوقة </w:t>
      </w:r>
      <w:r>
        <w:rPr>
          <w:rStyle w:val="FootnoteAnchor"/>
          <w:rtl w:val="true"/>
        </w:rPr>
        <w:footnoteReference w:id="340"/>
      </w:r>
      <w:r>
        <w:rPr>
          <w:rFonts w:ascii="Amiri" w:hAnsi="Amiri" w:eastAsia="Amiri" w:cs="Amiri"/>
          <w:color w:val="111111"/>
          <w:sz w:val="28"/>
          <w:sz w:val="28"/>
          <w:szCs w:val="28"/>
          <w:rtl w:val="true"/>
          <w:lang w:bidi="ar-SA"/>
        </w:rPr>
        <w:t>، و يمكن التعلّق له أيضا برواية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رضعة لا تحرم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حملا للمطلق على المقيّد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الزماني فلا يجوز فصله مطلقا أى سواء كان الفصل بالأكل و الشرب أم بكونه في بعض المدّة غير رويّ أم بالارتضاع من أخرى، كلّ ذلك التفاتا إلى أنّ المدّة لا تصدق إلّا</w:t>
      </w:r>
    </w:p>
    <w:p>
      <w:pPr>
        <w:pStyle w:val="BookText"/>
        <w:rPr/>
      </w:pPr>
      <w:r>
        <w:rPr>
          <w:rFonts w:ascii="Amiri" w:hAnsi="Amiri" w:eastAsia="Amiri" w:cs="Amiri"/>
          <w:color w:val="111111"/>
          <w:sz w:val="28"/>
          <w:sz w:val="28"/>
          <w:szCs w:val="28"/>
          <w:rtl w:val="true"/>
          <w:lang w:bidi="ar-SA"/>
        </w:rPr>
        <w:t>مع التوالي، بل الظاهر أنّ الأمر في الفصل برضاع غير المرضعة إجماع، و 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بتخلّل غير الرضاع من المأكول و المشروب</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 تبعه المجلسيّ </w:t>
      </w:r>
      <w:r>
        <w:rPr>
          <w:rStyle w:val="FootnoteAnchor"/>
          <w:rtl w:val="true"/>
        </w:rPr>
        <w:footnoteReference w:id="343"/>
      </w:r>
      <w:r>
        <w:rPr>
          <w:rFonts w:ascii="Amiri" w:hAnsi="Amiri" w:eastAsia="Amiri" w:cs="Amiri"/>
          <w:color w:val="111111"/>
          <w:sz w:val="28"/>
          <w:sz w:val="28"/>
          <w:szCs w:val="28"/>
          <w:rtl w:val="true"/>
          <w:lang w:bidi="ar-SA"/>
        </w:rPr>
        <w:t xml:space="preserve">فلم يفصلا في الفصل بذلك بين الزماني و غيره، و فيما تقدّم عن مجمع الطبرسي إشعار بمثله </w:t>
      </w:r>
      <w:r>
        <w:rPr>
          <w:rStyle w:val="FootnoteAnchor"/>
          <w:rtl w:val="true"/>
        </w:rPr>
        <w:footnoteReference w:id="344"/>
      </w:r>
      <w:r>
        <w:rPr>
          <w:rFonts w:ascii="Amiri" w:hAnsi="Amiri" w:eastAsia="Amiri" w:cs="Amiri"/>
          <w:color w:val="111111"/>
          <w:sz w:val="28"/>
          <w:sz w:val="28"/>
          <w:szCs w:val="28"/>
          <w:rtl w:val="true"/>
          <w:lang w:bidi="ar-SA"/>
        </w:rPr>
        <w:t>، و ليس يريدون أنّ الفصل بين الزماني على حدّ الفصل بين العددي، و إلّا لجاز أن يكون ارتضاعه أوّل اللّيل مرّة و آخر النّهار أخرى ناشرا للتحريم، و هو باطل إجماعا، بل ينبغي تفسير كلامهم بأنّ الفصل في الزماني بالمسمّى كلعقة من عسل أو دواء أو شربة من ماء لا يمنع من صدق المدّة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فمنع الفصل مطلقا هو المعروف بين الأصحاب و الحجّة فيه إن صدق المدّة مع وجود الفاصل و إن قلّ مجاز، و الألفاظ تحمل على ما هي حقيقة فيه إلّا مع الصّارف، و إن شئت فاستوضح ذلك فيما سوى المدّة ممّا ضربه الشارع من التقديرات، كالكرّ و الصّاع، أو الآجال كالعدّة و سنّ البلوغ إلى غير ذلك ممّا لا يمكن حصره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فصل النشوى بالرّضاع من غير المرضعة فقد منعه في الروضة </w:t>
      </w:r>
      <w:r>
        <w:rPr>
          <w:rStyle w:val="FootnoteAnchor"/>
          <w:rtl w:val="true"/>
        </w:rPr>
        <w:footnoteReference w:id="345"/>
      </w:r>
      <w:r>
        <w:rPr>
          <w:rFonts w:ascii="Amiri" w:hAnsi="Amiri" w:eastAsia="Amiri" w:cs="Amiri"/>
          <w:color w:val="111111"/>
          <w:sz w:val="28"/>
          <w:sz w:val="28"/>
          <w:szCs w:val="28"/>
          <w:rtl w:val="true"/>
          <w:lang w:bidi="ar-SA"/>
        </w:rPr>
        <w:t xml:space="preserve">، و هو ظاهر ما سبق من الطبرسي </w:t>
      </w:r>
      <w:r>
        <w:rPr>
          <w:rStyle w:val="FootnoteAnchor"/>
          <w:rtl w:val="true"/>
        </w:rPr>
        <w:footnoteReference w:id="346"/>
      </w:r>
      <w:r>
        <w:rPr>
          <w:rFonts w:ascii="Amiri" w:hAnsi="Amiri" w:eastAsia="Amiri" w:cs="Amiri"/>
          <w:color w:val="111111"/>
          <w:sz w:val="28"/>
          <w:sz w:val="28"/>
          <w:szCs w:val="28"/>
          <w:rtl w:val="true"/>
          <w:lang w:bidi="ar-SA"/>
        </w:rPr>
        <w:t xml:space="preserve">و قد يفهم ممّا سبق عن ابن إدريس الجواز </w:t>
      </w:r>
      <w:r>
        <w:rPr>
          <w:rStyle w:val="FootnoteAnchor"/>
          <w:rtl w:val="true"/>
        </w:rPr>
        <w:footnoteReference w:id="347"/>
      </w:r>
      <w:r>
        <w:rPr>
          <w:rFonts w:ascii="IRNazanin" w:hAnsi="IRNazanin" w:eastAsia="IRNazanin"/>
          <w:color w:val="111111"/>
          <w:sz w:val="28"/>
          <w:sz w:val="28"/>
          <w:szCs w:val="28"/>
          <w:rtl w:val="true"/>
          <w:lang w:bidi="fa-IR"/>
        </w:rPr>
        <w:t>، و هو الظاهر من</w:t>
      </w:r>
    </w:p>
    <w:p>
      <w:pPr>
        <w:pStyle w:val="BookText"/>
        <w:rPr/>
      </w:pPr>
      <w:r>
        <w:rPr>
          <w:rFonts w:ascii="Amiri" w:hAnsi="Amiri" w:eastAsia="Amiri" w:cs="Amiri"/>
          <w:color w:val="111111"/>
          <w:sz w:val="28"/>
          <w:sz w:val="28"/>
          <w:szCs w:val="28"/>
          <w:rtl w:val="true"/>
          <w:lang w:bidi="ar-SA"/>
        </w:rPr>
        <w:t>فخر المحقّقين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واحد من هذه سبب تامّ، فأيّها تحقّق لم يعتبر الآخر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بل ظاهر المسالك نسبه الجواز إلى الأكثرين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المصنّف و الأكثر أنّ هذه الثلاثة أصول برأسها لا يتقيّد أحدها بالآخر بل أيّها حصل كفى في الحكم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 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انفكاك النشويّ من الآخرين ظاهر لجواز حصوله بدونهما لكن الاطلاع عليه متعسّر و مختصّ بالواحد من أهل الخبرة، فالواحد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توالي الرضعات يعتبر في تقدير الزماني دون النشويّ</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 الحجّة في الجواز إطلاق ما جاء في أنّ النشويّ محرّم و لا دليل على استثناء المنفصل منه و إنّما قام الدليل على منع الفصل في قسيميه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فهنا مقدّمتان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محرّم نشويّ و الحجّة فيها ما سبق من التعليل و الحصر، و ليس تستثنى من هذه غير صورة واحدة،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نشويّ محرّم و الحجّة فيها جوابهم في مقام البيان و السؤال عمّا يحرم من الرضاع بأنّ المحرّم ما أنبت و شدّ و خروج النشوي المنفصل بالرضاع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ذلك إلى نسبة الجواز في المسالك إلى الأكثر، فإنّ الشهرة إن لم تكن حجّة فعاضدة، و لذلك قطعنا في النظم على أنّه ليس في النشوي موالات قطّ، أى لا موالات يمنع فيها فصل الأكل و الشّرب و لا موالات يمنع فيها الفصل برضاع اخرى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يترجّح الآن عندي هو المنع لتقييد ما ذكر من الإطلاق بموثّقة زياد، فإنّ</w:t>
      </w:r>
      <w:bookmarkStart w:id="91" w:name="pg2480_16423"/>
    </w:p>
    <w:p>
      <w:pPr>
        <w:pStyle w:val="BookText"/>
        <w:rPr/>
      </w:pPr>
      <w:bookmarkEnd w:id="91"/>
      <w:r>
        <w:rPr>
          <w:rFonts w:ascii="Amiri" w:hAnsi="Amiri" w:eastAsia="Amiri" w:cs="Amiri"/>
          <w:color w:val="111111"/>
          <w:sz w:val="28"/>
          <w:sz w:val="28"/>
          <w:szCs w:val="28"/>
          <w:rtl w:val="true"/>
          <w:lang w:bidi="ar-SA"/>
        </w:rPr>
        <w:t>مفهوم الوصف فيها يقتضي عدم التحريم بالعدد المنفصل برضاع، أعمّ من أن يكون مسبوقا بمنفصل آخر أم لا، و حينئذ فإن تحقّق بعد الفصل عدد آخر فيه النشر، و إن فصل العدد الثاني فكالأوّل، و الضابط انّ ما بعد الفاصل من كلّ عدد ابتداء لعدد آخر، نعم يتّجه التمسك بالإطلاق عند من لا يجعل مفهوم الوصف حجّة كالسيّد، أو من لا يرى التخصيص بمفهوم المخالفة نظرا إلى أنّ المفهوم أضعف دلالة و الخاصّ إنّما يقدّم لكونه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كونه حجّة كما عليه الأكثرون، لانّ المفاهيم مدلولات حقيقيّة لهيأة الكلام الموضوعة بالوضع النوعي، كما حقّقناه في الأصول، و من ذلك يظهر فساد كونه أضعف، بل لو سلم الضعف لقلنا انّ العمل بالخاصّ من قبيل الجمع لا الترجيح، و أمّا الشهرة فليس في كلام الأكثرين ما يستظهر منه الجواز سوى عطفهم التقديرات الثلاث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قد شرطوا في الرضعات التوالي من دون فرق بين سبقها بمنفصل و عدمه، و الجمع بين الكلمتين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تقدّم في بيان أنّ النشوي أصل، و الثاني أن يكون تثليث النصب لا لتجويز انفراد النشوي بعروض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بل لأنّ العلم بالنشو يحصل بقسيميه تارة و بغيرهما أخرى، و ذلك عند عدم انضباط المدّة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جمع من المحقّقين على أنّ المرجع في معرفة النشو إلى أهل الخبرة، و أنّه يكفي في ذلك أخبار طبيبين عدلين على خلاف منهم في اشتراط التعدد و العدالة فيهما، غير أنّ العارف بالطبّ يعلم أن ليس عند الأطبّاء بشي‌ء من ذلك خبرة، و ربّما اقتضى بعض أصولهم حصول النشو بالرضعة الواحدة، و ليس ذلك مراد الشارع قطعا و إنّما أراد </w:t>
      </w:r>
      <w:r>
        <w:rPr>
          <w:rStyle w:val="FootnoteAnchor"/>
          <w:rtl w:val="true"/>
        </w:rPr>
        <w:footnoteReference w:id="352"/>
      </w:r>
      <w:r>
        <w:rPr>
          <w:rFonts w:ascii="Amiri" w:hAnsi="Amiri" w:eastAsia="Amiri" w:cs="Amiri"/>
          <w:color w:val="111111"/>
          <w:sz w:val="28"/>
          <w:sz w:val="28"/>
          <w:szCs w:val="28"/>
          <w:rtl w:val="true"/>
          <w:lang w:bidi="ar-SA"/>
        </w:rPr>
        <w:t>نشو مخصوص، كما قد ظهر من بعض ما ذكرنا في هذه الرسالة من الفروع، و اللّه أعلم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755579_3804643083"/>
      <w:bookmarkStart w:id="93" w:name="_Toc34"/>
      <w:bookmarkEnd w:id="92"/>
      <w:r>
        <w:rPr>
          <w:rtl w:val="true"/>
        </w:rPr>
        <w:t>[</w:t>
      </w:r>
      <w:r>
        <w:rPr>
          <w:rtl w:val="true"/>
        </w:rPr>
        <w:t>كون نصاب الرضاع كاملا من امرأة واحدة</w:t>
      </w:r>
      <w:r>
        <w:rPr>
          <w:rtl w:val="true"/>
        </w:rPr>
        <w:t>]</w:t>
      </w:r>
      <w:bookmarkEnd w:id="93"/>
    </w:p>
    <w:p>
      <w:pPr>
        <w:pStyle w:val="BookText"/>
        <w:rPr/>
      </w:pPr>
      <w:r>
        <w:rPr>
          <w:rFonts w:ascii="Amiri" w:hAnsi="Amiri" w:eastAsia="Amiri" w:cs="Amiri"/>
          <w:color w:val="111111"/>
          <w:sz w:val="28"/>
          <w:sz w:val="28"/>
          <w:szCs w:val="28"/>
          <w:rtl w:val="true"/>
          <w:lang w:bidi="ar-SA"/>
        </w:rPr>
        <w:t>و يفقد النشر نصاب اتّسق من مرضعات و ان الفحل اتّفق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انتظم النصاب من نساء شتّى لم ينشر الحرمة سواء اتّفق الفحل أو اختلف، ما</w:t>
      </w:r>
      <w:bookmarkStart w:id="94" w:name="pg2480_16424"/>
    </w:p>
    <w:p>
      <w:pPr>
        <w:pStyle w:val="BookText"/>
        <w:rPr/>
      </w:pPr>
      <w:bookmarkEnd w:id="94"/>
      <w:r>
        <w:rPr>
          <w:rFonts w:ascii="Amiri" w:hAnsi="Amiri" w:eastAsia="Amiri" w:cs="Amiri"/>
          <w:color w:val="111111"/>
          <w:sz w:val="28"/>
          <w:sz w:val="28"/>
          <w:szCs w:val="28"/>
          <w:rtl w:val="true"/>
          <w:lang w:bidi="ar-SA"/>
        </w:rPr>
        <w:t xml:space="preserve">لم يكمل من إحداهنّ نصابا و هو إجماع كما عن الخلاف </w:t>
      </w:r>
      <w:r>
        <w:rPr>
          <w:rStyle w:val="FootnoteAnchor"/>
          <w:rtl w:val="true"/>
        </w:rPr>
        <w:footnoteReference w:id="353"/>
      </w:r>
      <w:r>
        <w:rPr>
          <w:rFonts w:ascii="Amiri" w:hAnsi="Amiri" w:eastAsia="Amiri" w:cs="Amiri"/>
          <w:color w:val="111111"/>
          <w:sz w:val="28"/>
          <w:sz w:val="28"/>
          <w:szCs w:val="28"/>
          <w:rtl w:val="true"/>
          <w:lang w:bidi="ar-SA"/>
        </w:rPr>
        <w:t xml:space="preserve">و الغنية </w:t>
      </w:r>
      <w:r>
        <w:rPr>
          <w:rStyle w:val="FootnoteAnchor"/>
          <w:rtl w:val="true"/>
        </w:rPr>
        <w:footnoteReference w:id="354"/>
      </w:r>
      <w:r>
        <w:rPr>
          <w:rFonts w:ascii="Amiri" w:hAnsi="Amiri" w:eastAsia="Amiri" w:cs="Amiri"/>
          <w:color w:val="111111"/>
          <w:sz w:val="28"/>
          <w:sz w:val="28"/>
          <w:szCs w:val="28"/>
          <w:rtl w:val="true"/>
          <w:lang w:bidi="ar-SA"/>
        </w:rPr>
        <w:t xml:space="preserve">و التذكرة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انتظم للرضيع نصاب من لبنك لم تكن أبا أو من لبن أبيك لم تكن أخا أو لبن بنيك لم تكن جدّا أو لبن إخوتك لم تكن خالا و هكذا، و لو أكمل كلّ من الرضيعين من زينب و هند نصابا لم يحرم أحدهما على الآخر ما لم يكمل من إحداهما لكلّ نصاب، و قد صرّح بذلك في موثّقة زياد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امرأة واحدة من لبن فحل واحد لم يفصل بينها رضعة امرأة غيرها و لو أنّ امرأة أرضعت غلاما أو جارية عشر رضعات من لبن فحل واحد و أرضعتها امرأة أخرى من لبن فحل آخر عشر رضعات لم يحرم نكاحهما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من خرافات العامّة أنّ اللبن للفحل و الزوجات ظروف فلو تمّ منهنّ النصاب انتشر التحريم إليه دونهنّ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4"/>
        <w:numPr>
          <w:ilvl w:val="3"/>
          <w:numId w:val="1"/>
        </w:numPr>
        <w:rPr/>
      </w:pPr>
      <w:bookmarkStart w:id="95" w:name="__RefHeading___Toc3755581_3804643083"/>
      <w:bookmarkStart w:id="96" w:name="_Toc35"/>
      <w:bookmarkEnd w:id="95"/>
      <w:r>
        <w:rPr>
          <w:rtl w:val="true"/>
        </w:rPr>
        <w:t>[</w:t>
      </w:r>
      <w:r>
        <w:rPr>
          <w:rtl w:val="true"/>
        </w:rPr>
        <w:t>أن تكون كل رضعة من كل من النصب الثلاثة كاملة</w:t>
      </w:r>
      <w:r>
        <w:rPr>
          <w:rtl w:val="true"/>
        </w:rPr>
        <w:t>]</w:t>
      </w:r>
      <w:bookmarkEnd w:id="96"/>
    </w:p>
    <w:p>
      <w:pPr>
        <w:pStyle w:val="BookText"/>
        <w:rPr/>
      </w:pPr>
      <w:r>
        <w:rPr>
          <w:rFonts w:ascii="Amiri" w:hAnsi="Amiri" w:eastAsia="Amiri" w:cs="Amiri"/>
          <w:color w:val="111111"/>
          <w:sz w:val="28"/>
          <w:sz w:val="28"/>
          <w:szCs w:val="28"/>
          <w:rtl w:val="true"/>
          <w:lang w:bidi="ar-SA"/>
        </w:rPr>
        <w:t>و كلّ رضعة تراد كاملة في كلّ ما قد مرّ حتّى الفاصلة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خلافا بين الأصحاب في أنّه يشترط في كل رضعة من كل من النصب الثلاثة</w:t>
      </w:r>
    </w:p>
    <w:p>
      <w:pPr>
        <w:pStyle w:val="BookText"/>
        <w:rPr/>
      </w:pPr>
      <w:r>
        <w:rPr>
          <w:rFonts w:ascii="Amiri" w:hAnsi="Amiri" w:eastAsia="Amiri" w:cs="Amiri"/>
          <w:color w:val="111111"/>
          <w:sz w:val="28"/>
          <w:sz w:val="28"/>
          <w:szCs w:val="28"/>
          <w:rtl w:val="true"/>
          <w:lang w:bidi="ar-SA"/>
        </w:rPr>
        <w:t xml:space="preserve">أن تكون كاملة، إلّا ما وقع للتقي المجلسي رحمه اللّه من تخصيص ذلك بالعدديّ </w:t>
      </w:r>
      <w:r>
        <w:rPr>
          <w:rStyle w:val="FootnoteAnchor"/>
          <w:rtl w:val="true"/>
        </w:rPr>
        <w:footnoteReference w:id="358"/>
      </w:r>
      <w:r>
        <w:rPr>
          <w:rFonts w:ascii="Amiri" w:hAnsi="Amiri" w:eastAsia="Amiri" w:cs="Amiri"/>
          <w:color w:val="111111"/>
          <w:sz w:val="28"/>
          <w:sz w:val="28"/>
          <w:szCs w:val="28"/>
          <w:rtl w:val="true"/>
          <w:lang w:bidi="ar-SA"/>
        </w:rPr>
        <w:t>، و عندي أنّ هذا الشرط في التقدير الزماني أظهر من الآخرين، لأنّه متى ارتضع بعض الرضعة فان لم يمض زمان يعتدّ به بينه و بين البعض الآخر لم يقدح ذلك في كونها رضعة، و إلّا لم تصدق المدّة، لما مرّ من اعتبار كونه في جميعها رويّا و في صحيحة الفضيل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ترضع عشر رضعات يروى الصبيّ و ينام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قد عرفت أنّ روايات العشر إنّما هي في اليوم و الليلة و لا يقدح هنا كون النوم ليس بشرط إجماعا، لأنّ ذلك مبنيّ على ما هو الغالب من حال الأطفال، و ممّا يدلّ على اعتبار الكمال في العدّة و المدّة مضافا إلى الأصل ما رواه ابن أبي عمير في المرسل كالصحيح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 الدّم هو الذي يرضع حتّى يتضلّع و يتملّى و ينتهي نفسه</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مضمرة ابن أبي يعفور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فإنّ ذلك الذي ينبت اللحم و الدم و ذلك الذي يحرم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مع انّ المنساق ممّا جاء في العشر و الخمس عشرة إنّما هو الكوامل، و إن شئت فاستوضح ذلك فيما إذا جعل للظئر على كلّ رضعة درهما مثلا، فإنّه لا يكتفي منها بدون الكاملة البتّة، و</w:t>
      </w:r>
    </w:p>
    <w:p>
      <w:pPr>
        <w:pStyle w:val="BookText"/>
        <w:rPr/>
      </w:pPr>
      <w:r>
        <w:rPr>
          <w:rFonts w:ascii="Amiri" w:hAnsi="Amiri" w:eastAsia="Amiri" w:cs="Amiri"/>
          <w:color w:val="111111"/>
          <w:sz w:val="28"/>
          <w:sz w:val="28"/>
          <w:szCs w:val="28"/>
          <w:rtl w:val="true"/>
          <w:lang w:bidi="ar-SA"/>
        </w:rPr>
        <w:t>ليس لها أن تقول إنّما شرطت لك خمس رضعات مثلا و الخمس النواقص خمس، و كذا الحكم في النذر و العهد و اليمين 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منع النشر بالرضعة الفاصلة كمالها أو يكفي الأقلّ منها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العلّامة في القواعد بالأوّل و التذكرة </w:t>
      </w:r>
      <w:r>
        <w:rPr>
          <w:rStyle w:val="FootnoteAnchor"/>
          <w:rtl w:val="true"/>
        </w:rPr>
        <w:footnoteReference w:id="362"/>
      </w:r>
      <w:r>
        <w:rPr>
          <w:rFonts w:ascii="Amiri" w:hAnsi="Amiri" w:eastAsia="Amiri" w:cs="Amiri"/>
          <w:color w:val="111111"/>
          <w:sz w:val="28"/>
          <w:sz w:val="28"/>
          <w:szCs w:val="28"/>
          <w:rtl w:val="true"/>
          <w:lang w:bidi="ar-SA"/>
        </w:rPr>
        <w:t>بالثاني، و قد تقدّم قوله عليه السّلام في الموثّق لم يفصل بينها رضعة امرأة أخرى فالبناء على الأوّل لما مرّ من التبادر و المحافظة على الاحتياط أولى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الأصحاب من اعتبر في كماليّة الرضعة الرجوع إلى العرف كما في الشرائع </w:t>
      </w:r>
      <w:r>
        <w:rPr>
          <w:rStyle w:val="FootnoteAnchor"/>
          <w:rtl w:val="true"/>
        </w:rPr>
        <w:footnoteReference w:id="363"/>
      </w:r>
      <w:r>
        <w:rPr>
          <w:rFonts w:ascii="IRNazanin" w:hAnsi="IRNazanin" w:eastAsia="IRNazanin"/>
          <w:color w:val="111111"/>
          <w:sz w:val="28"/>
          <w:sz w:val="28"/>
          <w:szCs w:val="28"/>
          <w:rtl w:val="true"/>
          <w:lang w:bidi="fa-IR"/>
        </w:rPr>
        <w:t xml:space="preserve">و القواعد </w:t>
      </w:r>
      <w:r>
        <w:rPr>
          <w:rStyle w:val="FootnoteAnchor"/>
          <w:rtl w:val="true"/>
        </w:rPr>
        <w:footnoteReference w:id="364"/>
      </w:r>
      <w:r>
        <w:rPr>
          <w:rFonts w:ascii="Amiri" w:hAnsi="Amiri" w:eastAsia="Amiri" w:cs="Amiri"/>
          <w:color w:val="111111"/>
          <w:sz w:val="28"/>
          <w:sz w:val="28"/>
          <w:szCs w:val="28"/>
          <w:rtl w:val="true"/>
          <w:lang w:bidi="ar-SA"/>
        </w:rPr>
        <w:t xml:space="preserve">و غيرهما </w:t>
      </w:r>
      <w:r>
        <w:rPr>
          <w:rStyle w:val="FootnoteAnchor"/>
          <w:rtl w:val="true"/>
        </w:rPr>
        <w:footnoteReference w:id="365"/>
      </w:r>
      <w:r>
        <w:rPr>
          <w:rFonts w:ascii="Amiri" w:hAnsi="Amiri" w:eastAsia="Amiri" w:cs="Amiri"/>
          <w:color w:val="111111"/>
          <w:sz w:val="28"/>
          <w:sz w:val="28"/>
          <w:szCs w:val="28"/>
          <w:rtl w:val="true"/>
          <w:lang w:bidi="ar-SA"/>
        </w:rPr>
        <w:t xml:space="preserve">، و منهم من قدّرها بان يروى الصبي و يصدر من قبل نفسه و كلا القولين للشيخ </w:t>
      </w:r>
      <w:r>
        <w:rPr>
          <w:rStyle w:val="FootnoteAnchor"/>
          <w:rtl w:val="true"/>
        </w:rPr>
        <w:footnoteReference w:id="366"/>
      </w:r>
      <w:r>
        <w:rPr>
          <w:rFonts w:ascii="Amiri" w:hAnsi="Amiri" w:eastAsia="Amiri" w:cs="Amiri"/>
          <w:color w:val="111111"/>
          <w:sz w:val="28"/>
          <w:sz w:val="28"/>
          <w:szCs w:val="28"/>
          <w:rtl w:val="true"/>
          <w:lang w:bidi="ar-SA"/>
        </w:rPr>
        <w:t xml:space="preserve">، و منهم من جمع بينهما كما في التذكرة </w:t>
      </w:r>
      <w:r>
        <w:rPr>
          <w:rStyle w:val="FootnoteAnchor"/>
          <w:rtl w:val="true"/>
        </w:rPr>
        <w:footnoteReference w:id="367"/>
      </w:r>
      <w:r>
        <w:rPr>
          <w:rFonts w:ascii="Amiri" w:hAnsi="Amiri" w:eastAsia="Amiri" w:cs="Amiri"/>
          <w:color w:val="111111"/>
          <w:sz w:val="28"/>
          <w:sz w:val="28"/>
          <w:szCs w:val="28"/>
          <w:rtl w:val="true"/>
          <w:lang w:bidi="ar-SA"/>
        </w:rPr>
        <w:t xml:space="preserve">و لعلّ السبب في ذلك عدم الاختلاف في المعنى كما نصّ عليه ابن الجنيد </w:t>
      </w:r>
      <w:r>
        <w:rPr>
          <w:rStyle w:val="FootnoteAnchor"/>
          <w:rtl w:val="true"/>
        </w:rPr>
        <w:footnoteReference w:id="368"/>
      </w:r>
      <w:r>
        <w:rPr>
          <w:rFonts w:ascii="Amiri" w:hAnsi="Amiri" w:eastAsia="Amiri" w:cs="Amiri"/>
          <w:color w:val="111111"/>
          <w:sz w:val="28"/>
          <w:sz w:val="28"/>
          <w:szCs w:val="28"/>
          <w:rtl w:val="true"/>
          <w:lang w:bidi="ar-SA"/>
        </w:rPr>
        <w:t xml:space="preserve">و فخر المحققين </w:t>
      </w:r>
      <w:r>
        <w:rPr>
          <w:rStyle w:val="FootnoteAnchor"/>
          <w:rtl w:val="true"/>
        </w:rPr>
        <w:footnoteReference w:id="369"/>
      </w:r>
      <w:r>
        <w:rPr>
          <w:rFonts w:ascii="Amiri" w:hAnsi="Amiri" w:eastAsia="Amiri" w:cs="Amiri"/>
          <w:color w:val="111111"/>
          <w:sz w:val="28"/>
          <w:sz w:val="28"/>
          <w:szCs w:val="28"/>
          <w:rtl w:val="true"/>
          <w:lang w:bidi="ar-SA"/>
        </w:rPr>
        <w:t>و المحقّق</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70"/>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اتّحد التقديران و إلّا فالبناء على الثاني، لما رأيت من الأخبار </w:t>
      </w:r>
      <w:r>
        <w:rPr>
          <w:rStyle w:val="FootnoteAnchor"/>
          <w:rtl w:val="true"/>
        </w:rPr>
        <w:footnoteReference w:id="371"/>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الرضعة إن امتصّها من الثدي ولاء فذاك و إلّا فإن لم يتخلل زمان يعتدّ به كلفظ الثدي لروعه أو تنفّس أو التفات إلى ملاعب أو انتقال إلى ثدي أخر لم يقدح ذلك في كونها رضعة، و عدّ العلّامة في التذكرة </w:t>
      </w:r>
      <w:r>
        <w:rPr>
          <w:rStyle w:val="FootnoteAnchor"/>
          <w:rtl w:val="true"/>
        </w:rPr>
        <w:footnoteReference w:id="372"/>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373"/>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374"/>
      </w:r>
      <w:r>
        <w:rPr>
          <w:rFonts w:ascii="Amiri" w:hAnsi="Amiri" w:eastAsia="Amiri" w:cs="Amiri"/>
          <w:color w:val="111111"/>
          <w:sz w:val="28"/>
          <w:sz w:val="28"/>
          <w:szCs w:val="28"/>
          <w:rtl w:val="true"/>
          <w:lang w:bidi="ar-SA"/>
        </w:rPr>
        <w:t>و غيرهم ممّا لا يقدح ذلك في كونها رضعة النوم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طال الزمان فهل يمكن كون الثانية متمّمة للأولى أم لا بدّ من كونها ابتداء لرضعة أخرى؟ الأقرب الثاني، و تردّد المحقّق الثاني </w:t>
      </w:r>
      <w:r>
        <w:rPr>
          <w:rStyle w:val="FootnoteAnchor"/>
          <w:rtl w:val="true"/>
        </w:rPr>
        <w:footnoteReference w:id="375"/>
      </w:r>
      <w:r>
        <w:rPr>
          <w:rFonts w:ascii="Amiri" w:hAnsi="Amiri" w:eastAsia="Amiri" w:cs="Amiri"/>
          <w:color w:val="111111"/>
          <w:sz w:val="28"/>
          <w:sz w:val="28"/>
          <w:szCs w:val="28"/>
          <w:rtl w:val="true"/>
          <w:lang w:bidi="ar-SA"/>
        </w:rPr>
        <w:t>من انتفاء الوحدة عرفا و من أنّ الغرض حصول القدر الذي يساوي الرضعة الواحدة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اشتراط كمال الرضعات إيماء إلى أنّه يشترط وصول اللبن خالصا إلى المعدة، فلو ألقي في فيه مائع يمزج </w:t>
      </w:r>
      <w:r>
        <w:rPr>
          <w:rStyle w:val="FootnoteAnchor"/>
          <w:rtl w:val="true"/>
        </w:rPr>
        <w:footnoteReference w:id="376"/>
      </w:r>
      <w:r>
        <w:rPr>
          <w:rFonts w:ascii="Amiri" w:hAnsi="Amiri" w:eastAsia="Amiri" w:cs="Amiri"/>
          <w:color w:val="111111"/>
          <w:sz w:val="28"/>
          <w:sz w:val="28"/>
          <w:szCs w:val="28"/>
          <w:rtl w:val="true"/>
          <w:lang w:bidi="ar-SA"/>
        </w:rPr>
        <w:t xml:space="preserve">باللبن حال ارتضاعه، فإن أخرجه عن مسمّى اللبن فواضح و إلّا اعتبر في الممازج عدم الإخلال بالارتواء بالرضعة نفسها، و لا عبرة بالممازج النزر </w:t>
      </w:r>
      <w:r>
        <w:rPr>
          <w:rStyle w:val="FootnoteAnchor"/>
          <w:rtl w:val="true"/>
        </w:rPr>
        <w:footnoteReference w:id="377"/>
      </w:r>
      <w:r>
        <w:rPr>
          <w:rFonts w:ascii="Amiri" w:hAnsi="Amiri" w:eastAsia="Amiri" w:cs="Amiri"/>
          <w:color w:val="111111"/>
          <w:sz w:val="28"/>
          <w:sz w:val="28"/>
          <w:szCs w:val="28"/>
          <w:rtl w:val="true"/>
          <w:lang w:bidi="ar-SA"/>
        </w:rPr>
        <w:t>و لا ما يوجد في الفم من الرّيق و نحوه، و لو تقيّأ بعض الرضعة فالحكم فيه يعرف ممّا تقدّم</w:t>
      </w:r>
      <w:r>
        <w:rPr>
          <w:rFonts w:eastAsia="Amiri" w:cs="Amiri" w:ascii="Amiri" w:hAnsi="Amiri"/>
          <w:color w:val="111111"/>
          <w:sz w:val="28"/>
          <w:szCs w:val="28"/>
          <w:rtl w:val="true"/>
          <w:lang w:bidi="ar-SA"/>
        </w:rPr>
        <w:t>.</w:t>
      </w:r>
      <w:bookmarkStart w:id="97" w:name="pg2480_16428"/>
    </w:p>
    <w:p>
      <w:pPr>
        <w:pStyle w:val="Heading3"/>
        <w:numPr>
          <w:ilvl w:val="2"/>
          <w:numId w:val="1"/>
        </w:numPr>
        <w:rPr/>
      </w:pPr>
      <w:bookmarkStart w:id="98" w:name="__RefHeading___Toc3755583_3804643083"/>
      <w:bookmarkStart w:id="99" w:name="_Toc36"/>
      <w:bookmarkEnd w:id="97"/>
      <w:bookmarkEnd w:id="98"/>
      <w:r>
        <w:rPr>
          <w:rtl w:val="true"/>
        </w:rPr>
        <w:t>القول في نسب الرضاع</w:t>
      </w:r>
      <w:bookmarkEnd w:id="99"/>
    </w:p>
    <w:p>
      <w:pPr>
        <w:pStyle w:val="BookText"/>
        <w:rPr/>
      </w:pPr>
      <w:r>
        <w:rPr>
          <w:rFonts w:ascii="Amiri" w:hAnsi="Amiri" w:eastAsia="Amiri" w:cs="Amiri"/>
          <w:color w:val="111111"/>
          <w:sz w:val="28"/>
          <w:sz w:val="28"/>
          <w:szCs w:val="28"/>
          <w:rtl w:val="true"/>
          <w:lang w:bidi="ar-SA"/>
        </w:rPr>
        <w:t>و لحمة الرضاع لحمة النسب فالظئر و الفحل إذن أمّ و أب</w:t>
      </w:r>
    </w:p>
    <w:p>
      <w:pPr>
        <w:pStyle w:val="BookText"/>
        <w:rPr/>
      </w:pPr>
      <w:r>
        <w:rPr>
          <w:rFonts w:ascii="Amiri" w:hAnsi="Amiri" w:eastAsia="Amiri" w:cs="Amiri"/>
          <w:color w:val="111111"/>
          <w:sz w:val="28"/>
          <w:sz w:val="28"/>
          <w:szCs w:val="28"/>
          <w:rtl w:val="true"/>
          <w:lang w:bidi="ar-SA"/>
        </w:rPr>
        <w:t>و ما لكلّ من أب و من ولد هذا بجنسه أخ و ذاك جدّ</w:t>
      </w:r>
    </w:p>
    <w:p>
      <w:pPr>
        <w:pStyle w:val="BookText"/>
        <w:rPr/>
      </w:pPr>
      <w:r>
        <w:rPr>
          <w:rFonts w:ascii="Amiri" w:hAnsi="Amiri" w:eastAsia="Amiri" w:cs="Amiri"/>
          <w:color w:val="111111"/>
          <w:sz w:val="28"/>
          <w:sz w:val="28"/>
          <w:szCs w:val="28"/>
          <w:rtl w:val="true"/>
          <w:lang w:bidi="ar-SA"/>
        </w:rPr>
        <w:t>و إخوة الاثنين بالمعنى الأعمّ خال و خالة و عمّه و عمّ</w:t>
      </w:r>
    </w:p>
    <w:p>
      <w:pPr>
        <w:pStyle w:val="BookText"/>
        <w:rPr/>
      </w:pPr>
      <w:r>
        <w:rPr>
          <w:rFonts w:ascii="Amiri" w:hAnsi="Amiri" w:eastAsia="Amiri" w:cs="Amiri"/>
          <w:color w:val="111111"/>
          <w:sz w:val="28"/>
          <w:sz w:val="28"/>
          <w:szCs w:val="28"/>
          <w:rtl w:val="true"/>
          <w:lang w:bidi="ar-SA"/>
        </w:rPr>
        <w:t xml:space="preserve">لا خلاف بين المسلمين في تحريم النكاح بالرضاع في الجملة، و ان اختلفوا في كمّيته و كيفيّته و الأصل فيه الكتاب و السنّة و الإجماع، قال اللّه تعالى وَ أُمَّهٰاتُكُمُ اللّٰاتِي أَرْضَعْنَكُمْ وَ أَخَوٰاتُكُمْ مِنَ الرَّضٰاعَةِ </w:t>
      </w:r>
      <w:r>
        <w:rPr>
          <w:rStyle w:val="FootnoteAnchor"/>
          <w:rtl w:val="true"/>
        </w:rPr>
        <w:footnoteReference w:id="378"/>
      </w:r>
      <w:r>
        <w:rPr>
          <w:rFonts w:ascii="Amiri" w:hAnsi="Amiri" w:eastAsia="Amiri" w:cs="Amiri"/>
          <w:color w:val="111111"/>
          <w:sz w:val="28"/>
          <w:sz w:val="28"/>
          <w:szCs w:val="28"/>
          <w:rtl w:val="true"/>
          <w:lang w:bidi="ar-SA"/>
        </w:rPr>
        <w:t>و في تسميتها امّا و أختا تنبيه على تسمية صاحب اللبن أبا، لمكان التضايف و يطرد في الباقي، و قد روى العامّة عن النبيّ صلّى اللّه عليه و آله و سلّم و الخاصّة عنه، و عن عترته عليهم السّلام بأسانيد فيها الصحيح و غيره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روى الفريقان أيضا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الرضاع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 أيّان احتججنا بالعموم في هذه الرسالة فالمراد ما ذكر هنا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قد حرّم من النسب سبعا و من الرجال مثلهن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إن علت فتندرج فيها الجدّات، و يحرم عليك في المرتبة الأولى امرأة واحدة، و في الثانية اثنتان، أمّ أبيك و أمّ أمّك، و في الثالثة أربع، لأنّ لكلّ من جدّيك و</w:t>
      </w:r>
    </w:p>
    <w:p>
      <w:pPr>
        <w:pStyle w:val="BookText"/>
        <w:rPr/>
      </w:pPr>
      <w:r>
        <w:rPr>
          <w:rFonts w:ascii="Amiri" w:hAnsi="Amiri" w:eastAsia="Amiri" w:cs="Amiri"/>
          <w:color w:val="111111"/>
          <w:sz w:val="28"/>
          <w:sz w:val="28"/>
          <w:szCs w:val="28"/>
          <w:rtl w:val="true"/>
          <w:lang w:bidi="ar-SA"/>
        </w:rPr>
        <w:t>جدّتيك امّا، و في الرابعة ثمان، و في الخامسة ستّ عشرة، و الضابط أنّ كلّ لاحقه ضعف سابقتها، و يحرم على المرأة أبوها و إن علا بنحو ما سبق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و إن نزلت، فيحرم عليك ابنتك و أبنت ابنك و بنتك و لو بواسطة أو وسائط، و يحرم على المرأة ابنها و ابن بنتها و ابنها و لو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صرّح في النظم بانّ المرضعة أمّ و الفحل أب لم يحتج إلى ذكر البنت، لما بين الأبوّة و النبوّة من التضايف، فامّك من الرضاع مرضعتك و أبوك فحلها و من ولدها </w:t>
      </w:r>
      <w:r>
        <w:rPr>
          <w:rStyle w:val="FootnoteAnchor"/>
          <w:rtl w:val="true"/>
        </w:rPr>
        <w:footnoteReference w:id="381"/>
      </w:r>
      <w:r>
        <w:rPr>
          <w:rFonts w:ascii="IRNazanin" w:hAnsi="IRNazanin" w:eastAsia="IRNazanin"/>
          <w:color w:val="111111"/>
          <w:sz w:val="28"/>
          <w:sz w:val="28"/>
          <w:szCs w:val="28"/>
          <w:rtl w:val="true"/>
          <w:lang w:bidi="fa-IR"/>
        </w:rPr>
        <w:t xml:space="preserve">أو ولده </w:t>
      </w:r>
      <w:r>
        <w:rPr>
          <w:rStyle w:val="FootnoteAnchor"/>
          <w:rtl w:val="true"/>
        </w:rPr>
        <w:footnoteReference w:id="382"/>
      </w:r>
      <w:r>
        <w:rPr>
          <w:rFonts w:ascii="Amiri" w:hAnsi="Amiri" w:eastAsia="Amiri" w:cs="Amiri"/>
          <w:color w:val="111111"/>
          <w:sz w:val="28"/>
          <w:sz w:val="28"/>
          <w:szCs w:val="28"/>
          <w:rtl w:val="true"/>
          <w:lang w:bidi="ar-SA"/>
        </w:rPr>
        <w:t>و لو بواسطة أو وسائط أو أرضعها أو أرضع من ولدها أو ولده أو أرضع من أرضعها أو أرضعه و لو بواسطة أو وسائط فهو جدّا و جدّة، و كذا من أرضع أباك و أمّك أو من ولدهما أو ولد من ارضعهما نسبا أو رضاعا و لو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أنّه يحرم عليك صاحبا لبنك و لبن آبائك و آبائهما من الرضاع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من الأبوين أو أحدهما غير أنّ الشارع قد نفى ان يكون في الرضاع إخوة من الأمّ فالأخت من الرضاع من أرضعت بلبن أبيك أو أمك أو الفحل أو ولدتها المرضعة أو الفحل نسبا، و الأخ بذلك القياس، و هذا ما أشير إليه في البيتين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و هي أخت أبيك و إن علا سواء كانت من الأبوين أو أحدهما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 هي أخت أمّك و إن علت سواء كانت من الأبوين أو أحدهما، و العمّ و الخال بذلك القياس، و لا اخوّة من الأمّ في الرضاع هنا أيضا، فأعمامك و أخوالك من الرضاع إخوة الفحل و المرضعة، و إخوة من ولدهما من النسب و الرضاع، و كذا كلّ امرأة أرضعتها واحدة من جدّاتك أو ارتضعت بلبن واحد من أجدادك من 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الإخوة و الأخوات و إن نزلن و سيأتي ذكرهما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مطلقا يحرم ولد المرتضع عليهما و غيرهم لا يمتنع</w:t>
      </w:r>
    </w:p>
    <w:p>
      <w:pPr>
        <w:pStyle w:val="BookText"/>
        <w:rPr/>
      </w:pPr>
      <w:r>
        <w:rPr>
          <w:rFonts w:ascii="Amiri" w:hAnsi="Amiri" w:eastAsia="Amiri" w:cs="Amiri"/>
          <w:color w:val="111111"/>
          <w:sz w:val="28"/>
          <w:sz w:val="28"/>
          <w:szCs w:val="28"/>
          <w:rtl w:val="true"/>
          <w:lang w:bidi="ar-SA"/>
        </w:rPr>
        <w:t xml:space="preserve">لا ريب في تحريم ولد المرتضع على المرضعة و الفحل، فان كانوا من الرضاع فيحرم على المرضعة نكاح من ولده المرتضع إذا ارتضع بلبنه من الذكور و على الفحل نكاح من ولد أو ارتضع بلبنه من الإناث، و أما سائر من ينتمي </w:t>
      </w:r>
      <w:r>
        <w:rPr>
          <w:rStyle w:val="FootnoteAnchor"/>
          <w:rtl w:val="true"/>
        </w:rPr>
        <w:footnoteReference w:id="383"/>
      </w:r>
      <w:r>
        <w:rPr>
          <w:rFonts w:ascii="Amiri" w:hAnsi="Amiri" w:eastAsia="Amiri" w:cs="Amiri"/>
          <w:color w:val="111111"/>
          <w:sz w:val="28"/>
          <w:sz w:val="28"/>
          <w:szCs w:val="28"/>
          <w:rtl w:val="true"/>
          <w:lang w:bidi="ar-SA"/>
        </w:rPr>
        <w:t>إليه من النسب و الرضاع فلا يحرم منه شي‌ء عليهما، لما سيجي‌ء من وجوب مراعاة التطابق في النسبة و بطلان عموم المنزلة إلّا ما يستثني، و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للفحل أن يتزوّج بأمّ المرتضع و بنته و أخته و جدّته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أكثر نسخ المبسوط و الكتب التي حكيت هذه العبارة فيها </w:t>
      </w:r>
      <w:r>
        <w:rPr>
          <w:rStyle w:val="FootnoteAnchor"/>
          <w:rtl w:val="true"/>
        </w:rPr>
        <w:footnoteReference w:id="385"/>
      </w:r>
      <w:r>
        <w:rPr>
          <w:rFonts w:ascii="Amiri" w:hAnsi="Amiri" w:eastAsia="Amiri" w:cs="Amiri"/>
          <w:color w:val="111111"/>
          <w:sz w:val="28"/>
          <w:sz w:val="28"/>
          <w:szCs w:val="28"/>
          <w:rtl w:val="true"/>
          <w:lang w:bidi="ar-SA"/>
        </w:rPr>
        <w:t xml:space="preserve">خالية عن التعرّض لذكر البنت بل هو من الناسخ قطعا لأنّه لا تفصيل في العبارة بين كون البنت من رضاع أو نسب مع أنّ تحريم النسبيّة </w:t>
      </w:r>
      <w:r>
        <w:rPr>
          <w:rStyle w:val="FootnoteAnchor"/>
          <w:rtl w:val="true"/>
        </w:rPr>
        <w:footnoteReference w:id="386"/>
      </w:r>
      <w:r>
        <w:rPr>
          <w:rFonts w:ascii="Amiri" w:hAnsi="Amiri" w:eastAsia="Amiri" w:cs="Amiri"/>
          <w:color w:val="111111"/>
          <w:sz w:val="28"/>
          <w:sz w:val="28"/>
          <w:szCs w:val="28"/>
          <w:rtl w:val="true"/>
          <w:lang w:bidi="ar-SA"/>
        </w:rPr>
        <w:t>من ضرورات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الفرع يعطي حكم من شبّه به و الأمر في التفريع ليس يشتبه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أنّ فرع من لم يذكر فرعه و هم الإخوة و الأعمام و الأخوال و ولد المرتضع يعطي من الحلّ و الحرمة حكم من شبّه به من قرابة النسب، و نريد بالفرع من ولده أحد هذه الأصناف، أو ارتضع من لبنه أو ولده من ولدوه </w:t>
      </w:r>
      <w:r>
        <w:rPr>
          <w:rStyle w:val="FootnoteAnchor"/>
          <w:rtl w:val="true"/>
        </w:rPr>
        <w:footnoteReference w:id="387"/>
      </w:r>
      <w:r>
        <w:rPr>
          <w:rFonts w:ascii="Amiri" w:hAnsi="Amiri" w:eastAsia="Amiri" w:cs="Amiri"/>
          <w:color w:val="111111"/>
          <w:sz w:val="28"/>
          <w:sz w:val="28"/>
          <w:szCs w:val="28"/>
          <w:rtl w:val="true"/>
          <w:lang w:bidi="ar-SA"/>
        </w:rPr>
        <w:t>و لو بواسطة، أو وسائط أو ارتضع من لبنه ففرغ الأخ أو الأخت من ولده، أو ارتضع بلبنه من ذكر و أنثى، أو ولده أحد بنيه أو بناته و لو بواسطة أو وسائط من النسب، أو الرضاع، و فروع البواقي بهذا القياس، و قانون التحريم أنّه لا يحلّ من أقارب النسب و الرضاع غير ولد الأعمام و الأخوال</w:t>
      </w:r>
      <w:r>
        <w:rPr>
          <w:rFonts w:eastAsia="Amiri" w:cs="Amiri" w:ascii="Amiri" w:hAnsi="Amiri"/>
          <w:color w:val="111111"/>
          <w:sz w:val="28"/>
          <w:szCs w:val="28"/>
          <w:rtl w:val="true"/>
          <w:lang w:bidi="ar-SA"/>
        </w:rPr>
        <w:t>.</w:t>
      </w:r>
      <w:bookmarkStart w:id="100" w:name="pg2480_16431"/>
    </w:p>
    <w:p>
      <w:pPr>
        <w:pStyle w:val="Heading3"/>
        <w:numPr>
          <w:ilvl w:val="2"/>
          <w:numId w:val="1"/>
        </w:numPr>
        <w:rPr/>
      </w:pPr>
      <w:bookmarkStart w:id="101" w:name="__RefHeading___Toc3755585_3804643083"/>
      <w:bookmarkStart w:id="102" w:name="_Toc37"/>
      <w:bookmarkEnd w:id="100"/>
      <w:bookmarkEnd w:id="101"/>
      <w:r>
        <w:rPr>
          <w:rtl w:val="true"/>
        </w:rPr>
        <w:t>كيفيّة اتّحاد الفحل</w:t>
      </w:r>
      <w:bookmarkEnd w:id="102"/>
    </w:p>
    <w:p>
      <w:pPr>
        <w:pStyle w:val="BookText"/>
        <w:rPr/>
      </w:pPr>
      <w:r>
        <w:rPr>
          <w:rFonts w:ascii="Amiri" w:hAnsi="Amiri" w:eastAsia="Amiri" w:cs="Amiri"/>
          <w:color w:val="111111"/>
          <w:sz w:val="28"/>
          <w:sz w:val="28"/>
          <w:szCs w:val="28"/>
          <w:rtl w:val="true"/>
          <w:lang w:bidi="ar-SA"/>
        </w:rPr>
        <w:t xml:space="preserve">إن تمّ من لبان فحلين العدد لم ينشر التحريم ما بين أحد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فإن أتمّ اثنان كلّ عددا أو عدة فالنشر حيث اتّحدا</w:t>
      </w:r>
    </w:p>
    <w:p>
      <w:pPr>
        <w:pStyle w:val="BookText"/>
        <w:rPr/>
      </w:pPr>
      <w:r>
        <w:rPr>
          <w:rFonts w:ascii="Amiri" w:hAnsi="Amiri" w:eastAsia="Amiri" w:cs="Amiri"/>
          <w:color w:val="111111"/>
          <w:sz w:val="28"/>
          <w:sz w:val="28"/>
          <w:szCs w:val="28"/>
          <w:rtl w:val="true"/>
          <w:lang w:bidi="ar-SA"/>
        </w:rPr>
        <w:t>ا لاتحاد الفحل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بين أجزاء النصاب و يدلّ عليه جلّ ما ذكر في إثبات الاتحاد من الروايات </w:t>
      </w:r>
      <w:r>
        <w:rPr>
          <w:rStyle w:val="FootnoteAnchor"/>
          <w:rtl w:val="true"/>
        </w:rPr>
        <w:footnoteReference w:id="389"/>
      </w:r>
      <w:r>
        <w:rPr>
          <w:rFonts w:ascii="Amiri" w:hAnsi="Amiri" w:eastAsia="Amiri" w:cs="Amiri"/>
          <w:color w:val="111111"/>
          <w:sz w:val="28"/>
          <w:sz w:val="28"/>
          <w:szCs w:val="28"/>
          <w:rtl w:val="true"/>
          <w:lang w:bidi="ar-SA"/>
        </w:rPr>
        <w:t xml:space="preserve">و الإجماع عليه محصّل و منقول في التذكرة </w:t>
      </w:r>
      <w:r>
        <w:rPr>
          <w:rStyle w:val="FootnoteAnchor"/>
          <w:rtl w:val="true"/>
        </w:rPr>
        <w:footnoteReference w:id="390"/>
      </w:r>
      <w:r>
        <w:rPr>
          <w:rFonts w:ascii="Amiri" w:hAnsi="Amiri" w:eastAsia="Amiri" w:cs="Amiri"/>
          <w:color w:val="111111"/>
          <w:sz w:val="28"/>
          <w:sz w:val="28"/>
          <w:szCs w:val="28"/>
          <w:rtl w:val="true"/>
          <w:lang w:bidi="ar-SA"/>
        </w:rPr>
        <w:t xml:space="preserve">و غيرها </w:t>
      </w:r>
      <w:r>
        <w:rPr>
          <w:rStyle w:val="FootnoteAnchor"/>
          <w:rtl w:val="true"/>
        </w:rPr>
        <w:footnoteReference w:id="391"/>
      </w:r>
      <w:r>
        <w:rPr>
          <w:rFonts w:ascii="Amiri" w:hAnsi="Amiri" w:eastAsia="Amiri" w:cs="Amiri"/>
          <w:color w:val="111111"/>
          <w:sz w:val="28"/>
          <w:sz w:val="28"/>
          <w:szCs w:val="28"/>
          <w:rtl w:val="true"/>
          <w:lang w:bidi="ar-SA"/>
        </w:rPr>
        <w:t xml:space="preserve">، فلو تمّ من لبان فحلين نصاب لم يترتّب عليه أثر أصلا و يتصوّر ذلك في مثل </w:t>
      </w:r>
      <w:r>
        <w:rPr>
          <w:rStyle w:val="FootnoteAnchor"/>
          <w:rtl w:val="true"/>
        </w:rPr>
        <w:footnoteReference w:id="392"/>
      </w:r>
      <w:r>
        <w:rPr>
          <w:rFonts w:ascii="Amiri" w:hAnsi="Amiri" w:eastAsia="Amiri" w:cs="Amiri"/>
          <w:color w:val="111111"/>
          <w:sz w:val="28"/>
          <w:sz w:val="28"/>
          <w:szCs w:val="28"/>
          <w:rtl w:val="true"/>
          <w:lang w:bidi="ar-SA"/>
        </w:rPr>
        <w:t>ما إذا استمرّ لبن زوجها السابق إلى انقضاء الحمل من اللاحق، فشرع الطفل في النصاب قبل الوضع و أكمله بعده، فلا ينشر ذلك تحريما بين الرضيع و صاحب اللبن و لا بينه و بين المرضعة، فأولى من ذلك أن لا ينشر فيمن ينتمي إلى الثلاثة كالولد و الإخوة و الأعمام و نحوهم البتّة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بين الرضيعين و لا ريب في وقوع النشر بين الرضيع و المرضعة و الفحل الذي ارتضع منه، و حينئذ فإن كان لبن الرضيعين فصاعدا لو أحد انتشر التحريم بينهما أيضا سواء اتحدت المرضعة أم تعدّدت، و إلّا لم يحرم التناكح بينهما، إذ لا اخوّة من الامّ</w:t>
      </w:r>
    </w:p>
    <w:p>
      <w:pPr>
        <w:pStyle w:val="BookText"/>
        <w:rPr/>
      </w:pPr>
      <w:r>
        <w:rPr>
          <w:rFonts w:ascii="Amiri" w:hAnsi="Amiri" w:eastAsia="Amiri" w:cs="Amiri"/>
          <w:color w:val="111111"/>
          <w:sz w:val="28"/>
          <w:sz w:val="28"/>
          <w:szCs w:val="28"/>
          <w:rtl w:val="true"/>
          <w:lang w:bidi="ar-SA"/>
        </w:rPr>
        <w:t>وحدها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التعدّد إمّا في الرضيع أو في المرضعة أو في الفحل أو في الأوّلين أو في الأخيرين أو في الأول و الأخير أو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الصورة الأولى، و 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أكمل من واحد نصابا نشر في الأخرى كما سيأتي في أحكام المصاهرة، و الا فهو ما مرّ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يفقد النشر 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أكمل من كل نصاب فلا إشكال و إلّا فهي المسألة المبحوث عنها هنا بالبيت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أكمل كل من كل نصابا </w:t>
      </w:r>
      <w:r>
        <w:rPr>
          <w:rStyle w:val="FootnoteAnchor"/>
          <w:rtl w:val="true"/>
        </w:rPr>
        <w:footnoteReference w:id="393"/>
      </w:r>
      <w:r>
        <w:rPr>
          <w:rFonts w:ascii="Amiri" w:hAnsi="Amiri" w:eastAsia="Amiri" w:cs="Amiri"/>
          <w:color w:val="111111"/>
          <w:sz w:val="28"/>
          <w:sz w:val="28"/>
          <w:szCs w:val="28"/>
          <w:rtl w:val="true"/>
          <w:lang w:bidi="ar-SA"/>
        </w:rPr>
        <w:t>حرم بعض على بعض و إلّا فالنشر في حق من أكمل، و مدرك هذه و الثانية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ثمّة مرضعتان أو أكثر لفحل واحد فهي الصورة الثانية، و الّا فإن كان لواحدة فحلان أو أكثر فهي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ذكر و أنثى اجتمعا على رضاع من فحل واحد يحرم أحدهما على الآخر، فإن أرضعت اثنين فصاعدا بلبن فحل و آخرين فصاعدا من لبن آخر فصاعدا لم يحرم أحد الفريقين على الأخر و ان أرضعت ذكرا و أنثى من فحل و ذكرا و أنثى من آخر حرم كل من الأنثيين على من شاركها في الفحل و لم تحرم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فالنشر فيها بين المرتضع و بين من أكمل النصاب من لبنه و من شاركه في فحله من المرتضعين، و حكم ذلك ظاهر مما تقدم، و في البيت الثاني إيماء إلى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 الرابعة و السادسة و السابعة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فليرع أن تكون كلّ طبقة بنفسها في فحلها متّفقة</w:t>
      </w:r>
    </w:p>
    <w:p>
      <w:pPr>
        <w:pStyle w:val="BookText"/>
        <w:rPr/>
      </w:pPr>
      <w:r>
        <w:rPr>
          <w:rFonts w:ascii="Amiri" w:hAnsi="Amiri" w:eastAsia="Amiri" w:cs="Amiri"/>
          <w:color w:val="111111"/>
          <w:sz w:val="28"/>
          <w:sz w:val="28"/>
          <w:szCs w:val="28"/>
          <w:rtl w:val="true"/>
          <w:lang w:bidi="ar-SA"/>
        </w:rPr>
        <w:t>و ليس شرط النشر كون السابقة في الفحل متّحدة باللّاحقة</w:t>
      </w:r>
    </w:p>
    <w:p>
      <w:pPr>
        <w:pStyle w:val="BookText"/>
        <w:rPr/>
      </w:pPr>
      <w:r>
        <w:rPr>
          <w:rFonts w:ascii="Amiri" w:hAnsi="Amiri" w:eastAsia="Amiri" w:cs="Amiri"/>
          <w:color w:val="111111"/>
          <w:sz w:val="28"/>
          <w:sz w:val="28"/>
          <w:szCs w:val="28"/>
          <w:rtl w:val="true"/>
          <w:lang w:bidi="ar-SA"/>
        </w:rPr>
        <w:t>لا ريب في أنّ كلّا من الطبقات ممّا يجب أن يتحد الفحل فيها غير أنّ منها ما يعتبر الاتحاد فيه من وجه واحد كالآباء و الأجداد، إذ لا يعقل في تحريم المرضعة أكثر من أن ترضعه بلبن واحد، و كذا من أرضعتها أو أرضعت فحلها أو أحد آبائهما، و منها ما يعتبر فيه من وجهين كالأخوّة و الأعمام و الأخوال، فيشترط في تحريم أخت الفحل أو المرضعة مثلا على الرضيع إكمال كلّ من صاحب اللبن و الأخت نصابا و كون النصابين معا من فحل واحد، و لو كان كل منهما من فحل لم تكن عمّة للرضيع و لا خالة له، لما عرفت من أنّه لا اخوّة في الرضاع من الامّ فحسب، و كذا القول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أنّه لا يحرم عليك ممن ينتسب إليك بواسطة إلّا من يحرم على الواسطة، فإذا أريد الحكم بالنشر بين شخصين فان كانا في طبقة واحدة كالمرتضعين من لبن واحد اشترط فيه ما سبق من الاتحاد بكلا </w:t>
      </w:r>
      <w:r>
        <w:rPr>
          <w:rStyle w:val="FootnoteAnchor"/>
          <w:rtl w:val="true"/>
        </w:rPr>
        <w:footnoteReference w:id="394"/>
      </w:r>
      <w:r>
        <w:rPr>
          <w:rFonts w:ascii="Amiri" w:hAnsi="Amiri" w:eastAsia="Amiri" w:cs="Amiri"/>
          <w:color w:val="111111"/>
          <w:sz w:val="28"/>
          <w:sz w:val="28"/>
          <w:szCs w:val="28"/>
          <w:rtl w:val="true"/>
          <w:lang w:bidi="ar-SA"/>
        </w:rPr>
        <w:t>طريقيه، و أن اختلفت طبقتهما كعمّة الفحل أو أخته أو خالته بالنسبة إلى الرضيع كفى في ذلك كون كلّ من الطبقتين متحدة في فحلها، و يحصل ذلك بكون العمّة مثلا و أب الفحل قد ارتضعا من فحل واحد، و لا تحلّ العمّة للرضيع لكون فحل الثلاثة ليس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يحلّ للرضيع أمّها و أختها و خالها و عمّها</w:t>
      </w:r>
    </w:p>
    <w:p>
      <w:pPr>
        <w:pStyle w:val="BookText"/>
        <w:rPr/>
      </w:pPr>
      <w:r>
        <w:rPr>
          <w:rFonts w:ascii="Amiri" w:hAnsi="Amiri" w:eastAsia="Amiri" w:cs="Amiri"/>
          <w:color w:val="111111"/>
          <w:sz w:val="28"/>
          <w:sz w:val="28"/>
          <w:szCs w:val="28"/>
          <w:rtl w:val="true"/>
          <w:lang w:bidi="ar-SA"/>
        </w:rPr>
        <w:t>إلّا إذا كانوا لامّ لا لأب مع كونهم من الرضاع لا النسب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تفريع على مجموع البيتين السابقين، و ذلك أنّا لمّا أسقطنا الاتحاد بين الطبقات صحّ تحريم أمّ المرضعة و جدّتها و أختها الرضاعيات و خالها و عمّها الرضاعيّين، و إذ شرطنا كون كلّ من الطبقات متحدة في فحلها صحّ أن يحلّ للرضيع أخت المرضعة من الرضاع و خالها و عمّها منه، إذا كانوا للامّ، و ذلك عند اختلاف الفحل من المرضعة و أختها</w:t>
      </w:r>
    </w:p>
    <w:p>
      <w:pPr>
        <w:pStyle w:val="BookText"/>
        <w:rPr/>
      </w:pPr>
      <w:r>
        <w:rPr>
          <w:rFonts w:ascii="Amiri" w:hAnsi="Amiri" w:eastAsia="Amiri" w:cs="Amiri"/>
          <w:color w:val="111111"/>
          <w:sz w:val="28"/>
          <w:sz w:val="28"/>
          <w:szCs w:val="28"/>
          <w:rtl w:val="true"/>
          <w:lang w:bidi="ar-SA"/>
        </w:rPr>
        <w:t>و بين أمّها و خالها و بين أبيها و عمّها، و كذا القول في تحريم أخ المرضعة و خالتها و عمّتها و في تحريم إخوة الفحل و أخواله و أعمامه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فالاتحاد إنّما يشترط في حصول البنوّة و الاخوّة، و 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أمّ المرضعة من الرضاع على المرتضع و لا أختها منه و لا عمّتها منه و لا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حر من بالنسب لعدم اتحاد الفحل</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المحقق الثاني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الأصحاب على أنّ حرمة الرضاع لا تثبت بين مرتضعين، إلّا إذا كان اللبن 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حقّقنا هذا فيما تقدّم، و أوردنا النصّ الوارد بذلك، و حكينا خلاف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لمن أرضعت صبيّا أمّ من الرضاع لم تحرم تلك الامّ على الصبيّ، لأنّ نسبتها اليه بالجدودة إنّما تتحصّل من رضاعه من مرضعته و رضاع مرضعته منها، و معلوم أنّ اللبن في الرضاعين ليس لفحل واحد، فلا تثبت الجدودة بين المرتضع و الأمّ المذكورة، لانتفاء الشرط، فينتفى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أختها من الرضاع و عمّتها منه و خالتها منه لا يحرمن و إن حرمن بالنسب، لما قلناه من عدم اتحاد الفحل، و لو كان المرتضع أنثى لم يحرم عليه أبو المرضعة من الرضاعة و لا أخوها منه و لا عمّها منه و لا خالها منه لمثل ما قلناه</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رجعنا إلى ما نوّه بسبقه، و إذا هو قد ذكر عدم الخلاف في اشتراط التحريم بين رضيعين فصاعدا و إن ارتفاع اثنين من امرأة من فحلين لا يثمر أخوّة و لا تحريما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ثمّ استدلّ لذلك بموثّقة زياد بن سوقة المعروفة و موثقة عمّار الساباطي عن</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غلام رضع من امرأة أ 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رضعتا جميعا من لبن فحل واحد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فيتزوّج أختها لأمّها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ثمّ حكى قول الطبرسي بالتحريم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نادر لمخالفة النّصوص</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كلامه هذا </w:t>
      </w:r>
      <w:r>
        <w:rPr>
          <w:rStyle w:val="FootnoteAnchor"/>
          <w:rtl w:val="true"/>
        </w:rPr>
        <w:footnoteReference w:id="400"/>
      </w:r>
      <w:r>
        <w:rPr>
          <w:rFonts w:ascii="Amiri" w:hAnsi="Amiri" w:eastAsia="Amiri" w:cs="Amiri"/>
          <w:color w:val="111111"/>
          <w:sz w:val="28"/>
          <w:sz w:val="28"/>
          <w:szCs w:val="28"/>
          <w:rtl w:val="true"/>
          <w:lang w:bidi="ar-SA"/>
        </w:rPr>
        <w:t xml:space="preserve">كما تراه ليس فيه تعرّض إلّا للاتحاد بين متّحدي الطبقة </w:t>
      </w:r>
      <w:r>
        <w:rPr>
          <w:rStyle w:val="FootnoteAnchor"/>
          <w:rtl w:val="true"/>
        </w:rPr>
        <w:footnoteReference w:id="401"/>
      </w:r>
      <w:r>
        <w:rPr>
          <w:rFonts w:ascii="Amiri" w:hAnsi="Amiri" w:eastAsia="Amiri" w:cs="Amiri"/>
          <w:color w:val="111111"/>
          <w:sz w:val="28"/>
          <w:sz w:val="28"/>
          <w:szCs w:val="28"/>
          <w:rtl w:val="true"/>
          <w:lang w:bidi="ar-SA"/>
        </w:rPr>
        <w:t>فيستتبع ذلك عدم تحريم من لم يكن متحد الفحل من غير طبقته كما مرّ، و من حكى خلاف الطبرسي منهم فإنّما حكاه في المرتضعين من ثدي أيضا، إذ لا تعرّض في عبارته الموهمة للخلاف لأكثر من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لما اخترناه مضافا إلى ما حكينا من إطلاق كلمة الأصحاب عموم ما جاء في الرضاع، و ليس في أخبار اتحاد الفحل ما يقتضي تخصيصه بل في كثير منها ما يصرّح بمطلوبنا، كموثقة عمار المذكورة و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يرضع من امرأة و هو غلام فهل يجوز له </w:t>
      </w:r>
      <w:r>
        <w:rPr>
          <w:rStyle w:val="FootnoteAnchor"/>
          <w:rtl w:val="true"/>
        </w:rPr>
        <w:footnoteReference w:id="402"/>
      </w:r>
      <w:r>
        <w:rPr>
          <w:rFonts w:ascii="Amiri" w:hAnsi="Amiri" w:eastAsia="Amiri" w:cs="Amiri"/>
          <w:color w:val="111111"/>
          <w:sz w:val="28"/>
          <w:sz w:val="28"/>
          <w:szCs w:val="28"/>
          <w:rtl w:val="true"/>
          <w:lang w:bidi="ar-SA"/>
        </w:rPr>
        <w:t>أن يتزوّج أختها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فحلين فلا بأس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و صحيح أبي عبيدة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ينكح </w:t>
      </w:r>
      <w:r>
        <w:rPr>
          <w:rStyle w:val="FootnoteAnchor"/>
          <w:rtl w:val="true"/>
        </w:rPr>
        <w:footnoteReference w:id="404"/>
      </w:r>
      <w:r>
        <w:rPr>
          <w:rFonts w:ascii="Amiri" w:hAnsi="Amiri" w:eastAsia="Amiri" w:cs="Amiri"/>
          <w:color w:val="111111"/>
          <w:sz w:val="28"/>
          <w:sz w:val="28"/>
          <w:szCs w:val="28"/>
          <w:rtl w:val="true"/>
          <w:lang w:bidi="ar-SA"/>
        </w:rPr>
        <w:t>المرأة على عمّتها و لا على خالتها و لا على أختها من الرضاعة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 حسنة عبد اللّه بن سنان عن الصادق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أن ينكحها عمّها و لا خالها من الرضاعة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ذكر لرسول اللّه صلّى اللّه عليه و آله و سلّم ابنه حمزة فقال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أبنت أخي من الرضاعة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هذه الأخبار كلّها قد رواها المحقّقون من الأصحاب و لم يتعرّضوا لمضمونها بقدح البتة، و يمكن أن يتعلّق لما في القواعد </w:t>
      </w:r>
      <w:r>
        <w:rPr>
          <w:rStyle w:val="FootnoteAnchor"/>
          <w:rtl w:val="true"/>
        </w:rPr>
        <w:footnoteReference w:id="408"/>
      </w:r>
      <w:r>
        <w:rPr>
          <w:rFonts w:ascii="IRNazanin" w:hAnsi="IRNazanin" w:eastAsia="IRNazanin"/>
          <w:color w:val="111111"/>
          <w:sz w:val="28"/>
          <w:sz w:val="28"/>
          <w:szCs w:val="28"/>
          <w:rtl w:val="true"/>
          <w:lang w:bidi="fa-IR"/>
        </w:rPr>
        <w:t xml:space="preserve">و شرحها </w:t>
      </w:r>
      <w:r>
        <w:rPr>
          <w:rStyle w:val="FootnoteAnchor"/>
          <w:rtl w:val="true"/>
        </w:rPr>
        <w:footnoteReference w:id="409"/>
      </w:r>
      <w:r>
        <w:rPr>
          <w:rFonts w:ascii="Amiri" w:hAnsi="Amiri" w:eastAsia="Amiri" w:cs="Amiri"/>
          <w:color w:val="111111"/>
          <w:sz w:val="28"/>
          <w:sz w:val="28"/>
          <w:szCs w:val="28"/>
          <w:rtl w:val="true"/>
          <w:lang w:bidi="ar-SA"/>
        </w:rPr>
        <w:t xml:space="preserve">بما روي بسند فيه جهالة </w:t>
      </w:r>
      <w:r>
        <w:rPr>
          <w:rStyle w:val="FootnoteAnchor"/>
          <w:rtl w:val="true"/>
        </w:rPr>
        <w:footnoteReference w:id="410"/>
      </w:r>
      <w:r>
        <w:rPr>
          <w:rFonts w:ascii="Amiri" w:hAnsi="Amiri" w:eastAsia="Amiri" w:cs="Amiri"/>
          <w:color w:val="111111"/>
          <w:sz w:val="28"/>
          <w:sz w:val="28"/>
          <w:szCs w:val="28"/>
          <w:rtl w:val="true"/>
          <w:lang w:bidi="ar-SA"/>
        </w:rPr>
        <w:t>عن بسطام عن أبي الحسن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البطن الذي ارتضع منه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خرج أقارب صاحبي </w:t>
      </w:r>
      <w:r>
        <w:rPr>
          <w:rStyle w:val="FootnoteAnchor"/>
          <w:rtl w:val="true"/>
        </w:rPr>
        <w:footnoteReference w:id="412"/>
      </w:r>
      <w:r>
        <w:rPr>
          <w:rFonts w:ascii="Amiri" w:hAnsi="Amiri" w:eastAsia="Amiri" w:cs="Amiri"/>
          <w:color w:val="111111"/>
          <w:sz w:val="28"/>
          <w:sz w:val="28"/>
          <w:szCs w:val="28"/>
          <w:rtl w:val="true"/>
          <w:lang w:bidi="ar-SA"/>
        </w:rPr>
        <w:t>اللبن من النسب بالإجماع فيبقى الباقي، و قد حمله الشيخ رحمه اللّه على التقيّة لأنّ في الفقهاء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لا يتعدّى المرتضعين، مع أنّه كما يمكن الخصم أن يخصّه بمن عدا المنتسبين بالنسب، فقد يمكننا أن نخصّه بمن عدا المتّفقين في</w:t>
      </w:r>
    </w:p>
    <w:p>
      <w:pPr>
        <w:pStyle w:val="BookText"/>
        <w:rPr/>
      </w:pPr>
      <w:r>
        <w:rPr>
          <w:rFonts w:ascii="Amiri" w:hAnsi="Amiri" w:eastAsia="Amiri" w:cs="Amiri"/>
          <w:color w:val="111111"/>
          <w:sz w:val="28"/>
          <w:sz w:val="28"/>
          <w:szCs w:val="28"/>
          <w:rtl w:val="true"/>
          <w:lang w:bidi="ar-SA"/>
        </w:rPr>
        <w:t xml:space="preserve">الفحل و كيف كان فهذا الخبر أضعف جانبا من أن يقوم لمعارضة ما ادلينا </w:t>
      </w:r>
      <w:r>
        <w:rPr>
          <w:rStyle w:val="FootnoteAnchor"/>
          <w:rtl w:val="true"/>
        </w:rPr>
        <w:footnoteReference w:id="413"/>
      </w:r>
      <w:r>
        <w:rPr>
          <w:rFonts w:ascii="Amiri" w:hAnsi="Amiri" w:eastAsia="Amiri" w:cs="Amiri"/>
          <w:color w:val="111111"/>
          <w:sz w:val="28"/>
          <w:sz w:val="28"/>
          <w:szCs w:val="28"/>
          <w:rtl w:val="true"/>
          <w:lang w:bidi="ar-SA"/>
        </w:rPr>
        <w:t>به من الحجّة و بعد ذلك كلّه فما في الاحتياط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بين الرضاع و النسب في نشره اتحاد فحل يطّلب</w:t>
      </w:r>
    </w:p>
    <w:p>
      <w:pPr>
        <w:pStyle w:val="BookText"/>
        <w:rPr/>
      </w:pPr>
      <w:r>
        <w:rPr>
          <w:rFonts w:ascii="Amiri" w:hAnsi="Amiri" w:eastAsia="Amiri" w:cs="Amiri"/>
          <w:color w:val="111111"/>
          <w:sz w:val="28"/>
          <w:sz w:val="28"/>
          <w:szCs w:val="28"/>
          <w:rtl w:val="true"/>
          <w:lang w:bidi="ar-SA"/>
        </w:rPr>
        <w:t xml:space="preserve">أجمع الأصحاب على عدم اشتراط الاتحاد بين النسب و الرضاع، فتحرم أمّ المرضعة نسبا على الرضيع و كذا أختها و خالتها و عمّتها إذا كنّ من النسب، بلا خلاف هنا من العلّامة </w:t>
      </w:r>
      <w:r>
        <w:rPr>
          <w:rStyle w:val="FootnoteAnchor"/>
          <w:rtl w:val="true"/>
        </w:rPr>
        <w:footnoteReference w:id="414"/>
      </w:r>
      <w:r>
        <w:rPr>
          <w:rFonts w:ascii="Amiri" w:hAnsi="Amiri" w:eastAsia="Amiri" w:cs="Amiri"/>
          <w:color w:val="111111"/>
          <w:sz w:val="28"/>
          <w:sz w:val="28"/>
          <w:szCs w:val="28"/>
          <w:rtl w:val="true"/>
          <w:lang w:bidi="ar-SA"/>
        </w:rPr>
        <w:t>و لا من غيره، اتحد الفحل أو تعدّد، و نريد بالاتحاد هنا كون الأخت مثلا لأبوي المرضعة و الخالة لأبوي أمّها، و بالاختلاف كونهما للأمّ، و على هذا القياس، و عليه فيحرم على الرضيع ولد المرضعة نسبا و إن كانوا من فحل آخر غير فحل الرضاع، سواء تقدّمت ولادتهنّ على الرضاع أم تأخّرت و الحجة في ذلك العموم، لأنّا إنّما اشترطنا الاتحاد بين الرضاعين لوجود المخصّص و هو فيما نحن فيه مفقود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عن ابن أبي عمير، عن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رضع الرجل من لبن امرأته حرم عليه كلّ شي‌ء من ولدها و إن كان الولد من غير الرجل الذي كان أرضعته بلبنه، و إذا أرضع </w:t>
      </w:r>
      <w:r>
        <w:rPr>
          <w:rStyle w:val="FootnoteAnchor"/>
          <w:rtl w:val="true"/>
        </w:rPr>
        <w:footnoteReference w:id="415"/>
      </w:r>
      <w:r>
        <w:rPr>
          <w:rFonts w:ascii="Amiri" w:hAnsi="Amiri" w:eastAsia="Amiri" w:cs="Amiri"/>
          <w:color w:val="111111"/>
          <w:sz w:val="28"/>
          <w:sz w:val="28"/>
          <w:szCs w:val="28"/>
          <w:rtl w:val="true"/>
          <w:lang w:bidi="ar-SA"/>
        </w:rPr>
        <w:t>من لبن الرجل حرم عليه كلّ شي‌ء من ولده و إن كان من غير المرأة التي أرضعته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103" w:name="pg2480_16438"/>
    </w:p>
    <w:p>
      <w:pPr>
        <w:pStyle w:val="Heading3"/>
        <w:numPr>
          <w:ilvl w:val="2"/>
          <w:numId w:val="1"/>
        </w:numPr>
        <w:rPr/>
      </w:pPr>
      <w:bookmarkStart w:id="104" w:name="__RefHeading___Toc3755587_3804643083"/>
      <w:bookmarkStart w:id="105" w:name="_Toc38"/>
      <w:bookmarkEnd w:id="103"/>
      <w:bookmarkEnd w:id="104"/>
      <w:r>
        <w:rPr>
          <w:rtl w:val="true"/>
        </w:rPr>
        <w:t>القول في ردّ عموم المنزلة</w:t>
      </w:r>
      <w:bookmarkEnd w:id="105"/>
    </w:p>
    <w:p>
      <w:pPr>
        <w:pStyle w:val="BookText"/>
        <w:rPr/>
      </w:pPr>
      <w:r>
        <w:rPr>
          <w:rFonts w:ascii="Amiri" w:hAnsi="Amiri" w:eastAsia="Amiri" w:cs="Amiri"/>
          <w:color w:val="111111"/>
          <w:sz w:val="28"/>
          <w:sz w:val="28"/>
          <w:szCs w:val="28"/>
          <w:rtl w:val="true"/>
          <w:lang w:bidi="ar-SA"/>
        </w:rPr>
        <w:t>اعلم أنّ التحريم عندنا بالرضاع لا يعدوا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من ينتسب إلى المرضعة و الفحل من نسب أو مصاهرة أو رضاع على الرضيع إلا مع اختلاف الفحل،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ولد الرضيع رضاعا و نسبا و أزواجهم و أزواجه على الفحل و المرضعة، و ما خرج عن ذلك فهو عموم المنزلة، و لسنا نستثني منها غير تحريم ولد المرضعة و الفحل على أب المرتضع كما سيجي‌ء إن شاء اللّه، فالضابط في عموم المنزلة أن تعمد إلى ذلك الخارج، فتحرم ممّن ينتسب إلى الرضيع و أبويه على الفحل و المرضعة و ممّن ينتسب إليهما على أبوي المرتضع من يسعك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المحقق الثاني العمل على عموم المنزلة عن بعض طلبة عصره و أنّهم كانوا يسندون القول بها إلى الشهيد رحمه اللّه ثمّ بالغ في تكذيب ذلك، و حكى الإجماع على بطلان عموم المنزلة مرّة بعد أخرى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راع ما بين الرضاع و النسب عند القياس إن تطابق النسب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418"/>
      </w:r>
      <w:r>
        <w:rPr>
          <w:rFonts w:ascii="Amiri" w:hAnsi="Amiri" w:eastAsia="Amiri" w:cs="Amiri"/>
          <w:color w:val="111111"/>
          <w:sz w:val="28"/>
          <w:sz w:val="28"/>
          <w:szCs w:val="28"/>
          <w:rtl w:val="true"/>
          <w:lang w:bidi="ar-SA"/>
        </w:rPr>
        <w:t>قانون كلي يظهر منه الفرق بين من نحكم بتحريمه نحن و بين من يقول بتحريمه المثبتون لعموم المنزلة و يبيّن فيه السرّ في الإعراض عن عموم المنزلة و الحكم ببطلانها، و توضيح هذا القانون أنّه لا يحرم من السبب أعني الرضاع إلّا من كانت نسبته مطابقة لنسبة النسب، و المراد من النسبة العلاقة الحادثة عن النسب و الرضاع، و من التطابق كون العلاقة</w:t>
      </w:r>
    </w:p>
    <w:p>
      <w:pPr>
        <w:pStyle w:val="BookText"/>
        <w:rPr/>
      </w:pPr>
      <w:r>
        <w:rPr>
          <w:rFonts w:ascii="Amiri" w:hAnsi="Amiri" w:eastAsia="Amiri" w:cs="Amiri"/>
          <w:color w:val="111111"/>
          <w:sz w:val="28"/>
          <w:sz w:val="28"/>
          <w:szCs w:val="28"/>
          <w:rtl w:val="true"/>
          <w:lang w:bidi="ar-SA"/>
        </w:rPr>
        <w:t xml:space="preserve">الحادثة بالسبب مساوية </w:t>
      </w:r>
      <w:r>
        <w:rPr>
          <w:rStyle w:val="FootnoteAnchor"/>
          <w:rtl w:val="true"/>
        </w:rPr>
        <w:footnoteReference w:id="419"/>
      </w:r>
      <w:r>
        <w:rPr>
          <w:rFonts w:ascii="Amiri" w:hAnsi="Amiri" w:eastAsia="Amiri" w:cs="Amiri"/>
          <w:color w:val="111111"/>
          <w:sz w:val="28"/>
          <w:sz w:val="28"/>
          <w:szCs w:val="28"/>
          <w:rtl w:val="true"/>
          <w:lang w:bidi="ar-SA"/>
        </w:rPr>
        <w:t>لعلاقة ما يقاس به من النسب بحيث لا يفرق بين النسبتين أمر غير المجازية 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فمتى أردت الحكم بالنشر قسمت نسبتها </w:t>
      </w:r>
      <w:r>
        <w:rPr>
          <w:rStyle w:val="FootnoteAnchor"/>
          <w:rtl w:val="true"/>
        </w:rPr>
        <w:footnoteReference w:id="420"/>
      </w:r>
      <w:r>
        <w:rPr>
          <w:rFonts w:ascii="Amiri" w:hAnsi="Amiri" w:eastAsia="Amiri" w:cs="Amiri"/>
          <w:color w:val="111111"/>
          <w:sz w:val="28"/>
          <w:sz w:val="28"/>
          <w:szCs w:val="28"/>
          <w:rtl w:val="true"/>
          <w:lang w:bidi="ar-SA"/>
        </w:rPr>
        <w:t xml:space="preserve">السبب إلى النسب، فان تساويتا فالحاصل رضاع محرّم مثل الأبوّة و الأمومة في الفحل و المرضعة و الخئولة </w:t>
      </w:r>
      <w:r>
        <w:rPr>
          <w:rStyle w:val="FootnoteAnchor"/>
          <w:rtl w:val="true"/>
        </w:rPr>
        <w:footnoteReference w:id="421"/>
      </w:r>
      <w:r>
        <w:rPr>
          <w:rFonts w:ascii="Amiri" w:hAnsi="Amiri" w:eastAsia="Amiri" w:cs="Amiri"/>
          <w:color w:val="111111"/>
          <w:sz w:val="28"/>
          <w:sz w:val="28"/>
          <w:szCs w:val="28"/>
          <w:rtl w:val="true"/>
          <w:lang w:bidi="ar-SA"/>
        </w:rPr>
        <w:t xml:space="preserve">و العمومة في إخوتهما، فالابوّة مثلا في الرضاع و النسب مع قطع النظر عن التجوّز أمر واحد، و إنّما صارت بعد قولنا أبوّة رضاع و أبوّة نسب أمرين، نظير الإنسانيتين القائمتين بزيد و عمرو، بخلاف الحيوانية القائمة بزيد و الحمار مثلا، فإنّها في الثاني غير الأولى لوضوح الفرق بين الأعمّ و الأخصّ، و إن تساويا </w:t>
      </w:r>
      <w:r>
        <w:rPr>
          <w:rStyle w:val="FootnoteAnchor"/>
          <w:rtl w:val="true"/>
        </w:rPr>
        <w:footnoteReference w:id="422"/>
      </w:r>
      <w:r>
        <w:rPr>
          <w:rFonts w:ascii="Amiri" w:hAnsi="Amiri" w:eastAsia="Amiri" w:cs="Amiri"/>
          <w:color w:val="111111"/>
          <w:sz w:val="28"/>
          <w:sz w:val="28"/>
          <w:szCs w:val="28"/>
          <w:rtl w:val="true"/>
          <w:lang w:bidi="ar-SA"/>
        </w:rPr>
        <w:t>فليس الحاصل برضاع محرّم و عموم المنزلة مما فقد فيه التساوي في جميع صوره لصدق العموم مطلقا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فحيثما العموم مطلقا صدق ما بين نسبتين فالحلّ أحقّ</w:t>
      </w:r>
    </w:p>
    <w:p>
      <w:pPr>
        <w:pStyle w:val="BookText"/>
        <w:rPr/>
      </w:pPr>
      <w:r>
        <w:rPr>
          <w:rFonts w:ascii="Amiri" w:hAnsi="Amiri" w:eastAsia="Amiri" w:cs="Amiri"/>
          <w:color w:val="111111"/>
          <w:sz w:val="28"/>
          <w:sz w:val="28"/>
          <w:szCs w:val="28"/>
          <w:rtl w:val="true"/>
          <w:lang w:bidi="ar-SA"/>
        </w:rPr>
        <w:t>إذا علّق الشارع بموضوع حكما تكليفيا أو وضعيا لم يلتفت فيه إلى غير الذات ممّا يلزمها و إن كان مساويا إلّا أن ينصّ الشارع على العلّة أو تعلم من الخارج، فتحريم التمساح لكونه تمساحا لا أنّه يحرّك فكّه الأعلى، و إن كان له خاصّة، فلو خلق اللّه ألف حيوان لهم تلك الخاصّة كانوا على أصل الحلّ و الإباحة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الزوال سببا للصلاة لكونه زوالا لا كونه قبل الغروب بخمس ساعات مثلا في الجدي و بسبع في السرطان، فتوجب تقديمها في الجدي أو تأخيرها في السرطان، و حينئذ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الشرع قد حرّم من النسب سبعا و من السبب أربعا، و المحرّم في السّبع هو الأمومة و الأختية و البنتية و كون المرأة عمّة أو خالة أو بنت أخ أو أخت، و في الأربع كونها منكوحة لأبيك أو ولدك بالعقد و كونها أمّ من عقدت عليها أو بنت من دخلت بأمّها، و ليس في عموم المنزلة نسبة رضاع إلّا و هي مغايرة لهذه النسب الإحدى عشر، إذ غاية الأمر أن تكون أمّ أخيك مثلا في الرضاع إمّا أمّا أو زوجة أب في النسب و أمّ ابن أختك فيه أختا، و أمّ نافلتك إمّا بنتا أو زوجة ابن، و جدّه ولدك إمّا أمّا أو أمّ زوجة </w:t>
      </w:r>
      <w:r>
        <w:rPr>
          <w:rStyle w:val="FootnoteAnchor"/>
          <w:rtl w:val="true"/>
        </w:rPr>
        <w:footnoteReference w:id="423"/>
      </w:r>
      <w:r>
        <w:rPr>
          <w:rFonts w:ascii="Amiri" w:hAnsi="Amiri" w:eastAsia="Amiri" w:cs="Amiri"/>
          <w:color w:val="111111"/>
          <w:sz w:val="28"/>
          <w:sz w:val="28"/>
          <w:szCs w:val="28"/>
          <w:rtl w:val="true"/>
          <w:lang w:bidi="ar-SA"/>
        </w:rPr>
        <w:t xml:space="preserve">، و أخته إمّا بنتا أو ربيبة و هكذا، و نسبة النسب في جميع ما ذكر أعمّ لانفراد الامّ و زوجة الأب فيما لو لم يكن لأبيك ولد غيرك و الأخت و البنت و زوجة الابن و أمّ الزوجة فيما إذا لم يكن لهنّ ولد أصلا و البنت و الربيبة فيما إذا لم يكن لك ولد، و بعد تحقّق العموم و الخصوص لا يندرج أمّ أخيك و أشباهها </w:t>
      </w:r>
      <w:r>
        <w:rPr>
          <w:rStyle w:val="FootnoteAnchor"/>
          <w:rtl w:val="true"/>
        </w:rPr>
        <w:footnoteReference w:id="424"/>
      </w:r>
      <w:r>
        <w:rPr>
          <w:rFonts w:ascii="Amiri" w:hAnsi="Amiri" w:eastAsia="Amiri" w:cs="Amiri"/>
          <w:color w:val="111111"/>
          <w:sz w:val="28"/>
          <w:sz w:val="28"/>
          <w:szCs w:val="28"/>
          <w:rtl w:val="true"/>
          <w:lang w:bidi="ar-SA"/>
        </w:rPr>
        <w:t>فيما يحرم من الرضاع، لعدم الاندراج فيما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فالتحريم قد تعلّق بالأمّ و الأخت مثلا للامومة و الأختية لا للنسبة التي هي أخصّ من كونهما أمّي أخ و ابن أخت، و لو كنّا ممّن يعمل بالقياس فأردنا قياس أمّ الأخ مثلا في التحريم على الامّ و زوجة الأب لم يستقم ذلك، لأنّ القياس شرطه وجود الجامع، و هو أن يوجد في المقيس العلّة المظنون كونها في المقيس عليه سببا في الحكم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العلّة في تحريم أمّك كونها إمّا لأخيك و لا جدّة لولدك، و لا في تحريم ابنتك كونها أمّ نافلتك، بل ليس كونها أمّ نافلتك إلّا مثل كونها زوجة لصهرك، و أبنت عمّ لابن أخيك، و إن كان ذان علّة في التحريم، فكونها أمّ نافلة علّة أيضا، و من ثمّة جاز لك أن تنكح في أخوات أخيك و خالك و عمّك مع اختلاف الأب، فقد بان أنّ عموم المنزلة بكونه جزافا أحقّ من أن يكون 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لترضعن فالنصّ </w:t>
      </w:r>
      <w:r>
        <w:rPr>
          <w:rStyle w:val="FootnoteAnchor"/>
          <w:rtl w:val="true"/>
        </w:rPr>
        <w:footnoteReference w:id="425"/>
      </w:r>
      <w:r>
        <w:rPr>
          <w:rFonts w:ascii="Amiri" w:hAnsi="Amiri" w:eastAsia="Amiri" w:cs="Amiri"/>
          <w:color w:val="111111"/>
          <w:sz w:val="28"/>
          <w:sz w:val="28"/>
          <w:szCs w:val="28"/>
          <w:rtl w:val="true"/>
          <w:lang w:bidi="ar-SA"/>
        </w:rPr>
        <w:t>ليس شاملة أولاد أخت الزّوج أو نوافله</w:t>
      </w:r>
    </w:p>
    <w:p>
      <w:pPr>
        <w:pStyle w:val="BookText"/>
        <w:rPr/>
      </w:pPr>
      <w:r>
        <w:rPr>
          <w:rFonts w:ascii="Amiri" w:hAnsi="Amiri" w:eastAsia="Amiri" w:cs="Amiri"/>
          <w:color w:val="111111"/>
          <w:sz w:val="28"/>
          <w:sz w:val="28"/>
          <w:szCs w:val="28"/>
          <w:rtl w:val="true"/>
          <w:lang w:bidi="ar-SA"/>
        </w:rPr>
        <w:t>هذه صور من عموم المنزلة قد أوردت مع التنبيه على عدم شمول النصّ لها، إذ ليست مندرجة في العموم، و لا فيها خبر بالخصوص كما ستعرفه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إيماء إلى أنّ هذه الصور إذا لم تكن مندرجة في النصّ رجعنا فيها إلى ما تقضيه الأصول من الإباحة، و هي البراءة الأصليّة و استصحاب حال الحلّ و حال الإجماع، فإن سبق النكاح الرضاع أضفنا إلى ذلك استصحاب حقوق الزوجية من الطرفين و عمومات الكتاب مثل فَانْكِحُوا مٰا طٰابَ لَكُمْ مِنَ النِّسٰاءِ </w:t>
      </w:r>
      <w:r>
        <w:rPr>
          <w:rStyle w:val="FootnoteAnchor"/>
          <w:rtl w:val="true"/>
        </w:rPr>
        <w:footnoteReference w:id="426"/>
      </w:r>
      <w:r>
        <w:rPr>
          <w:rFonts w:ascii="Amiri" w:hAnsi="Amiri" w:eastAsia="Amiri" w:cs="Amiri"/>
          <w:color w:val="111111"/>
          <w:sz w:val="28"/>
          <w:sz w:val="28"/>
          <w:szCs w:val="28"/>
          <w:rtl w:val="true"/>
          <w:lang w:bidi="ar-SA"/>
        </w:rPr>
        <w:t xml:space="preserve">و وَ أَنْكِحُوا الْأَيٰامىٰ مِنْكُمْ </w:t>
      </w:r>
      <w:r>
        <w:rPr>
          <w:rStyle w:val="FootnoteAnchor"/>
          <w:rtl w:val="true"/>
        </w:rPr>
        <w:footnoteReference w:id="427"/>
      </w:r>
      <w:r>
        <w:rPr>
          <w:rFonts w:ascii="Amiri" w:hAnsi="Amiri" w:eastAsia="Amiri" w:cs="Amiri"/>
          <w:color w:val="111111"/>
          <w:sz w:val="28"/>
          <w:sz w:val="28"/>
          <w:szCs w:val="28"/>
          <w:rtl w:val="true"/>
          <w:lang w:bidi="ar-SA"/>
        </w:rPr>
        <w:t xml:space="preserve">و أصرح منهما قوله جلّ ذكره بعد عدّ المحرّمات وَ أُحِلَّ لَكُمْ مٰا وَرٰاءَ ذٰلِكُمْ </w:t>
      </w:r>
      <w:r>
        <w:rPr>
          <w:rStyle w:val="FootnoteAnchor"/>
          <w:rtl w:val="true"/>
        </w:rPr>
        <w:footnoteReference w:id="428"/>
      </w:r>
      <w:r>
        <w:rPr>
          <w:rFonts w:ascii="Amiri" w:hAnsi="Amiri" w:eastAsia="Amiri" w:cs="Amiri"/>
          <w:color w:val="111111"/>
          <w:sz w:val="28"/>
          <w:sz w:val="28"/>
          <w:szCs w:val="28"/>
          <w:rtl w:val="true"/>
          <w:lang w:bidi="ar-SA"/>
        </w:rPr>
        <w:t>فمن ادّعى التخصيص فعليه الدليل، و هي اثنى عشر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ولد أخ للزوج فلا إشكال، لأنّها حينئذ زوجة أخ، و لو أرضعت ولد أخت له صارت أمّ ولد أخته و هي أخته و صارت أمّ المرتضع عمّة له، فتحرم على زوجها لأنّها عمّة ولده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نوافل الزوج أى ولد ولده، فان كان النافلة ولد ابنه صارت أمّ ولد ابنه و هي بمنزلة زوجة ابن الزوج، و صارت زوجة الابن بمنزلة أمّ أخيه، و هي إمّا امّه أو زوجة أبيه، و إن كان ولد بنته صارت المرضعة أمّ ابن بنت، و هي بنت و صارت أمّ الطفل أمّ ولد أمّ الزوجة، و هي أمّ زوجة و هيهنا تحرم أمّ الطفل، لا لما ذكر، بل لأنّها من ولد</w:t>
      </w:r>
    </w:p>
    <w:p>
      <w:pPr>
        <w:pStyle w:val="BookText"/>
        <w:rPr/>
      </w:pPr>
      <w:r>
        <w:rPr>
          <w:rFonts w:ascii="Amiri" w:hAnsi="Amiri" w:eastAsia="Amiri" w:cs="Amiri"/>
          <w:color w:val="111111"/>
          <w:sz w:val="28"/>
          <w:sz w:val="28"/>
          <w:szCs w:val="28"/>
          <w:rtl w:val="true"/>
          <w:lang w:bidi="ar-SA"/>
        </w:rPr>
        <w:t xml:space="preserve">المرضعة و الفحل و إنّما لم ينبّه على ذلك في النظم اعتمادا على التصريح </w:t>
      </w:r>
      <w:r>
        <w:rPr>
          <w:rStyle w:val="FootnoteAnchor"/>
          <w:rtl w:val="true"/>
        </w:rPr>
        <w:footnoteReference w:id="429"/>
      </w:r>
      <w:r>
        <w:rPr>
          <w:rFonts w:ascii="Amiri" w:hAnsi="Amiri" w:eastAsia="Amiri" w:cs="Amiri"/>
          <w:color w:val="111111"/>
          <w:sz w:val="28"/>
          <w:sz w:val="28"/>
          <w:szCs w:val="28"/>
          <w:rtl w:val="true"/>
          <w:lang w:bidi="ar-SA"/>
        </w:rPr>
        <w:t>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لإحدى زوجتيه بنت و للبنت ولد، فأرضعته الزوجة الأخرى حرم الزوجتان، أمّا أمّ البنت فلكونها جدّة من صار ولده، و جدّة الولد إمّا أمّ أو زوجة أب، و أمّا الأخرى فلصيرورتها أمّ نافلة زوجته فتكون كبنت زوجة، و قد تستفاد هذه من سابقتها، لأنّه إن جاز إرضاعها نافلة الزوج فلأن يجوز إرضاعها نافلة زوجته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الصورة الأولى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كلّا من أمّ ولد الأخت و من عمة الولد أخص من الأخت و كذا الأمّ أعمّ من أمّ ولد الامّ، و كذا جدّة الولد أخصّ من الامّ و زوجة الأب، و أمّ نافلة الزوجة أخصّ من بنتها، لجواز أن لا يكون لكلّ من الأخت و العمّة و الامّ و زوجة الأب و بنت الزوجة ولد أصلا، و مع صدق العموم لا يحصل ما اشترطناه من حصول التطابق بين النسب، فلا تحريم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من لها من الأرحام إخوة </w:t>
      </w:r>
      <w:r>
        <w:rPr>
          <w:rStyle w:val="FootnoteAnchor"/>
          <w:rtl w:val="true"/>
        </w:rPr>
        <w:footnoteReference w:id="431"/>
      </w:r>
      <w:r>
        <w:rPr>
          <w:rFonts w:ascii="IRNazanin" w:hAnsi="IRNazanin" w:eastAsia="IRNazanin"/>
          <w:color w:val="111111"/>
          <w:sz w:val="28"/>
          <w:sz w:val="28"/>
          <w:szCs w:val="28"/>
          <w:rtl w:val="true"/>
          <w:lang w:bidi="fa-IR"/>
        </w:rPr>
        <w:t>أو أخوال أو أعمام</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ولد أخيها صار كلّ منها و من أمّ الطفل أختا لزوجها، أمّا الأولى فلصيرورتها عمّة و أمّا الثانية فلكونها أمّ ابن أخته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ولد أختها صار كلّ من المرضعة و أمّ الرضيع بمنزلة أخت الزوجة فينفسخ نكاحهما، و لا يجوز التجديد إلّا بعد موت إحداهما، و عليه فلو ارتضع ولد</w:t>
      </w:r>
    </w:p>
    <w:p>
      <w:pPr>
        <w:pStyle w:val="BookText"/>
        <w:rPr/>
      </w:pPr>
      <w:r>
        <w:rPr>
          <w:rFonts w:ascii="Amiri" w:hAnsi="Amiri" w:eastAsia="Amiri" w:cs="Amiri"/>
          <w:color w:val="111111"/>
          <w:sz w:val="28"/>
          <w:sz w:val="28"/>
          <w:szCs w:val="28"/>
          <w:rtl w:val="true"/>
          <w:lang w:bidi="ar-SA"/>
        </w:rPr>
        <w:t>من له أربع نسوة من خامسة صارت بمنزلة الزوجة، و ليس هذا مثل العقد على الخامسة ليقع باطلا، لأنّه نكاح قهريّ يلزمه به القائلون بعموم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ندري أ يعينون حينئذ أمّ الرضيع للفسخ أم ينفسخ واحدة لا على التعيين أم يكون الأمر فيهنّ بمنزلة ما لو عقد على خمس دفعة، بل لو أرضع له أربع لزم أن يفارق من في حبالته من النساء أجمع، بل يلزم حينئذ أن لا يتزوّج إلى أن تموت المرضعات، كلّما ماتت واحدة حلّت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الأختين حرام مطلقا، و الزيادة عن الأربع الدائمات إنّما يحرم بالعقد الدائم، و كيف كان فالجواب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ابن أخت زوجتك أخصّ من أخت زوجتك، على أنّ الجمع بين الأختين إنّما يحرم بالعقد أو الوطئ في الملك، و لا شي‌ء منهما بمتحقّق هنا بل المتحقّق هنا إنّما هو من المصاهرة الناشئة بالرضاع، و لا عبرة بها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هي ولد خالها أو أرضعته زوجة أخرى لبعلها حرمت هي على الزوج لأنّه صار أبا للرضيع فصار خالا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 أعمّ من أبي ابن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ولد عمّها أو أرضعته زوجة أخرى لبعلها حرمت بنحو ما مرّ في ابن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ولد عمّتها أو خالتها صار الزوج أباه، و صار بمنزلة زوج العمّة أو الخالة، فلا يحلّ لها إلّا بإذنهما، نظير ما سيجي‌ء في إرضاع جدّة إحدى الزوجتين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أبوي ابني العمّ و الخال أخصّ من العمّ و الخال، على أنّه من المصاهرة الناشئة بالرضاع، كما تقدّم في الرابعة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إخوة و خالة و عمّة لفحلها و خالة و عمّة</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أخ الزوج أو أخته، فان لم يكن من لبن الزوج حرمت وحدها، لصيرورتها إمّا لأخيه أو أخته و هي إمّا أمّ أو زوجة أب، و إن كان من لبن الزوج حرمت أمّ الزوج على أبيه أيضا لأنّها صارت أمّ ولد ابنه و هي زوجة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الأخ و الأخت أخصّ من الامّ و زوجة الأب، و كذا أمّ ولد الابن أخصّ من زوجة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خالة الزوج أو عمّته أو خاله أو عمّه صارت امّا لهم، و هي إمّا جدّة أو زوجة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أمّهم أخصّ من الجدّة و زوجة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مثلهم من قومها بدون أن تحرم أمّ الطفل أو ذات اللبن</w:t>
      </w:r>
    </w:p>
    <w:p>
      <w:p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أخاها أو أختها حرمت هي على زوجها لصيرورة المرتضع ولدا له، و أخت ولده إمّا بنته أو ربيبة، و حرمت أمّ الطفل أيضا لصيرورتها أمّ نافلة لزوجها، و هي إمّا بنت أو زوجة ابن، بل تصير المرضعة بمنزلة الزوجة لأبي الطفل، فتكون امّه حينئذ بمنزلة أمّ الزوجة لأبيه فتحرم من جهة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البنت و الربيبة و أمّ النافلة أعمّ، و كذا أمّ الزوجة، على أنّ صيرورتها بمنزلة الزوجة </w:t>
      </w:r>
      <w:r>
        <w:rPr>
          <w:rStyle w:val="FootnoteAnchor"/>
          <w:rtl w:val="true"/>
        </w:rPr>
        <w:footnoteReference w:id="432"/>
      </w:r>
      <w:r>
        <w:rPr>
          <w:rFonts w:ascii="Amiri" w:hAnsi="Amiri" w:eastAsia="Amiri" w:cs="Amiri"/>
          <w:color w:val="111111"/>
          <w:sz w:val="28"/>
          <w:sz w:val="28"/>
          <w:szCs w:val="28"/>
          <w:rtl w:val="true"/>
          <w:lang w:bidi="ar-SA"/>
        </w:rPr>
        <w:t>من قسم المصاهرة التي لا اعتداد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خالتها أو خالها صارا ولدين للزوج، و المفروض أنّها أبنت أخت المرتضع، فتحرم، لأنّ أبنت أخت ولدك إمّا نافلتك أو نافلة زوجتك، و طريق آخر و هو أنّ الزوج قد صار أبا لخالها أو خالتها، و هو إمّا جدّ أمّي أو زوج أمّ الأمّ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النافلة و الجدّ و زوجته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عمّها أو عمّتها فهي صارت أبنت أخ أو أخت لمن صار ولده، بل صار هو أبا لأخيها أو أختها و أبوها إمّا أب أو زوج أمّ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أن</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لترضعنّ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و المراد أنّ المرأة لها أن ترضع من ذكر في الأبيات الأربعة من دون أن تحرم هي و لا أمّ الطفل</w:t>
      </w:r>
      <w:r>
        <w:rPr>
          <w:rFonts w:eastAsia="Amiri" w:cs="Amiri" w:ascii="Amiri" w:hAnsi="Amiri"/>
          <w:color w:val="111111"/>
          <w:sz w:val="28"/>
          <w:szCs w:val="28"/>
          <w:rtl w:val="true"/>
          <w:lang w:bidi="ar-SA"/>
        </w:rPr>
        <w:t>.</w:t>
      </w:r>
      <w:bookmarkStart w:id="106" w:name="pg2480_16446"/>
    </w:p>
    <w:p>
      <w:pPr>
        <w:pStyle w:val="Heading3"/>
        <w:numPr>
          <w:ilvl w:val="2"/>
          <w:numId w:val="1"/>
        </w:numPr>
        <w:rPr/>
      </w:pPr>
      <w:bookmarkStart w:id="107" w:name="__RefHeading___Toc3755589_3804643083"/>
      <w:bookmarkStart w:id="108" w:name="_Toc39"/>
      <w:bookmarkEnd w:id="106"/>
      <w:bookmarkEnd w:id="107"/>
      <w:r>
        <w:rPr>
          <w:rtl w:val="true"/>
        </w:rPr>
        <w:t>القول في ما خرج عن عموم المنزلة بالدليل</w:t>
      </w:r>
      <w:bookmarkEnd w:id="108"/>
    </w:p>
    <w:p>
      <w:pPr>
        <w:pStyle w:val="BookText"/>
        <w:rPr/>
      </w:pPr>
      <w:r>
        <w:rPr>
          <w:rFonts w:ascii="Amiri" w:hAnsi="Amiri" w:eastAsia="Amiri" w:cs="Amiri"/>
          <w:color w:val="111111"/>
          <w:sz w:val="28"/>
          <w:sz w:val="28"/>
          <w:szCs w:val="28"/>
          <w:rtl w:val="true"/>
          <w:lang w:bidi="ar-SA"/>
        </w:rPr>
        <w:t>و خطر ولد الظئر و الفحل على أب الرضيع عن نصوص انجلى</w:t>
      </w:r>
    </w:p>
    <w:p>
      <w:pPr>
        <w:pStyle w:val="BookText"/>
        <w:rPr/>
      </w:pPr>
      <w:r>
        <w:rPr>
          <w:rFonts w:ascii="Amiri" w:hAnsi="Amiri" w:eastAsia="Amiri" w:cs="Amiri"/>
          <w:color w:val="111111"/>
          <w:sz w:val="28"/>
          <w:sz w:val="28"/>
          <w:szCs w:val="28"/>
          <w:rtl w:val="true"/>
          <w:lang w:bidi="ar-SA"/>
        </w:rPr>
        <w:t xml:space="preserve">اختلف الأصحاب من عموم المنزلة في مسائل، و المشهور أيّها غير معتبرة إلّا في صورة واحدة، و هي أنّ أبا المرتضع لا ينكح في أولاد صاحب اللبن ولادة و رضاعا و في أولاد المرضعة ولادة لا رضاعا، و هو للشيخ في الخلاف </w:t>
      </w:r>
      <w:r>
        <w:rPr>
          <w:rStyle w:val="FootnoteAnchor"/>
          <w:rtl w:val="true"/>
        </w:rPr>
        <w:footnoteReference w:id="435"/>
      </w:r>
      <w:r>
        <w:rPr>
          <w:rFonts w:ascii="Amiri" w:hAnsi="Amiri" w:eastAsia="Amiri" w:cs="Amiri"/>
          <w:color w:val="111111"/>
          <w:sz w:val="28"/>
          <w:sz w:val="28"/>
          <w:szCs w:val="28"/>
          <w:rtl w:val="true"/>
          <w:lang w:bidi="ar-SA"/>
        </w:rPr>
        <w:t xml:space="preserve">و ابن حمزة </w:t>
      </w:r>
      <w:r>
        <w:rPr>
          <w:rStyle w:val="FootnoteAnchor"/>
          <w:rtl w:val="true"/>
        </w:rPr>
        <w:footnoteReference w:id="436"/>
      </w:r>
      <w:r>
        <w:rPr>
          <w:rFonts w:ascii="Amiri" w:hAnsi="Amiri" w:eastAsia="Amiri" w:cs="Amiri"/>
          <w:color w:val="111111"/>
          <w:sz w:val="28"/>
          <w:sz w:val="28"/>
          <w:szCs w:val="28"/>
          <w:rtl w:val="true"/>
          <w:lang w:bidi="ar-SA"/>
        </w:rPr>
        <w:t xml:space="preserve">و ابن إدريس </w:t>
      </w:r>
      <w:r>
        <w:rPr>
          <w:rStyle w:val="FootnoteAnchor"/>
          <w:rtl w:val="true"/>
        </w:rPr>
        <w:footnoteReference w:id="437"/>
      </w:r>
      <w:r>
        <w:rPr>
          <w:rFonts w:ascii="Amiri" w:hAnsi="Amiri" w:eastAsia="Amiri" w:cs="Amiri"/>
          <w:color w:val="111111"/>
          <w:sz w:val="28"/>
          <w:sz w:val="28"/>
          <w:szCs w:val="28"/>
          <w:rtl w:val="true"/>
          <w:lang w:bidi="ar-SA"/>
        </w:rPr>
        <w:t xml:space="preserve">و المحقّق </w:t>
      </w:r>
      <w:r>
        <w:rPr>
          <w:rStyle w:val="FootnoteAnchor"/>
          <w:rtl w:val="true"/>
        </w:rPr>
        <w:footnoteReference w:id="438"/>
      </w:r>
      <w:r>
        <w:rPr>
          <w:rFonts w:ascii="Amiri" w:hAnsi="Amiri" w:eastAsia="Amiri" w:cs="Amiri"/>
          <w:color w:val="111111"/>
          <w:sz w:val="28"/>
          <w:sz w:val="28"/>
          <w:szCs w:val="28"/>
          <w:rtl w:val="true"/>
          <w:lang w:bidi="ar-SA"/>
        </w:rPr>
        <w:t xml:space="preserve">و العلّامة في أكثر كتبه </w:t>
      </w:r>
      <w:r>
        <w:rPr>
          <w:rStyle w:val="FootnoteAnchor"/>
          <w:rtl w:val="true"/>
        </w:rPr>
        <w:footnoteReference w:id="439"/>
      </w:r>
      <w:r>
        <w:rPr>
          <w:rFonts w:ascii="Amiri" w:hAnsi="Amiri" w:eastAsia="Amiri" w:cs="Amiri"/>
          <w:color w:val="111111"/>
          <w:sz w:val="28"/>
          <w:sz w:val="28"/>
          <w:szCs w:val="28"/>
          <w:rtl w:val="true"/>
          <w:lang w:bidi="ar-SA"/>
        </w:rPr>
        <w:t xml:space="preserve">و الشهيدين </w:t>
      </w:r>
      <w:r>
        <w:rPr>
          <w:rStyle w:val="FootnoteAnchor"/>
          <w:rtl w:val="true"/>
        </w:rPr>
        <w:footnoteReference w:id="440"/>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441"/>
      </w:r>
      <w:r>
        <w:rPr>
          <w:rFonts w:ascii="Amiri" w:hAnsi="Amiri" w:eastAsia="Amiri" w:cs="Amiri"/>
          <w:color w:val="111111"/>
          <w:sz w:val="28"/>
          <w:sz w:val="28"/>
          <w:szCs w:val="28"/>
          <w:rtl w:val="true"/>
          <w:lang w:bidi="ar-SA"/>
        </w:rPr>
        <w:t xml:space="preserve">و فخر المحقّقين </w:t>
      </w:r>
      <w:r>
        <w:rPr>
          <w:rStyle w:val="FootnoteAnchor"/>
          <w:rtl w:val="true"/>
        </w:rPr>
        <w:footnoteReference w:id="442"/>
      </w:r>
      <w:r>
        <w:rPr>
          <w:rFonts w:ascii="Amiri" w:hAnsi="Amiri" w:eastAsia="Amiri" w:cs="Amiri"/>
          <w:color w:val="111111"/>
          <w:sz w:val="28"/>
          <w:sz w:val="28"/>
          <w:szCs w:val="28"/>
          <w:rtl w:val="true"/>
          <w:lang w:bidi="ar-SA"/>
        </w:rPr>
        <w:t xml:space="preserve">و غيرهم </w:t>
      </w:r>
      <w:r>
        <w:rPr>
          <w:rStyle w:val="FootnoteAnchor"/>
          <w:rtl w:val="true"/>
        </w:rPr>
        <w:footnoteReference w:id="443"/>
      </w:r>
      <w:r>
        <w:rPr>
          <w:rFonts w:ascii="Amiri" w:hAnsi="Amiri" w:eastAsia="Amiri" w:cs="Amiri"/>
          <w:color w:val="111111"/>
          <w:sz w:val="28"/>
          <w:sz w:val="28"/>
          <w:szCs w:val="28"/>
          <w:rtl w:val="true"/>
          <w:lang w:bidi="ar-SA"/>
        </w:rPr>
        <w:t>، و ربّما حكي عن المبسوط عدم التحريم، غير أنّ الثابت فيه ليس أكثر من أنّه بعد أن حكم بحلّ أمّ المرضعة لأبي الولد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أصحابنا أنّ جميع أولاد هذه المرضعة و أولاد الفحل يحرمون على هذا المرتضع و على أبيه و جميع أخوته و أخواته، لأنّهم صاروا بمنزلة الإخوة و</w:t>
      </w:r>
    </w:p>
    <w:p>
      <w:pPr>
        <w:pStyle w:val="BookText"/>
        <w:rPr/>
      </w:pPr>
      <w:r>
        <w:rPr>
          <w:rFonts w:ascii="IRNazanin" w:hAnsi="IRNazanin" w:eastAsia="IRNazanin"/>
          <w:color w:val="111111"/>
          <w:sz w:val="28"/>
          <w:sz w:val="28"/>
          <w:szCs w:val="28"/>
          <w:rtl w:val="true"/>
          <w:lang w:bidi="fa-IR"/>
        </w:rPr>
        <w:t>الأخوات</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 عن المهذّب لابن البرّاج يتزوّج الرجل بابنة المرأة التي أرضعت ولده و كذا بناتها أيضا </w:t>
      </w:r>
      <w:r>
        <w:rPr>
          <w:rStyle w:val="FootnoteAnchor"/>
          <w:rtl w:val="true"/>
        </w:rPr>
        <w:footnoteReference w:id="445"/>
      </w:r>
      <w:r>
        <w:rPr>
          <w:rFonts w:ascii="Amiri" w:hAnsi="Amiri" w:eastAsia="Amiri" w:cs="Amiri"/>
          <w:color w:val="111111"/>
          <w:sz w:val="28"/>
          <w:sz w:val="28"/>
          <w:szCs w:val="28"/>
          <w:rtl w:val="true"/>
          <w:lang w:bidi="ar-SA"/>
        </w:rPr>
        <w:t>، و لم يتعرّض لأولاد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صحيحة عليّ بن مهزيار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جعفر أبا جعفر الثاني عليه السّلام عن امرأة أرضعت لي صبيّا فهل يحلّ لي أن أتزوّج بنت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 من هيهنا يؤتى أن يقول الناس حرمت عليه امرأته من قبل لبن الفحل، هذا هو لبن الفحل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بنت المرأة التي أرضعت لي، هي بنت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عشرا متفرّقات ما حلّ لك شي‌ء منهنّ و هنّ </w:t>
      </w:r>
      <w:r>
        <w:rPr>
          <w:rStyle w:val="FootnoteAnchor"/>
          <w:rtl w:val="true"/>
        </w:rPr>
        <w:footnoteReference w:id="446"/>
      </w:r>
      <w:r>
        <w:rPr>
          <w:rFonts w:ascii="Amiri" w:hAnsi="Amiri" w:eastAsia="Amiri" w:cs="Amiri"/>
          <w:color w:val="111111"/>
          <w:sz w:val="28"/>
          <w:sz w:val="28"/>
          <w:szCs w:val="28"/>
          <w:rtl w:val="true"/>
          <w:lang w:bidi="ar-SA"/>
        </w:rPr>
        <w:t>في موضع بناتك</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صحيحة عبد اللّه بن جعفر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عليهما السّلام امرأة أرضعت ولد الرجل هل يحلّ لذلك الرجل أن يتزوّج ابنته هذه المرأة أم لا؟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أيّوب بن نوح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 امرأة أرضعت بعض ولدي هل يجوز لي أن أتزوّج بعض ولدها؟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أقصى ما يتعلّق به لعدم التحريم </w:t>
      </w:r>
      <w:r>
        <w:rPr>
          <w:rStyle w:val="FootnoteAnchor"/>
          <w:rtl w:val="true"/>
        </w:rPr>
        <w:footnoteReference w:id="450"/>
      </w:r>
      <w:r>
        <w:rPr>
          <w:rFonts w:ascii="Amiri" w:hAnsi="Amiri" w:eastAsia="Amiri" w:cs="Amiri"/>
          <w:color w:val="111111"/>
          <w:sz w:val="28"/>
          <w:sz w:val="28"/>
          <w:szCs w:val="28"/>
          <w:rtl w:val="true"/>
          <w:lang w:bidi="ar-SA"/>
        </w:rPr>
        <w:t>أنّه إنّما يحرم من الرضاع ما يحرم من النسب، و أخوات الولد لا ينحصر تحريمهنّ على أبيه في النسب، بل قد يكون بالمصاهرة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فمطلقا في ولده تحقّقا و نسبا في ولدها لا مطلقا</w:t>
      </w:r>
    </w:p>
    <w:p>
      <w:pPr>
        <w:pStyle w:val="BookText"/>
        <w:rPr/>
      </w:pPr>
      <w:r>
        <w:rPr>
          <w:rFonts w:ascii="Amiri" w:hAnsi="Amiri" w:eastAsia="Amiri" w:cs="Amiri"/>
          <w:color w:val="111111"/>
          <w:sz w:val="28"/>
          <w:sz w:val="28"/>
          <w:szCs w:val="28"/>
          <w:rtl w:val="true"/>
          <w:lang w:bidi="ar-SA"/>
        </w:rPr>
        <w:t xml:space="preserve">يريد أنّ حظر ولد الفحل على أب الرضيع يتحقّق </w:t>
      </w:r>
      <w:r>
        <w:rPr>
          <w:rStyle w:val="FootnoteAnchor"/>
          <w:rtl w:val="true"/>
        </w:rPr>
        <w:footnoteReference w:id="451"/>
      </w:r>
      <w:r>
        <w:rPr>
          <w:rFonts w:ascii="Amiri" w:hAnsi="Amiri" w:eastAsia="Amiri" w:cs="Amiri"/>
          <w:color w:val="111111"/>
          <w:sz w:val="28"/>
          <w:sz w:val="28"/>
          <w:szCs w:val="28"/>
          <w:rtl w:val="true"/>
          <w:lang w:bidi="ar-SA"/>
        </w:rPr>
        <w:t>مطلقا، أي من نسب كانوا أو من رضاع، و أمّا في ولد المرضعة فلا يتحقّق مطلقا بل فيمن ينتمي إليها من النسب لا الرضاع إجماعا، و الفرق أنّ أولاد المرضعة من الرضاع لا يحرمون على المرتضع، فلأن لا يحرمون على أبيه أولى، و من فروع حظر ولد الفحل و المرضعة ما لو أرضعت أمّ زوجته أو أمته و لو بلبن غير أبيها أو زوجة أبيها بلبنه ولد الزوج منهما أو من غيرهما حرمتا، لصيرورتهما من ولد صاحب اللبن أو صاحبته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إخوة الرضيع من مضى بردّ إلّا لرضاع اقتضى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 ابذل الفحل أمّ أمّ المرتضع </w:t>
      </w:r>
      <w:r>
        <w:rPr>
          <w:rStyle w:val="FootnoteAnchor"/>
          <w:rtl w:val="true"/>
        </w:rPr>
        <w:footnoteReference w:id="453"/>
      </w:r>
      <w:r>
        <w:rPr>
          <w:rFonts w:ascii="Amiri" w:hAnsi="Amiri" w:eastAsia="Amiri" w:cs="Amiri"/>
          <w:color w:val="111111"/>
          <w:sz w:val="28"/>
          <w:sz w:val="28"/>
          <w:szCs w:val="28"/>
          <w:rtl w:val="true"/>
          <w:lang w:bidi="ar-SA"/>
        </w:rPr>
        <w:t>و لأبيه أمّ من منها رضع</w:t>
      </w:r>
    </w:p>
    <w:p>
      <w:pPr>
        <w:pStyle w:val="BookText"/>
        <w:rPr/>
      </w:pPr>
      <w:r>
        <w:rPr>
          <w:rFonts w:ascii="Amiri" w:hAnsi="Amiri" w:eastAsia="Amiri" w:cs="Amiri"/>
          <w:color w:val="111111"/>
          <w:sz w:val="28"/>
          <w:sz w:val="28"/>
          <w:szCs w:val="28"/>
          <w:rtl w:val="true"/>
          <w:lang w:bidi="ar-SA"/>
        </w:rPr>
        <w:t>يريد أنّه لا يحرم على إخوة الرضيع الذين لم يشاركوه في الرضاع من مضى في البيتين السابقين، و هم الفحل و المرضعة و ولدهما، و إنّ جدّه المرتضع من رضاع أو نسب تبذل للفحل، فإن شاء نكحها، و كذا يبذل لأبي المرتضع أمّ المرضعة، و الغرض الردّ على من استثنى من عموم المنزلة شيئا زائدا على ما استثنياه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تحريم أولاد المرضعة و الفحل على أب المرتضع، و نظيره تحريم</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تحريم أولاد المرضعة و الفحل على أب المرتضع، و نظيره تحريم أولاده عليهما، لأنّهما قد صارا أبوين للمرتضع، فهما كالأبوين لإخوته أيضا، و هذا القول قد حكاه المحقق الثاني </w:t>
      </w:r>
      <w:r>
        <w:rPr>
          <w:rStyle w:val="FootnoteAnchor"/>
          <w:rtl w:val="true"/>
        </w:rPr>
        <w:footnoteReference w:id="454"/>
      </w:r>
      <w:r>
        <w:rPr>
          <w:rFonts w:ascii="Amiri" w:hAnsi="Amiri" w:eastAsia="Amiri" w:cs="Amiri"/>
          <w:color w:val="111111"/>
          <w:sz w:val="28"/>
          <w:sz w:val="28"/>
          <w:szCs w:val="28"/>
          <w:rtl w:val="true"/>
          <w:lang w:bidi="ar-SA"/>
        </w:rPr>
        <w:t xml:space="preserve">غير مصرّح بقائله، و الظاهر أنّه لابن حمزة </w:t>
      </w:r>
      <w:r>
        <w:rPr>
          <w:rStyle w:val="FootnoteAnchor"/>
          <w:rtl w:val="true"/>
        </w:rPr>
        <w:footnoteReference w:id="455"/>
      </w:r>
      <w:r>
        <w:rPr>
          <w:rFonts w:ascii="Amiri" w:hAnsi="Amiri" w:eastAsia="Amiri" w:cs="Amiri"/>
          <w:color w:val="111111"/>
          <w:sz w:val="28"/>
          <w:sz w:val="28"/>
          <w:szCs w:val="28"/>
          <w:rtl w:val="true"/>
          <w:lang w:bidi="ar-SA"/>
        </w:rPr>
        <w:t>، و الصحيح الحلّ 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هل يجوز لإخوة المرتضع الذين لم يرتضعوا من هذا اللبن النكاح في أولاد المرضعة و الفحل ولادة و رضاعا أم لا؟ قولان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ابن إدريس </w:t>
      </w:r>
      <w:r>
        <w:rPr>
          <w:rStyle w:val="FootnoteAnchor"/>
          <w:rtl w:val="true"/>
        </w:rPr>
        <w:footnoteReference w:id="456"/>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5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58"/>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459"/>
      </w:r>
      <w:r>
        <w:rPr>
          <w:rFonts w:ascii="Amiri" w:hAnsi="Amiri" w:eastAsia="Amiri" w:cs="Amiri"/>
          <w:color w:val="111111"/>
          <w:sz w:val="28"/>
          <w:sz w:val="28"/>
          <w:szCs w:val="28"/>
          <w:rtl w:val="true"/>
          <w:lang w:bidi="ar-SA"/>
        </w:rPr>
        <w:t xml:space="preserve">و الشهيدان </w:t>
      </w:r>
      <w:r>
        <w:rPr>
          <w:rStyle w:val="FootnoteAnchor"/>
          <w:rtl w:val="true"/>
        </w:rPr>
        <w:footnoteReference w:id="460"/>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461"/>
      </w:r>
      <w:r>
        <w:rPr>
          <w:rFonts w:ascii="Amiri" w:hAnsi="Amiri" w:eastAsia="Amiri" w:cs="Amiri"/>
          <w:color w:val="111111"/>
          <w:sz w:val="28"/>
          <w:sz w:val="28"/>
          <w:szCs w:val="28"/>
          <w:rtl w:val="true"/>
          <w:lang w:bidi="ar-SA"/>
        </w:rPr>
        <w:t xml:space="preserve">و أكثر الأصحاب إلى الأوّل، و ذهب الشيخ في الخلاف </w:t>
      </w:r>
      <w:r>
        <w:rPr>
          <w:rStyle w:val="FootnoteAnchor"/>
          <w:rtl w:val="true"/>
        </w:rPr>
        <w:footnoteReference w:id="462"/>
      </w:r>
      <w:r>
        <w:rPr>
          <w:rFonts w:ascii="Amiri" w:hAnsi="Amiri" w:eastAsia="Amiri" w:cs="Amiri"/>
          <w:color w:val="111111"/>
          <w:sz w:val="28"/>
          <w:sz w:val="28"/>
          <w:szCs w:val="28"/>
          <w:rtl w:val="true"/>
          <w:lang w:bidi="ar-SA"/>
        </w:rPr>
        <w:t xml:space="preserve">و النهاية </w:t>
      </w:r>
      <w:r>
        <w:rPr>
          <w:rStyle w:val="FootnoteAnchor"/>
          <w:rtl w:val="true"/>
        </w:rPr>
        <w:footnoteReference w:id="463"/>
      </w:r>
      <w:r>
        <w:rPr>
          <w:rFonts w:ascii="IRNazanin" w:hAnsi="IRNazanin" w:eastAsia="IRNazanin"/>
          <w:color w:val="111111"/>
          <w:sz w:val="28"/>
          <w:sz w:val="28"/>
          <w:szCs w:val="28"/>
          <w:rtl w:val="true"/>
          <w:lang w:bidi="fa-IR"/>
        </w:rPr>
        <w:t xml:space="preserve">و المبسوط </w:t>
      </w:r>
      <w:r>
        <w:rPr>
          <w:rStyle w:val="FootnoteAnchor"/>
          <w:rtl w:val="true"/>
        </w:rPr>
        <w:footnoteReference w:id="464"/>
      </w:r>
      <w:r>
        <w:rPr>
          <w:rFonts w:ascii="Amiri" w:hAnsi="Amiri" w:eastAsia="Amiri" w:cs="Amiri"/>
          <w:color w:val="111111"/>
          <w:sz w:val="28"/>
          <w:sz w:val="28"/>
          <w:szCs w:val="28"/>
          <w:rtl w:val="true"/>
          <w:lang w:bidi="ar-SA"/>
        </w:rPr>
        <w:t xml:space="preserve">و ابن حمزة </w:t>
      </w:r>
      <w:r>
        <w:rPr>
          <w:rStyle w:val="FootnoteAnchor"/>
          <w:rtl w:val="true"/>
        </w:rPr>
        <w:footnoteReference w:id="465"/>
      </w:r>
      <w:r>
        <w:rPr>
          <w:rFonts w:ascii="Amiri" w:hAnsi="Amiri" w:eastAsia="Amiri" w:cs="Amiri"/>
          <w:color w:val="111111"/>
          <w:sz w:val="28"/>
          <w:sz w:val="28"/>
          <w:szCs w:val="28"/>
          <w:rtl w:val="true"/>
          <w:lang w:bidi="ar-SA"/>
        </w:rPr>
        <w:t xml:space="preserve">الى الثاني، بشرط أن يتّحد الفحل، و توقف العلّامة في المختلف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أقصى دليل التحريم ما في صحيحتي عبد اللّه و أيّوب المتقدمتين </w:t>
      </w:r>
      <w:r>
        <w:rPr>
          <w:rStyle w:val="FootnoteAnchor"/>
          <w:rtl w:val="true"/>
        </w:rPr>
        <w:footnoteReference w:id="467"/>
      </w:r>
      <w:r>
        <w:rPr>
          <w:rFonts w:ascii="Amiri" w:hAnsi="Amiri" w:eastAsia="Amiri" w:cs="Amiri"/>
          <w:color w:val="111111"/>
          <w:sz w:val="28"/>
          <w:sz w:val="28"/>
          <w:szCs w:val="28"/>
          <w:rtl w:val="true"/>
          <w:lang w:bidi="ar-SA"/>
        </w:rPr>
        <w:t xml:space="preserve">من التعليل بأنّ بنات الفحل و المرضعة بمنزلة الولد لأب الرضيع، فيكنّ بمنزلة الإخوان </w:t>
      </w:r>
      <w:r>
        <w:rPr>
          <w:rStyle w:val="FootnoteAnchor"/>
          <w:rtl w:val="true"/>
        </w:rPr>
        <w:footnoteReference w:id="468"/>
      </w:r>
      <w:r>
        <w:rPr>
          <w:rFonts w:ascii="Amiri" w:hAnsi="Amiri" w:eastAsia="Amiri" w:cs="Amiri"/>
          <w:color w:val="111111"/>
          <w:sz w:val="28"/>
          <w:sz w:val="28"/>
          <w:szCs w:val="28"/>
          <w:rtl w:val="true"/>
          <w:lang w:bidi="ar-SA"/>
        </w:rPr>
        <w:t>لولده، و لأنّ أخت الأخ من النسب حرام فمن الرضاع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بأنّ منصوص العلّة إنّما يعدّى حكمه إلى ما ثبتت فيه بعينها، و الثابت هنا ليس كونهنّ بمنزلة الولد، بل مشابه ذلك و بعبارة أخرى و هي أنّ العلّة المنصوصة بمنزلة الكلّي للمقيسين، كالإسكار الشامل لوصفي الخمر و الفقّاع مثلا، و لذلك كانت حجّة، و الاخوّة لأولاد أبي المرتضع ليست فردا من البنوّة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ذكرتموه إنّما يجرى في مثل الخمر و الفقّاع، و أمّا فيما ذكر من الاخوّة و البنوّة فلا، لأنّ التلازم بينهما يمنع من ثبوت أحدهما بدون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ممنوع إمّا ذهنا فلإمكان تعقّل أحدهما بدون الآخر بخلاف قبول العلم للإنسان و العمى للبصر، و إمّا خارجا فلأنّه لو وطأ المشتبهة عالما فأولدها اثنين ثبتت الاخوّة دون الأبوّة البتّة، على أنّ العلّة المنصوصة هنا كونهم بمنزلة الولد، و لو ثبت التلازم بين البنوّة و الاخوّة أنفسها لم يقتض ذلك التلازم بين تنزيلهم منزلة الولد و التنزيل منزلة الأخوّة، فإنّ بنات الزوجة بمنزلة الولد و لا يحرمون على ولده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عن الثاني فإنّ أخت الأخ قد تكون بنت زوجة للأب فتحلّ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عموم المنزلة مبنيّ على ما ذكره المعترض من التلازم و حينئذ فمعناها الّا تقتصر </w:t>
      </w:r>
      <w:r>
        <w:rPr>
          <w:rStyle w:val="FootnoteAnchor"/>
          <w:rtl w:val="true"/>
        </w:rPr>
        <w:footnoteReference w:id="469"/>
      </w:r>
      <w:r>
        <w:rPr>
          <w:rFonts w:ascii="Amiri" w:hAnsi="Amiri" w:eastAsia="Amiri" w:cs="Amiri"/>
          <w:color w:val="111111"/>
          <w:sz w:val="28"/>
          <w:sz w:val="28"/>
          <w:szCs w:val="28"/>
          <w:rtl w:val="true"/>
          <w:lang w:bidi="ar-SA"/>
        </w:rPr>
        <w:t xml:space="preserve">على تنزيل ولد الفحل و المرضعة منزلة الولد لأبي المرتضع، بل تجعل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التنزيل عامّا في جميع الصور، فتجعل </w:t>
      </w:r>
      <w:r>
        <w:rPr>
          <w:rStyle w:val="FootnoteAnchor"/>
          <w:rtl w:val="true"/>
        </w:rPr>
        <w:footnoteReference w:id="471"/>
      </w:r>
      <w:r>
        <w:rPr>
          <w:rFonts w:ascii="Amiri" w:hAnsi="Amiri" w:eastAsia="Amiri" w:cs="Amiri"/>
          <w:color w:val="111111"/>
          <w:sz w:val="28"/>
          <w:sz w:val="28"/>
          <w:szCs w:val="28"/>
          <w:rtl w:val="true"/>
          <w:lang w:bidi="ar-SA"/>
        </w:rPr>
        <w:t>عمّة الرضيع بمنزلة أخت الفحل، و خالته بمنزلة أخت زوجته، و بنت أخيه أو أخته بمنزلة نافلته أو نافلة زوجته، و كذا مقابل ذلك بالنسبة إلى المرضعة، فأخ الرضيع للمرضعة بمنزلة ابن أو ابن بعل و هكذا، و قد عرفت فساد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تحريم المرضعة على أبي الرضيع، لأنّ أمّ الولد إذا حلّت من النسب فمن الرضاع أولى، و ذهب الشيخ في المبسوط </w:t>
      </w:r>
      <w:r>
        <w:rPr>
          <w:rStyle w:val="FootnoteAnchor"/>
          <w:rtl w:val="true"/>
        </w:rPr>
        <w:footnoteReference w:id="472"/>
      </w:r>
      <w:r>
        <w:rPr>
          <w:rFonts w:ascii="Amiri" w:hAnsi="Amiri" w:eastAsia="Amiri" w:cs="Amiri"/>
          <w:color w:val="111111"/>
          <w:sz w:val="28"/>
          <w:sz w:val="28"/>
          <w:szCs w:val="28"/>
          <w:rtl w:val="true"/>
          <w:lang w:bidi="ar-SA"/>
        </w:rPr>
        <w:t xml:space="preserve">و ابن حمزة </w:t>
      </w:r>
      <w:r>
        <w:rPr>
          <w:rStyle w:val="FootnoteAnchor"/>
          <w:rtl w:val="true"/>
        </w:rPr>
        <w:footnoteReference w:id="473"/>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74"/>
      </w:r>
      <w:r>
        <w:rPr>
          <w:rFonts w:ascii="Amiri" w:hAnsi="Amiri" w:eastAsia="Amiri" w:cs="Amiri"/>
          <w:color w:val="111111"/>
          <w:sz w:val="28"/>
          <w:sz w:val="28"/>
          <w:szCs w:val="28"/>
          <w:rtl w:val="true"/>
          <w:lang w:bidi="ar-SA"/>
        </w:rPr>
        <w:t xml:space="preserve">و العلّامة في التحرير </w:t>
      </w:r>
      <w:r>
        <w:rPr>
          <w:rStyle w:val="FootnoteAnchor"/>
          <w:rtl w:val="true"/>
        </w:rPr>
        <w:footnoteReference w:id="475"/>
      </w:r>
      <w:r>
        <w:rPr>
          <w:rFonts w:ascii="IRNazanin" w:hAnsi="IRNazanin" w:eastAsia="IRNazanin"/>
          <w:color w:val="111111"/>
          <w:sz w:val="28"/>
          <w:sz w:val="28"/>
          <w:szCs w:val="28"/>
          <w:rtl w:val="true"/>
          <w:lang w:bidi="fa-IR"/>
        </w:rPr>
        <w:t xml:space="preserve">و القواعد </w:t>
      </w:r>
      <w:r>
        <w:rPr>
          <w:rStyle w:val="FootnoteAnchor"/>
          <w:rtl w:val="true"/>
        </w:rPr>
        <w:footnoteReference w:id="476"/>
      </w:r>
      <w:r>
        <w:rPr>
          <w:rFonts w:ascii="Amiri" w:hAnsi="Amiri" w:eastAsia="Amiri" w:cs="Amiri"/>
          <w:color w:val="111111"/>
          <w:sz w:val="28"/>
          <w:sz w:val="28"/>
          <w:szCs w:val="28"/>
          <w:rtl w:val="true"/>
          <w:lang w:bidi="ar-SA"/>
        </w:rPr>
        <w:t xml:space="preserve">و التلخيص </w:t>
      </w:r>
      <w:r>
        <w:rPr>
          <w:rStyle w:val="FootnoteAnchor"/>
          <w:rtl w:val="true"/>
        </w:rPr>
        <w:footnoteReference w:id="477"/>
      </w:r>
      <w:r>
        <w:rPr>
          <w:rFonts w:ascii="IRNazanin" w:hAnsi="IRNazanin" w:eastAsia="IRNazanin"/>
          <w:color w:val="111111"/>
          <w:sz w:val="28"/>
          <w:sz w:val="28"/>
          <w:szCs w:val="28"/>
          <w:rtl w:val="true"/>
          <w:lang w:bidi="fa-IR"/>
        </w:rPr>
        <w:t xml:space="preserve">و ظاهر الإرشاد </w:t>
      </w:r>
      <w:r>
        <w:rPr>
          <w:rStyle w:val="FootnoteAnchor"/>
          <w:rtl w:val="true"/>
        </w:rPr>
        <w:footnoteReference w:id="478"/>
      </w:r>
      <w:r>
        <w:rPr>
          <w:rFonts w:ascii="Amiri" w:hAnsi="Amiri" w:eastAsia="Amiri" w:cs="Amiri"/>
          <w:color w:val="111111"/>
          <w:sz w:val="28"/>
          <w:sz w:val="28"/>
          <w:szCs w:val="28"/>
          <w:rtl w:val="true"/>
          <w:lang w:bidi="ar-SA"/>
        </w:rPr>
        <w:t>إلى عدم تحريم جدّات المرتضع نسبا و رضاعا على الفحل و هو المعتمد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في الخلاف إلى التحريم </w:t>
      </w:r>
      <w:r>
        <w:rPr>
          <w:rStyle w:val="FootnoteAnchor"/>
          <w:rtl w:val="true"/>
        </w:rPr>
        <w:footnoteReference w:id="479"/>
      </w:r>
      <w:r>
        <w:rPr>
          <w:rFonts w:ascii="Amiri" w:hAnsi="Amiri" w:eastAsia="Amiri" w:cs="Amiri"/>
          <w:color w:val="111111"/>
          <w:sz w:val="28"/>
          <w:sz w:val="28"/>
          <w:szCs w:val="28"/>
          <w:rtl w:val="true"/>
          <w:lang w:bidi="ar-SA"/>
        </w:rPr>
        <w:t xml:space="preserve">و اختاره في السرائر </w:t>
      </w:r>
      <w:r>
        <w:rPr>
          <w:rStyle w:val="FootnoteAnchor"/>
          <w:rtl w:val="true"/>
        </w:rPr>
        <w:footnoteReference w:id="480"/>
      </w:r>
      <w:r>
        <w:rPr>
          <w:rFonts w:ascii="IRNazanin" w:hAnsi="IRNazanin" w:eastAsia="IRNazanin"/>
          <w:color w:val="111111"/>
          <w:sz w:val="28"/>
          <w:sz w:val="28"/>
          <w:szCs w:val="28"/>
          <w:rtl w:val="true"/>
          <w:lang w:bidi="fa-IR"/>
        </w:rPr>
        <w:t xml:space="preserve">و المختلف </w:t>
      </w:r>
      <w:r>
        <w:rPr>
          <w:rStyle w:val="FootnoteAnchor"/>
          <w:rtl w:val="true"/>
        </w:rPr>
        <w:footnoteReference w:id="481"/>
      </w:r>
      <w:r>
        <w:rPr>
          <w:rFonts w:ascii="Amiri" w:hAnsi="Amiri" w:eastAsia="Amiri" w:cs="Amiri"/>
          <w:color w:val="111111"/>
          <w:sz w:val="28"/>
          <w:sz w:val="28"/>
          <w:szCs w:val="28"/>
          <w:rtl w:val="true"/>
          <w:lang w:bidi="ar-SA"/>
        </w:rPr>
        <w:t>، و نظير ذلك ما حكاه المحقّق الثاني من الخلاف في تحريم أمّ المرضعة على أبي المرتضع</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المستند في المسألتين أنّ جدّه الولد إمّا أمّك و إمّا أمّ زوجتك فتحرمان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الجواب إمّا عند من لا يرى النشر بوطء الشبهة فمنع الحصر لجواز أن تكون أمّ الولد موطوئة بالشبهة، فلا تحرم أمّها مع أنّها جدّة ولد، و أمّا عند من يرى النشر به كما هو الأصحّ فلأنّ الجدّة أخصّ من الامّ و أمّ الزوجة،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قطّ في تناكح صدر ما بين إخوة الرضيعين نظر</w:t>
      </w:r>
    </w:p>
    <w:p>
      <w:pPr>
        <w:pStyle w:val="BookText"/>
        <w:rPr/>
      </w:pPr>
      <w:r>
        <w:rPr>
          <w:rFonts w:ascii="Amiri" w:hAnsi="Amiri" w:eastAsia="Amiri" w:cs="Amiri"/>
          <w:color w:val="111111"/>
          <w:sz w:val="28"/>
          <w:sz w:val="28"/>
          <w:szCs w:val="28"/>
          <w:rtl w:val="true"/>
          <w:lang w:bidi="ar-SA"/>
        </w:rPr>
        <w:t>لا ريب في أنّ الأجنبيّين إذا ارتضعا من لبن واحد لم ينشر ذلك التحريم بين إخوة أحدهما و إخوة الآخر، إذ لا نسب بين الإخوتين و لا رضاع، و كونهم إخوة لأخيهم لا يقدح في الحلّ كما عرفت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بعض الإخوة شريكا في الارتضاع و اتّحد الفحل حرم على شريك أخيه، لا لأنّه شريك أخيه بل لأنّه شريك له نفسه، و أمّا على الباقين الذين لم يشاركوا فيبني على الخلاف السابق، و إنّما لم ينبّه على ذلك في النظم لأنّ المنساق من إخوة الرضيعين من لم يشاركوا و المشارك أحد الرضع و هو واضح إن شاء اللّه</w:t>
      </w:r>
      <w:r>
        <w:rPr>
          <w:rFonts w:eastAsia="Amiri" w:cs="Amiri" w:ascii="Amiri" w:hAnsi="Amiri"/>
          <w:color w:val="111111"/>
          <w:sz w:val="28"/>
          <w:szCs w:val="28"/>
          <w:rtl w:val="true"/>
          <w:lang w:bidi="ar-SA"/>
        </w:rPr>
        <w:t>.</w:t>
      </w:r>
      <w:bookmarkStart w:id="109" w:name="pg2480_16453"/>
    </w:p>
    <w:p>
      <w:pPr>
        <w:pStyle w:val="Heading3"/>
        <w:numPr>
          <w:ilvl w:val="2"/>
          <w:numId w:val="1"/>
        </w:numPr>
        <w:rPr/>
      </w:pPr>
      <w:bookmarkStart w:id="110" w:name="__RefHeading___Toc3755591_3804643083"/>
      <w:bookmarkStart w:id="111" w:name="_Toc40"/>
      <w:bookmarkEnd w:id="109"/>
      <w:bookmarkEnd w:id="110"/>
      <w:r>
        <w:rPr>
          <w:rtl w:val="true"/>
        </w:rPr>
        <w:t>أحكام المصاهرة في الرضاع</w:t>
      </w:r>
      <w:bookmarkEnd w:id="111"/>
    </w:p>
    <w:p>
      <w:pPr>
        <w:pStyle w:val="BookText"/>
        <w:rPr/>
      </w:pPr>
      <w:r>
        <w:rPr>
          <w:rFonts w:ascii="Amiri" w:hAnsi="Amiri" w:eastAsia="Amiri" w:cs="Amiri"/>
          <w:color w:val="111111"/>
          <w:sz w:val="28"/>
          <w:sz w:val="28"/>
          <w:szCs w:val="28"/>
          <w:rtl w:val="true"/>
          <w:lang w:bidi="ar-SA"/>
        </w:rPr>
        <w:t>و نقلوا عن جملة الأصحاب تسوية الأسباب بالأنساب</w:t>
      </w:r>
    </w:p>
    <w:p>
      <w:pPr>
        <w:pStyle w:val="BookText"/>
        <w:rPr/>
      </w:pPr>
      <w:r>
        <w:rPr>
          <w:rFonts w:ascii="Amiri" w:hAnsi="Amiri" w:eastAsia="Amiri" w:cs="Amiri"/>
          <w:color w:val="111111"/>
          <w:sz w:val="28"/>
          <w:sz w:val="28"/>
          <w:szCs w:val="28"/>
          <w:rtl w:val="true"/>
          <w:lang w:bidi="ar-SA"/>
        </w:rPr>
        <w:t>في علقة حفّت بها المصاهرة لا شبهة عن الرضاع صادرة</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84"/>
      </w:r>
      <w:r>
        <w:rPr>
          <w:rFonts w:ascii="Amiri" w:hAnsi="Amiri" w:eastAsia="Amiri" w:cs="Amiri"/>
          <w:color w:val="111111"/>
          <w:sz w:val="28"/>
          <w:sz w:val="28"/>
          <w:szCs w:val="28"/>
          <w:rtl w:val="true"/>
          <w:lang w:bidi="ar-SA"/>
        </w:rPr>
        <w:t xml:space="preserve">أنّ الرضاع المحرّم ممّا يشترط فيه تطابق النسب عند القياس، و عليه فإن كانت مصاهرة الرضاع حادثة عن النكاح، فلا ريب في انتشار الحرمة بها، و الذي يظهر من جماعة </w:t>
      </w:r>
      <w:r>
        <w:rPr>
          <w:rStyle w:val="FootnoteAnchor"/>
          <w:rtl w:val="true"/>
        </w:rPr>
        <w:footnoteReference w:id="485"/>
      </w:r>
      <w:r>
        <w:rPr>
          <w:rFonts w:ascii="Amiri" w:hAnsi="Amiri" w:eastAsia="Amiri" w:cs="Amiri"/>
          <w:color w:val="111111"/>
          <w:sz w:val="28"/>
          <w:sz w:val="28"/>
          <w:szCs w:val="28"/>
          <w:rtl w:val="true"/>
          <w:lang w:bidi="ar-SA"/>
        </w:rPr>
        <w:t xml:space="preserve">أنّه مذهب الأصحاب كافّة، و قد صرّح المحقّق الثاني بأنّه لا خلاف فيه </w:t>
      </w:r>
      <w:r>
        <w:rPr>
          <w:rStyle w:val="FootnoteAnchor"/>
          <w:rtl w:val="true"/>
        </w:rPr>
        <w:footnoteReference w:id="486"/>
      </w:r>
      <w:r>
        <w:rPr>
          <w:rFonts w:ascii="Amiri" w:hAnsi="Amiri" w:eastAsia="Amiri" w:cs="Amiri"/>
          <w:color w:val="111111"/>
          <w:sz w:val="28"/>
          <w:sz w:val="28"/>
          <w:szCs w:val="28"/>
          <w:rtl w:val="true"/>
          <w:lang w:bidi="ar-SA"/>
        </w:rPr>
        <w:t>، و الحجّة في النشر بها اندراجها فيما يحرم من النسب، لأنّ تحريم زوجة كلّ من الفحل و الطفل مثلا على الآخر إنّما هو بما بينهما من علاقة الأبوّة و البنوّة، لا بما بينه و بين زوجته من علاقة الزوجية، و تحريم زوجة كلّ من الأب و الابن على الآخر اتّفاق بين المسلمين، و كذا تحريم أمّ زوجتك و أختها الرضاعيتين بما بينهما و بينهما من الأمومة و الأختيّة لا بما بينكما من الزوجية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المصاهرة الصادرة عن الرضاع فلا تنشر تحريما قولا واحدا، و ذلك كما في مرضعة ولدك و أخيك مثلا، فان الرضاع قد أحدث بينك و بين الأولى و بين أبيك و بين الثانية علاقة كعلاقة الزوجية بصيرورة الأولى أمّ ولدك و الثانية أمّ ولده، و لكنّها ليست بزوجته حقيقة بل و لا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خصّت في النظم باسم الشبهة، لأنّ الرائي </w:t>
      </w:r>
      <w:r>
        <w:rPr>
          <w:rStyle w:val="FootnoteAnchor"/>
          <w:rtl w:val="true"/>
        </w:rPr>
        <w:footnoteReference w:id="487"/>
      </w:r>
      <w:r>
        <w:rPr>
          <w:rFonts w:ascii="Amiri" w:hAnsi="Amiri" w:eastAsia="Amiri" w:cs="Amiri"/>
          <w:color w:val="111111"/>
          <w:sz w:val="28"/>
          <w:sz w:val="28"/>
          <w:szCs w:val="28"/>
          <w:rtl w:val="true"/>
          <w:lang w:bidi="ar-SA"/>
        </w:rPr>
        <w:t>ينظر إلى أمر قد نشأ بالرضاع و هي أمومة الولد، فيجدها حاصلة في الزوجة و زوجة الأب إذا كانتا ذاتي ولد، فيحرّم عليك الثانية و أمّ الأولى و أختها، و يشترط عليك في ابنتي أخيها و أختها إذنها، و لا يدري أنّ أمومة الولد و الزوجية أمران متغايران أوّلهما أخصّ و الثاني أعمّ كالإنسانية و الحيوانية و هاتي هي المصاهرة التي يلهج بها الفقهاء دائما و يقولون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لم يقل ما يحرم من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فالفحل و الرضيع في الحكم تعدّ أزواجهم لوالد و من ولد</w:t>
      </w:r>
    </w:p>
    <w:p>
      <w:pPr>
        <w:pStyle w:val="BookText"/>
        <w:rPr/>
      </w:pPr>
      <w:r>
        <w:rPr>
          <w:rFonts w:ascii="Amiri" w:hAnsi="Amiri" w:eastAsia="Amiri" w:cs="Amiri"/>
          <w:color w:val="111111"/>
          <w:sz w:val="28"/>
          <w:sz w:val="28"/>
          <w:szCs w:val="28"/>
          <w:rtl w:val="true"/>
          <w:lang w:bidi="ar-SA"/>
        </w:rPr>
        <w:t>لا خلاف في أنّ زوجة كلّ من الفحل و الرضيع ممّا تحرم على الآخر قبل الدخول و بعده، لما تقدّم من أنّ ما بينهما من علاقة الأبوّة و البنوّة قد أدرج الزوجتين في سلك ما يحرم من النسب، و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ذلك التعليل، لإشعاره بأنّ السبب في التحريم هو ما بينهما من الأبوّة و البنوّة، فيستنبط من ذلك تحريم مدخولة كلّ منهما على الآخر أيضا، و إن لم يكن عن زوجيّة بنكاح دائم أو منقطع، بل كان عن ملك يمين أو تحليل أو عن شبهة عند من ينشر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زوجات آباء الفحل و أولاد الرضيع حكم أزواجهما، لأنّه من توابع ما يلزم الأبوّة و البنوّة، و كذا حكم زوج المرضعة أو إحدى جدّاتها بالنسبة إلى المرتضعة </w:t>
      </w:r>
      <w:r>
        <w:rPr>
          <w:rStyle w:val="FootnoteAnchor"/>
          <w:rtl w:val="true"/>
        </w:rPr>
        <w:footnoteReference w:id="489"/>
      </w:r>
      <w:r>
        <w:rPr>
          <w:rFonts w:ascii="Amiri" w:hAnsi="Amiri" w:eastAsia="Amiri" w:cs="Amiri"/>
          <w:color w:val="111111"/>
          <w:sz w:val="28"/>
          <w:sz w:val="28"/>
          <w:szCs w:val="28"/>
          <w:rtl w:val="true"/>
          <w:lang w:bidi="ar-SA"/>
        </w:rPr>
        <w:t xml:space="preserve">الأنثى و زوج المرضعة </w:t>
      </w:r>
      <w:r>
        <w:rPr>
          <w:rStyle w:val="FootnoteAnchor"/>
          <w:rtl w:val="true"/>
        </w:rPr>
        <w:footnoteReference w:id="490"/>
      </w:r>
      <w:r>
        <w:rPr>
          <w:rFonts w:ascii="Amiri" w:hAnsi="Amiri" w:eastAsia="Amiri" w:cs="Amiri"/>
          <w:color w:val="111111"/>
          <w:sz w:val="28"/>
          <w:sz w:val="28"/>
          <w:szCs w:val="28"/>
          <w:rtl w:val="true"/>
          <w:lang w:bidi="ar-SA"/>
        </w:rPr>
        <w:t>أو إحدى بناتها أو أحفادها بالنسبة إلى المرضعة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زوجة رضاعا كالنسب و الأخت أخت منه إن جمعا طلب</w:t>
      </w:r>
    </w:p>
    <w:p>
      <w:pPr>
        <w:pStyle w:val="BookText"/>
        <w:rPr/>
      </w:pPr>
      <w:r>
        <w:rPr>
          <w:rFonts w:ascii="Amiri" w:hAnsi="Amiri" w:eastAsia="Amiri" w:cs="Amiri"/>
          <w:color w:val="111111"/>
          <w:sz w:val="28"/>
          <w:sz w:val="28"/>
          <w:szCs w:val="28"/>
          <w:rtl w:val="true"/>
          <w:lang w:bidi="ar-SA"/>
        </w:rPr>
        <w:t>و بنت أخت و أخ بمقتضى أصليهما يطلب فيهما الرّضى</w:t>
      </w:r>
    </w:p>
    <w:p>
      <w:pPr>
        <w:pStyle w:val="BookText"/>
        <w:rPr/>
      </w:pPr>
      <w:r>
        <w:rPr>
          <w:rFonts w:ascii="Amiri" w:hAnsi="Amiri" w:eastAsia="Amiri" w:cs="Amiri"/>
          <w:color w:val="111111"/>
          <w:sz w:val="28"/>
          <w:sz w:val="28"/>
          <w:szCs w:val="28"/>
          <w:rtl w:val="true"/>
          <w:lang w:bidi="ar-SA"/>
        </w:rPr>
        <w:t>لا خلاف في تحريم أمّ الزوجة من النسب إذا دخل بالبنت، و لا في عدم تحريم البنت و لو لم يدخل بالأمّ، و في أمّ الزوجة قبل الدخول بالبنت خلاف، و التحريم هو المذهب، و الرضاع بذلك القياس، فتحرم كلّ من الامّ و البنت الرضاعيتين للزوجة بعد الدخول، و يبنى تحريم الامّ الرضاعية قبل الدخول بالبنت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جدّات الزوجة من الرضاع و بنات بناتها، و كما أنّه لا يحلّ الجمع بين الأختين في النسب فكذا لا يحلّ في الرضاع، و كذا لا يجوز الجمع بين العمّة و الخالة و بين بنتي الأخ و الأخت إلّا بإذن العمّة و الخالة، فلو تزوّج إحداهما لم ينكح أبنت الأخ أو الأخت إلّا بإذنها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 أبنت الأخ أو الأخت لم ينكح العمّة أو الخالة إلّا مع أعلامها إن لم تكن عالمة بأنّ أبنت أخيها أو أختها عنده، و لو نكح مع عدم الإذن و الإعلام وقف النكاح على الإجازة أو لم يقع بطل في الأصحّ، لكن يشترط في تحريم ما ذكر من الجمع اتحاد الفحل، إذ لا تصدق الاخوّة بدونه، و قد تقدّم ما يدلّ على جميع هذا الباب من الأخبار</w:t>
      </w:r>
      <w:r>
        <w:rPr>
          <w:rFonts w:eastAsia="Amiri" w:cs="Amiri" w:ascii="Amiri" w:hAnsi="Amiri"/>
          <w:color w:val="111111"/>
          <w:sz w:val="28"/>
          <w:szCs w:val="28"/>
          <w:rtl w:val="true"/>
          <w:lang w:bidi="ar-SA"/>
        </w:rPr>
        <w:t>.</w:t>
      </w:r>
      <w:bookmarkStart w:id="112" w:name="pg2480_16456"/>
    </w:p>
    <w:p>
      <w:pPr>
        <w:pStyle w:val="Heading3"/>
        <w:numPr>
          <w:ilvl w:val="2"/>
          <w:numId w:val="1"/>
        </w:numPr>
        <w:rPr/>
      </w:pPr>
      <w:bookmarkStart w:id="113" w:name="__RefHeading___Toc3755593_3804643083"/>
      <w:bookmarkStart w:id="114" w:name="_Toc41"/>
      <w:bookmarkEnd w:id="112"/>
      <w:bookmarkEnd w:id="113"/>
      <w:r>
        <w:rPr>
          <w:rtl w:val="true"/>
        </w:rPr>
        <w:t>رضاع كلّ من الزوجين من ذوي الآخر</w:t>
      </w:r>
      <w:bookmarkEnd w:id="114"/>
    </w:p>
    <w:p>
      <w:pPr>
        <w:pStyle w:val="BookText"/>
        <w:rPr/>
      </w:pPr>
      <w:r>
        <w:rPr>
          <w:rFonts w:ascii="Amiri" w:hAnsi="Amiri" w:eastAsia="Amiri" w:cs="Amiri"/>
          <w:color w:val="111111"/>
          <w:sz w:val="28"/>
          <w:sz w:val="28"/>
          <w:szCs w:val="28"/>
          <w:rtl w:val="true"/>
          <w:lang w:bidi="ar-SA"/>
        </w:rPr>
        <w:t>الزوج و الزوجة أيّ ارتضع من جدّة الآخر فالحلّ امتنع</w:t>
      </w:r>
    </w:p>
    <w:p>
      <w:pPr>
        <w:pStyle w:val="BookText"/>
        <w:rPr/>
      </w:pPr>
      <w:r>
        <w:rPr>
          <w:rFonts w:ascii="Amiri" w:hAnsi="Amiri" w:eastAsia="Amiri" w:cs="Amiri"/>
          <w:color w:val="111111"/>
          <w:sz w:val="28"/>
          <w:sz w:val="28"/>
          <w:szCs w:val="28"/>
          <w:rtl w:val="true"/>
          <w:lang w:bidi="ar-SA"/>
        </w:rPr>
        <w:t>أو أمّ كلّ منهما أو أخته أو بنت أخت أو أخ أو بنته</w:t>
      </w:r>
    </w:p>
    <w:p>
      <w:pPr>
        <w:pStyle w:val="BookText"/>
        <w:rPr/>
      </w:pPr>
      <w:r>
        <w:rPr>
          <w:rFonts w:ascii="Amiri" w:hAnsi="Amiri" w:eastAsia="Amiri" w:cs="Amiri"/>
          <w:color w:val="111111"/>
          <w:sz w:val="28"/>
          <w:sz w:val="28"/>
          <w:szCs w:val="28"/>
          <w:rtl w:val="true"/>
          <w:lang w:bidi="ar-SA"/>
        </w:rPr>
        <w:t>أو زوجة ابن أو أب بشرط أن يكون في الرضاع منهما اللبن</w:t>
      </w:r>
    </w:p>
    <w:p>
      <w:pPr>
        <w:pStyle w:val="BookText"/>
        <w:rPr/>
      </w:pPr>
      <w:r>
        <w:rPr>
          <w:rFonts w:ascii="Amiri" w:hAnsi="Amiri" w:eastAsia="Amiri" w:cs="Amiri"/>
          <w:color w:val="111111"/>
          <w:sz w:val="28"/>
          <w:sz w:val="28"/>
          <w:szCs w:val="28"/>
          <w:rtl w:val="true"/>
          <w:lang w:bidi="ar-SA"/>
        </w:rPr>
        <w:t xml:space="preserve">إذا ارتضع أحد الزوجين من جدّة الآخر فسد نكاحهما و لم يكن تجديده، سواء كانت الجدّة لهما أو لأحدهما للأبوين أو لأحدهما، لأنّ المرتضع إن كان هو الزوج فإمّا عمّ للزوجة و إمّا خال، و إن كانت الزوجة فإمّا عمّة أو خالة، لأنّ ولد الجدّة لا يخرجون عن ذلك، و لو أرضعت أحدهما أمّ الآخر صار المرتضع </w:t>
      </w:r>
      <w:r>
        <w:rPr>
          <w:rStyle w:val="FootnoteAnchor"/>
          <w:rtl w:val="true"/>
        </w:rPr>
        <w:footnoteReference w:id="491"/>
      </w:r>
      <w:r>
        <w:rPr>
          <w:rFonts w:ascii="Amiri" w:hAnsi="Amiri" w:eastAsia="Amiri" w:cs="Amiri"/>
          <w:color w:val="111111"/>
          <w:sz w:val="28"/>
          <w:sz w:val="28"/>
          <w:szCs w:val="28"/>
          <w:rtl w:val="true"/>
          <w:lang w:bidi="ar-SA"/>
        </w:rPr>
        <w:t>ابن أخت أو أبنت أخت، و لو أرضعت أحدهما أبنت أخت الآخر أو أخيه صار المرتضع من نوافل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فرضت الأمّ أو الأخت أو ابنتي الأخ و الأخت رضاعيته اشترط في امتناع الحلّ اتحاد الفحل، و لو أرضعت بنت أحدهما أو إحدى نوافله الآخر صار المرتضع نافلة للآخر و لو ارتضع أحدهما من زوجة ابن الآخر أو أبيه صار المرتضع في الأوّل ولدا و في الثاني أخا، و يشترط كون اللبن للإبن و الأب لتحصيل البنوّة في الأوّل و الاخوّة في الثاني، و لكلّ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 التحريم إن زوج رضع درّ من الأخر ولده منع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قانون كلّي لتحريم الزوجين بارتضاع أحدهما من ذوي الآخر، و هو أنّ الزوج إذا ارتضع من لبن من لا يحلّ للزوجة نكاح ولده من أقاربها حرم عليها فتحرم هي أيضا،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التحريم من الجانبين، و كذا الزوجة إذا ارتضعت من لبن من لا يحلّ للزوج النكاح في ولده حرمت عليه فيحرم هو عليها أيضا و هو واضح</w:t>
      </w:r>
      <w:r>
        <w:rPr>
          <w:rFonts w:eastAsia="Amiri" w:cs="Amiri" w:ascii="Amiri" w:hAnsi="Amiri"/>
          <w:color w:val="111111"/>
          <w:sz w:val="28"/>
          <w:szCs w:val="28"/>
          <w:rtl w:val="true"/>
          <w:lang w:bidi="ar-SA"/>
        </w:rPr>
        <w:t>.</w:t>
      </w:r>
      <w:bookmarkStart w:id="115" w:name="pg2480_16458"/>
    </w:p>
    <w:p>
      <w:pPr>
        <w:pStyle w:val="Heading3"/>
        <w:numPr>
          <w:ilvl w:val="2"/>
          <w:numId w:val="1"/>
        </w:numPr>
        <w:rPr/>
      </w:pPr>
      <w:bookmarkStart w:id="116" w:name="__RefHeading___Toc3755595_3804643083"/>
      <w:bookmarkStart w:id="117" w:name="_Toc42"/>
      <w:bookmarkEnd w:id="115"/>
      <w:bookmarkEnd w:id="116"/>
      <w:r>
        <w:rPr>
          <w:rtl w:val="true"/>
        </w:rPr>
        <w:t>في رضاع بعض الأزواج من بعض و فيه مسائل</w:t>
      </w:r>
      <w:r>
        <w:rPr>
          <w:rtl w:val="true"/>
        </w:rPr>
        <w:t>:</w:t>
      </w:r>
      <w:bookmarkEnd w:id="117"/>
    </w:p>
    <w:p>
      <w:pPr>
        <w:pStyle w:val="BookText"/>
        <w:rPr/>
      </w:pPr>
      <w:r>
        <w:rPr>
          <w:rFonts w:ascii="Amiri" w:hAnsi="Amiri" w:eastAsia="Amiri" w:cs="Amiri"/>
          <w:color w:val="111111"/>
          <w:sz w:val="28"/>
          <w:sz w:val="28"/>
          <w:szCs w:val="28"/>
          <w:rtl w:val="true"/>
          <w:lang w:bidi="ar-SA"/>
        </w:rPr>
        <w:t>إرضاع إحدى الزوجتين الأخرى محرّم قبل الدخول الكبرى</w:t>
      </w:r>
    </w:p>
    <w:p>
      <w:pPr>
        <w:pStyle w:val="BookText"/>
        <w:rPr/>
      </w:pPr>
      <w:r>
        <w:rPr>
          <w:rFonts w:ascii="Amiri" w:hAnsi="Amiri" w:eastAsia="Amiri" w:cs="Amiri"/>
          <w:color w:val="111111"/>
          <w:sz w:val="28"/>
          <w:sz w:val="28"/>
          <w:szCs w:val="28"/>
          <w:rtl w:val="true"/>
          <w:lang w:bidi="ar-SA"/>
        </w:rPr>
        <w:t>و بعده كليهما و الصغرى تأخذ نصف مهرها أو مهرا</w:t>
      </w:r>
    </w:p>
    <w:p>
      <w:pPr>
        <w:pStyle w:val="BookText"/>
        <w:rPr/>
      </w:pPr>
      <w:r>
        <w:rPr>
          <w:rFonts w:ascii="Amiri" w:hAnsi="Amiri" w:eastAsia="Amiri" w:cs="Amiri"/>
          <w:color w:val="111111"/>
          <w:sz w:val="28"/>
          <w:sz w:val="28"/>
          <w:szCs w:val="28"/>
          <w:rtl w:val="true"/>
          <w:lang w:bidi="ar-SA"/>
        </w:rPr>
        <w:t xml:space="preserve">إذا كان للرجل زوجتان إحداهما صغيرة فأرضعتها الكبرى صارا امّا و بنتا، و حينئذ فلا ريب في انفساخ عقدهما معا سواء كان الرضاع قبل الدخول أو بعده، و هو إجماع كما في الإيضاح </w:t>
      </w:r>
      <w:r>
        <w:rPr>
          <w:rStyle w:val="FootnoteAnchor"/>
          <w:rtl w:val="true"/>
        </w:rPr>
        <w:footnoteReference w:id="492"/>
      </w:r>
      <w:r>
        <w:rPr>
          <w:rFonts w:ascii="Amiri" w:hAnsi="Amiri" w:eastAsia="Amiri" w:cs="Amiri"/>
          <w:color w:val="111111"/>
          <w:sz w:val="28"/>
          <w:sz w:val="28"/>
          <w:szCs w:val="28"/>
          <w:rtl w:val="true"/>
          <w:lang w:bidi="ar-SA"/>
        </w:rPr>
        <w:t>لأنّ الرضاع قد سبّب كونهما امّا و بنتا، و كونهما كذلك يمنع من الجمع بينهما، فامتناع الجمع متأخّر عن السببين معا، لما للعلّة من التقدّم الذاتي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التحريم فإن كان الرضاع بعد الدخول حرمتا معا بلا إشكال، لأنّ الدخول ممّا يحرّم كلّا من أمّ الزوجة و بنتها جمعا و انفرادا، فلا يمكن تجديد العقد، و إن كان قبله فلا ريب في جواز التجديد على الصغيرة، لأنّ بنت الزوجة إنّما تحرم بالدخول بالأمّ، و أمّا الكبرى فيأتي فيها ما في أمّ الزوجة قبل الدخول بها من الخلاف، غير أنّ الأصحاب قد أطلقوا هنا القول بالتحريم و لم ينقلوا خلافا، بل قال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بالكبيرة حرمتا مؤبّدا إذا لم يكن الرضاع من لبنه فإنّه إذا كان من لبنه حرمتا مؤبّدا، و إن لم يدخل و لا خلاف في ذلك كلّه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لتصحيح الجمع بين الإرضاع بلبنه و كونه قبل الدخول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w:t>
      </w:r>
    </w:p>
    <w:p>
      <w:pPr>
        <w:pStyle w:val="BookText"/>
        <w:rPr/>
      </w:pPr>
      <w:r>
        <w:rPr>
          <w:rFonts w:ascii="Amiri" w:hAnsi="Amiri" w:eastAsia="Amiri" w:cs="Amiri"/>
          <w:color w:val="111111"/>
          <w:sz w:val="28"/>
          <w:sz w:val="28"/>
          <w:szCs w:val="28"/>
          <w:rtl w:val="true"/>
          <w:lang w:bidi="ar-SA"/>
        </w:rPr>
        <w:t>اللبن عن شبهة عند من لا ينشر بها، و ثانيهما كون اللبن و الولادة عن مجرّد المسيس في الخارج من دون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في هذا الباب صحيحة الحلبي و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جارية صغيرة فأرضعتها امرأته أو أمّ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عليه</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 رواية ابن سنان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صغيرة فأرضعتها امرأته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و رواها الكليني </w:t>
      </w:r>
      <w:r>
        <w:rPr>
          <w:rStyle w:val="FootnoteAnchor"/>
          <w:rtl w:val="true"/>
        </w:rPr>
        <w:footnoteReference w:id="495"/>
      </w:r>
      <w:r>
        <w:rPr>
          <w:rFonts w:ascii="Amiri" w:hAnsi="Amiri" w:eastAsia="Amiri" w:cs="Amiri"/>
          <w:color w:val="111111"/>
          <w:sz w:val="28"/>
          <w:sz w:val="28"/>
          <w:szCs w:val="28"/>
          <w:rtl w:val="true"/>
          <w:lang w:bidi="ar-SA"/>
        </w:rPr>
        <w:t>في الصحيح إلّا أنّ فيه بدل صغيرة رضيعا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فرضه بين ثلاث ذو صور في أربع منها مجال للنظر</w:t>
      </w:r>
    </w:p>
    <w:p>
      <w:pPr>
        <w:pStyle w:val="BookText"/>
        <w:rPr/>
      </w:pPr>
      <w:r>
        <w:rPr>
          <w:rFonts w:ascii="Amiri" w:hAnsi="Amiri" w:eastAsia="Amiri" w:cs="Amiri"/>
          <w:color w:val="111111"/>
          <w:sz w:val="28"/>
          <w:sz w:val="28"/>
          <w:szCs w:val="28"/>
          <w:rtl w:val="true"/>
          <w:lang w:bidi="ar-SA"/>
        </w:rPr>
        <w:t>من أنّ أقسام التعاقب انحلت عن أمّ أو بنت لزوجة خلت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له زوجات فأرضعت الصغرى الكبريان، فلا كلام في تحريم المرضعة الأولى و الصغيرة مع الدخول بإحداهما، و حكى في الإيضاح الإجماع عليه </w:t>
      </w:r>
      <w:r>
        <w:rPr>
          <w:rStyle w:val="FootnoteAnchor"/>
          <w:rtl w:val="true"/>
        </w:rPr>
        <w:footnoteReference w:id="496"/>
      </w:r>
      <w:r>
        <w:rPr>
          <w:rFonts w:ascii="Amiri" w:hAnsi="Amiri" w:eastAsia="Amiri" w:cs="Amiri"/>
          <w:color w:val="111111"/>
          <w:sz w:val="28"/>
          <w:sz w:val="28"/>
          <w:szCs w:val="28"/>
          <w:rtl w:val="true"/>
          <w:lang w:bidi="ar-SA"/>
        </w:rPr>
        <w:t xml:space="preserve">، و إنّما الكلام في تحريم المرضعة الثانية، و به قال ابن إدريس </w:t>
      </w:r>
      <w:r>
        <w:rPr>
          <w:rStyle w:val="FootnoteAnchor"/>
          <w:rtl w:val="true"/>
        </w:rPr>
        <w:footnoteReference w:id="497"/>
      </w:r>
      <w:r>
        <w:rPr>
          <w:rFonts w:ascii="Amiri" w:hAnsi="Amiri" w:eastAsia="Amiri" w:cs="Amiri"/>
          <w:color w:val="111111"/>
          <w:sz w:val="28"/>
          <w:sz w:val="28"/>
          <w:szCs w:val="28"/>
          <w:rtl w:val="true"/>
          <w:lang w:bidi="ar-SA"/>
        </w:rPr>
        <w:t xml:space="preserve">و العلّامة </w:t>
      </w:r>
      <w:r>
        <w:rPr>
          <w:rStyle w:val="FootnoteAnchor"/>
          <w:rtl w:val="true"/>
        </w:rPr>
        <w:footnoteReference w:id="498"/>
      </w:r>
      <w:r>
        <w:rPr>
          <w:rFonts w:ascii="Amiri" w:hAnsi="Amiri" w:eastAsia="Amiri" w:cs="Amiri"/>
          <w:color w:val="111111"/>
          <w:sz w:val="28"/>
          <w:sz w:val="28"/>
          <w:szCs w:val="28"/>
          <w:rtl w:val="true"/>
          <w:lang w:bidi="ar-SA"/>
        </w:rPr>
        <w:t xml:space="preserve">و المحقّق </w:t>
      </w:r>
      <w:r>
        <w:rPr>
          <w:rStyle w:val="FootnoteAnchor"/>
          <w:rtl w:val="true"/>
        </w:rPr>
        <w:footnoteReference w:id="499"/>
      </w:r>
      <w:r>
        <w:rPr>
          <w:rFonts w:ascii="Amiri" w:hAnsi="Amiri" w:eastAsia="Amiri" w:cs="Amiri"/>
          <w:color w:val="111111"/>
          <w:sz w:val="28"/>
          <w:sz w:val="28"/>
          <w:szCs w:val="28"/>
          <w:rtl w:val="true"/>
          <w:lang w:bidi="ar-SA"/>
        </w:rPr>
        <w:t>و جماعة و هو</w:t>
      </w:r>
    </w:p>
    <w:p>
      <w:pPr>
        <w:pStyle w:val="BookText"/>
        <w:rPr/>
      </w:pPr>
      <w:r>
        <w:rPr>
          <w:rFonts w:ascii="IRNazanin" w:hAnsi="IRNazanin" w:eastAsia="IRNazanin"/>
          <w:color w:val="111111"/>
          <w:sz w:val="28"/>
          <w:sz w:val="28"/>
          <w:szCs w:val="28"/>
          <w:rtl w:val="true"/>
          <w:lang w:bidi="fa-IR"/>
        </w:rPr>
        <w:t xml:space="preserve">ظاهر الفخر </w:t>
      </w:r>
      <w:r>
        <w:rPr>
          <w:rStyle w:val="FootnoteAnchor"/>
          <w:rtl w:val="true"/>
        </w:rPr>
        <w:footnoteReference w:id="500"/>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501"/>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502"/>
      </w:r>
      <w:r>
        <w:rPr>
          <w:rFonts w:ascii="Amiri" w:hAnsi="Amiri" w:eastAsia="Amiri" w:cs="Amiri"/>
          <w:color w:val="111111"/>
          <w:sz w:val="28"/>
          <w:sz w:val="28"/>
          <w:szCs w:val="28"/>
          <w:rtl w:val="true"/>
          <w:lang w:bidi="ar-SA"/>
        </w:rPr>
        <w:t xml:space="preserve">، و قد يحكى عن المبسوط </w:t>
      </w:r>
      <w:r>
        <w:rPr>
          <w:rStyle w:val="FootnoteAnchor"/>
          <w:rtl w:val="true"/>
        </w:rPr>
        <w:footnoteReference w:id="503"/>
      </w:r>
      <w:r>
        <w:rPr>
          <w:rFonts w:ascii="Amiri" w:hAnsi="Amiri" w:eastAsia="Amiri" w:cs="Amiri"/>
          <w:color w:val="111111"/>
          <w:sz w:val="28"/>
          <w:sz w:val="28"/>
          <w:szCs w:val="28"/>
          <w:rtl w:val="true"/>
          <w:lang w:bidi="ar-SA"/>
        </w:rPr>
        <w:t>أيضا نظرا إلى مساواة الرضاع للنسب، و هو يحرم سابقا و لا حقا، فكذا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أنّها أمّ من كانت زوجته، و من كانت زوجة فاسم الزوجة صادق عليها، إذ لا يشترط في المشتقّ بقاء المبدء، فتندرج في عموم وَ أُمَّهٰاتُ نِسٰائِكُمْ </w:t>
      </w:r>
      <w:r>
        <w:rPr>
          <w:rStyle w:val="FootnoteAnchor"/>
          <w:rtl w:val="true"/>
        </w:rPr>
        <w:footnoteReference w:id="504"/>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من كانت زوجته أمّ زوجة، إذ لا يشترط في صدق المشتقّ بقاء المبدء، و قال ابن الجنيد </w:t>
      </w:r>
      <w:r>
        <w:rPr>
          <w:rStyle w:val="FootnoteAnchor"/>
          <w:rtl w:val="true"/>
        </w:rPr>
        <w:footnoteReference w:id="505"/>
      </w:r>
      <w:r>
        <w:rPr>
          <w:rFonts w:ascii="Amiri" w:hAnsi="Amiri" w:eastAsia="Amiri" w:cs="Amiri"/>
          <w:color w:val="111111"/>
          <w:sz w:val="28"/>
          <w:sz w:val="28"/>
          <w:szCs w:val="28"/>
          <w:rtl w:val="true"/>
          <w:lang w:bidi="ar-SA"/>
        </w:rPr>
        <w:t xml:space="preserve">و الشيخ في النهاية </w:t>
      </w:r>
      <w:r>
        <w:rPr>
          <w:rStyle w:val="FootnoteAnchor"/>
          <w:rtl w:val="true"/>
        </w:rPr>
        <w:footnoteReference w:id="506"/>
      </w:r>
      <w:r>
        <w:rPr>
          <w:rFonts w:ascii="Amiri" w:hAnsi="Amiri" w:eastAsia="Amiri" w:cs="Amiri"/>
          <w:color w:val="111111"/>
          <w:sz w:val="28"/>
          <w:sz w:val="28"/>
          <w:szCs w:val="28"/>
          <w:rtl w:val="true"/>
          <w:lang w:bidi="ar-SA"/>
        </w:rPr>
        <w:t>بعدم التحريم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ظاهر الكليني لما روى عليّ بن مهزيار عن أبي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اخرى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 امرأتاه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عليهما السّلام أخطأ ابن شبرمة، حرمت عليه الجارية و امرأته الّتي أرضعتها أوّلا، فأمّا الأخيرة لم تحرم </w:t>
      </w:r>
      <w:r>
        <w:rPr>
          <w:rStyle w:val="FootnoteAnchor"/>
          <w:rtl w:val="true"/>
        </w:rPr>
        <w:footnoteReference w:id="507"/>
      </w:r>
      <w:r>
        <w:rPr>
          <w:rFonts w:ascii="Amiri" w:hAnsi="Amiri" w:eastAsia="Amiri" w:cs="Amiri"/>
          <w:color w:val="111111"/>
          <w:sz w:val="28"/>
          <w:sz w:val="28"/>
          <w:szCs w:val="28"/>
          <w:rtl w:val="true"/>
          <w:lang w:bidi="ar-SA"/>
        </w:rPr>
        <w:t>عليه لأنّها أرضعت ابنته</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 ردّها الأوّلون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فنقول إذا فرض الرضاع السابق ذكره في الزوجتين بين ثلاث، فله صور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إمّا أن يفرضن كبيرتين و صغيرة أو صغيرتين و كبيرة، و في كلّ من الصورتين إمّا أن يقع الرضاع قبل الدخول أو بعده، و في الثانية إمّا أن ترضعهما معا أو على التعاقب، فأقسام التعاقب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بقسيميها و قسمان من الصورة الثانية، و الحكم فيما ذكر من الصور إنّ الكبيرتين إذا أرضعتا الصغيرة، فإن كان قبل الدخول حرمت المرضعة الأولى و انفسخت الصغرى و جاز له نكاحها ثانيا، و إن كان بعد الدخول حرمت الكبرى الأولى و الصغرى، و تكون المرضعة الثانية في كلا القسمين أمّ من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الصغريان فان رضعتا معا بأن ألقمت كلّ في الرضعة الأخيرة ثديا و رويا منهما معا، فإن كان قبل الدخول حرمت الكبيرة و انفسخ نكاحهما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صيرورتهما بنتي زوجة و أختين، و جاز تجديد نكاحهما على البدل لا جمعا، و إن كان بعد الدخول حرمن جمع </w:t>
      </w:r>
      <w:r>
        <w:rPr>
          <w:rStyle w:val="FootnoteAnchor"/>
          <w:rtl w:val="true"/>
        </w:rPr>
        <w:footnoteReference w:id="509"/>
      </w:r>
      <w:r>
        <w:rPr>
          <w:rFonts w:ascii="Amiri" w:hAnsi="Amiri" w:eastAsia="Amiri" w:cs="Amiri"/>
          <w:color w:val="111111"/>
          <w:sz w:val="28"/>
          <w:sz w:val="28"/>
          <w:szCs w:val="28"/>
          <w:rtl w:val="true"/>
          <w:lang w:bidi="ar-SA"/>
        </w:rPr>
        <w:t>، و إن رضعتا متعاقبتين أي واحدة بعد أخرى فإن كان قبل الدخول حرمت الكبرى و انفسخت الأولى و إن كان بعده حرم الأوليان، و تكون المرضعة الثانية في كلا القسمين بنت من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النظر القسمان الأوّلان و الأخيران، و منشئه من الرواية المذكورة و من كونها مع ضعف السند و إعراض الأكثرين عنها و جواز كونها من قضايا الأحوال لا تقوي لتخصيص الأصول، و اللّه أعلم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زوجتي </w:t>
      </w:r>
      <w:r>
        <w:rPr>
          <w:rStyle w:val="FootnoteAnchor"/>
          <w:rtl w:val="true"/>
        </w:rPr>
        <w:footnoteReference w:id="510"/>
      </w:r>
      <w:r>
        <w:rPr>
          <w:rFonts w:ascii="Amiri" w:hAnsi="Amiri" w:eastAsia="Amiri" w:cs="Amiri"/>
          <w:color w:val="111111"/>
          <w:sz w:val="28"/>
          <w:sz w:val="28"/>
          <w:szCs w:val="28"/>
          <w:rtl w:val="true"/>
          <w:lang w:bidi="ar-SA"/>
        </w:rPr>
        <w:t>زيد بشير نكحا أو زوجة الآخر كلّ انكحا</w:t>
      </w:r>
    </w:p>
    <w:p>
      <w:pPr>
        <w:pStyle w:val="BookText"/>
        <w:rPr/>
      </w:pPr>
      <w:r>
        <w:rPr>
          <w:rFonts w:ascii="Amiri" w:hAnsi="Amiri" w:eastAsia="Amiri" w:cs="Amiri"/>
          <w:color w:val="111111"/>
          <w:sz w:val="28"/>
          <w:sz w:val="28"/>
          <w:szCs w:val="28"/>
          <w:rtl w:val="true"/>
          <w:lang w:bidi="ar-SA"/>
        </w:rPr>
        <w:t xml:space="preserve">فأرضعت صغيرهما كبيرهما </w:t>
      </w:r>
      <w:r>
        <w:rPr>
          <w:rStyle w:val="FootnoteAnchor"/>
          <w:rtl w:val="true"/>
        </w:rPr>
        <w:footnoteReference w:id="511"/>
      </w:r>
      <w:r>
        <w:rPr>
          <w:rFonts w:ascii="Amiri" w:hAnsi="Amiri" w:eastAsia="Amiri" w:cs="Amiri"/>
          <w:color w:val="111111"/>
          <w:sz w:val="28"/>
          <w:sz w:val="28"/>
          <w:szCs w:val="28"/>
          <w:rtl w:val="true"/>
          <w:lang w:bidi="ar-SA"/>
        </w:rPr>
        <w:t xml:space="preserve">يحرم عليهم مطلقا كبيريهما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تحرم الصغرى على من رخلا على تردّد بنحو ما خلا</w:t>
      </w:r>
    </w:p>
    <w:p>
      <w:pPr>
        <w:pStyle w:val="BookText"/>
        <w:rPr/>
      </w:pPr>
      <w:r>
        <w:rPr>
          <w:rFonts w:ascii="Amiri" w:hAnsi="Amiri" w:eastAsia="Amiri" w:cs="Amiri"/>
          <w:color w:val="111111"/>
          <w:sz w:val="28"/>
          <w:sz w:val="28"/>
          <w:szCs w:val="28"/>
          <w:rtl w:val="true"/>
          <w:lang w:bidi="ar-SA"/>
        </w:rPr>
        <w:t xml:space="preserve">إذا فارق زيد زوجية </w:t>
      </w:r>
      <w:r>
        <w:rPr>
          <w:rStyle w:val="FootnoteAnchor"/>
          <w:rtl w:val="true"/>
        </w:rPr>
        <w:footnoteReference w:id="513"/>
      </w:r>
      <w:r>
        <w:rPr>
          <w:rFonts w:ascii="Amiri" w:hAnsi="Amiri" w:eastAsia="Amiri" w:cs="Amiri"/>
          <w:color w:val="111111"/>
          <w:sz w:val="28"/>
          <w:sz w:val="28"/>
          <w:szCs w:val="28"/>
          <w:rtl w:val="true"/>
          <w:lang w:bidi="ar-SA"/>
        </w:rPr>
        <w:t xml:space="preserve">الكبرى و الصغرى فنكحهما بشير أو تزوّج كلّ من زيد و بشير زوجة الآخر ثمّ أرضعت إحدى الزوجتين الأخرى حرمت الكبرى عليهما لأنّها </w:t>
      </w:r>
      <w:r>
        <w:rPr>
          <w:rStyle w:val="FootnoteAnchor"/>
          <w:rtl w:val="true"/>
        </w:rPr>
        <w:footnoteReference w:id="514"/>
      </w:r>
      <w:r>
        <w:rPr>
          <w:rFonts w:ascii="Amiri" w:hAnsi="Amiri" w:eastAsia="Amiri" w:cs="Amiri"/>
          <w:color w:val="111111"/>
          <w:sz w:val="28"/>
          <w:sz w:val="28"/>
          <w:szCs w:val="28"/>
          <w:rtl w:val="true"/>
          <w:lang w:bidi="ar-SA"/>
        </w:rPr>
        <w:t xml:space="preserve">حينئذ أمّ زوجة، و أمّا الصغرى فلا تحرم إلّا على من دخل بالكبرى </w:t>
      </w:r>
      <w:r>
        <w:rPr>
          <w:rStyle w:val="FootnoteAnchor"/>
          <w:rtl w:val="true"/>
        </w:rPr>
        <w:footnoteReference w:id="515"/>
      </w:r>
      <w:r>
        <w:rPr>
          <w:rFonts w:ascii="Amiri" w:hAnsi="Amiri" w:eastAsia="Amiri" w:cs="Amiri"/>
          <w:color w:val="111111"/>
          <w:sz w:val="28"/>
          <w:sz w:val="28"/>
          <w:szCs w:val="28"/>
          <w:rtl w:val="true"/>
          <w:lang w:bidi="ar-SA"/>
        </w:rPr>
        <w:t xml:space="preserve">منهما، و وجه التردّد قد علم ممّا تقدّم، لأنّ الزوجتين في الصورتين أمّا أمّ أو بنت لمن كانت </w:t>
      </w:r>
      <w:r>
        <w:rPr>
          <w:rStyle w:val="FootnoteAnchor"/>
          <w:rtl w:val="true"/>
        </w:rPr>
        <w:footnoteReference w:id="516"/>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مرضع لزوجها تمنع من قد أرضعت و من له كان اللّبن</w:t>
      </w:r>
    </w:p>
    <w:p>
      <w:pPr>
        <w:pStyle w:val="BookText"/>
        <w:rPr/>
      </w:pPr>
      <w:r>
        <w:rPr>
          <w:rFonts w:ascii="Amiri" w:hAnsi="Amiri" w:eastAsia="Amiri" w:cs="Amiri"/>
          <w:color w:val="111111"/>
          <w:sz w:val="28"/>
          <w:sz w:val="28"/>
          <w:szCs w:val="28"/>
          <w:rtl w:val="true"/>
          <w:lang w:bidi="ar-SA"/>
        </w:rPr>
        <w:t>لارتضاع الزوج من الزوجة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ينكحها الكبير أوّلا ثمّ يفارقها و هي حامل منه أو مرضع أو يطأها وطئ شبهة أو بملك يمين فتنكح الصغير بعد زوال المانع ثمّ ترضعه بلبن الأوّل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الثانية أن ينكحها الصغير وليّه إمّا نكاحا منقطعا أو دائما لكنّها فسخته لعيب أو عتق ثمّ تزوّجت آخر فحملت منه و أرضعت الأوّل من ذلك اللبن، و الحكم في الصورتين واحد و هو التحريم على كلّ من الزوجين لأنّها قد صارت للصغير امّا و لكبير كنّه </w:t>
      </w:r>
      <w:r>
        <w:rPr>
          <w:rStyle w:val="FootnoteAnchor"/>
          <w:rtl w:val="true"/>
        </w:rPr>
        <w:footnoteReference w:id="517"/>
      </w:r>
      <w:r>
        <w:rPr>
          <w:rFonts w:ascii="Amiri" w:hAnsi="Amiri" w:eastAsia="Amiri" w:cs="Amiri"/>
          <w:color w:val="111111"/>
          <w:sz w:val="28"/>
          <w:sz w:val="28"/>
          <w:szCs w:val="28"/>
          <w:rtl w:val="true"/>
          <w:lang w:bidi="ar-SA"/>
        </w:rPr>
        <w:t>و أمّا إذا لم يكن اللبن للكبير فلا تحرم عليه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أرضع الثلاث من ربائبه </w:t>
      </w:r>
      <w:r>
        <w:rPr>
          <w:rStyle w:val="FootnoteAnchor"/>
          <w:rtl w:val="true"/>
        </w:rPr>
        <w:footnoteReference w:id="518"/>
      </w:r>
      <w:r>
        <w:rPr>
          <w:rFonts w:ascii="IRNazanin" w:hAnsi="IRNazanin" w:eastAsia="IRNazanin"/>
          <w:color w:val="111111"/>
          <w:sz w:val="28"/>
          <w:sz w:val="28"/>
          <w:szCs w:val="28"/>
          <w:rtl w:val="true"/>
          <w:lang w:bidi="fa-IR"/>
        </w:rPr>
        <w:t xml:space="preserve">ثلثا </w:t>
      </w:r>
      <w:r>
        <w:rPr>
          <w:rStyle w:val="FootnoteAnchor"/>
          <w:rtl w:val="true"/>
        </w:rPr>
        <w:footnoteReference w:id="519"/>
      </w:r>
      <w:r>
        <w:rPr>
          <w:rFonts w:ascii="IRNazanin" w:hAnsi="IRNazanin" w:eastAsia="IRNazanin"/>
          <w:color w:val="111111"/>
          <w:sz w:val="28"/>
          <w:sz w:val="28"/>
          <w:szCs w:val="28"/>
          <w:rtl w:val="true"/>
          <w:lang w:bidi="fa-IR"/>
        </w:rPr>
        <w:t>انفسخن أو حرمن به</w:t>
      </w:r>
    </w:p>
    <w:p>
      <w:pPr>
        <w:pStyle w:val="BookText"/>
        <w:rPr/>
      </w:pPr>
      <w:r>
        <w:rPr>
          <w:rFonts w:ascii="Amiri" w:hAnsi="Amiri" w:eastAsia="Amiri" w:cs="Amiri"/>
          <w:color w:val="111111"/>
          <w:sz w:val="28"/>
          <w:sz w:val="28"/>
          <w:szCs w:val="28"/>
          <w:rtl w:val="true"/>
          <w:lang w:bidi="ar-SA"/>
        </w:rPr>
        <w:t>يحرمن عينا إن دخول اتّفق و قبله جمعا إن الفحل اتّفق</w:t>
      </w:r>
    </w:p>
    <w:p>
      <w:pPr>
        <w:pStyle w:val="BookText"/>
        <w:rPr/>
      </w:pPr>
      <w:r>
        <w:rPr>
          <w:rFonts w:ascii="IRNazanin" w:hAnsi="IRNazanin" w:eastAsia="IRNazanin"/>
          <w:color w:val="111111"/>
          <w:sz w:val="28"/>
          <w:sz w:val="28"/>
          <w:szCs w:val="28"/>
          <w:rtl w:val="true"/>
          <w:lang w:bidi="fa-IR"/>
        </w:rPr>
        <w:t>بعد انفساخ عقدهنّ جمعا مرتبات ارتضعن أو معا</w:t>
      </w:r>
    </w:p>
    <w:p>
      <w:pPr>
        <w:pStyle w:val="BookText"/>
        <w:rPr/>
      </w:pPr>
      <w:r>
        <w:rPr>
          <w:rFonts w:ascii="Amiri" w:hAnsi="Amiri" w:eastAsia="Amiri" w:cs="Amiri"/>
          <w:color w:val="111111"/>
          <w:sz w:val="28"/>
          <w:sz w:val="28"/>
          <w:szCs w:val="28"/>
          <w:rtl w:val="true"/>
          <w:lang w:bidi="ar-SA"/>
        </w:rPr>
        <w:t>و في انتفاء الأمرين و المعاقبة ما في سوى الأولى لفسخ شائبة</w:t>
      </w:r>
    </w:p>
    <w:p>
      <w:pPr>
        <w:pStyle w:val="BookText"/>
        <w:rPr/>
      </w:pPr>
      <w:r>
        <w:rPr>
          <w:rFonts w:ascii="Amiri" w:hAnsi="Amiri" w:eastAsia="Amiri" w:cs="Amiri"/>
          <w:color w:val="111111"/>
          <w:sz w:val="28"/>
          <w:sz w:val="28"/>
          <w:szCs w:val="28"/>
          <w:rtl w:val="true"/>
          <w:lang w:bidi="ar-SA"/>
        </w:rPr>
        <w:t xml:space="preserve">لو كان له زوجة كبيرة و ثلاث صغار </w:t>
      </w:r>
      <w:r>
        <w:rPr>
          <w:rStyle w:val="FootnoteAnchor"/>
          <w:rtl w:val="true"/>
        </w:rPr>
        <w:footnoteReference w:id="520"/>
      </w:r>
      <w:r>
        <w:rPr>
          <w:rFonts w:ascii="Amiri" w:hAnsi="Amiri" w:eastAsia="Amiri" w:cs="Amiri"/>
          <w:color w:val="111111"/>
          <w:sz w:val="28"/>
          <w:sz w:val="28"/>
          <w:szCs w:val="28"/>
          <w:rtl w:val="true"/>
          <w:lang w:bidi="ar-SA"/>
        </w:rPr>
        <w:t xml:space="preserve">و للكبيرة ثلاث بنات مراضع، فارضعن زوجاته لم يكن بدّ من وقوع فسخ في نكاحهنّ أو تحريم مؤبّد، فإن دخل بالكبيرة حرم الثلاث جمعا و انفرادا، ترتّبن في رضاعهنّ أو اجتمعن و اختلف الفحل أو اتّحد، لأنّهنّ حينئذ بنات </w:t>
      </w:r>
      <w:r>
        <w:rPr>
          <w:rStyle w:val="FootnoteAnchor"/>
          <w:rtl w:val="true"/>
        </w:rPr>
        <w:footnoteReference w:id="521"/>
      </w:r>
      <w:r>
        <w:rPr>
          <w:rFonts w:ascii="Amiri" w:hAnsi="Amiri" w:eastAsia="Amiri" w:cs="Amiri"/>
          <w:color w:val="111111"/>
          <w:sz w:val="28"/>
          <w:sz w:val="28"/>
          <w:szCs w:val="28"/>
          <w:rtl w:val="true"/>
          <w:lang w:bidi="ar-SA"/>
        </w:rPr>
        <w:t>، بنات لزوجة مدخول بها، و إن لم يدخل بالكبيرة حرمت هي، و أمّا البواقي فإن كان لبن المرضعات أو اثنتين منهنّ لفحل و كان ارتضاع الصغريات أو اثنتان منهنّ من اللبن الواحد دفعة، بان روين من الرضعة الأخيرة دفعة انفسخن، و لم يجز تجديد نكاحهنّ جمعا، بل انفرادا، لأنهنّ أخوات، و يتصوّر اتفاق الفحل فيما لو نكح الربابيب رجل واحد مترتّبات، أو كان اللبن عن شبهة، و أمّا مع التعاقب في الارتضاع فلا ريب في انفساخ الأولى، و لا في عدم انفساخ الثانية إن لم ترضع الثالثة، و فيما لو ارتضعت الثالثة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انفساخ الثالثة فقط، لانّ الجمع بين الأختين قد تمّ بها فيكون كما لو تزوّج أخت زوجته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انفساخهما معا لأنّ الأختيّة أمر مانع من الصحّة، و قد طرى على النكاحين</w:t>
      </w:r>
    </w:p>
    <w:p>
      <w:pPr>
        <w:pStyle w:val="BookText"/>
        <w:rPr/>
      </w:pPr>
      <w:r>
        <w:rPr>
          <w:rFonts w:ascii="Amiri" w:hAnsi="Amiri" w:eastAsia="Amiri" w:cs="Amiri"/>
          <w:color w:val="111111"/>
          <w:sz w:val="28"/>
          <w:sz w:val="28"/>
          <w:szCs w:val="28"/>
          <w:rtl w:val="true"/>
          <w:lang w:bidi="ar-SA"/>
        </w:rPr>
        <w:t>معا، فلا أولويّة لأحدهما، كما لو ارتضعتا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الأوّل ظاهر لأنّ الجمع قد تمّ بين الأخيرتين بحدوث الأختيّة و بين الزوجة و أختها بالعقد على أختها، و الأختيّة مانع مسبوق بالمقتضى و العقد مقتض مسبوق بالمانع، فالفرق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اختلاف الفحل، فإن ارتضعن دفعة انفسخن جميعا تخلّصا من الجمع بينهنّ و بين الجدّة، و جاز التجديد عليهنّ جمعا و انفرادا، لأنهنّ بنات خالات، و إن ارتضعن متعاقبات انفسخت الأولى دون الأخيرتين لعدم الباعث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زوجتا امرء إحداهما قد أرضعت من أبوي أخراهما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مثله الرضاع من أولادها لا من أخ أو أخت أو أجدادها</w:t>
      </w:r>
    </w:p>
    <w:p>
      <w:pPr>
        <w:pStyle w:val="BookText"/>
        <w:rPr/>
      </w:pPr>
      <w:r>
        <w:rPr>
          <w:rFonts w:ascii="Amiri" w:hAnsi="Amiri" w:eastAsia="Amiri" w:cs="Amiri"/>
          <w:color w:val="111111"/>
          <w:sz w:val="28"/>
          <w:sz w:val="28"/>
          <w:szCs w:val="28"/>
          <w:rtl w:val="true"/>
          <w:lang w:bidi="ar-SA"/>
        </w:rPr>
        <w:t>إذا كان له زوجتان صغرى و كبرى، فارتضعت الأولى من أمّ الأخرى أو من أبيها، بان أرضعتها أحد أزواجه أو من في حكمها بلبنه انفسخ نكاح الزوجتين معا، لصيرورتهما أختين، و جاز له تجديد نكاحهما على البدل لا جمعا، و مثله ما لو ارتضعت من أولاد الكبرى، بأن أرضعتها بنت الكبرى أو أحد أزواج بنتها من لبنه، فإنّ الزوجتين تبينان معا أيضا لصيرورة الصغرى نافلة، فلا يجمع بينهما و بين الجدّة، و في هذه الصورة تحرم الكبرى لصيرورتها أمّ زوجة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الصغرى فان كان دخل بالكبرى حرمت أيضا لكونها بنت من دخل بها، و إلّا جاز له تجديد العقد ثانيا، و لو ارتضعت الصغرى من أخت الكبرى أو أرضعتها زوجة لأخيها بلبنه صارت في الأوّل بنت أخت و في الثاني بنت أخ، و لو ارتضعت </w:t>
      </w:r>
      <w:r>
        <w:rPr>
          <w:rStyle w:val="FootnoteAnchor"/>
          <w:rtl w:val="true"/>
        </w:rPr>
        <w:footnoteReference w:id="523"/>
      </w:r>
      <w:r>
        <w:rPr>
          <w:rFonts w:ascii="Amiri" w:hAnsi="Amiri" w:eastAsia="Amiri" w:cs="Amiri"/>
          <w:color w:val="111111"/>
          <w:sz w:val="28"/>
          <w:sz w:val="28"/>
          <w:szCs w:val="28"/>
          <w:rtl w:val="true"/>
          <w:lang w:bidi="ar-SA"/>
        </w:rPr>
        <w:t>من جدّة الكبرى أو أرضعتها زوجة لجدّها، فان كان الجدّ أو الجدّة للأمّ فالصغيرة خالة و إن كانا</w:t>
      </w:r>
    </w:p>
    <w:p>
      <w:pPr>
        <w:pStyle w:val="BookText"/>
        <w:rPr/>
      </w:pPr>
      <w:r>
        <w:rPr>
          <w:rFonts w:ascii="Amiri" w:hAnsi="Amiri" w:eastAsia="Amiri" w:cs="Amiri"/>
          <w:color w:val="111111"/>
          <w:sz w:val="28"/>
          <w:sz w:val="28"/>
          <w:szCs w:val="28"/>
          <w:rtl w:val="true"/>
          <w:lang w:bidi="ar-SA"/>
        </w:rPr>
        <w:t>للأب فهي عمّة، فيلزم في بعض هذه الصور الجمع بين بنت الأخت و خالتها، و في بعض الجمع بين بنت الأخ و عمّتها، و معلوم أنّ ذلك لا يسوغ إلّا مع رضا العمّة 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كانتا قد أذنتا في الرضاع قبل وقوعه عالمتين بما يحدث من العلاقة فلا بحث و إلّا تزلزل العقدان، و وقف لزومهما على الإمضاء، و لا يحلّ للزوج وطئها </w:t>
      </w:r>
      <w:r>
        <w:rPr>
          <w:rStyle w:val="FootnoteAnchor"/>
          <w:rtl w:val="true"/>
        </w:rPr>
        <w:footnoteReference w:id="524"/>
      </w:r>
      <w:r>
        <w:rPr>
          <w:rFonts w:ascii="Amiri" w:hAnsi="Amiri" w:eastAsia="Amiri" w:cs="Amiri"/>
          <w:color w:val="111111"/>
          <w:sz w:val="28"/>
          <w:sz w:val="28"/>
          <w:szCs w:val="28"/>
          <w:rtl w:val="true"/>
          <w:lang w:bidi="ar-SA"/>
        </w:rPr>
        <w:t>قبله، و يحتمل عدم التزلزل لانّ الاشتراط خلاف الأصل، و إنّما ثبت في النسبة السابقة على النكاح بدليل، فيستصحب في النسبة المتجدّدة بعدم حكم العقد إلى أن يثبت الناقل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فارتضاع الصغرى من ذوي الكبرى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يفسخ </w:t>
      </w:r>
      <w:r>
        <w:rPr>
          <w:rStyle w:val="FootnoteAnchor"/>
          <w:rtl w:val="true"/>
        </w:rPr>
        <w:footnoteReference w:id="525"/>
      </w:r>
      <w:r>
        <w:rPr>
          <w:rFonts w:ascii="Amiri" w:hAnsi="Amiri" w:eastAsia="Amiri" w:cs="Amiri"/>
          <w:color w:val="111111"/>
          <w:sz w:val="28"/>
          <w:sz w:val="28"/>
          <w:szCs w:val="28"/>
          <w:rtl w:val="true"/>
          <w:lang w:bidi="ar-SA"/>
        </w:rPr>
        <w:t>النكاح و يجوز معه تجديده بدلا و هو الارتضاع من أبوي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يفسخ النكاح و لا يجوز معه التجديد و هو الارتضاع من أولا الكبرى فإنّه يحرم الكبرى مطلقا و الصغرى إن كان دخل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يتزلزل معه النكاح على الأظهر و هو الارتضاع من اخوّة الكبرى و أجدادها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يحدث به في النكاح حدث البتة، و هو الارتضاع من أعمام الكبرى و أخوالها، و وضوح هذا القسم أغنى من التنبيه عليه في النظم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lang w:bidi="ar-SA"/>
        </w:rPr>
        <w:t>1223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 اجتماعى علماء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 اجتماعى علماء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 اجتماعى علماء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 اجتماعى علماء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تكمله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العلامة السيد شرف الدين تاريخ وفاته، ليلة الجمعة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الحرام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بوزن عقدة هي البقية من العلم تؤثر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أمل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العترة حقيقة في القطعة من المسك الخالص، و هذا المعنى هو المراد من المضاف في هذا الاسم، و حقيقة أيضا في الذريّة، و هذا هو المراد من المضاف إليه، فيكون الكتاب على مقتضى هذا الاسم، قطعة من خالص مسك ذرّية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الثاني،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العلامة في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لرضيع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أحد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تناديا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بإحداهما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النظم الأول لأنّ التأكيد بمن الزائدة بعد النفي يعطي أنّه لا محذور في صورة منه أصلا، فما في الشرح من العدول الثاني حادث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سؤال مقدر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تجويز النكاح في الخمس الى أن يوجد الخمس الأخر لشيخنا المحقق الشيخ أحمد الأحسائي سمعته منه مشافهة في ليلة جرى الكلام بيننا في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 لأنّ فتواه لا يطابق مع ما نسب اليه هنا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عمّته أو خالته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أو أخت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 الكلام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صحيحتي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التمار و جميل بن دراج و صحيحة زرارة المتقدمة،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فأدرأنى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يسع تجديده 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جواز الشرط و عدمه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يحرم بالرضاع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يحرم بالرضاع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حكى عنه المحقق الثاني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لطيفة إيهام،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النصّ على اشتراط الوضع، و 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المحقق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في بالي 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 رواية واحدة ضعيفة، لكن لا معارض لها، فيتعيّن العمل بها، فكذلك نبّه الناظم في أصل النظم على أنّه ثمّة نصوصا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الرسالة الرضاعية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السطور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القديم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الميتة لا ينشر الحرمة و لو ارتضع أكثر الرضعات حال الحياة و تمامها بعد الوفاة لم ينشر الحرمة، و به قال الشافعي و قال مالك و أبو حنيفة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لبنها بعد وفاتها كلبنها في حياتها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المعتمد 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ترى لا يوجد ادعاء الاتفاق منه على شي‌ء</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الرضاع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السطر الأخير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الرضاع المحرّم أن يكون اللبن لفحل واحد عند علمائنا أجمع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الرضاعية للمحقق المجلسي الأوّل، نسخة المخطوطة، الصفحة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مكتبة العلامة الفقيد آية اللّه 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بالفارسية 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العجب من الشيخ الطبرسي، حيث غفل عن كل ذلك، إلّا ان نحمل كلامه بأنّه كان في صدد بيان دلالة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ذلك إجماع الأصحاب، فعلى هذا قول الطبرسي لا اعتبار 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مجمع البيان طول، و الذي يظهر منه ان كلامه بين رضاع و نسب، لا بين رضاعين، فليدقق النظر في كلامه، لأنّه في بادى النظر يوهم ما نقله الجماعة عنه كالشهيدين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المعتمدة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ادعاء الإجماع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الجهالة بسبب رواية الكليني عن محمد بن إسماعيل النيشابوري، و لا توثيق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ضعف الحديث يكون من جهة وجود سهل بن زياد في سند الكليني إلى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الرجال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المحدث و الفقيه المحقق الحكيم المتأله، المولى محمد محسن الفيض الكاشاني المتوفى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صاحب التصانيف الكثيرة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امره في الفضل و الأدب و طول الباع و كثرة الاطلاع و الإحاطة بمراتب المنقول و المعقول أشهر من ان يخفى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المجمع عليه لا ريب فيه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وجوب الجمع بين الأحاديث،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أنّ في أوّل الرواية إنّهم كانوا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اللبن للفحل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عدولهم الرواية المتجددة عنه عليه السّلام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لما صدر عنه من تلك الرواية الحادثة و المتأمّل في ألفاظ الرواية لا يرتاب فيما قلنا و لا يشك في ان الرواية دليل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المصنف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الحولين بتقدير محذوف كعنيت مثلا، و لعل العدول عن الرفع إيماء الى أن الحولين ليس معنى الفطام حقيقة، و إنّما هو شي‌ء عناه عليه السّلام به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المصنف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فهم من إطلاق النظم أنّه لا فرق في انتشار الحرمة بالرضاع الواقع في الحولين و عدم الانتشار بما وقع منه بعدهما بين ان يتخلل الرضاع فطام أو لا، فلو فطمته في الحولين ثم أرضعته فيهما نشر و لو فطمته فيهما أو بعدهما ثم أرضعته بعدهما من دون سبق فطام لم ينشر، لإطلاق ما تقدم من الأدلة بل لا خلاف فيه إلّا ما يحكى عن ابن الجنيد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الأدلّة الواردة في المورد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الرضاع،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الأصحّ عندي التحريم بمجرّد العشر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الرضاعية 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مثل هذه الرواية، بل ما يوجد الملفق من رواية الوسائل و التهذيب، 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فضيل بن يسار في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صحيحة مسعدة في 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صدره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الرضاع،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الرضاعية المخطوطة بالفارسية للمجلسي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الرضاعية للمجلسي الأوّل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أن يتقيّاه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بالنشر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لم نعثر عليه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يستبعدون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المحقق المجلسي في الرسالة الرضاعية 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ان يكون متواليا، بان لا يتخلل رضعة اخرى بين الليل و النهار أو بين عشرة رضعات أو خمس عشر رضعة و لا بأس بشرب الماء أو أكل الطعام بينها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في المؤتلف من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مبسوط السرخسي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جعل التحريم بالنسبة إلى الفحل و المرأة المرضعة على السواء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الرضاعية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عدد الرضعات في كل رضعة ان يكون كاملة، بان تتحقق بمصّ الرضيع بدون أى دافع خارجي، فلو تحقق بواسطة خارجية، مثل ان يسمع الرضيع صوتا أو يشغله من يلعب معه، ففي هذه الصور لا يحاسب من العدد المقرّر، فأيّما نقص من العدد فلا يحسب من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بالنسبة إلى شدّ العظم و نبات اللحم بأي نحو يقع كاملا أو ناقصا، ينشر، كما ينشر في الرضاع الكامل خلال يوم و ليلة هكذا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ان هذا سهو من قلم المصنف بل الموجود في القواعد و التذكرة هو عكس ما نسب إليها المصنف فيقول العلامة في القواعد،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يحصل التوالي لم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يشترط عدم تخلل المأكول و المشروب بين الرضعات بل يشترط عدم تخلل الرضاع، و ان كان أقل من 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التذكرة،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بيننا أنه يشترط توالى الرضعات من المرضعة الواحدة لا بمعنى أنّه لا يفصل بينهما بشي‌ء البتّة، بل لا يفصل برضاع امرأة أخرى إرضاعا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صرح بذلك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الروايات عن ابن أبي عمير و الفضيل و ابن يعفور المتقدمة في 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يمتزج</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الرضاع، صحيح البخاري، آخر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برواية بل ذلك متأخذ من قول الفقهاء،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كتاب العتق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اللواء لحمة كلحمة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أرضع من أرضعهما أو أرضعه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ولدوه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ما بين أحد المتعلق محذوف للعلم به، اى بين أحد من شأنهم أن ينتشر التحريم بينهم لأنّ البينيّة لا تعقل إلّا في متعدد الاثرى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نُفَرِّقُ بَيْنَ أَحَدٍ مِنْ 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غير هذه الرسالة لما ذكر مثال بعيد الوقوع جدّا و ما ذكر هنا من التمثيل لم نجده لأحد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أكمل من كلّ نصابا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المرتضعين من ثدي واحد و إلّا لكان استناده إلى موثقة عمار استدلالا على خلاف مطلوبه بل هذه طريقة الأصحاب كلهم، يتكلمون في اشتراط الاتحاد بين الرضعين المتحدي الطبقة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يحلّ 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تنكح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عليّ بن عبد الملك بن بكّار الجرّاح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مساويا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الخؤلة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يتساويا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أشباههما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التصريح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خطر ولد الظئر و الفحل على أب الرضيع عن نصوص انجلا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هذا البيت بمنزلة جواب سؤال مقدر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جواب عن الثانية أيضا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ان يقرأ اخوة أو في عجز البيت بنقل حركة الهمزة من أو الى التنوين ليستقيم الوزن و هو أمر جائز عند القراء و منه في ألفية ابن مالك كثير و مثله أخوال، أو فإنّه كذلك يقرأ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الطفل فتكون امّه حينئذ بمنزلة أم الزوجة لأبيه فيحرم من جهة أخرى أيضا و الجواب انّ كلّا من البنت و الربيبة و أم النافلة أعم و كذا أم الزوجة على انّ صيرورتها بمنزلة 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الشعر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الرضاع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ابنة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 عشرا متفرقات ما حل لك منهن شي‌ء و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 و الاستبصار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يتزوج ابنه هذه المرضعة أم لا؟ 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الوسائل، الفقيه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التحريم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يتحقق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الّا لرضيع،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الّا لرضاع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أبدل الفحل أمّ المرتضع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الرضاع،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يقتصر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المرتضعة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المرضعة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أرضعت أحدهما أم الأخر صار المرتضع أخا أو أختا و لو أرضعت أخت أحدهما الأخر صار المرتضع ابن أخت أو بنت أخت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الحاكي هو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نفس المصدر و السيوري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تحرم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من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كبريهما صغريهما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صغريهما كبريهما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ربابتيه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من 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أرضعت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وطئهما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30854</Words>
  <Characters>121853</Characters>
  <CharactersWithSpaces>151830</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2026-08-17T08:22:06Z</dcterms:created>
  <dc:creator>ghaemiyeh.com</dc:creator>
  <dc:description/>
  <dc:language>en-US</dc:language>
  <cp:lastModifiedBy/>
  <dcterms:modified xsi:type="dcterms:W3CDTF">2026-08-17T11:52:11Z</dcterms:modified>
  <cp:revision>1</cp:revision>
  <dc:subject/>
  <dc:title>منظومة فی الرضاع - الارجوزه الرضاعیه و شرحها</dc:title>
</cp:coreProperties>
</file>

<file path=docProps/custom.xml><?xml version="1.0" encoding="utf-8"?>
<Properties xmlns="http://schemas.openxmlformats.org/officeDocument/2006/custom-properties" xmlns:vt="http://schemas.openxmlformats.org/officeDocument/2006/docPropsVTypes"/>
</file>