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معتمد الشیعه فی احکام الشریعه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1791_380464308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731793_380464308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731795_3804643083">
            <w:r>
              <w:rPr>
                <w:webHidden/>
                <w:rStyle w:val="IndexLink"/>
                <w:rtl w:val="true"/>
              </w:rPr>
              <w:t>[</w:t>
            </w:r>
            <w:r>
              <w:rPr>
                <w:rStyle w:val="IndexLink"/>
                <w:rtl w:val="true"/>
              </w:rPr>
              <w:t>المقدمة</w:t>
            </w:r>
            <w:r>
              <w:rPr>
                <w:rStyle w:val="IndexLink"/>
                <w:rtl w:val="true"/>
              </w:rPr>
              <w:t>]</w:t>
              <w:tab/>
            </w:r>
            <w:r>
              <w:rPr>
                <w:rStyle w:val="IndexLink"/>
              </w:rPr>
              <w:t>13</w:t>
            </w:r>
          </w:hyperlink>
        </w:p>
        <w:p>
          <w:pPr>
            <w:pStyle w:val="Contents3"/>
            <w:tabs>
              <w:tab w:val="clear" w:pos="8459"/>
              <w:tab w:val="right" w:pos="9026" w:leader="dot"/>
            </w:tabs>
            <w:rPr/>
          </w:pPr>
          <w:hyperlink w:anchor="__RefHeading___Toc3731797_3804643083">
            <w:r>
              <w:rPr>
                <w:webHidden/>
                <w:rStyle w:val="IndexLink"/>
                <w:rtl w:val="true"/>
              </w:rPr>
              <w:t>مقدّمة التحقيق</w:t>
            </w:r>
            <w:r>
              <w:rPr>
                <w:rStyle w:val="IndexLink"/>
                <w:rtl w:val="true"/>
              </w:rPr>
              <w:t>:</w:t>
              <w:tab/>
            </w:r>
            <w:r>
              <w:rPr>
                <w:rStyle w:val="IndexLink"/>
              </w:rPr>
              <w:t>13</w:t>
            </w:r>
          </w:hyperlink>
        </w:p>
        <w:p>
          <w:pPr>
            <w:pStyle w:val="Contents3"/>
            <w:tabs>
              <w:tab w:val="clear" w:pos="8459"/>
              <w:tab w:val="right" w:pos="9026" w:leader="dot"/>
            </w:tabs>
            <w:rPr/>
          </w:pPr>
          <w:hyperlink w:anchor="__RefHeading___Toc3731799_3804643083">
            <w:r>
              <w:rPr>
                <w:webHidden/>
                <w:rStyle w:val="IndexLink"/>
                <w:rtl w:val="true"/>
              </w:rPr>
              <w:t>[</w:t>
            </w:r>
            <w:r>
              <w:rPr>
                <w:rStyle w:val="IndexLink"/>
                <w:rtl w:val="true"/>
              </w:rPr>
              <w:t>خطبة المصنف</w:t>
            </w:r>
            <w:r>
              <w:rPr>
                <w:rStyle w:val="IndexLink"/>
                <w:rtl w:val="true"/>
              </w:rPr>
              <w:t>]</w:t>
              <w:tab/>
            </w:r>
            <w:r>
              <w:rPr>
                <w:rStyle w:val="IndexLink"/>
              </w:rPr>
              <w:t>22</w:t>
            </w:r>
          </w:hyperlink>
        </w:p>
        <w:p>
          <w:pPr>
            <w:pStyle w:val="Contents2"/>
            <w:tabs>
              <w:tab w:val="clear" w:pos="8743"/>
              <w:tab w:val="right" w:pos="9026" w:leader="dot"/>
            </w:tabs>
            <w:rPr/>
          </w:pPr>
          <w:hyperlink w:anchor="__RefHeading___Toc3731801_3804643083">
            <w:r>
              <w:rPr>
                <w:webHidden/>
                <w:rStyle w:val="IndexLink"/>
                <w:rtl w:val="true"/>
              </w:rPr>
              <w:t>كتاب الطهارة</w:t>
            </w:r>
            <w:r>
              <w:rPr>
                <w:rStyle w:val="IndexLink"/>
                <w:rtl w:val="true"/>
              </w:rPr>
              <w:tab/>
            </w:r>
            <w:r>
              <w:rPr>
                <w:rStyle w:val="IndexLink"/>
              </w:rPr>
              <w:t>23</w:t>
            </w:r>
          </w:hyperlink>
        </w:p>
        <w:p>
          <w:pPr>
            <w:pStyle w:val="Contents3"/>
            <w:tabs>
              <w:tab w:val="clear" w:pos="8459"/>
              <w:tab w:val="right" w:pos="9026" w:leader="dot"/>
            </w:tabs>
            <w:rPr/>
          </w:pPr>
          <w:hyperlink w:anchor="__RefHeading___Toc3731803_380464308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731805_3804643083">
            <w:r>
              <w:rPr>
                <w:webHidden/>
                <w:rStyle w:val="IndexLink"/>
                <w:rtl w:val="true"/>
              </w:rPr>
              <w:t>باب المياه</w:t>
            </w:r>
            <w:r>
              <w:rPr>
                <w:rStyle w:val="IndexLink"/>
                <w:rtl w:val="true"/>
              </w:rPr>
              <w:tab/>
            </w:r>
            <w:r>
              <w:rPr>
                <w:rStyle w:val="IndexLink"/>
              </w:rPr>
              <w:t>24</w:t>
            </w:r>
          </w:hyperlink>
        </w:p>
        <w:p>
          <w:pPr>
            <w:pStyle w:val="Contents4"/>
            <w:tabs>
              <w:tab w:val="clear" w:pos="8176"/>
              <w:tab w:val="right" w:pos="9026" w:leader="dot"/>
            </w:tabs>
            <w:rPr/>
          </w:pPr>
          <w:hyperlink w:anchor="__RefHeading___Toc3731807_3804643083">
            <w:r>
              <w:rPr>
                <w:webHidden/>
                <w:rStyle w:val="IndexLink"/>
                <w:rtl w:val="true"/>
              </w:rPr>
              <w:t>بحث المطلق</w:t>
            </w:r>
            <w:r>
              <w:rPr>
                <w:rStyle w:val="IndexLink"/>
                <w:rtl w:val="true"/>
              </w:rPr>
              <w:tab/>
            </w:r>
            <w:r>
              <w:rPr>
                <w:rStyle w:val="IndexLink"/>
              </w:rPr>
              <w:t>24</w:t>
            </w:r>
          </w:hyperlink>
        </w:p>
        <w:p>
          <w:pPr>
            <w:pStyle w:val="Contents5"/>
            <w:tabs>
              <w:tab w:val="clear" w:pos="7892"/>
              <w:tab w:val="right" w:pos="9026" w:leader="dot"/>
            </w:tabs>
            <w:rPr/>
          </w:pPr>
          <w:hyperlink w:anchor="__RefHeading___Toc3731809_380464308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731811_3804643083">
            <w:r>
              <w:rPr>
                <w:webHidden/>
                <w:rStyle w:val="IndexLink"/>
                <w:rtl w:val="true"/>
              </w:rPr>
              <w:t xml:space="preserve">فصل </w:t>
            </w:r>
            <w:r>
              <w:rPr>
                <w:rStyle w:val="IndexLink"/>
                <w:rtl w:val="true"/>
              </w:rPr>
              <w:t>[</w:t>
            </w:r>
            <w:r>
              <w:rPr>
                <w:rStyle w:val="IndexLink"/>
                <w:rtl w:val="true"/>
              </w:rPr>
              <w:t>الماء الجاري</w:t>
            </w:r>
            <w:r>
              <w:rPr>
                <w:rStyle w:val="IndexLink"/>
                <w:rtl w:val="true"/>
              </w:rPr>
              <w:t>]</w:t>
              <w:tab/>
            </w:r>
            <w:r>
              <w:rPr>
                <w:rStyle w:val="IndexLink"/>
              </w:rPr>
              <w:t>25</w:t>
            </w:r>
          </w:hyperlink>
        </w:p>
        <w:p>
          <w:pPr>
            <w:pStyle w:val="Contents6"/>
            <w:tabs>
              <w:tab w:val="clear" w:pos="7609"/>
              <w:tab w:val="right" w:pos="9026" w:leader="dot"/>
            </w:tabs>
            <w:rPr/>
          </w:pPr>
          <w:hyperlink w:anchor="__RefHeading___Toc3731813_3804643083">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731815_3804643083">
            <w:r>
              <w:rPr>
                <w:webHidden/>
                <w:rStyle w:val="IndexLink"/>
                <w:rtl w:val="true"/>
              </w:rPr>
              <w:t xml:space="preserve">فصل </w:t>
            </w:r>
            <w:r>
              <w:rPr>
                <w:rStyle w:val="IndexLink"/>
                <w:rtl w:val="true"/>
              </w:rPr>
              <w:t>[</w:t>
            </w:r>
            <w:r>
              <w:rPr>
                <w:rStyle w:val="IndexLink"/>
                <w:rtl w:val="true"/>
              </w:rPr>
              <w:t>التغيّر المعتبر في الماء الجاري</w:t>
            </w:r>
            <w:r>
              <w:rPr>
                <w:rStyle w:val="IndexLink"/>
                <w:rtl w:val="true"/>
              </w:rPr>
              <w:t>]</w:t>
              <w:tab/>
            </w:r>
            <w:r>
              <w:rPr>
                <w:rStyle w:val="IndexLink"/>
              </w:rPr>
              <w:t>26</w:t>
            </w:r>
          </w:hyperlink>
        </w:p>
        <w:p>
          <w:pPr>
            <w:pStyle w:val="Contents6"/>
            <w:tabs>
              <w:tab w:val="clear" w:pos="7609"/>
              <w:tab w:val="right" w:pos="9026" w:leader="dot"/>
            </w:tabs>
            <w:rPr/>
          </w:pPr>
          <w:hyperlink w:anchor="__RefHeading___Toc3731817_3804643083">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3731819_3804643083">
            <w:r>
              <w:rPr>
                <w:webHidden/>
                <w:rStyle w:val="IndexLink"/>
                <w:rtl w:val="true"/>
              </w:rPr>
              <w:t>فصل</w:t>
            </w:r>
            <w:r>
              <w:rPr>
                <w:rStyle w:val="IndexLink"/>
                <w:rtl w:val="true"/>
              </w:rPr>
              <w:tab/>
            </w:r>
            <w:r>
              <w:rPr>
                <w:rStyle w:val="IndexLink"/>
              </w:rPr>
              <w:t>27</w:t>
            </w:r>
          </w:hyperlink>
        </w:p>
        <w:p>
          <w:pPr>
            <w:pStyle w:val="Contents5"/>
            <w:tabs>
              <w:tab w:val="clear" w:pos="7892"/>
              <w:tab w:val="right" w:pos="9026" w:leader="dot"/>
            </w:tabs>
            <w:rPr/>
          </w:pPr>
          <w:hyperlink w:anchor="__RefHeading___Toc3731821_3804643083">
            <w:r>
              <w:rPr>
                <w:webHidden/>
                <w:rStyle w:val="IndexLink"/>
                <w:rtl w:val="true"/>
              </w:rPr>
              <w:t xml:space="preserve">فصل </w:t>
            </w:r>
            <w:r>
              <w:rPr>
                <w:rStyle w:val="IndexLink"/>
                <w:rtl w:val="true"/>
              </w:rPr>
              <w:t>[</w:t>
            </w:r>
            <w:r>
              <w:rPr>
                <w:rStyle w:val="IndexLink"/>
                <w:rtl w:val="true"/>
              </w:rPr>
              <w:t>ماء الحمّام</w:t>
            </w:r>
            <w:r>
              <w:rPr>
                <w:rStyle w:val="IndexLink"/>
                <w:rtl w:val="true"/>
              </w:rPr>
              <w:t>]</w:t>
              <w:tab/>
            </w:r>
            <w:r>
              <w:rPr>
                <w:rStyle w:val="IndexLink"/>
              </w:rPr>
              <w:t>27</w:t>
            </w:r>
          </w:hyperlink>
        </w:p>
        <w:p>
          <w:pPr>
            <w:pStyle w:val="Contents5"/>
            <w:tabs>
              <w:tab w:val="clear" w:pos="7892"/>
              <w:tab w:val="right" w:pos="9026" w:leader="dot"/>
            </w:tabs>
            <w:rPr/>
          </w:pPr>
          <w:hyperlink w:anchor="__RefHeading___Toc3731823_3804643083">
            <w:r>
              <w:rPr>
                <w:webHidden/>
                <w:rStyle w:val="IndexLink"/>
                <w:rtl w:val="true"/>
              </w:rPr>
              <w:t xml:space="preserve">فصل </w:t>
            </w:r>
            <w:r>
              <w:rPr>
                <w:rStyle w:val="IndexLink"/>
                <w:rtl w:val="true"/>
              </w:rPr>
              <w:t>[</w:t>
            </w:r>
            <w:r>
              <w:rPr>
                <w:rStyle w:val="IndexLink"/>
                <w:rtl w:val="true"/>
              </w:rPr>
              <w:t>ماء المطر</w:t>
            </w:r>
            <w:r>
              <w:rPr>
                <w:rStyle w:val="IndexLink"/>
                <w:rtl w:val="true"/>
              </w:rPr>
              <w:t>]</w:t>
              <w:tab/>
            </w:r>
            <w:r>
              <w:rPr>
                <w:rStyle w:val="IndexLink"/>
              </w:rPr>
              <w:t>29</w:t>
            </w:r>
          </w:hyperlink>
        </w:p>
        <w:p>
          <w:pPr>
            <w:pStyle w:val="Contents5"/>
            <w:tabs>
              <w:tab w:val="clear" w:pos="7892"/>
              <w:tab w:val="right" w:pos="9026" w:leader="dot"/>
            </w:tabs>
            <w:rPr/>
          </w:pPr>
          <w:hyperlink w:anchor="__RefHeading___Toc3731825_3804643083">
            <w:r>
              <w:rPr>
                <w:webHidden/>
                <w:rStyle w:val="IndexLink"/>
                <w:rtl w:val="true"/>
              </w:rPr>
              <w:t xml:space="preserve">فصل </w:t>
            </w:r>
            <w:r>
              <w:rPr>
                <w:rStyle w:val="IndexLink"/>
                <w:rtl w:val="true"/>
              </w:rPr>
              <w:t>[</w:t>
            </w:r>
            <w:r>
              <w:rPr>
                <w:rStyle w:val="IndexLink"/>
                <w:rtl w:val="true"/>
              </w:rPr>
              <w:t>الماء الراكد</w:t>
            </w:r>
            <w:r>
              <w:rPr>
                <w:rStyle w:val="IndexLink"/>
                <w:rtl w:val="true"/>
              </w:rPr>
              <w:t>]</w:t>
              <w:tab/>
            </w:r>
            <w:r>
              <w:rPr>
                <w:rStyle w:val="IndexLink"/>
              </w:rPr>
              <w:t>30</w:t>
            </w:r>
          </w:hyperlink>
        </w:p>
        <w:p>
          <w:pPr>
            <w:pStyle w:val="Contents6"/>
            <w:tabs>
              <w:tab w:val="clear" w:pos="7609"/>
              <w:tab w:val="right" w:pos="9026" w:leader="dot"/>
            </w:tabs>
            <w:rPr/>
          </w:pPr>
          <w:hyperlink w:anchor="__RefHeading___Toc3731827_380464308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731829_3804643083">
            <w:r>
              <w:rPr>
                <w:webHidden/>
                <w:rStyle w:val="IndexLink"/>
                <w:rtl w:val="true"/>
              </w:rPr>
              <w:t>فروع</w:t>
            </w:r>
            <w:r>
              <w:rPr>
                <w:rStyle w:val="IndexLink"/>
                <w:rtl w:val="true"/>
              </w:rPr>
              <w:t>:</w:t>
              <w:tab/>
            </w:r>
            <w:r>
              <w:rPr>
                <w:rStyle w:val="IndexLink"/>
              </w:rPr>
              <w:t>31</w:t>
            </w:r>
          </w:hyperlink>
        </w:p>
        <w:p>
          <w:pPr>
            <w:pStyle w:val="Contents6"/>
            <w:tabs>
              <w:tab w:val="clear" w:pos="7609"/>
              <w:tab w:val="right" w:pos="9026" w:leader="dot"/>
            </w:tabs>
            <w:rPr/>
          </w:pPr>
          <w:hyperlink w:anchor="__RefHeading___Toc3731831_3804643083">
            <w:r>
              <w:rPr>
                <w:webHidden/>
                <w:rStyle w:val="IndexLink"/>
                <w:rtl w:val="true"/>
              </w:rPr>
              <w:t>الأوّل</w:t>
            </w:r>
            <w:r>
              <w:rPr>
                <w:rStyle w:val="IndexLink"/>
                <w:rtl w:val="true"/>
              </w:rPr>
              <w:t>:</w:t>
              <w:tab/>
            </w:r>
            <w:r>
              <w:rPr>
                <w:rStyle w:val="IndexLink"/>
              </w:rPr>
              <w:t>31</w:t>
            </w:r>
          </w:hyperlink>
        </w:p>
        <w:p>
          <w:pPr>
            <w:pStyle w:val="Contents6"/>
            <w:tabs>
              <w:tab w:val="clear" w:pos="7609"/>
              <w:tab w:val="right" w:pos="9026" w:leader="dot"/>
            </w:tabs>
            <w:rPr/>
          </w:pPr>
          <w:hyperlink w:anchor="__RefHeading___Toc3731833_3804643083">
            <w:r>
              <w:rPr>
                <w:webHidden/>
                <w:rStyle w:val="IndexLink"/>
                <w:rtl w:val="true"/>
              </w:rPr>
              <w:t>الثاني</w:t>
            </w:r>
            <w:r>
              <w:rPr>
                <w:rStyle w:val="IndexLink"/>
                <w:rtl w:val="true"/>
              </w:rPr>
              <w:t>:</w:t>
              <w:tab/>
            </w:r>
            <w:r>
              <w:rPr>
                <w:rStyle w:val="IndexLink"/>
              </w:rPr>
              <w:t>32</w:t>
            </w:r>
          </w:hyperlink>
        </w:p>
        <w:p>
          <w:pPr>
            <w:pStyle w:val="Contents6"/>
            <w:tabs>
              <w:tab w:val="clear" w:pos="7609"/>
              <w:tab w:val="right" w:pos="9026" w:leader="dot"/>
            </w:tabs>
            <w:rPr/>
          </w:pPr>
          <w:hyperlink w:anchor="__RefHeading___Toc3731835_3804643083">
            <w:r>
              <w:rPr>
                <w:webHidden/>
                <w:rStyle w:val="IndexLink"/>
                <w:rtl w:val="true"/>
              </w:rPr>
              <w:t>الثالث</w:t>
            </w:r>
            <w:r>
              <w:rPr>
                <w:rStyle w:val="IndexLink"/>
                <w:rtl w:val="true"/>
              </w:rPr>
              <w:t>:</w:t>
              <w:tab/>
            </w:r>
            <w:r>
              <w:rPr>
                <w:rStyle w:val="IndexLink"/>
              </w:rPr>
              <w:t>32</w:t>
            </w:r>
          </w:hyperlink>
        </w:p>
        <w:p>
          <w:pPr>
            <w:pStyle w:val="Contents5"/>
            <w:tabs>
              <w:tab w:val="clear" w:pos="7892"/>
              <w:tab w:val="right" w:pos="9026" w:leader="dot"/>
            </w:tabs>
            <w:rPr/>
          </w:pPr>
          <w:hyperlink w:anchor="__RefHeading___Toc3731837_3804643083">
            <w:r>
              <w:rPr>
                <w:webHidden/>
                <w:rStyle w:val="IndexLink"/>
                <w:rtl w:val="true"/>
              </w:rPr>
              <w:t xml:space="preserve">فصل </w:t>
            </w:r>
            <w:r>
              <w:rPr>
                <w:rStyle w:val="IndexLink"/>
                <w:rtl w:val="true"/>
              </w:rPr>
              <w:t>[</w:t>
            </w:r>
            <w:r>
              <w:rPr>
                <w:rStyle w:val="IndexLink"/>
                <w:rtl w:val="true"/>
              </w:rPr>
              <w:t>تطهير القليل</w:t>
            </w:r>
            <w:r>
              <w:rPr>
                <w:rStyle w:val="IndexLink"/>
                <w:rtl w:val="true"/>
              </w:rPr>
              <w:t>]</w:t>
              <w:tab/>
            </w:r>
            <w:r>
              <w:rPr>
                <w:rStyle w:val="IndexLink"/>
              </w:rPr>
              <w:t>32</w:t>
            </w:r>
          </w:hyperlink>
        </w:p>
        <w:p>
          <w:pPr>
            <w:pStyle w:val="Contents5"/>
            <w:tabs>
              <w:tab w:val="clear" w:pos="7892"/>
              <w:tab w:val="right" w:pos="9026" w:leader="dot"/>
            </w:tabs>
            <w:rPr/>
          </w:pPr>
          <w:hyperlink w:anchor="__RefHeading___Toc3731839_3804643083">
            <w:r>
              <w:rPr>
                <w:webHidden/>
                <w:rStyle w:val="IndexLink"/>
                <w:rtl w:val="true"/>
              </w:rPr>
              <w:t xml:space="preserve">فصل </w:t>
            </w:r>
            <w:r>
              <w:rPr>
                <w:rStyle w:val="IndexLink"/>
                <w:rtl w:val="true"/>
              </w:rPr>
              <w:t>[</w:t>
            </w:r>
            <w:r>
              <w:rPr>
                <w:rStyle w:val="IndexLink"/>
                <w:rtl w:val="true"/>
              </w:rPr>
              <w:t>مقدار الكرّ</w:t>
            </w:r>
            <w:r>
              <w:rPr>
                <w:rStyle w:val="IndexLink"/>
                <w:rtl w:val="true"/>
              </w:rPr>
              <w:t>]</w:t>
              <w:tab/>
            </w:r>
            <w:r>
              <w:rPr>
                <w:rStyle w:val="IndexLink"/>
              </w:rPr>
              <w:t>34</w:t>
            </w:r>
          </w:hyperlink>
        </w:p>
        <w:p>
          <w:pPr>
            <w:pStyle w:val="Contents6"/>
            <w:tabs>
              <w:tab w:val="clear" w:pos="7609"/>
              <w:tab w:val="right" w:pos="9026" w:leader="dot"/>
            </w:tabs>
            <w:rPr/>
          </w:pPr>
          <w:hyperlink w:anchor="__RefHeading___Toc3731841_3804643083">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3731843_3804643083">
            <w:r>
              <w:rPr>
                <w:webHidden/>
                <w:rStyle w:val="IndexLink"/>
                <w:rtl w:val="true"/>
              </w:rPr>
              <w:t xml:space="preserve">فصل </w:t>
            </w:r>
            <w:r>
              <w:rPr>
                <w:rStyle w:val="IndexLink"/>
                <w:rtl w:val="true"/>
              </w:rPr>
              <w:t>[</w:t>
            </w:r>
            <w:r>
              <w:rPr>
                <w:rStyle w:val="IndexLink"/>
                <w:rtl w:val="true"/>
              </w:rPr>
              <w:t>تنجّس الكثير بالتغيّر</w:t>
            </w:r>
            <w:r>
              <w:rPr>
                <w:rStyle w:val="IndexLink"/>
                <w:rtl w:val="true"/>
              </w:rPr>
              <w:t>]</w:t>
              <w:tab/>
            </w:r>
            <w:r>
              <w:rPr>
                <w:rStyle w:val="IndexLink"/>
              </w:rPr>
              <w:t>36</w:t>
            </w:r>
          </w:hyperlink>
        </w:p>
        <w:p>
          <w:pPr>
            <w:pStyle w:val="Contents5"/>
            <w:tabs>
              <w:tab w:val="clear" w:pos="7892"/>
              <w:tab w:val="right" w:pos="9026" w:leader="dot"/>
            </w:tabs>
            <w:rPr/>
          </w:pPr>
          <w:hyperlink w:anchor="__RefHeading___Toc3731845_3804643083">
            <w:r>
              <w:rPr>
                <w:webHidden/>
                <w:rStyle w:val="IndexLink"/>
                <w:rtl w:val="true"/>
              </w:rPr>
              <w:t xml:space="preserve">فصل </w:t>
            </w:r>
            <w:r>
              <w:rPr>
                <w:rStyle w:val="IndexLink"/>
                <w:rtl w:val="true"/>
              </w:rPr>
              <w:t>[</w:t>
            </w:r>
            <w:r>
              <w:rPr>
                <w:rStyle w:val="IndexLink"/>
                <w:rtl w:val="true"/>
              </w:rPr>
              <w:t>ماء البئر</w:t>
            </w:r>
            <w:r>
              <w:rPr>
                <w:rStyle w:val="IndexLink"/>
                <w:rtl w:val="true"/>
              </w:rPr>
              <w:t>]</w:t>
              <w:tab/>
            </w:r>
            <w:r>
              <w:rPr>
                <w:rStyle w:val="IndexLink"/>
              </w:rPr>
              <w:t>37</w:t>
            </w:r>
          </w:hyperlink>
        </w:p>
        <w:p>
          <w:pPr>
            <w:pStyle w:val="Contents4"/>
            <w:tabs>
              <w:tab w:val="clear" w:pos="8176"/>
              <w:tab w:val="right" w:pos="9026" w:leader="dot"/>
            </w:tabs>
            <w:rPr/>
          </w:pPr>
          <w:hyperlink w:anchor="__RefHeading___Toc3731847_3804643083">
            <w:r>
              <w:rPr>
                <w:webHidden/>
                <w:rStyle w:val="IndexLink"/>
                <w:rtl w:val="true"/>
              </w:rPr>
              <w:t>بحث المضاف</w:t>
            </w:r>
            <w:r>
              <w:rPr>
                <w:rStyle w:val="IndexLink"/>
                <w:rtl w:val="true"/>
              </w:rPr>
              <w:tab/>
            </w:r>
            <w:r>
              <w:rPr>
                <w:rStyle w:val="IndexLink"/>
              </w:rPr>
              <w:t>52</w:t>
            </w:r>
          </w:hyperlink>
        </w:p>
        <w:p>
          <w:pPr>
            <w:pStyle w:val="Contents5"/>
            <w:tabs>
              <w:tab w:val="clear" w:pos="7892"/>
              <w:tab w:val="right" w:pos="9026" w:leader="dot"/>
            </w:tabs>
            <w:rPr/>
          </w:pPr>
          <w:hyperlink w:anchor="__RefHeading___Toc3731849_3804643083">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731851_3804643083">
            <w:r>
              <w:rPr>
                <w:webHidden/>
                <w:rStyle w:val="IndexLink"/>
                <w:rtl w:val="true"/>
              </w:rPr>
              <w:t xml:space="preserve">فصل </w:t>
            </w:r>
            <w:r>
              <w:rPr>
                <w:rStyle w:val="IndexLink"/>
                <w:rtl w:val="true"/>
              </w:rPr>
              <w:t>[</w:t>
            </w:r>
            <w:r>
              <w:rPr>
                <w:rStyle w:val="IndexLink"/>
                <w:rtl w:val="true"/>
              </w:rPr>
              <w:t>عدم مطهّرية المضاف</w:t>
            </w:r>
            <w:r>
              <w:rPr>
                <w:rStyle w:val="IndexLink"/>
                <w:rtl w:val="true"/>
              </w:rPr>
              <w:t>]</w:t>
              <w:tab/>
            </w:r>
            <w:r>
              <w:rPr>
                <w:rStyle w:val="IndexLink"/>
              </w:rPr>
              <w:t>53</w:t>
            </w:r>
          </w:hyperlink>
        </w:p>
        <w:p>
          <w:pPr>
            <w:pStyle w:val="Contents4"/>
            <w:tabs>
              <w:tab w:val="clear" w:pos="8176"/>
              <w:tab w:val="right" w:pos="9026" w:leader="dot"/>
            </w:tabs>
            <w:rPr/>
          </w:pPr>
          <w:hyperlink w:anchor="__RefHeading___Toc3731853_3804643083">
            <w:r>
              <w:rPr>
                <w:webHidden/>
                <w:rStyle w:val="IndexLink"/>
                <w:rtl w:val="true"/>
              </w:rPr>
              <w:t>بحث السؤر</w:t>
            </w:r>
            <w:r>
              <w:rPr>
                <w:rStyle w:val="IndexLink"/>
                <w:rtl w:val="true"/>
              </w:rPr>
              <w:tab/>
            </w:r>
            <w:r>
              <w:rPr>
                <w:rStyle w:val="IndexLink"/>
              </w:rPr>
              <w:t>55</w:t>
            </w:r>
          </w:hyperlink>
        </w:p>
        <w:p>
          <w:pPr>
            <w:pStyle w:val="Contents5"/>
            <w:tabs>
              <w:tab w:val="clear" w:pos="7892"/>
              <w:tab w:val="right" w:pos="9026" w:leader="dot"/>
            </w:tabs>
            <w:rPr/>
          </w:pPr>
          <w:hyperlink w:anchor="__RefHeading___Toc3731855_3804643083">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731857_3804643083">
            <w:r>
              <w:rPr>
                <w:webHidden/>
                <w:rStyle w:val="IndexLink"/>
                <w:rtl w:val="true"/>
              </w:rPr>
              <w:t xml:space="preserve">فصل </w:t>
            </w:r>
            <w:r>
              <w:rPr>
                <w:rStyle w:val="IndexLink"/>
                <w:rtl w:val="true"/>
              </w:rPr>
              <w:t>[</w:t>
            </w:r>
            <w:r>
              <w:rPr>
                <w:rStyle w:val="IndexLink"/>
                <w:rtl w:val="true"/>
              </w:rPr>
              <w:t>الأسآر المكروهة</w:t>
            </w:r>
            <w:r>
              <w:rPr>
                <w:rStyle w:val="IndexLink"/>
                <w:rtl w:val="true"/>
              </w:rPr>
              <w:t>]</w:t>
              <w:tab/>
            </w:r>
            <w:r>
              <w:rPr>
                <w:rStyle w:val="IndexLink"/>
              </w:rPr>
              <w:t>57</w:t>
            </w:r>
          </w:hyperlink>
        </w:p>
        <w:p>
          <w:pPr>
            <w:pStyle w:val="Contents4"/>
            <w:tabs>
              <w:tab w:val="clear" w:pos="8176"/>
              <w:tab w:val="right" w:pos="9026" w:leader="dot"/>
            </w:tabs>
            <w:rPr/>
          </w:pPr>
          <w:hyperlink w:anchor="__RefHeading___Toc3731859_3804643083">
            <w:r>
              <w:rPr>
                <w:webHidden/>
                <w:rStyle w:val="IndexLink"/>
                <w:rtl w:val="true"/>
              </w:rPr>
              <w:t>بحث حكم الماء النجس و المشتبه</w:t>
            </w:r>
            <w:r>
              <w:rPr>
                <w:rStyle w:val="IndexLink"/>
                <w:rtl w:val="true"/>
              </w:rPr>
              <w:tab/>
            </w:r>
            <w:r>
              <w:rPr>
                <w:rStyle w:val="IndexLink"/>
              </w:rPr>
              <w:t>61</w:t>
            </w:r>
          </w:hyperlink>
        </w:p>
        <w:p>
          <w:pPr>
            <w:pStyle w:val="Contents5"/>
            <w:tabs>
              <w:tab w:val="clear" w:pos="7892"/>
              <w:tab w:val="right" w:pos="9026" w:leader="dot"/>
            </w:tabs>
            <w:rPr/>
          </w:pPr>
          <w:hyperlink w:anchor="__RefHeading___Toc3731861_3804643083">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731863_3804643083">
            <w:r>
              <w:rPr>
                <w:webHidden/>
                <w:rStyle w:val="IndexLink"/>
                <w:rtl w:val="true"/>
              </w:rPr>
              <w:t xml:space="preserve">فصل </w:t>
            </w:r>
            <w:r>
              <w:rPr>
                <w:rStyle w:val="IndexLink"/>
                <w:rtl w:val="true"/>
              </w:rPr>
              <w:t>[</w:t>
            </w:r>
            <w:r>
              <w:rPr>
                <w:rStyle w:val="IndexLink"/>
                <w:rtl w:val="true"/>
              </w:rPr>
              <w:t>حكم الإناءين المشتبهين</w:t>
            </w:r>
            <w:r>
              <w:rPr>
                <w:rStyle w:val="IndexLink"/>
                <w:rtl w:val="true"/>
              </w:rPr>
              <w:t>]</w:t>
              <w:tab/>
            </w:r>
            <w:r>
              <w:rPr>
                <w:rStyle w:val="IndexLink"/>
              </w:rPr>
              <w:t>61</w:t>
            </w:r>
          </w:hyperlink>
        </w:p>
        <w:p>
          <w:pPr>
            <w:pStyle w:val="Contents5"/>
            <w:tabs>
              <w:tab w:val="clear" w:pos="7892"/>
              <w:tab w:val="right" w:pos="9026" w:leader="dot"/>
            </w:tabs>
            <w:rPr/>
          </w:pPr>
          <w:hyperlink w:anchor="__RefHeading___Toc3731865_3804643083">
            <w:r>
              <w:rPr>
                <w:webHidden/>
                <w:rStyle w:val="IndexLink"/>
                <w:rtl w:val="true"/>
              </w:rPr>
              <w:t xml:space="preserve">فصل </w:t>
            </w:r>
            <w:r>
              <w:rPr>
                <w:rStyle w:val="IndexLink"/>
                <w:rtl w:val="true"/>
              </w:rPr>
              <w:t>[</w:t>
            </w:r>
            <w:r>
              <w:rPr>
                <w:rStyle w:val="IndexLink"/>
                <w:rtl w:val="true"/>
              </w:rPr>
              <w:t>كيفيّة ثبوت النجاسة</w:t>
            </w:r>
            <w:r>
              <w:rPr>
                <w:rStyle w:val="IndexLink"/>
                <w:rtl w:val="true"/>
              </w:rPr>
              <w:t>]</w:t>
              <w:tab/>
            </w:r>
            <w:r>
              <w:rPr>
                <w:rStyle w:val="IndexLink"/>
              </w:rPr>
              <w:t>63</w:t>
            </w:r>
          </w:hyperlink>
        </w:p>
        <w:p>
          <w:pPr>
            <w:pStyle w:val="Contents4"/>
            <w:tabs>
              <w:tab w:val="clear" w:pos="8176"/>
              <w:tab w:val="right" w:pos="9026" w:leader="dot"/>
            </w:tabs>
            <w:rPr/>
          </w:pPr>
          <w:hyperlink w:anchor="__RefHeading___Toc3731867_3804643083">
            <w:r>
              <w:rPr>
                <w:webHidden/>
                <w:rStyle w:val="IndexLink"/>
                <w:rtl w:val="true"/>
              </w:rPr>
              <w:t>بحث المستعمل</w:t>
            </w:r>
            <w:r>
              <w:rPr>
                <w:rStyle w:val="IndexLink"/>
                <w:rtl w:val="true"/>
              </w:rPr>
              <w:tab/>
            </w:r>
            <w:r>
              <w:rPr>
                <w:rStyle w:val="IndexLink"/>
              </w:rPr>
              <w:t>66</w:t>
            </w:r>
          </w:hyperlink>
        </w:p>
        <w:p>
          <w:pPr>
            <w:pStyle w:val="Contents5"/>
            <w:tabs>
              <w:tab w:val="clear" w:pos="7892"/>
              <w:tab w:val="right" w:pos="9026" w:leader="dot"/>
            </w:tabs>
            <w:rPr/>
          </w:pPr>
          <w:hyperlink w:anchor="__RefHeading___Toc3731869_3804643083">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731871_3804643083">
            <w:r>
              <w:rPr>
                <w:webHidden/>
                <w:rStyle w:val="IndexLink"/>
                <w:rtl w:val="true"/>
              </w:rPr>
              <w:t xml:space="preserve">فصل </w:t>
            </w:r>
            <w:r>
              <w:rPr>
                <w:rStyle w:val="IndexLink"/>
                <w:rtl w:val="true"/>
              </w:rPr>
              <w:t>[</w:t>
            </w:r>
            <w:r>
              <w:rPr>
                <w:rStyle w:val="IndexLink"/>
                <w:rtl w:val="true"/>
              </w:rPr>
              <w:t>ماء الاستنجاء</w:t>
            </w:r>
            <w:r>
              <w:rPr>
                <w:rStyle w:val="IndexLink"/>
                <w:rtl w:val="true"/>
              </w:rPr>
              <w:t>]</w:t>
              <w:tab/>
            </w:r>
            <w:r>
              <w:rPr>
                <w:rStyle w:val="IndexLink"/>
              </w:rPr>
              <w:t>68</w:t>
            </w:r>
          </w:hyperlink>
        </w:p>
        <w:p>
          <w:pPr>
            <w:pStyle w:val="Contents5"/>
            <w:tabs>
              <w:tab w:val="clear" w:pos="7892"/>
              <w:tab w:val="right" w:pos="9026" w:leader="dot"/>
            </w:tabs>
            <w:rPr/>
          </w:pPr>
          <w:hyperlink w:anchor="__RefHeading___Toc3731873_3804643083">
            <w:r>
              <w:rPr>
                <w:webHidden/>
                <w:rStyle w:val="IndexLink"/>
                <w:rtl w:val="true"/>
              </w:rPr>
              <w:t xml:space="preserve">فصل </w:t>
            </w:r>
            <w:r>
              <w:rPr>
                <w:rStyle w:val="IndexLink"/>
                <w:rtl w:val="true"/>
              </w:rPr>
              <w:t>[</w:t>
            </w:r>
            <w:r>
              <w:rPr>
                <w:rStyle w:val="IndexLink"/>
                <w:rtl w:val="true"/>
              </w:rPr>
              <w:t>الماء المستعمل</w:t>
            </w:r>
            <w:r>
              <w:rPr>
                <w:rStyle w:val="IndexLink"/>
                <w:rtl w:val="true"/>
              </w:rPr>
              <w:t>]</w:t>
              <w:tab/>
            </w:r>
            <w:r>
              <w:rPr>
                <w:rStyle w:val="IndexLink"/>
              </w:rPr>
              <w:t>69</w:t>
            </w:r>
          </w:hyperlink>
        </w:p>
        <w:p>
          <w:pPr>
            <w:pStyle w:val="Contents5"/>
            <w:tabs>
              <w:tab w:val="clear" w:pos="7892"/>
              <w:tab w:val="right" w:pos="9026" w:leader="dot"/>
            </w:tabs>
            <w:rPr/>
          </w:pPr>
          <w:hyperlink w:anchor="__RefHeading___Toc3731875_3804643083">
            <w:r>
              <w:rPr>
                <w:webHidden/>
                <w:rStyle w:val="IndexLink"/>
                <w:rtl w:val="true"/>
              </w:rPr>
              <w:t xml:space="preserve">فصل </w:t>
            </w:r>
            <w:r>
              <w:rPr>
                <w:rStyle w:val="IndexLink"/>
                <w:rtl w:val="true"/>
              </w:rPr>
              <w:t>[</w:t>
            </w:r>
            <w:r>
              <w:rPr>
                <w:rStyle w:val="IndexLink"/>
                <w:rtl w:val="true"/>
              </w:rPr>
              <w:t>ماء غسالة الحمّام</w:t>
            </w:r>
            <w:r>
              <w:rPr>
                <w:rStyle w:val="IndexLink"/>
                <w:rtl w:val="true"/>
              </w:rPr>
              <w:t>]</w:t>
              <w:tab/>
            </w:r>
            <w:r>
              <w:rPr>
                <w:rStyle w:val="IndexLink"/>
              </w:rPr>
              <w:t>70</w:t>
            </w:r>
          </w:hyperlink>
        </w:p>
        <w:p>
          <w:pPr>
            <w:pStyle w:val="Contents4"/>
            <w:tabs>
              <w:tab w:val="clear" w:pos="8176"/>
              <w:tab w:val="right" w:pos="9026" w:leader="dot"/>
            </w:tabs>
            <w:rPr/>
          </w:pPr>
          <w:hyperlink w:anchor="__RefHeading___Toc3731877_3804643083">
            <w:r>
              <w:rPr>
                <w:webHidden/>
                <w:rStyle w:val="IndexLink"/>
                <w:rtl w:val="true"/>
              </w:rPr>
              <w:t>بحث المتفرّقات</w:t>
            </w:r>
            <w:r>
              <w:rPr>
                <w:rStyle w:val="IndexLink"/>
                <w:rtl w:val="true"/>
              </w:rPr>
              <w:tab/>
            </w:r>
            <w:r>
              <w:rPr>
                <w:rStyle w:val="IndexLink"/>
              </w:rPr>
              <w:t>72</w:t>
            </w:r>
          </w:hyperlink>
        </w:p>
        <w:p>
          <w:pPr>
            <w:pStyle w:val="Contents5"/>
            <w:tabs>
              <w:tab w:val="clear" w:pos="7892"/>
              <w:tab w:val="right" w:pos="9026" w:leader="dot"/>
            </w:tabs>
            <w:rPr/>
          </w:pPr>
          <w:hyperlink w:anchor="__RefHeading___Toc3731879_3804643083">
            <w:r>
              <w:rPr>
                <w:webHidden/>
                <w:rStyle w:val="IndexLink"/>
                <w:rtl w:val="true"/>
              </w:rPr>
              <w:t xml:space="preserve">فصل </w:t>
            </w:r>
            <w:r>
              <w:rPr>
                <w:rStyle w:val="IndexLink"/>
                <w:rtl w:val="true"/>
              </w:rPr>
              <w:t>[</w:t>
            </w:r>
            <w:r>
              <w:rPr>
                <w:rStyle w:val="IndexLink"/>
                <w:rtl w:val="true"/>
              </w:rPr>
              <w:t>الماء المشمّس</w:t>
            </w:r>
            <w:r>
              <w:rPr>
                <w:rStyle w:val="IndexLink"/>
                <w:rtl w:val="true"/>
              </w:rPr>
              <w:t>]</w:t>
              <w:tab/>
            </w:r>
            <w:r>
              <w:rPr>
                <w:rStyle w:val="IndexLink"/>
              </w:rPr>
              <w:t>72</w:t>
            </w:r>
          </w:hyperlink>
        </w:p>
        <w:p>
          <w:pPr>
            <w:pStyle w:val="Contents5"/>
            <w:tabs>
              <w:tab w:val="clear" w:pos="7892"/>
              <w:tab w:val="right" w:pos="9026" w:leader="dot"/>
            </w:tabs>
            <w:rPr/>
          </w:pPr>
          <w:hyperlink w:anchor="__RefHeading___Toc3731881_3804643083">
            <w:r>
              <w:rPr>
                <w:webHidden/>
                <w:rStyle w:val="IndexLink"/>
                <w:rtl w:val="true"/>
              </w:rPr>
              <w:t xml:space="preserve">فصل </w:t>
            </w:r>
            <w:r>
              <w:rPr>
                <w:rStyle w:val="IndexLink"/>
                <w:rtl w:val="true"/>
              </w:rPr>
              <w:t>[</w:t>
            </w:r>
            <w:r>
              <w:rPr>
                <w:rStyle w:val="IndexLink"/>
                <w:rtl w:val="true"/>
              </w:rPr>
              <w:t>الماء المسخّن بالنار</w:t>
            </w:r>
            <w:r>
              <w:rPr>
                <w:rStyle w:val="IndexLink"/>
                <w:rtl w:val="true"/>
              </w:rPr>
              <w:t>]</w:t>
              <w:tab/>
            </w:r>
            <w:r>
              <w:rPr>
                <w:rStyle w:val="IndexLink"/>
              </w:rPr>
              <w:t>73</w:t>
            </w:r>
          </w:hyperlink>
        </w:p>
        <w:p>
          <w:pPr>
            <w:pStyle w:val="Contents5"/>
            <w:tabs>
              <w:tab w:val="clear" w:pos="7892"/>
              <w:tab w:val="right" w:pos="9026" w:leader="dot"/>
            </w:tabs>
            <w:rPr/>
          </w:pPr>
          <w:hyperlink w:anchor="__RefHeading___Toc3731883_3804643083">
            <w:r>
              <w:rPr>
                <w:webHidden/>
                <w:rStyle w:val="IndexLink"/>
                <w:rtl w:val="true"/>
              </w:rPr>
              <w:t xml:space="preserve">فصل </w:t>
            </w:r>
            <w:r>
              <w:rPr>
                <w:rStyle w:val="IndexLink"/>
                <w:rtl w:val="true"/>
              </w:rPr>
              <w:t>[</w:t>
            </w:r>
            <w:r>
              <w:rPr>
                <w:rStyle w:val="IndexLink"/>
                <w:rtl w:val="true"/>
              </w:rPr>
              <w:t>ماء الحمات</w:t>
            </w:r>
            <w:r>
              <w:rPr>
                <w:rStyle w:val="IndexLink"/>
                <w:rtl w:val="true"/>
              </w:rPr>
              <w:t>]</w:t>
              <w:tab/>
            </w:r>
            <w:r>
              <w:rPr>
                <w:rStyle w:val="IndexLink"/>
              </w:rPr>
              <w:t>73</w:t>
            </w:r>
          </w:hyperlink>
        </w:p>
        <w:p>
          <w:pPr>
            <w:pStyle w:val="Contents3"/>
            <w:tabs>
              <w:tab w:val="clear" w:pos="8459"/>
              <w:tab w:val="right" w:pos="9026" w:leader="dot"/>
            </w:tabs>
            <w:rPr/>
          </w:pPr>
          <w:hyperlink w:anchor="__RefHeading___Toc3731885_3804643083">
            <w:r>
              <w:rPr>
                <w:webHidden/>
                <w:rStyle w:val="IndexLink"/>
                <w:rtl w:val="true"/>
              </w:rPr>
              <w:t>باب النجاسات و أحكامها</w:t>
            </w:r>
            <w:r>
              <w:rPr>
                <w:rStyle w:val="IndexLink"/>
                <w:rtl w:val="true"/>
              </w:rPr>
              <w:tab/>
            </w:r>
            <w:r>
              <w:rPr>
                <w:rStyle w:val="IndexLink"/>
              </w:rPr>
              <w:t>74</w:t>
            </w:r>
          </w:hyperlink>
        </w:p>
        <w:p>
          <w:pPr>
            <w:pStyle w:val="Contents4"/>
            <w:tabs>
              <w:tab w:val="clear" w:pos="8176"/>
              <w:tab w:val="right" w:pos="9026" w:leader="dot"/>
            </w:tabs>
            <w:rPr/>
          </w:pPr>
          <w:hyperlink w:anchor="__RefHeading___Toc3731887_3804643083">
            <w:r>
              <w:rPr>
                <w:webHidden/>
                <w:rStyle w:val="IndexLink"/>
                <w:rtl w:val="true"/>
              </w:rPr>
              <w:t>بحث أقسامها</w:t>
            </w:r>
            <w:r>
              <w:rPr>
                <w:rStyle w:val="IndexLink"/>
                <w:rtl w:val="true"/>
              </w:rPr>
              <w:tab/>
            </w:r>
            <w:r>
              <w:rPr>
                <w:rStyle w:val="IndexLink"/>
              </w:rPr>
              <w:t>74</w:t>
            </w:r>
          </w:hyperlink>
        </w:p>
        <w:p>
          <w:pPr>
            <w:pStyle w:val="Contents5"/>
            <w:tabs>
              <w:tab w:val="clear" w:pos="7892"/>
              <w:tab w:val="right" w:pos="9026" w:leader="dot"/>
            </w:tabs>
            <w:rPr/>
          </w:pPr>
          <w:hyperlink w:anchor="__RefHeading___Toc3731889_3804643083">
            <w:r>
              <w:rPr>
                <w:webHidden/>
                <w:rStyle w:val="IndexLink"/>
                <w:rtl w:val="true"/>
              </w:rPr>
              <w:t xml:space="preserve">فصل </w:t>
            </w:r>
            <w:r>
              <w:rPr>
                <w:rStyle w:val="IndexLink"/>
                <w:rtl w:val="true"/>
              </w:rPr>
              <w:t>[</w:t>
            </w:r>
            <w:r>
              <w:rPr>
                <w:rStyle w:val="IndexLink"/>
                <w:rtl w:val="true"/>
              </w:rPr>
              <w:t>حكم الأخبثين</w:t>
            </w:r>
            <w:r>
              <w:rPr>
                <w:rStyle w:val="IndexLink"/>
                <w:rtl w:val="true"/>
              </w:rPr>
              <w:t>]</w:t>
              <w:tab/>
            </w:r>
            <w:r>
              <w:rPr>
                <w:rStyle w:val="IndexLink"/>
              </w:rPr>
              <w:t>74</w:t>
            </w:r>
          </w:hyperlink>
        </w:p>
        <w:p>
          <w:pPr>
            <w:pStyle w:val="Contents6"/>
            <w:tabs>
              <w:tab w:val="clear" w:pos="7609"/>
              <w:tab w:val="right" w:pos="9026" w:leader="dot"/>
            </w:tabs>
            <w:rPr/>
          </w:pPr>
          <w:hyperlink w:anchor="__RefHeading___Toc3731891_380464308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731893_3804643083">
            <w:r>
              <w:rPr>
                <w:webHidden/>
                <w:rStyle w:val="IndexLink"/>
                <w:rtl w:val="true"/>
              </w:rPr>
              <w:t>[</w:t>
            </w:r>
            <w:r>
              <w:rPr>
                <w:rStyle w:val="IndexLink"/>
                <w:rtl w:val="true"/>
              </w:rPr>
              <w:t>حكم القي‌ء</w:t>
            </w:r>
            <w:r>
              <w:rPr>
                <w:rStyle w:val="IndexLink"/>
                <w:rtl w:val="true"/>
              </w:rPr>
              <w:t>]</w:t>
              <w:tab/>
            </w:r>
            <w:r>
              <w:rPr>
                <w:rStyle w:val="IndexLink"/>
              </w:rPr>
              <w:t>76</w:t>
            </w:r>
          </w:hyperlink>
        </w:p>
        <w:p>
          <w:pPr>
            <w:pStyle w:val="Contents5"/>
            <w:tabs>
              <w:tab w:val="clear" w:pos="7892"/>
              <w:tab w:val="right" w:pos="9026" w:leader="dot"/>
            </w:tabs>
            <w:rPr/>
          </w:pPr>
          <w:hyperlink w:anchor="__RefHeading___Toc3731895_3804643083">
            <w:r>
              <w:rPr>
                <w:webHidden/>
                <w:rStyle w:val="IndexLink"/>
                <w:rtl w:val="true"/>
              </w:rPr>
              <w:t xml:space="preserve">فصل </w:t>
            </w:r>
            <w:r>
              <w:rPr>
                <w:rStyle w:val="IndexLink"/>
                <w:rtl w:val="true"/>
              </w:rPr>
              <w:t>[</w:t>
            </w:r>
            <w:r>
              <w:rPr>
                <w:rStyle w:val="IndexLink"/>
                <w:rtl w:val="true"/>
              </w:rPr>
              <w:t>حكم المني</w:t>
            </w:r>
            <w:r>
              <w:rPr>
                <w:rStyle w:val="IndexLink"/>
                <w:rtl w:val="true"/>
              </w:rPr>
              <w:t>]</w:t>
              <w:tab/>
            </w:r>
            <w:r>
              <w:rPr>
                <w:rStyle w:val="IndexLink"/>
              </w:rPr>
              <w:t>76</w:t>
            </w:r>
          </w:hyperlink>
        </w:p>
        <w:p>
          <w:pPr>
            <w:pStyle w:val="Contents5"/>
            <w:tabs>
              <w:tab w:val="clear" w:pos="7892"/>
              <w:tab w:val="right" w:pos="9026" w:leader="dot"/>
            </w:tabs>
            <w:rPr/>
          </w:pPr>
          <w:hyperlink w:anchor="__RefHeading___Toc3731897_3804643083">
            <w:r>
              <w:rPr>
                <w:webHidden/>
                <w:rStyle w:val="IndexLink"/>
                <w:rtl w:val="true"/>
              </w:rPr>
              <w:t xml:space="preserve">فصل </w:t>
            </w:r>
            <w:r>
              <w:rPr>
                <w:rStyle w:val="IndexLink"/>
                <w:rtl w:val="true"/>
              </w:rPr>
              <w:t>[</w:t>
            </w:r>
            <w:r>
              <w:rPr>
                <w:rStyle w:val="IndexLink"/>
                <w:rtl w:val="true"/>
              </w:rPr>
              <w:t>حكم الدم</w:t>
            </w:r>
            <w:r>
              <w:rPr>
                <w:rStyle w:val="IndexLink"/>
                <w:rtl w:val="true"/>
              </w:rPr>
              <w:t>]</w:t>
              <w:tab/>
            </w:r>
            <w:r>
              <w:rPr>
                <w:rStyle w:val="IndexLink"/>
              </w:rPr>
              <w:t>77</w:t>
            </w:r>
          </w:hyperlink>
        </w:p>
        <w:p>
          <w:pPr>
            <w:pStyle w:val="Contents5"/>
            <w:tabs>
              <w:tab w:val="clear" w:pos="7892"/>
              <w:tab w:val="right" w:pos="9026" w:leader="dot"/>
            </w:tabs>
            <w:rPr/>
          </w:pPr>
          <w:hyperlink w:anchor="__RefHeading___Toc3731899_3804643083">
            <w:r>
              <w:rPr>
                <w:webHidden/>
                <w:rStyle w:val="IndexLink"/>
                <w:rtl w:val="true"/>
              </w:rPr>
              <w:t xml:space="preserve">فصل </w:t>
            </w:r>
            <w:r>
              <w:rPr>
                <w:rStyle w:val="IndexLink"/>
                <w:rtl w:val="true"/>
              </w:rPr>
              <w:t>[</w:t>
            </w:r>
            <w:r>
              <w:rPr>
                <w:rStyle w:val="IndexLink"/>
                <w:rtl w:val="true"/>
              </w:rPr>
              <w:t>حكم الميتة</w:t>
            </w:r>
            <w:r>
              <w:rPr>
                <w:rStyle w:val="IndexLink"/>
                <w:rtl w:val="true"/>
              </w:rPr>
              <w:t>]</w:t>
              <w:tab/>
            </w:r>
            <w:r>
              <w:rPr>
                <w:rStyle w:val="IndexLink"/>
              </w:rPr>
              <w:t>78</w:t>
            </w:r>
          </w:hyperlink>
        </w:p>
        <w:p>
          <w:pPr>
            <w:pStyle w:val="Contents5"/>
            <w:tabs>
              <w:tab w:val="clear" w:pos="7892"/>
              <w:tab w:val="right" w:pos="9026" w:leader="dot"/>
            </w:tabs>
            <w:rPr/>
          </w:pPr>
          <w:hyperlink w:anchor="__RefHeading___Toc3731901_3804643083">
            <w:r>
              <w:rPr>
                <w:webHidden/>
                <w:rStyle w:val="IndexLink"/>
                <w:rtl w:val="true"/>
              </w:rPr>
              <w:t xml:space="preserve">فصل </w:t>
            </w:r>
            <w:r>
              <w:rPr>
                <w:rStyle w:val="IndexLink"/>
                <w:rtl w:val="true"/>
              </w:rPr>
              <w:t>[</w:t>
            </w:r>
            <w:r>
              <w:rPr>
                <w:rStyle w:val="IndexLink"/>
                <w:rtl w:val="true"/>
              </w:rPr>
              <w:t>نجاسة الكلب و الخنزير</w:t>
            </w:r>
            <w:r>
              <w:rPr>
                <w:rStyle w:val="IndexLink"/>
                <w:rtl w:val="true"/>
              </w:rPr>
              <w:t>]</w:t>
              <w:tab/>
            </w:r>
            <w:r>
              <w:rPr>
                <w:rStyle w:val="IndexLink"/>
              </w:rPr>
              <w:t>81</w:t>
            </w:r>
          </w:hyperlink>
        </w:p>
        <w:p>
          <w:pPr>
            <w:pStyle w:val="Contents5"/>
            <w:tabs>
              <w:tab w:val="clear" w:pos="7892"/>
              <w:tab w:val="right" w:pos="9026" w:leader="dot"/>
            </w:tabs>
            <w:rPr/>
          </w:pPr>
          <w:hyperlink w:anchor="__RefHeading___Toc3731903_3804643083">
            <w:r>
              <w:rPr>
                <w:webHidden/>
                <w:rStyle w:val="IndexLink"/>
                <w:rtl w:val="true"/>
              </w:rPr>
              <w:t xml:space="preserve">فصل </w:t>
            </w:r>
            <w:r>
              <w:rPr>
                <w:rStyle w:val="IndexLink"/>
                <w:rtl w:val="true"/>
              </w:rPr>
              <w:t>[</w:t>
            </w:r>
            <w:r>
              <w:rPr>
                <w:rStyle w:val="IndexLink"/>
                <w:rtl w:val="true"/>
              </w:rPr>
              <w:t>نجاسة الخمر</w:t>
            </w:r>
            <w:r>
              <w:rPr>
                <w:rStyle w:val="IndexLink"/>
                <w:rtl w:val="true"/>
              </w:rPr>
              <w:t>]</w:t>
              <w:tab/>
            </w:r>
            <w:r>
              <w:rPr>
                <w:rStyle w:val="IndexLink"/>
              </w:rPr>
              <w:t>83</w:t>
            </w:r>
          </w:hyperlink>
        </w:p>
        <w:p>
          <w:pPr>
            <w:pStyle w:val="Contents5"/>
            <w:tabs>
              <w:tab w:val="clear" w:pos="7892"/>
              <w:tab w:val="right" w:pos="9026" w:leader="dot"/>
            </w:tabs>
            <w:rPr/>
          </w:pPr>
          <w:hyperlink w:anchor="__RefHeading___Toc3731905_3804643083">
            <w:r>
              <w:rPr>
                <w:webHidden/>
                <w:rStyle w:val="IndexLink"/>
                <w:rtl w:val="true"/>
              </w:rPr>
              <w:t xml:space="preserve">فصل </w:t>
            </w:r>
            <w:r>
              <w:rPr>
                <w:rStyle w:val="IndexLink"/>
                <w:rtl w:val="true"/>
              </w:rPr>
              <w:t>[</w:t>
            </w:r>
            <w:r>
              <w:rPr>
                <w:rStyle w:val="IndexLink"/>
                <w:rtl w:val="true"/>
              </w:rPr>
              <w:t>حكم الكافر و توابعه</w:t>
            </w:r>
            <w:r>
              <w:rPr>
                <w:rStyle w:val="IndexLink"/>
                <w:rtl w:val="true"/>
              </w:rPr>
              <w:t>]</w:t>
              <w:tab/>
            </w:r>
            <w:r>
              <w:rPr>
                <w:rStyle w:val="IndexLink"/>
              </w:rPr>
              <w:t>84</w:t>
            </w:r>
          </w:hyperlink>
        </w:p>
        <w:p>
          <w:pPr>
            <w:pStyle w:val="Contents5"/>
            <w:tabs>
              <w:tab w:val="clear" w:pos="7892"/>
              <w:tab w:val="right" w:pos="9026" w:leader="dot"/>
            </w:tabs>
            <w:rPr/>
          </w:pPr>
          <w:hyperlink w:anchor="__RefHeading___Toc3731907_3804643083">
            <w:r>
              <w:rPr>
                <w:webHidden/>
                <w:rStyle w:val="IndexLink"/>
                <w:rtl w:val="true"/>
              </w:rPr>
              <w:t>[</w:t>
            </w:r>
            <w:r>
              <w:rPr>
                <w:rStyle w:val="IndexLink"/>
                <w:rtl w:val="true"/>
              </w:rPr>
              <w:t>في أحكام متفرّقة</w:t>
            </w:r>
            <w:r>
              <w:rPr>
                <w:rStyle w:val="IndexLink"/>
                <w:rtl w:val="true"/>
              </w:rPr>
              <w:t>]</w:t>
              <w:tab/>
            </w:r>
            <w:r>
              <w:rPr>
                <w:rStyle w:val="IndexLink"/>
              </w:rPr>
              <w:t>86</w:t>
            </w:r>
          </w:hyperlink>
        </w:p>
        <w:p>
          <w:pPr>
            <w:pStyle w:val="Contents4"/>
            <w:tabs>
              <w:tab w:val="clear" w:pos="8176"/>
              <w:tab w:val="right" w:pos="9026" w:leader="dot"/>
            </w:tabs>
            <w:rPr/>
          </w:pPr>
          <w:hyperlink w:anchor="__RefHeading___Toc3731909_3804643083">
            <w:r>
              <w:rPr>
                <w:webHidden/>
                <w:rStyle w:val="IndexLink"/>
                <w:rtl w:val="true"/>
              </w:rPr>
              <w:t>بحث الاجتناب عنها في الصلاة و غيرها</w:t>
            </w:r>
            <w:r>
              <w:rPr>
                <w:rStyle w:val="IndexLink"/>
                <w:rtl w:val="true"/>
              </w:rPr>
              <w:tab/>
            </w:r>
            <w:r>
              <w:rPr>
                <w:rStyle w:val="IndexLink"/>
              </w:rPr>
              <w:t>88</w:t>
            </w:r>
          </w:hyperlink>
        </w:p>
        <w:p>
          <w:pPr>
            <w:pStyle w:val="Contents5"/>
            <w:tabs>
              <w:tab w:val="clear" w:pos="7892"/>
              <w:tab w:val="right" w:pos="9026" w:leader="dot"/>
            </w:tabs>
            <w:rPr/>
          </w:pPr>
          <w:hyperlink w:anchor="__RefHeading___Toc3731911_3804643083">
            <w:r>
              <w:rPr>
                <w:webHidden/>
                <w:rStyle w:val="IndexLink"/>
                <w:rtl w:val="true"/>
              </w:rPr>
              <w:t xml:space="preserve">فصل </w:t>
            </w:r>
            <w:r>
              <w:rPr>
                <w:rStyle w:val="IndexLink"/>
                <w:rtl w:val="true"/>
              </w:rPr>
              <w:t>[</w:t>
            </w:r>
            <w:r>
              <w:rPr>
                <w:rStyle w:val="IndexLink"/>
                <w:rtl w:val="true"/>
              </w:rPr>
              <w:t>موارد وجوب إزالة النجاسة</w:t>
            </w:r>
            <w:r>
              <w:rPr>
                <w:rStyle w:val="IndexLink"/>
                <w:rtl w:val="true"/>
              </w:rPr>
              <w:t>]</w:t>
              <w:tab/>
            </w:r>
            <w:r>
              <w:rPr>
                <w:rStyle w:val="IndexLink"/>
              </w:rPr>
              <w:t>88</w:t>
            </w:r>
          </w:hyperlink>
        </w:p>
        <w:p>
          <w:pPr>
            <w:pStyle w:val="Contents5"/>
            <w:tabs>
              <w:tab w:val="clear" w:pos="7892"/>
              <w:tab w:val="right" w:pos="9026" w:leader="dot"/>
            </w:tabs>
            <w:rPr/>
          </w:pPr>
          <w:hyperlink w:anchor="__RefHeading___Toc3731913_3804643083">
            <w:r>
              <w:rPr>
                <w:webHidden/>
                <w:rStyle w:val="IndexLink"/>
                <w:rtl w:val="true"/>
              </w:rPr>
              <w:t xml:space="preserve">فصل </w:t>
            </w:r>
            <w:r>
              <w:rPr>
                <w:rStyle w:val="IndexLink"/>
                <w:rtl w:val="true"/>
              </w:rPr>
              <w:t>[</w:t>
            </w:r>
            <w:r>
              <w:rPr>
                <w:rStyle w:val="IndexLink"/>
                <w:rtl w:val="true"/>
              </w:rPr>
              <w:t>في اشتباه النجس بالطاهر</w:t>
            </w:r>
            <w:r>
              <w:rPr>
                <w:rStyle w:val="IndexLink"/>
                <w:rtl w:val="true"/>
              </w:rPr>
              <w:t>]</w:t>
              <w:tab/>
            </w:r>
            <w:r>
              <w:rPr>
                <w:rStyle w:val="IndexLink"/>
              </w:rPr>
              <w:t>90</w:t>
            </w:r>
          </w:hyperlink>
        </w:p>
        <w:p>
          <w:pPr>
            <w:pStyle w:val="Contents5"/>
            <w:tabs>
              <w:tab w:val="clear" w:pos="7892"/>
              <w:tab w:val="right" w:pos="9026" w:leader="dot"/>
            </w:tabs>
            <w:rPr/>
          </w:pPr>
          <w:hyperlink w:anchor="__RefHeading___Toc3731915_3804643083">
            <w:r>
              <w:rPr>
                <w:webHidden/>
                <w:rStyle w:val="IndexLink"/>
                <w:rtl w:val="true"/>
              </w:rPr>
              <w:t xml:space="preserve">فصل </w:t>
            </w:r>
            <w:r>
              <w:rPr>
                <w:rStyle w:val="IndexLink"/>
                <w:rtl w:val="true"/>
              </w:rPr>
              <w:t>[</w:t>
            </w:r>
            <w:r>
              <w:rPr>
                <w:rStyle w:val="IndexLink"/>
                <w:rtl w:val="true"/>
              </w:rPr>
              <w:t>العفو عن دم الجرح</w:t>
            </w:r>
            <w:r>
              <w:rPr>
                <w:rStyle w:val="IndexLink"/>
                <w:rtl w:val="true"/>
              </w:rPr>
              <w:t>]</w:t>
              <w:tab/>
            </w:r>
            <w:r>
              <w:rPr>
                <w:rStyle w:val="IndexLink"/>
              </w:rPr>
              <w:t>91</w:t>
            </w:r>
          </w:hyperlink>
        </w:p>
        <w:p>
          <w:pPr>
            <w:pStyle w:val="Contents5"/>
            <w:tabs>
              <w:tab w:val="clear" w:pos="7892"/>
              <w:tab w:val="right" w:pos="9026" w:leader="dot"/>
            </w:tabs>
            <w:rPr/>
          </w:pPr>
          <w:hyperlink w:anchor="__RefHeading___Toc3731917_3804643083">
            <w:r>
              <w:rPr>
                <w:webHidden/>
                <w:rStyle w:val="IndexLink"/>
                <w:rtl w:val="true"/>
              </w:rPr>
              <w:t xml:space="preserve">فصل </w:t>
            </w:r>
            <w:r>
              <w:rPr>
                <w:rStyle w:val="IndexLink"/>
                <w:rtl w:val="true"/>
              </w:rPr>
              <w:t>[</w:t>
            </w:r>
            <w:r>
              <w:rPr>
                <w:rStyle w:val="IndexLink"/>
                <w:rtl w:val="true"/>
              </w:rPr>
              <w:t>العفو عمّا دون الدرهم</w:t>
            </w:r>
            <w:r>
              <w:rPr>
                <w:rStyle w:val="IndexLink"/>
                <w:rtl w:val="true"/>
              </w:rPr>
              <w:t>]</w:t>
              <w:tab/>
            </w:r>
            <w:r>
              <w:rPr>
                <w:rStyle w:val="IndexLink"/>
              </w:rPr>
              <w:t>92</w:t>
            </w:r>
          </w:hyperlink>
        </w:p>
        <w:p>
          <w:pPr>
            <w:pStyle w:val="Contents5"/>
            <w:tabs>
              <w:tab w:val="clear" w:pos="7892"/>
              <w:tab w:val="right" w:pos="9026" w:leader="dot"/>
            </w:tabs>
            <w:rPr/>
          </w:pPr>
          <w:hyperlink w:anchor="__RefHeading___Toc3731919_3804643083">
            <w:r>
              <w:rPr>
                <w:webHidden/>
                <w:rStyle w:val="IndexLink"/>
                <w:rtl w:val="true"/>
              </w:rPr>
              <w:t xml:space="preserve">فصل </w:t>
            </w:r>
            <w:r>
              <w:rPr>
                <w:rStyle w:val="IndexLink"/>
                <w:rtl w:val="true"/>
              </w:rPr>
              <w:t>[</w:t>
            </w:r>
            <w:r>
              <w:rPr>
                <w:rStyle w:val="IndexLink"/>
                <w:rtl w:val="true"/>
              </w:rPr>
              <w:t>العفو عن نجاسة ما لا تتم فيه الصلاة</w:t>
            </w:r>
            <w:r>
              <w:rPr>
                <w:rStyle w:val="IndexLink"/>
                <w:rtl w:val="true"/>
              </w:rPr>
              <w:t>]</w:t>
              <w:tab/>
            </w:r>
            <w:r>
              <w:rPr>
                <w:rStyle w:val="IndexLink"/>
              </w:rPr>
              <w:t>95</w:t>
            </w:r>
          </w:hyperlink>
        </w:p>
        <w:p>
          <w:pPr>
            <w:pStyle w:val="Contents5"/>
            <w:tabs>
              <w:tab w:val="clear" w:pos="7892"/>
              <w:tab w:val="right" w:pos="9026" w:leader="dot"/>
            </w:tabs>
            <w:rPr/>
          </w:pPr>
          <w:hyperlink w:anchor="__RefHeading___Toc3731921_3804643083">
            <w:r>
              <w:rPr>
                <w:webHidden/>
                <w:rStyle w:val="IndexLink"/>
                <w:rtl w:val="true"/>
              </w:rPr>
              <w:t xml:space="preserve">فصل </w:t>
            </w:r>
            <w:r>
              <w:rPr>
                <w:rStyle w:val="IndexLink"/>
                <w:rtl w:val="true"/>
              </w:rPr>
              <w:t>[</w:t>
            </w:r>
            <w:r>
              <w:rPr>
                <w:rStyle w:val="IndexLink"/>
                <w:rtl w:val="true"/>
              </w:rPr>
              <w:t>حكم المصلّي مع النجاسة</w:t>
            </w:r>
            <w:r>
              <w:rPr>
                <w:rStyle w:val="IndexLink"/>
                <w:rtl w:val="true"/>
              </w:rPr>
              <w:t>]</w:t>
              <w:tab/>
            </w:r>
            <w:r>
              <w:rPr>
                <w:rStyle w:val="IndexLink"/>
              </w:rPr>
              <w:t>97</w:t>
            </w:r>
          </w:hyperlink>
        </w:p>
        <w:p>
          <w:pPr>
            <w:pStyle w:val="Contents5"/>
            <w:tabs>
              <w:tab w:val="clear" w:pos="7892"/>
              <w:tab w:val="right" w:pos="9026" w:leader="dot"/>
            </w:tabs>
            <w:rPr/>
          </w:pPr>
          <w:hyperlink w:anchor="__RefHeading___Toc3731923_3804643083">
            <w:r>
              <w:rPr>
                <w:webHidden/>
                <w:rStyle w:val="IndexLink"/>
                <w:rtl w:val="true"/>
              </w:rPr>
              <w:t xml:space="preserve">فصل </w:t>
            </w:r>
            <w:r>
              <w:rPr>
                <w:rStyle w:val="IndexLink"/>
                <w:rtl w:val="true"/>
              </w:rPr>
              <w:t>[</w:t>
            </w:r>
            <w:r>
              <w:rPr>
                <w:rStyle w:val="IndexLink"/>
                <w:rtl w:val="true"/>
              </w:rPr>
              <w:t>حكم ذي الثوب النجس</w:t>
            </w:r>
            <w:r>
              <w:rPr>
                <w:rStyle w:val="IndexLink"/>
                <w:rtl w:val="true"/>
              </w:rPr>
              <w:t>]</w:t>
              <w:tab/>
            </w:r>
            <w:r>
              <w:rPr>
                <w:rStyle w:val="IndexLink"/>
              </w:rPr>
              <w:t>99</w:t>
            </w:r>
          </w:hyperlink>
        </w:p>
        <w:p>
          <w:pPr>
            <w:pStyle w:val="Contents6"/>
            <w:tabs>
              <w:tab w:val="clear" w:pos="7609"/>
              <w:tab w:val="right" w:pos="9026" w:leader="dot"/>
            </w:tabs>
            <w:rPr/>
          </w:pPr>
          <w:hyperlink w:anchor="__RefHeading___Toc3731925_3804643083">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3731927_3804643083">
            <w:r>
              <w:rPr>
                <w:webHidden/>
                <w:rStyle w:val="IndexLink"/>
                <w:rtl w:val="true"/>
              </w:rPr>
              <w:t>[</w:t>
            </w:r>
            <w:r>
              <w:rPr>
                <w:rStyle w:val="IndexLink"/>
                <w:rtl w:val="true"/>
              </w:rPr>
              <w:t>المعفوّ من نجاسة البدن</w:t>
            </w:r>
            <w:r>
              <w:rPr>
                <w:rStyle w:val="IndexLink"/>
                <w:rtl w:val="true"/>
              </w:rPr>
              <w:t>]</w:t>
              <w:tab/>
            </w:r>
            <w:r>
              <w:rPr>
                <w:rStyle w:val="IndexLink"/>
              </w:rPr>
              <w:t>100</w:t>
            </w:r>
          </w:hyperlink>
        </w:p>
        <w:p>
          <w:pPr>
            <w:pStyle w:val="Contents5"/>
            <w:tabs>
              <w:tab w:val="clear" w:pos="7892"/>
              <w:tab w:val="right" w:pos="9026" w:leader="dot"/>
            </w:tabs>
            <w:rPr/>
          </w:pPr>
          <w:hyperlink w:anchor="__RefHeading___Toc3731929_3804643083">
            <w:r>
              <w:rPr>
                <w:webHidden/>
                <w:rStyle w:val="IndexLink"/>
                <w:rtl w:val="true"/>
              </w:rPr>
              <w:t xml:space="preserve">فصل </w:t>
            </w:r>
            <w:r>
              <w:rPr>
                <w:rStyle w:val="IndexLink"/>
                <w:rtl w:val="true"/>
              </w:rPr>
              <w:t>[</w:t>
            </w:r>
            <w:r>
              <w:rPr>
                <w:rStyle w:val="IndexLink"/>
                <w:rtl w:val="true"/>
              </w:rPr>
              <w:t>حكم من اشتبه ثوباه</w:t>
            </w:r>
            <w:r>
              <w:rPr>
                <w:rStyle w:val="IndexLink"/>
                <w:rtl w:val="true"/>
              </w:rPr>
              <w:t>]</w:t>
              <w:tab/>
            </w:r>
            <w:r>
              <w:rPr>
                <w:rStyle w:val="IndexLink"/>
              </w:rPr>
              <w:t>101</w:t>
            </w:r>
          </w:hyperlink>
        </w:p>
        <w:p>
          <w:pPr>
            <w:pStyle w:val="Contents4"/>
            <w:tabs>
              <w:tab w:val="clear" w:pos="8176"/>
              <w:tab w:val="right" w:pos="9026" w:leader="dot"/>
            </w:tabs>
            <w:rPr/>
          </w:pPr>
          <w:hyperlink w:anchor="__RefHeading___Toc3731931_3804643083">
            <w:r>
              <w:rPr>
                <w:webHidden/>
                <w:rStyle w:val="IndexLink"/>
                <w:rtl w:val="true"/>
              </w:rPr>
              <w:t>بحث كيفيّة الإزالة</w:t>
            </w:r>
            <w:r>
              <w:rPr>
                <w:rStyle w:val="IndexLink"/>
                <w:rtl w:val="true"/>
              </w:rPr>
              <w:tab/>
            </w:r>
            <w:r>
              <w:rPr>
                <w:rStyle w:val="IndexLink"/>
              </w:rPr>
              <w:t>103</w:t>
            </w:r>
          </w:hyperlink>
        </w:p>
        <w:p>
          <w:pPr>
            <w:pStyle w:val="Contents5"/>
            <w:tabs>
              <w:tab w:val="clear" w:pos="7892"/>
              <w:tab w:val="right" w:pos="9026" w:leader="dot"/>
            </w:tabs>
            <w:rPr/>
          </w:pPr>
          <w:hyperlink w:anchor="__RefHeading___Toc3731933_3804643083">
            <w:r>
              <w:rPr>
                <w:webHidden/>
                <w:rStyle w:val="IndexLink"/>
                <w:rtl w:val="true"/>
              </w:rPr>
              <w:t xml:space="preserve">فصل </w:t>
            </w:r>
            <w:r>
              <w:rPr>
                <w:rStyle w:val="IndexLink"/>
                <w:rtl w:val="true"/>
              </w:rPr>
              <w:t>[</w:t>
            </w:r>
            <w:r>
              <w:rPr>
                <w:rStyle w:val="IndexLink"/>
                <w:rtl w:val="true"/>
              </w:rPr>
              <w:t>عصر و دلك الثوب المغسول</w:t>
            </w:r>
            <w:r>
              <w:rPr>
                <w:rStyle w:val="IndexLink"/>
                <w:rtl w:val="true"/>
              </w:rPr>
              <w:t>]</w:t>
              <w:tab/>
            </w:r>
            <w:r>
              <w:rPr>
                <w:rStyle w:val="IndexLink"/>
              </w:rPr>
              <w:t>103</w:t>
            </w:r>
          </w:hyperlink>
        </w:p>
        <w:p>
          <w:pPr>
            <w:pStyle w:val="Contents5"/>
            <w:tabs>
              <w:tab w:val="clear" w:pos="7892"/>
              <w:tab w:val="right" w:pos="9026" w:leader="dot"/>
            </w:tabs>
            <w:rPr/>
          </w:pPr>
          <w:hyperlink w:anchor="__RefHeading___Toc3731935_3804643083">
            <w:r>
              <w:rPr>
                <w:webHidden/>
                <w:rStyle w:val="IndexLink"/>
                <w:rtl w:val="true"/>
              </w:rPr>
              <w:t xml:space="preserve">فصل </w:t>
            </w:r>
            <w:r>
              <w:rPr>
                <w:rStyle w:val="IndexLink"/>
                <w:rtl w:val="true"/>
              </w:rPr>
              <w:t>[</w:t>
            </w:r>
            <w:r>
              <w:rPr>
                <w:rStyle w:val="IndexLink"/>
                <w:rtl w:val="true"/>
              </w:rPr>
              <w:t>تطهير الثوب و البدن من البول</w:t>
            </w:r>
            <w:r>
              <w:rPr>
                <w:rStyle w:val="IndexLink"/>
                <w:rtl w:val="true"/>
              </w:rPr>
              <w:t>]</w:t>
              <w:tab/>
            </w:r>
            <w:r>
              <w:rPr>
                <w:rStyle w:val="IndexLink"/>
              </w:rPr>
              <w:t>105</w:t>
            </w:r>
          </w:hyperlink>
        </w:p>
        <w:p>
          <w:pPr>
            <w:pStyle w:val="Contents6"/>
            <w:tabs>
              <w:tab w:val="clear" w:pos="7609"/>
              <w:tab w:val="right" w:pos="9026" w:leader="dot"/>
            </w:tabs>
            <w:rPr/>
          </w:pPr>
          <w:hyperlink w:anchor="__RefHeading___Toc3731937_380464308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31939_3804643083">
            <w:r>
              <w:rPr>
                <w:webHidden/>
                <w:rStyle w:val="IndexLink"/>
                <w:rtl w:val="true"/>
              </w:rPr>
              <w:t xml:space="preserve">فصل </w:t>
            </w:r>
            <w:r>
              <w:rPr>
                <w:rStyle w:val="IndexLink"/>
                <w:rtl w:val="true"/>
              </w:rPr>
              <w:t>[</w:t>
            </w:r>
            <w:r>
              <w:rPr>
                <w:rStyle w:val="IndexLink"/>
                <w:rtl w:val="true"/>
              </w:rPr>
              <w:t>تطهير ثوب المربّية</w:t>
            </w:r>
            <w:r>
              <w:rPr>
                <w:rStyle w:val="IndexLink"/>
                <w:rtl w:val="true"/>
              </w:rPr>
              <w:t>]</w:t>
              <w:tab/>
            </w:r>
            <w:r>
              <w:rPr>
                <w:rStyle w:val="IndexLink"/>
              </w:rPr>
              <w:t>108</w:t>
            </w:r>
          </w:hyperlink>
        </w:p>
        <w:p>
          <w:pPr>
            <w:pStyle w:val="Contents5"/>
            <w:tabs>
              <w:tab w:val="clear" w:pos="7892"/>
              <w:tab w:val="right" w:pos="9026" w:leader="dot"/>
            </w:tabs>
            <w:rPr/>
          </w:pPr>
          <w:hyperlink w:anchor="__RefHeading___Toc3731941_3804643083">
            <w:r>
              <w:rPr>
                <w:webHidden/>
                <w:rStyle w:val="IndexLink"/>
                <w:rtl w:val="true"/>
              </w:rPr>
              <w:t>[</w:t>
            </w:r>
            <w:r>
              <w:rPr>
                <w:rStyle w:val="IndexLink"/>
                <w:rtl w:val="true"/>
              </w:rPr>
              <w:t>إزالة النجاسة بالقليل</w:t>
            </w:r>
            <w:r>
              <w:rPr>
                <w:rStyle w:val="IndexLink"/>
                <w:rtl w:val="true"/>
              </w:rPr>
              <w:t>]</w:t>
              <w:tab/>
            </w:r>
            <w:r>
              <w:rPr>
                <w:rStyle w:val="IndexLink"/>
              </w:rPr>
              <w:t>109</w:t>
            </w:r>
          </w:hyperlink>
        </w:p>
        <w:p>
          <w:pPr>
            <w:pStyle w:val="Contents5"/>
            <w:tabs>
              <w:tab w:val="clear" w:pos="7892"/>
              <w:tab w:val="right" w:pos="9026" w:leader="dot"/>
            </w:tabs>
            <w:rPr/>
          </w:pPr>
          <w:hyperlink w:anchor="__RefHeading___Toc3731943_3804643083">
            <w:r>
              <w:rPr>
                <w:webHidden/>
                <w:rStyle w:val="IndexLink"/>
                <w:rtl w:val="true"/>
              </w:rPr>
              <w:t xml:space="preserve">فصل </w:t>
            </w:r>
            <w:r>
              <w:rPr>
                <w:rStyle w:val="IndexLink"/>
                <w:rtl w:val="true"/>
              </w:rPr>
              <w:t>[</w:t>
            </w:r>
            <w:r>
              <w:rPr>
                <w:rStyle w:val="IndexLink"/>
                <w:rtl w:val="true"/>
              </w:rPr>
              <w:t>تطهير الأرض و بعض المتنجّسات</w:t>
            </w:r>
            <w:r>
              <w:rPr>
                <w:rStyle w:val="IndexLink"/>
                <w:rtl w:val="true"/>
              </w:rPr>
              <w:t>]</w:t>
              <w:tab/>
            </w:r>
            <w:r>
              <w:rPr>
                <w:rStyle w:val="IndexLink"/>
              </w:rPr>
              <w:t>110</w:t>
            </w:r>
          </w:hyperlink>
        </w:p>
        <w:p>
          <w:pPr>
            <w:pStyle w:val="Contents5"/>
            <w:tabs>
              <w:tab w:val="clear" w:pos="7892"/>
              <w:tab w:val="right" w:pos="9026" w:leader="dot"/>
            </w:tabs>
            <w:rPr/>
          </w:pPr>
          <w:hyperlink w:anchor="__RefHeading___Toc3731945_3804643083">
            <w:r>
              <w:rPr>
                <w:webHidden/>
                <w:rStyle w:val="IndexLink"/>
                <w:rtl w:val="true"/>
              </w:rPr>
              <w:t xml:space="preserve">فصل </w:t>
            </w:r>
            <w:r>
              <w:rPr>
                <w:rStyle w:val="IndexLink"/>
                <w:rtl w:val="true"/>
              </w:rPr>
              <w:t>[</w:t>
            </w:r>
            <w:r>
              <w:rPr>
                <w:rStyle w:val="IndexLink"/>
                <w:rtl w:val="true"/>
              </w:rPr>
              <w:t>تطهير الأواني من الخمر و الفأرة</w:t>
            </w:r>
            <w:r>
              <w:rPr>
                <w:rStyle w:val="IndexLink"/>
                <w:rtl w:val="true"/>
              </w:rPr>
              <w:t>]</w:t>
              <w:tab/>
            </w:r>
            <w:r>
              <w:rPr>
                <w:rStyle w:val="IndexLink"/>
              </w:rPr>
              <w:t>112</w:t>
            </w:r>
          </w:hyperlink>
        </w:p>
        <w:p>
          <w:pPr>
            <w:pStyle w:val="Contents5"/>
            <w:tabs>
              <w:tab w:val="clear" w:pos="7892"/>
              <w:tab w:val="right" w:pos="9026" w:leader="dot"/>
            </w:tabs>
            <w:rPr/>
          </w:pPr>
          <w:hyperlink w:anchor="__RefHeading___Toc3731947_3804643083">
            <w:r>
              <w:rPr>
                <w:webHidden/>
                <w:rStyle w:val="IndexLink"/>
                <w:rtl w:val="true"/>
              </w:rPr>
              <w:t xml:space="preserve">فصل </w:t>
            </w:r>
            <w:r>
              <w:rPr>
                <w:rStyle w:val="IndexLink"/>
                <w:rtl w:val="true"/>
              </w:rPr>
              <w:t>[</w:t>
            </w:r>
            <w:r>
              <w:rPr>
                <w:rStyle w:val="IndexLink"/>
                <w:rtl w:val="true"/>
              </w:rPr>
              <w:t>ولوغ الكلب</w:t>
            </w:r>
            <w:r>
              <w:rPr>
                <w:rStyle w:val="IndexLink"/>
                <w:rtl w:val="true"/>
              </w:rPr>
              <w:t>]</w:t>
              <w:tab/>
            </w:r>
            <w:r>
              <w:rPr>
                <w:rStyle w:val="IndexLink"/>
              </w:rPr>
              <w:t>113</w:t>
            </w:r>
          </w:hyperlink>
        </w:p>
        <w:p>
          <w:pPr>
            <w:pStyle w:val="Contents5"/>
            <w:tabs>
              <w:tab w:val="clear" w:pos="7892"/>
              <w:tab w:val="right" w:pos="9026" w:leader="dot"/>
            </w:tabs>
            <w:rPr/>
          </w:pPr>
          <w:hyperlink w:anchor="__RefHeading___Toc3731949_3804643083">
            <w:r>
              <w:rPr>
                <w:webHidden/>
                <w:rStyle w:val="IndexLink"/>
                <w:rtl w:val="true"/>
              </w:rPr>
              <w:t xml:space="preserve">فصل </w:t>
            </w:r>
            <w:r>
              <w:rPr>
                <w:rStyle w:val="IndexLink"/>
                <w:rtl w:val="true"/>
              </w:rPr>
              <w:t>[</w:t>
            </w:r>
            <w:r>
              <w:rPr>
                <w:rStyle w:val="IndexLink"/>
                <w:rtl w:val="true"/>
              </w:rPr>
              <w:t>تطهير الآنية و الثياب</w:t>
            </w:r>
            <w:r>
              <w:rPr>
                <w:rStyle w:val="IndexLink"/>
                <w:rtl w:val="true"/>
              </w:rPr>
              <w:t>]</w:t>
              <w:tab/>
            </w:r>
            <w:r>
              <w:rPr>
                <w:rStyle w:val="IndexLink"/>
              </w:rPr>
              <w:t>117</w:t>
            </w:r>
          </w:hyperlink>
        </w:p>
        <w:p>
          <w:pPr>
            <w:pStyle w:val="Contents3"/>
            <w:tabs>
              <w:tab w:val="clear" w:pos="8459"/>
              <w:tab w:val="right" w:pos="9026" w:leader="dot"/>
            </w:tabs>
            <w:rPr/>
          </w:pPr>
          <w:hyperlink w:anchor="__RefHeading___Toc3731951_3804643083">
            <w:r>
              <w:rPr>
                <w:webHidden/>
                <w:rStyle w:val="IndexLink"/>
                <w:rtl w:val="true"/>
              </w:rPr>
              <w:t>باب في المطهّرات</w:t>
            </w:r>
            <w:r>
              <w:rPr>
                <w:rStyle w:val="IndexLink"/>
                <w:rtl w:val="true"/>
              </w:rPr>
              <w:tab/>
            </w:r>
            <w:r>
              <w:rPr>
                <w:rStyle w:val="IndexLink"/>
              </w:rPr>
              <w:t>120</w:t>
            </w:r>
          </w:hyperlink>
        </w:p>
        <w:p>
          <w:pPr>
            <w:pStyle w:val="Contents4"/>
            <w:tabs>
              <w:tab w:val="clear" w:pos="8176"/>
              <w:tab w:val="right" w:pos="9026" w:leader="dot"/>
            </w:tabs>
            <w:rPr/>
          </w:pPr>
          <w:hyperlink w:anchor="__RefHeading___Toc3731953_3804643083">
            <w:r>
              <w:rPr>
                <w:webHidden/>
                <w:rStyle w:val="IndexLink"/>
                <w:rtl w:val="true"/>
              </w:rPr>
              <w:t xml:space="preserve">فصل </w:t>
            </w:r>
            <w:r>
              <w:rPr>
                <w:rStyle w:val="IndexLink"/>
                <w:rtl w:val="true"/>
              </w:rPr>
              <w:t>[</w:t>
            </w:r>
            <w:r>
              <w:rPr>
                <w:rStyle w:val="IndexLink"/>
                <w:rtl w:val="true"/>
              </w:rPr>
              <w:t>مطهّريّة الشمس</w:t>
            </w:r>
            <w:r>
              <w:rPr>
                <w:rStyle w:val="IndexLink"/>
                <w:rtl w:val="true"/>
              </w:rPr>
              <w:t>]</w:t>
              <w:tab/>
            </w:r>
            <w:r>
              <w:rPr>
                <w:rStyle w:val="IndexLink"/>
              </w:rPr>
              <w:t>120</w:t>
            </w:r>
          </w:hyperlink>
        </w:p>
        <w:p>
          <w:pPr>
            <w:pStyle w:val="Contents4"/>
            <w:tabs>
              <w:tab w:val="clear" w:pos="8176"/>
              <w:tab w:val="right" w:pos="9026" w:leader="dot"/>
            </w:tabs>
            <w:rPr/>
          </w:pPr>
          <w:hyperlink w:anchor="__RefHeading___Toc3731955_3804643083">
            <w:r>
              <w:rPr>
                <w:webHidden/>
                <w:rStyle w:val="IndexLink"/>
                <w:rtl w:val="true"/>
              </w:rPr>
              <w:t xml:space="preserve">فصل </w:t>
            </w:r>
            <w:r>
              <w:rPr>
                <w:rStyle w:val="IndexLink"/>
                <w:rtl w:val="true"/>
              </w:rPr>
              <w:t>[</w:t>
            </w:r>
            <w:r>
              <w:rPr>
                <w:rStyle w:val="IndexLink"/>
                <w:rtl w:val="true"/>
              </w:rPr>
              <w:t>مطهّريّة الأرض</w:t>
            </w:r>
            <w:r>
              <w:rPr>
                <w:rStyle w:val="IndexLink"/>
                <w:rtl w:val="true"/>
              </w:rPr>
              <w:t>]</w:t>
              <w:tab/>
            </w:r>
            <w:r>
              <w:rPr>
                <w:rStyle w:val="IndexLink"/>
              </w:rPr>
              <w:t>122</w:t>
            </w:r>
          </w:hyperlink>
        </w:p>
        <w:p>
          <w:pPr>
            <w:pStyle w:val="Contents4"/>
            <w:tabs>
              <w:tab w:val="clear" w:pos="8176"/>
              <w:tab w:val="right" w:pos="9026" w:leader="dot"/>
            </w:tabs>
            <w:rPr/>
          </w:pPr>
          <w:hyperlink w:anchor="__RefHeading___Toc3731957_3804643083">
            <w:r>
              <w:rPr>
                <w:webHidden/>
                <w:rStyle w:val="IndexLink"/>
                <w:rtl w:val="true"/>
              </w:rPr>
              <w:t xml:space="preserve">فصل </w:t>
            </w:r>
            <w:r>
              <w:rPr>
                <w:rStyle w:val="IndexLink"/>
                <w:rtl w:val="true"/>
              </w:rPr>
              <w:t>[</w:t>
            </w:r>
            <w:r>
              <w:rPr>
                <w:rStyle w:val="IndexLink"/>
                <w:rtl w:val="true"/>
              </w:rPr>
              <w:t>مطهّريّة النار</w:t>
            </w:r>
            <w:r>
              <w:rPr>
                <w:rStyle w:val="IndexLink"/>
                <w:rtl w:val="true"/>
              </w:rPr>
              <w:t>]</w:t>
              <w:tab/>
            </w:r>
            <w:r>
              <w:rPr>
                <w:rStyle w:val="IndexLink"/>
              </w:rPr>
              <w:t>123</w:t>
            </w:r>
          </w:hyperlink>
        </w:p>
        <w:p>
          <w:pPr>
            <w:pStyle w:val="Contents4"/>
            <w:tabs>
              <w:tab w:val="clear" w:pos="8176"/>
              <w:tab w:val="right" w:pos="9026" w:leader="dot"/>
            </w:tabs>
            <w:rPr/>
          </w:pPr>
          <w:hyperlink w:anchor="__RefHeading___Toc3731959_3804643083">
            <w:r>
              <w:rPr>
                <w:webHidden/>
                <w:rStyle w:val="IndexLink"/>
                <w:rtl w:val="true"/>
              </w:rPr>
              <w:t xml:space="preserve">فصل </w:t>
            </w:r>
            <w:r>
              <w:rPr>
                <w:rStyle w:val="IndexLink"/>
                <w:rtl w:val="true"/>
              </w:rPr>
              <w:t>[</w:t>
            </w:r>
            <w:r>
              <w:rPr>
                <w:rStyle w:val="IndexLink"/>
                <w:rtl w:val="true"/>
              </w:rPr>
              <w:t>الاستحالة المطهّرة</w:t>
            </w:r>
            <w:r>
              <w:rPr>
                <w:rStyle w:val="IndexLink"/>
                <w:rtl w:val="true"/>
              </w:rPr>
              <w:t>]</w:t>
              <w:tab/>
            </w:r>
            <w:r>
              <w:rPr>
                <w:rStyle w:val="IndexLink"/>
              </w:rPr>
              <w:t>125</w:t>
            </w:r>
          </w:hyperlink>
        </w:p>
        <w:p>
          <w:pPr>
            <w:pStyle w:val="Contents4"/>
            <w:tabs>
              <w:tab w:val="clear" w:pos="8176"/>
              <w:tab w:val="right" w:pos="9026" w:leader="dot"/>
            </w:tabs>
            <w:rPr/>
          </w:pPr>
          <w:hyperlink w:anchor="__RefHeading___Toc3731961_3804643083">
            <w:r>
              <w:rPr>
                <w:webHidden/>
                <w:rStyle w:val="IndexLink"/>
                <w:rtl w:val="true"/>
              </w:rPr>
              <w:t xml:space="preserve">فصل </w:t>
            </w:r>
            <w:r>
              <w:rPr>
                <w:rStyle w:val="IndexLink"/>
                <w:rtl w:val="true"/>
              </w:rPr>
              <w:t>[</w:t>
            </w:r>
            <w:r>
              <w:rPr>
                <w:rStyle w:val="IndexLink"/>
                <w:rtl w:val="true"/>
              </w:rPr>
              <w:t>أحكام الجلود</w:t>
            </w:r>
            <w:r>
              <w:rPr>
                <w:rStyle w:val="IndexLink"/>
                <w:rtl w:val="true"/>
              </w:rPr>
              <w:t>]</w:t>
              <w:tab/>
            </w:r>
            <w:r>
              <w:rPr>
                <w:rStyle w:val="IndexLink"/>
              </w:rPr>
              <w:t>127</w:t>
            </w:r>
          </w:hyperlink>
        </w:p>
        <w:p>
          <w:pPr>
            <w:pStyle w:val="Contents4"/>
            <w:tabs>
              <w:tab w:val="clear" w:pos="8176"/>
              <w:tab w:val="right" w:pos="9026" w:leader="dot"/>
            </w:tabs>
            <w:rPr/>
          </w:pPr>
          <w:hyperlink w:anchor="__RefHeading___Toc3731963_3804643083">
            <w:r>
              <w:rPr>
                <w:webHidden/>
                <w:rStyle w:val="IndexLink"/>
                <w:rtl w:val="true"/>
              </w:rPr>
              <w:t xml:space="preserve">فصل </w:t>
            </w:r>
            <w:r>
              <w:rPr>
                <w:rStyle w:val="IndexLink"/>
                <w:rtl w:val="true"/>
              </w:rPr>
              <w:t>[</w:t>
            </w:r>
            <w:r>
              <w:rPr>
                <w:rStyle w:val="IndexLink"/>
                <w:rtl w:val="true"/>
              </w:rPr>
              <w:t>تطهير الأجسام الصقيلة</w:t>
            </w:r>
            <w:r>
              <w:rPr>
                <w:rStyle w:val="IndexLink"/>
                <w:rtl w:val="true"/>
              </w:rPr>
              <w:t>]</w:t>
              <w:tab/>
            </w:r>
            <w:r>
              <w:rPr>
                <w:rStyle w:val="IndexLink"/>
              </w:rPr>
              <w:t>129</w:t>
            </w:r>
          </w:hyperlink>
        </w:p>
        <w:p>
          <w:pPr>
            <w:pStyle w:val="Contents4"/>
            <w:tabs>
              <w:tab w:val="clear" w:pos="8176"/>
              <w:tab w:val="right" w:pos="9026" w:leader="dot"/>
            </w:tabs>
            <w:rPr/>
          </w:pPr>
          <w:hyperlink w:anchor="__RefHeading___Toc3731965_3804643083">
            <w:r>
              <w:rPr>
                <w:webHidden/>
                <w:rStyle w:val="IndexLink"/>
                <w:rtl w:val="true"/>
              </w:rPr>
              <w:t xml:space="preserve">ختام </w:t>
            </w:r>
            <w:r>
              <w:rPr>
                <w:rStyle w:val="IndexLink"/>
                <w:rtl w:val="true"/>
              </w:rPr>
              <w:t>[</w:t>
            </w:r>
            <w:r>
              <w:rPr>
                <w:rStyle w:val="IndexLink"/>
                <w:rtl w:val="true"/>
              </w:rPr>
              <w:t>أواني الذهب و الفضّة</w:t>
            </w:r>
            <w:r>
              <w:rPr>
                <w:rStyle w:val="IndexLink"/>
                <w:rtl w:val="true"/>
              </w:rPr>
              <w:t>]</w:t>
              <w:tab/>
            </w:r>
            <w:r>
              <w:rPr>
                <w:rStyle w:val="IndexLink"/>
              </w:rPr>
              <w:t>131</w:t>
            </w:r>
          </w:hyperlink>
        </w:p>
        <w:p>
          <w:pPr>
            <w:pStyle w:val="Contents3"/>
            <w:tabs>
              <w:tab w:val="clear" w:pos="8459"/>
              <w:tab w:val="right" w:pos="9026" w:leader="dot"/>
            </w:tabs>
            <w:rPr/>
          </w:pPr>
          <w:hyperlink w:anchor="__RefHeading___Toc3731967_3804643083">
            <w:r>
              <w:rPr>
                <w:webHidden/>
                <w:rStyle w:val="IndexLink"/>
                <w:rtl w:val="true"/>
              </w:rPr>
              <w:t>باب الاستطابة</w:t>
            </w:r>
            <w:r>
              <w:rPr>
                <w:rStyle w:val="IndexLink"/>
                <w:rtl w:val="true"/>
              </w:rPr>
              <w:tab/>
            </w:r>
            <w:r>
              <w:rPr>
                <w:rStyle w:val="IndexLink"/>
              </w:rPr>
              <w:t>134</w:t>
            </w:r>
          </w:hyperlink>
        </w:p>
        <w:p>
          <w:pPr>
            <w:pStyle w:val="Contents4"/>
            <w:tabs>
              <w:tab w:val="clear" w:pos="8176"/>
              <w:tab w:val="right" w:pos="9026" w:leader="dot"/>
            </w:tabs>
            <w:rPr/>
          </w:pPr>
          <w:hyperlink w:anchor="__RefHeading___Toc3731969_3804643083">
            <w:r>
              <w:rPr>
                <w:webHidden/>
                <w:rStyle w:val="IndexLink"/>
                <w:rtl w:val="true"/>
              </w:rPr>
              <w:t>بحث الخلوة</w:t>
            </w:r>
            <w:r>
              <w:rPr>
                <w:rStyle w:val="IndexLink"/>
                <w:rtl w:val="true"/>
              </w:rPr>
              <w:tab/>
            </w:r>
            <w:r>
              <w:rPr>
                <w:rStyle w:val="IndexLink"/>
              </w:rPr>
              <w:t>134</w:t>
            </w:r>
          </w:hyperlink>
        </w:p>
        <w:p>
          <w:pPr>
            <w:pStyle w:val="Contents5"/>
            <w:tabs>
              <w:tab w:val="clear" w:pos="7892"/>
              <w:tab w:val="right" w:pos="9026" w:leader="dot"/>
            </w:tabs>
            <w:rPr/>
          </w:pPr>
          <w:hyperlink w:anchor="__RefHeading___Toc3731971_3804643083">
            <w:r>
              <w:rPr>
                <w:webHidden/>
                <w:rStyle w:val="IndexLink"/>
                <w:rtl w:val="true"/>
              </w:rPr>
              <w:t xml:space="preserve">فصل </w:t>
            </w:r>
            <w:r>
              <w:rPr>
                <w:rStyle w:val="IndexLink"/>
                <w:rtl w:val="true"/>
              </w:rPr>
              <w:t>[</w:t>
            </w:r>
            <w:r>
              <w:rPr>
                <w:rStyle w:val="IndexLink"/>
                <w:rtl w:val="true"/>
              </w:rPr>
              <w:t>وجوب ستر العورة</w:t>
            </w:r>
            <w:r>
              <w:rPr>
                <w:rStyle w:val="IndexLink"/>
                <w:rtl w:val="true"/>
              </w:rPr>
              <w:t>]</w:t>
              <w:tab/>
            </w:r>
            <w:r>
              <w:rPr>
                <w:rStyle w:val="IndexLink"/>
              </w:rPr>
              <w:t>134</w:t>
            </w:r>
          </w:hyperlink>
        </w:p>
        <w:p>
          <w:pPr>
            <w:pStyle w:val="Contents5"/>
            <w:tabs>
              <w:tab w:val="clear" w:pos="7892"/>
              <w:tab w:val="right" w:pos="9026" w:leader="dot"/>
            </w:tabs>
            <w:rPr/>
          </w:pPr>
          <w:hyperlink w:anchor="__RefHeading___Toc3731973_3804643083">
            <w:r>
              <w:rPr>
                <w:webHidden/>
                <w:rStyle w:val="IndexLink"/>
                <w:rtl w:val="true"/>
              </w:rPr>
              <w:t xml:space="preserve">فصل </w:t>
            </w:r>
            <w:r>
              <w:rPr>
                <w:rStyle w:val="IndexLink"/>
                <w:rtl w:val="true"/>
              </w:rPr>
              <w:t>[</w:t>
            </w:r>
            <w:r>
              <w:rPr>
                <w:rStyle w:val="IndexLink"/>
                <w:rtl w:val="true"/>
              </w:rPr>
              <w:t>تحريم استقبال و استدبار القبلة</w:t>
            </w:r>
            <w:r>
              <w:rPr>
                <w:rStyle w:val="IndexLink"/>
                <w:rtl w:val="true"/>
              </w:rPr>
              <w:t>]</w:t>
              <w:tab/>
            </w:r>
            <w:r>
              <w:rPr>
                <w:rStyle w:val="IndexLink"/>
              </w:rPr>
              <w:t>135</w:t>
            </w:r>
          </w:hyperlink>
        </w:p>
        <w:p>
          <w:pPr>
            <w:pStyle w:val="Contents5"/>
            <w:tabs>
              <w:tab w:val="clear" w:pos="7892"/>
              <w:tab w:val="right" w:pos="9026" w:leader="dot"/>
            </w:tabs>
            <w:rPr/>
          </w:pPr>
          <w:hyperlink w:anchor="__RefHeading___Toc3731975_3804643083">
            <w:r>
              <w:rPr>
                <w:webHidden/>
                <w:rStyle w:val="IndexLink"/>
                <w:rtl w:val="true"/>
              </w:rPr>
              <w:t xml:space="preserve">فصل </w:t>
            </w:r>
            <w:r>
              <w:rPr>
                <w:rStyle w:val="IndexLink"/>
                <w:rtl w:val="true"/>
              </w:rPr>
              <w:t>[</w:t>
            </w:r>
            <w:r>
              <w:rPr>
                <w:rStyle w:val="IndexLink"/>
                <w:rtl w:val="true"/>
              </w:rPr>
              <w:t>الاستنجاء</w:t>
            </w:r>
            <w:r>
              <w:rPr>
                <w:rStyle w:val="IndexLink"/>
                <w:rtl w:val="true"/>
              </w:rPr>
              <w:t>]</w:t>
              <w:tab/>
            </w:r>
            <w:r>
              <w:rPr>
                <w:rStyle w:val="IndexLink"/>
              </w:rPr>
              <w:t>136</w:t>
            </w:r>
          </w:hyperlink>
        </w:p>
        <w:p>
          <w:pPr>
            <w:pStyle w:val="Contents5"/>
            <w:tabs>
              <w:tab w:val="clear" w:pos="7892"/>
              <w:tab w:val="right" w:pos="9026" w:leader="dot"/>
            </w:tabs>
            <w:rPr/>
          </w:pPr>
          <w:hyperlink w:anchor="__RefHeading___Toc3731977_3804643083">
            <w:r>
              <w:rPr>
                <w:webHidden/>
                <w:rStyle w:val="IndexLink"/>
                <w:rtl w:val="true"/>
              </w:rPr>
              <w:t xml:space="preserve">فصل </w:t>
            </w:r>
            <w:r>
              <w:rPr>
                <w:rStyle w:val="IndexLink"/>
                <w:rtl w:val="true"/>
              </w:rPr>
              <w:t>[</w:t>
            </w:r>
            <w:r>
              <w:rPr>
                <w:rStyle w:val="IndexLink"/>
                <w:rtl w:val="true"/>
              </w:rPr>
              <w:t>مستحبّات التخلّي</w:t>
            </w:r>
            <w:r>
              <w:rPr>
                <w:rStyle w:val="IndexLink"/>
                <w:rtl w:val="true"/>
              </w:rPr>
              <w:t>]</w:t>
              <w:tab/>
            </w:r>
            <w:r>
              <w:rPr>
                <w:rStyle w:val="IndexLink"/>
              </w:rPr>
              <w:t>142</w:t>
            </w:r>
          </w:hyperlink>
        </w:p>
        <w:p>
          <w:pPr>
            <w:pStyle w:val="Contents5"/>
            <w:tabs>
              <w:tab w:val="clear" w:pos="7892"/>
              <w:tab w:val="right" w:pos="9026" w:leader="dot"/>
            </w:tabs>
            <w:rPr/>
          </w:pPr>
          <w:hyperlink w:anchor="__RefHeading___Toc3731979_3804643083">
            <w:r>
              <w:rPr>
                <w:webHidden/>
                <w:rStyle w:val="IndexLink"/>
                <w:rtl w:val="true"/>
              </w:rPr>
              <w:t xml:space="preserve">فصل </w:t>
            </w:r>
            <w:r>
              <w:rPr>
                <w:rStyle w:val="IndexLink"/>
                <w:rtl w:val="true"/>
              </w:rPr>
              <w:t>[</w:t>
            </w:r>
            <w:r>
              <w:rPr>
                <w:rStyle w:val="IndexLink"/>
                <w:rtl w:val="true"/>
              </w:rPr>
              <w:t>مكروهات التخلّي</w:t>
            </w:r>
            <w:r>
              <w:rPr>
                <w:rStyle w:val="IndexLink"/>
                <w:rtl w:val="true"/>
              </w:rPr>
              <w:t>]</w:t>
              <w:tab/>
            </w:r>
            <w:r>
              <w:rPr>
                <w:rStyle w:val="IndexLink"/>
              </w:rPr>
              <w:t>144</w:t>
            </w:r>
          </w:hyperlink>
        </w:p>
        <w:p>
          <w:pPr>
            <w:pStyle w:val="Contents5"/>
            <w:tabs>
              <w:tab w:val="clear" w:pos="7892"/>
              <w:tab w:val="right" w:pos="9026" w:leader="dot"/>
            </w:tabs>
            <w:rPr/>
          </w:pPr>
          <w:hyperlink w:anchor="__RefHeading___Toc3731981_3804643083">
            <w:r>
              <w:rPr>
                <w:webHidden/>
                <w:rStyle w:val="IndexLink"/>
                <w:rtl w:val="true"/>
              </w:rPr>
              <w:t xml:space="preserve">فصل </w:t>
            </w:r>
            <w:r>
              <w:rPr>
                <w:rStyle w:val="IndexLink"/>
                <w:rtl w:val="true"/>
              </w:rPr>
              <w:t>[</w:t>
            </w:r>
            <w:r>
              <w:rPr>
                <w:rStyle w:val="IndexLink"/>
                <w:rtl w:val="true"/>
              </w:rPr>
              <w:t>أحكام الاستنجاء</w:t>
            </w:r>
            <w:r>
              <w:rPr>
                <w:rStyle w:val="IndexLink"/>
                <w:rtl w:val="true"/>
              </w:rPr>
              <w:t>]</w:t>
              <w:tab/>
            </w:r>
            <w:r>
              <w:rPr>
                <w:rStyle w:val="IndexLink"/>
              </w:rPr>
              <w:t>147</w:t>
            </w:r>
          </w:hyperlink>
        </w:p>
        <w:p>
          <w:pPr>
            <w:pStyle w:val="Contents4"/>
            <w:tabs>
              <w:tab w:val="clear" w:pos="8176"/>
              <w:tab w:val="right" w:pos="9026" w:leader="dot"/>
            </w:tabs>
            <w:rPr/>
          </w:pPr>
          <w:hyperlink w:anchor="__RefHeading___Toc3731983_3804643083">
            <w:r>
              <w:rPr>
                <w:webHidden/>
                <w:rStyle w:val="IndexLink"/>
                <w:rtl w:val="true"/>
              </w:rPr>
              <w:t>بحث الاستطابة المطلقة المستحبّة</w:t>
            </w:r>
            <w:r>
              <w:rPr>
                <w:rStyle w:val="IndexLink"/>
                <w:rtl w:val="true"/>
              </w:rPr>
              <w:tab/>
            </w:r>
            <w:r>
              <w:rPr>
                <w:rStyle w:val="IndexLink"/>
              </w:rPr>
              <w:t>149</w:t>
            </w:r>
          </w:hyperlink>
        </w:p>
        <w:p>
          <w:pPr>
            <w:pStyle w:val="Contents3"/>
            <w:tabs>
              <w:tab w:val="clear" w:pos="8459"/>
              <w:tab w:val="right" w:pos="9026" w:leader="dot"/>
            </w:tabs>
            <w:rPr/>
          </w:pPr>
          <w:hyperlink w:anchor="__RefHeading___Toc3731985_3804643083">
            <w:r>
              <w:rPr>
                <w:webHidden/>
                <w:rStyle w:val="IndexLink"/>
                <w:rtl w:val="true"/>
              </w:rPr>
              <w:t>باب الطهارة من الحدث</w:t>
            </w:r>
            <w:r>
              <w:rPr>
                <w:rStyle w:val="IndexLink"/>
                <w:rtl w:val="true"/>
              </w:rPr>
              <w:tab/>
            </w:r>
            <w:r>
              <w:rPr>
                <w:rStyle w:val="IndexLink"/>
              </w:rPr>
              <w:t>155</w:t>
            </w:r>
          </w:hyperlink>
        </w:p>
        <w:p>
          <w:pPr>
            <w:pStyle w:val="Contents4"/>
            <w:tabs>
              <w:tab w:val="clear" w:pos="8176"/>
              <w:tab w:val="right" w:pos="9026" w:leader="dot"/>
            </w:tabs>
            <w:rPr/>
          </w:pPr>
          <w:hyperlink w:anchor="__RefHeading___Toc3731987_3804643083">
            <w:r>
              <w:rPr>
                <w:webHidden/>
                <w:rStyle w:val="IndexLink"/>
                <w:rtl w:val="true"/>
              </w:rPr>
              <w:t>بحث الوضوء</w:t>
            </w:r>
            <w:r>
              <w:rPr>
                <w:rStyle w:val="IndexLink"/>
                <w:rtl w:val="true"/>
              </w:rPr>
              <w:tab/>
            </w:r>
            <w:r>
              <w:rPr>
                <w:rStyle w:val="IndexLink"/>
              </w:rPr>
              <w:t>155</w:t>
            </w:r>
          </w:hyperlink>
        </w:p>
        <w:p>
          <w:pPr>
            <w:pStyle w:val="Contents5"/>
            <w:tabs>
              <w:tab w:val="clear" w:pos="7892"/>
              <w:tab w:val="right" w:pos="9026" w:leader="dot"/>
            </w:tabs>
            <w:rPr/>
          </w:pPr>
          <w:hyperlink w:anchor="__RefHeading___Toc3731989_3804643083">
            <w:r>
              <w:rPr>
                <w:webHidden/>
                <w:rStyle w:val="IndexLink"/>
                <w:rtl w:val="true"/>
              </w:rPr>
              <w:t>[</w:t>
            </w:r>
            <w:r>
              <w:rPr>
                <w:rStyle w:val="IndexLink"/>
                <w:rtl w:val="true"/>
              </w:rPr>
              <w:t>موارد وجوبه</w:t>
            </w:r>
            <w:r>
              <w:rPr>
                <w:rStyle w:val="IndexLink"/>
                <w:rtl w:val="true"/>
              </w:rPr>
              <w:t>]</w:t>
              <w:tab/>
            </w:r>
            <w:r>
              <w:rPr>
                <w:rStyle w:val="IndexLink"/>
              </w:rPr>
              <w:t>155</w:t>
            </w:r>
          </w:hyperlink>
        </w:p>
        <w:p>
          <w:pPr>
            <w:pStyle w:val="Contents6"/>
            <w:tabs>
              <w:tab w:val="clear" w:pos="7609"/>
              <w:tab w:val="right" w:pos="9026" w:leader="dot"/>
            </w:tabs>
            <w:rPr/>
          </w:pPr>
          <w:hyperlink w:anchor="__RefHeading___Toc3731991_380464308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3731993_3804643083">
            <w:r>
              <w:rPr>
                <w:webHidden/>
                <w:rStyle w:val="IndexLink"/>
                <w:rtl w:val="true"/>
              </w:rPr>
              <w:t xml:space="preserve">فصل </w:t>
            </w:r>
            <w:r>
              <w:rPr>
                <w:rStyle w:val="IndexLink"/>
                <w:rtl w:val="true"/>
              </w:rPr>
              <w:t>[</w:t>
            </w:r>
            <w:r>
              <w:rPr>
                <w:rStyle w:val="IndexLink"/>
                <w:rtl w:val="true"/>
              </w:rPr>
              <w:t>انحصار وجوبه بالغيري</w:t>
            </w:r>
            <w:r>
              <w:rPr>
                <w:rStyle w:val="IndexLink"/>
                <w:rtl w:val="true"/>
              </w:rPr>
              <w:t>]</w:t>
              <w:tab/>
            </w:r>
            <w:r>
              <w:rPr>
                <w:rStyle w:val="IndexLink"/>
              </w:rPr>
              <w:t>158</w:t>
            </w:r>
          </w:hyperlink>
        </w:p>
        <w:p>
          <w:pPr>
            <w:pStyle w:val="Contents5"/>
            <w:tabs>
              <w:tab w:val="clear" w:pos="7892"/>
              <w:tab w:val="right" w:pos="9026" w:leader="dot"/>
            </w:tabs>
            <w:rPr/>
          </w:pPr>
          <w:hyperlink w:anchor="__RefHeading___Toc3731995_3804643083">
            <w:r>
              <w:rPr>
                <w:webHidden/>
                <w:rStyle w:val="IndexLink"/>
                <w:rtl w:val="true"/>
              </w:rPr>
              <w:t xml:space="preserve">فصل </w:t>
            </w:r>
            <w:r>
              <w:rPr>
                <w:rStyle w:val="IndexLink"/>
                <w:rtl w:val="true"/>
              </w:rPr>
              <w:t>[</w:t>
            </w:r>
            <w:r>
              <w:rPr>
                <w:rStyle w:val="IndexLink"/>
                <w:rtl w:val="true"/>
              </w:rPr>
              <w:t>ما يستحبّ له الوضوء</w:t>
            </w:r>
            <w:r>
              <w:rPr>
                <w:rStyle w:val="IndexLink"/>
                <w:rtl w:val="true"/>
              </w:rPr>
              <w:t>]</w:t>
              <w:tab/>
            </w:r>
            <w:r>
              <w:rPr>
                <w:rStyle w:val="IndexLink"/>
              </w:rPr>
              <w:t>160</w:t>
            </w:r>
          </w:hyperlink>
        </w:p>
        <w:p>
          <w:pPr>
            <w:pStyle w:val="Contents5"/>
            <w:tabs>
              <w:tab w:val="clear" w:pos="7892"/>
              <w:tab w:val="right" w:pos="9026" w:leader="dot"/>
            </w:tabs>
            <w:rPr/>
          </w:pPr>
          <w:hyperlink w:anchor="__RefHeading___Toc3731997_3804643083">
            <w:r>
              <w:rPr>
                <w:webHidden/>
                <w:rStyle w:val="IndexLink"/>
                <w:rtl w:val="true"/>
              </w:rPr>
              <w:t xml:space="preserve">فصل </w:t>
            </w:r>
            <w:r>
              <w:rPr>
                <w:rStyle w:val="IndexLink"/>
                <w:rtl w:val="true"/>
              </w:rPr>
              <w:t>[</w:t>
            </w:r>
            <w:r>
              <w:rPr>
                <w:rStyle w:val="IndexLink"/>
                <w:rtl w:val="true"/>
              </w:rPr>
              <w:t>إباحة الفريضة بالوضوء المستحب</w:t>
            </w:r>
            <w:r>
              <w:rPr>
                <w:rStyle w:val="IndexLink"/>
                <w:rtl w:val="true"/>
              </w:rPr>
              <w:t>]</w:t>
              <w:tab/>
            </w:r>
            <w:r>
              <w:rPr>
                <w:rStyle w:val="IndexLink"/>
              </w:rPr>
              <w:t>164</w:t>
            </w:r>
          </w:hyperlink>
        </w:p>
        <w:p>
          <w:pPr>
            <w:pStyle w:val="Contents5"/>
            <w:tabs>
              <w:tab w:val="clear" w:pos="7892"/>
              <w:tab w:val="right" w:pos="9026" w:leader="dot"/>
            </w:tabs>
            <w:rPr/>
          </w:pPr>
          <w:hyperlink w:anchor="__RefHeading___Toc3731999_3804643083">
            <w:r>
              <w:rPr>
                <w:webHidden/>
                <w:rStyle w:val="IndexLink"/>
                <w:rtl w:val="true"/>
              </w:rPr>
              <w:t xml:space="preserve">فصل </w:t>
            </w:r>
            <w:r>
              <w:rPr>
                <w:rStyle w:val="IndexLink"/>
                <w:rtl w:val="true"/>
              </w:rPr>
              <w:t>[</w:t>
            </w:r>
            <w:r>
              <w:rPr>
                <w:rStyle w:val="IndexLink"/>
                <w:rtl w:val="true"/>
              </w:rPr>
              <w:t>نواقض الوضوء</w:t>
            </w:r>
            <w:r>
              <w:rPr>
                <w:rStyle w:val="IndexLink"/>
                <w:rtl w:val="true"/>
              </w:rPr>
              <w:t>]</w:t>
              <w:tab/>
            </w:r>
            <w:r>
              <w:rPr>
                <w:rStyle w:val="IndexLink"/>
              </w:rPr>
              <w:t>165</w:t>
            </w:r>
          </w:hyperlink>
        </w:p>
        <w:p>
          <w:pPr>
            <w:pStyle w:val="Contents6"/>
            <w:tabs>
              <w:tab w:val="clear" w:pos="7609"/>
              <w:tab w:val="right" w:pos="9026" w:leader="dot"/>
            </w:tabs>
            <w:rPr/>
          </w:pPr>
          <w:hyperlink w:anchor="__RefHeading___Toc3732001_380464308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3732003_3804643083">
            <w:r>
              <w:rPr>
                <w:webHidden/>
                <w:rStyle w:val="IndexLink"/>
                <w:rtl w:val="true"/>
              </w:rPr>
              <w:t>الأوّل</w:t>
            </w:r>
            <w:r>
              <w:rPr>
                <w:rStyle w:val="IndexLink"/>
                <w:rtl w:val="true"/>
              </w:rPr>
              <w:t xml:space="preserve">: </w:t>
            </w:r>
            <w:r>
              <w:rPr>
                <w:rStyle w:val="IndexLink"/>
                <w:rtl w:val="true"/>
              </w:rPr>
              <w:t>خروج أحد الثلاثة من الطبيعي</w:t>
            </w:r>
            <w:r>
              <w:rPr>
                <w:rStyle w:val="IndexLink"/>
                <w:rtl w:val="true"/>
              </w:rPr>
              <w:t>:</w:t>
              <w:tab/>
            </w:r>
            <w:r>
              <w:rPr>
                <w:rStyle w:val="IndexLink"/>
              </w:rPr>
              <w:t>165</w:t>
            </w:r>
          </w:hyperlink>
        </w:p>
        <w:p>
          <w:pPr>
            <w:pStyle w:val="Contents6"/>
            <w:tabs>
              <w:tab w:val="clear" w:pos="7609"/>
              <w:tab w:val="right" w:pos="9026" w:leader="dot"/>
            </w:tabs>
            <w:rPr/>
          </w:pPr>
          <w:hyperlink w:anchor="__RefHeading___Toc3732005_3804643083">
            <w:r>
              <w:rPr>
                <w:webHidden/>
                <w:rStyle w:val="IndexLink"/>
                <w:rtl w:val="true"/>
              </w:rPr>
              <w:t>الثاني</w:t>
            </w:r>
            <w:r>
              <w:rPr>
                <w:rStyle w:val="IndexLink"/>
                <w:rtl w:val="true"/>
              </w:rPr>
              <w:t xml:space="preserve">: </w:t>
            </w:r>
            <w:r>
              <w:rPr>
                <w:rStyle w:val="IndexLink"/>
                <w:rtl w:val="true"/>
              </w:rPr>
              <w:t>النوم</w:t>
            </w:r>
            <w:r>
              <w:rPr>
                <w:rStyle w:val="IndexLink"/>
                <w:rtl w:val="true"/>
              </w:rPr>
              <w:t>:</w:t>
              <w:tab/>
            </w:r>
            <w:r>
              <w:rPr>
                <w:rStyle w:val="IndexLink"/>
              </w:rPr>
              <w:t>167</w:t>
            </w:r>
          </w:hyperlink>
        </w:p>
        <w:p>
          <w:pPr>
            <w:pStyle w:val="Contents6"/>
            <w:tabs>
              <w:tab w:val="clear" w:pos="7609"/>
              <w:tab w:val="right" w:pos="9026" w:leader="dot"/>
            </w:tabs>
            <w:rPr/>
          </w:pPr>
          <w:hyperlink w:anchor="__RefHeading___Toc3732007_3804643083">
            <w:r>
              <w:rPr>
                <w:webHidden/>
                <w:rStyle w:val="IndexLink"/>
                <w:rtl w:val="true"/>
              </w:rPr>
              <w:t>الثالث</w:t>
            </w:r>
            <w:r>
              <w:rPr>
                <w:rStyle w:val="IndexLink"/>
                <w:rtl w:val="true"/>
              </w:rPr>
              <w:t xml:space="preserve">: </w:t>
            </w:r>
            <w:r>
              <w:rPr>
                <w:rStyle w:val="IndexLink"/>
                <w:rtl w:val="true"/>
              </w:rPr>
              <w:t>كلّ مزيل للعقل</w:t>
            </w:r>
            <w:r>
              <w:rPr>
                <w:rStyle w:val="IndexLink"/>
                <w:rtl w:val="true"/>
              </w:rPr>
              <w:t>:</w:t>
              <w:tab/>
            </w:r>
            <w:r>
              <w:rPr>
                <w:rStyle w:val="IndexLink"/>
              </w:rPr>
              <w:t>168</w:t>
            </w:r>
          </w:hyperlink>
        </w:p>
        <w:p>
          <w:pPr>
            <w:pStyle w:val="Contents6"/>
            <w:tabs>
              <w:tab w:val="clear" w:pos="7609"/>
              <w:tab w:val="right" w:pos="9026" w:leader="dot"/>
            </w:tabs>
            <w:rPr/>
          </w:pPr>
          <w:hyperlink w:anchor="__RefHeading___Toc3732009_3804643083">
            <w:r>
              <w:rPr>
                <w:webHidden/>
                <w:rStyle w:val="IndexLink"/>
                <w:rtl w:val="true"/>
              </w:rPr>
              <w:t>الرابع</w:t>
            </w:r>
            <w:r>
              <w:rPr>
                <w:rStyle w:val="IndexLink"/>
                <w:rtl w:val="true"/>
              </w:rPr>
              <w:t xml:space="preserve">: </w:t>
            </w:r>
            <w:r>
              <w:rPr>
                <w:rStyle w:val="IndexLink"/>
                <w:rtl w:val="true"/>
              </w:rPr>
              <w:t>الاستحاضة القليلة</w:t>
            </w:r>
            <w:r>
              <w:rPr>
                <w:rStyle w:val="IndexLink"/>
                <w:rtl w:val="true"/>
              </w:rPr>
              <w:t>:</w:t>
              <w:tab/>
            </w:r>
            <w:r>
              <w:rPr>
                <w:rStyle w:val="IndexLink"/>
              </w:rPr>
              <w:t>168</w:t>
            </w:r>
          </w:hyperlink>
        </w:p>
        <w:p>
          <w:pPr>
            <w:pStyle w:val="Contents5"/>
            <w:tabs>
              <w:tab w:val="clear" w:pos="7892"/>
              <w:tab w:val="right" w:pos="9026" w:leader="dot"/>
            </w:tabs>
            <w:rPr/>
          </w:pPr>
          <w:hyperlink w:anchor="__RefHeading___Toc3732011_3804643083">
            <w:r>
              <w:rPr>
                <w:webHidden/>
                <w:rStyle w:val="IndexLink"/>
                <w:rtl w:val="true"/>
              </w:rPr>
              <w:t xml:space="preserve">فصل </w:t>
            </w:r>
            <w:r>
              <w:rPr>
                <w:rStyle w:val="IndexLink"/>
                <w:rtl w:val="true"/>
              </w:rPr>
              <w:t>[</w:t>
            </w:r>
            <w:r>
              <w:rPr>
                <w:rStyle w:val="IndexLink"/>
                <w:rtl w:val="true"/>
              </w:rPr>
              <w:t>واجبات الوضوء</w:t>
            </w:r>
            <w:r>
              <w:rPr>
                <w:rStyle w:val="IndexLink"/>
                <w:rtl w:val="true"/>
              </w:rPr>
              <w:t>]</w:t>
              <w:tab/>
            </w:r>
            <w:r>
              <w:rPr>
                <w:rStyle w:val="IndexLink"/>
              </w:rPr>
              <w:t>170</w:t>
            </w:r>
          </w:hyperlink>
        </w:p>
        <w:p>
          <w:pPr>
            <w:pStyle w:val="Contents6"/>
            <w:tabs>
              <w:tab w:val="clear" w:pos="7609"/>
              <w:tab w:val="right" w:pos="9026" w:leader="dot"/>
            </w:tabs>
            <w:rPr/>
          </w:pPr>
          <w:hyperlink w:anchor="__RefHeading___Toc3732013_380464308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732015_3804643083">
            <w:r>
              <w:rPr>
                <w:webHidden/>
                <w:rStyle w:val="IndexLink"/>
                <w:rtl w:val="true"/>
              </w:rPr>
              <w:t>الأوّل</w:t>
            </w:r>
            <w:r>
              <w:rPr>
                <w:rStyle w:val="IndexLink"/>
                <w:rtl w:val="true"/>
              </w:rPr>
              <w:t xml:space="preserve">: </w:t>
            </w:r>
            <w:r>
              <w:rPr>
                <w:rStyle w:val="IndexLink"/>
                <w:rtl w:val="true"/>
              </w:rPr>
              <w:t>النيّة</w:t>
            </w:r>
            <w:r>
              <w:rPr>
                <w:rStyle w:val="IndexLink"/>
                <w:rtl w:val="true"/>
              </w:rPr>
              <w:t>:</w:t>
              <w:tab/>
            </w:r>
            <w:r>
              <w:rPr>
                <w:rStyle w:val="IndexLink"/>
              </w:rPr>
              <w:t>170</w:t>
            </w:r>
          </w:hyperlink>
        </w:p>
        <w:p>
          <w:pPr>
            <w:pStyle w:val="Contents6"/>
            <w:tabs>
              <w:tab w:val="clear" w:pos="7609"/>
              <w:tab w:val="right" w:pos="9026" w:leader="dot"/>
            </w:tabs>
            <w:rPr/>
          </w:pPr>
          <w:hyperlink w:anchor="__RefHeading___Toc3732017_380464308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732019_3804643083">
            <w:r>
              <w:rPr>
                <w:webHidden/>
                <w:rStyle w:val="IndexLink"/>
                <w:rtl w:val="true"/>
              </w:rPr>
              <w:t>فروع</w:t>
            </w:r>
            <w:r>
              <w:rPr>
                <w:rStyle w:val="IndexLink"/>
                <w:rtl w:val="true"/>
              </w:rPr>
              <w:t>:</w:t>
              <w:tab/>
            </w:r>
            <w:r>
              <w:rPr>
                <w:rStyle w:val="IndexLink"/>
              </w:rPr>
              <w:t>176</w:t>
            </w:r>
          </w:hyperlink>
        </w:p>
        <w:p>
          <w:pPr>
            <w:pStyle w:val="Contents6"/>
            <w:tabs>
              <w:tab w:val="clear" w:pos="7609"/>
              <w:tab w:val="right" w:pos="9026" w:leader="dot"/>
            </w:tabs>
            <w:rPr/>
          </w:pPr>
          <w:hyperlink w:anchor="__RefHeading___Toc3732021_3804643083">
            <w:r>
              <w:rPr>
                <w:webHidden/>
                <w:rStyle w:val="IndexLink"/>
                <w:rtl w:val="true"/>
              </w:rPr>
              <w:t>الأوّل</w:t>
            </w:r>
            <w:r>
              <w:rPr>
                <w:rStyle w:val="IndexLink"/>
                <w:rtl w:val="true"/>
              </w:rPr>
              <w:t>:</w:t>
              <w:tab/>
            </w:r>
            <w:r>
              <w:rPr>
                <w:rStyle w:val="IndexLink"/>
              </w:rPr>
              <w:t>176</w:t>
            </w:r>
          </w:hyperlink>
        </w:p>
        <w:p>
          <w:pPr>
            <w:pStyle w:val="Contents6"/>
            <w:tabs>
              <w:tab w:val="clear" w:pos="7609"/>
              <w:tab w:val="right" w:pos="9026" w:leader="dot"/>
            </w:tabs>
            <w:rPr/>
          </w:pPr>
          <w:hyperlink w:anchor="__RefHeading___Toc3732023_3804643083">
            <w:r>
              <w:rPr>
                <w:webHidden/>
                <w:rStyle w:val="IndexLink"/>
                <w:rtl w:val="true"/>
              </w:rPr>
              <w:t>الثاني</w:t>
            </w:r>
            <w:r>
              <w:rPr>
                <w:rStyle w:val="IndexLink"/>
                <w:rtl w:val="true"/>
              </w:rPr>
              <w:t>:</w:t>
              <w:tab/>
            </w:r>
            <w:r>
              <w:rPr>
                <w:rStyle w:val="IndexLink"/>
              </w:rPr>
              <w:t>176</w:t>
            </w:r>
          </w:hyperlink>
        </w:p>
        <w:p>
          <w:pPr>
            <w:pStyle w:val="Contents6"/>
            <w:tabs>
              <w:tab w:val="clear" w:pos="7609"/>
              <w:tab w:val="right" w:pos="9026" w:leader="dot"/>
            </w:tabs>
            <w:rPr/>
          </w:pPr>
          <w:hyperlink w:anchor="__RefHeading___Toc3732025_3804643083">
            <w:r>
              <w:rPr>
                <w:webHidden/>
                <w:rStyle w:val="IndexLink"/>
                <w:rtl w:val="true"/>
              </w:rPr>
              <w:t>الثالث</w:t>
            </w:r>
            <w:r>
              <w:rPr>
                <w:rStyle w:val="IndexLink"/>
                <w:rtl w:val="true"/>
              </w:rPr>
              <w:t>:</w:t>
              <w:tab/>
            </w:r>
            <w:r>
              <w:rPr>
                <w:rStyle w:val="IndexLink"/>
              </w:rPr>
              <w:t>177</w:t>
            </w:r>
          </w:hyperlink>
        </w:p>
        <w:p>
          <w:pPr>
            <w:pStyle w:val="Contents6"/>
            <w:tabs>
              <w:tab w:val="clear" w:pos="7609"/>
              <w:tab w:val="right" w:pos="9026" w:leader="dot"/>
            </w:tabs>
            <w:rPr/>
          </w:pPr>
          <w:hyperlink w:anchor="__RefHeading___Toc3732027_3804643083">
            <w:r>
              <w:rPr>
                <w:webHidden/>
                <w:rStyle w:val="IndexLink"/>
                <w:rtl w:val="true"/>
              </w:rPr>
              <w:t>الرابع</w:t>
            </w:r>
            <w:r>
              <w:rPr>
                <w:rStyle w:val="IndexLink"/>
                <w:rtl w:val="true"/>
              </w:rPr>
              <w:t>:</w:t>
              <w:tab/>
            </w:r>
            <w:r>
              <w:rPr>
                <w:rStyle w:val="IndexLink"/>
              </w:rPr>
              <w:t>177</w:t>
            </w:r>
          </w:hyperlink>
        </w:p>
        <w:p>
          <w:pPr>
            <w:pStyle w:val="Contents6"/>
            <w:tabs>
              <w:tab w:val="clear" w:pos="7609"/>
              <w:tab w:val="right" w:pos="9026" w:leader="dot"/>
            </w:tabs>
            <w:rPr/>
          </w:pPr>
          <w:hyperlink w:anchor="__RefHeading___Toc3732029_3804643083">
            <w:r>
              <w:rPr>
                <w:webHidden/>
                <w:rStyle w:val="IndexLink"/>
                <w:rtl w:val="true"/>
              </w:rPr>
              <w:t>الخامس</w:t>
            </w:r>
            <w:r>
              <w:rPr>
                <w:rStyle w:val="IndexLink"/>
                <w:rtl w:val="true"/>
              </w:rPr>
              <w:t>:</w:t>
              <w:tab/>
            </w:r>
            <w:r>
              <w:rPr>
                <w:rStyle w:val="IndexLink"/>
              </w:rPr>
              <w:t>177</w:t>
            </w:r>
          </w:hyperlink>
        </w:p>
        <w:p>
          <w:pPr>
            <w:pStyle w:val="Contents6"/>
            <w:tabs>
              <w:tab w:val="clear" w:pos="7609"/>
              <w:tab w:val="right" w:pos="9026" w:leader="dot"/>
            </w:tabs>
            <w:rPr/>
          </w:pPr>
          <w:hyperlink w:anchor="__RefHeading___Toc3732031_3804643083">
            <w:r>
              <w:rPr>
                <w:webHidden/>
                <w:rStyle w:val="IndexLink"/>
                <w:rtl w:val="true"/>
              </w:rPr>
              <w:t>السادس</w:t>
            </w:r>
            <w:r>
              <w:rPr>
                <w:rStyle w:val="IndexLink"/>
                <w:rtl w:val="true"/>
              </w:rPr>
              <w:t>:</w:t>
              <w:tab/>
            </w:r>
            <w:r>
              <w:rPr>
                <w:rStyle w:val="IndexLink"/>
              </w:rPr>
              <w:t>178</w:t>
            </w:r>
          </w:hyperlink>
        </w:p>
        <w:p>
          <w:pPr>
            <w:pStyle w:val="Contents6"/>
            <w:tabs>
              <w:tab w:val="clear" w:pos="7609"/>
              <w:tab w:val="right" w:pos="9026" w:leader="dot"/>
            </w:tabs>
            <w:rPr/>
          </w:pPr>
          <w:hyperlink w:anchor="__RefHeading___Toc3732033_3804643083">
            <w:r>
              <w:rPr>
                <w:webHidden/>
                <w:rStyle w:val="IndexLink"/>
                <w:rtl w:val="true"/>
              </w:rPr>
              <w:t>السابع</w:t>
            </w:r>
            <w:r>
              <w:rPr>
                <w:rStyle w:val="IndexLink"/>
                <w:rtl w:val="true"/>
              </w:rPr>
              <w:t>:</w:t>
              <w:tab/>
            </w:r>
            <w:r>
              <w:rPr>
                <w:rStyle w:val="IndexLink"/>
              </w:rPr>
              <w:t>178</w:t>
            </w:r>
          </w:hyperlink>
        </w:p>
        <w:p>
          <w:pPr>
            <w:pStyle w:val="Contents6"/>
            <w:tabs>
              <w:tab w:val="clear" w:pos="7609"/>
              <w:tab w:val="right" w:pos="9026" w:leader="dot"/>
            </w:tabs>
            <w:rPr/>
          </w:pPr>
          <w:hyperlink w:anchor="__RefHeading___Toc3732035_3804643083">
            <w:r>
              <w:rPr>
                <w:webHidden/>
                <w:rStyle w:val="IndexLink"/>
                <w:rtl w:val="true"/>
              </w:rPr>
              <w:t>الثامن</w:t>
            </w:r>
            <w:r>
              <w:rPr>
                <w:rStyle w:val="IndexLink"/>
                <w:rtl w:val="true"/>
              </w:rPr>
              <w:t>:</w:t>
              <w:tab/>
            </w:r>
            <w:r>
              <w:rPr>
                <w:rStyle w:val="IndexLink"/>
              </w:rPr>
              <w:t>178</w:t>
            </w:r>
          </w:hyperlink>
        </w:p>
        <w:p>
          <w:pPr>
            <w:pStyle w:val="Contents6"/>
            <w:tabs>
              <w:tab w:val="clear" w:pos="7609"/>
              <w:tab w:val="right" w:pos="9026" w:leader="dot"/>
            </w:tabs>
            <w:rPr/>
          </w:pPr>
          <w:hyperlink w:anchor="__RefHeading___Toc3732037_3804643083">
            <w:r>
              <w:rPr>
                <w:webHidden/>
                <w:rStyle w:val="IndexLink"/>
                <w:rtl w:val="true"/>
              </w:rPr>
              <w:t>التاسع</w:t>
            </w:r>
            <w:r>
              <w:rPr>
                <w:rStyle w:val="IndexLink"/>
                <w:rtl w:val="true"/>
              </w:rPr>
              <w:t>:</w:t>
              <w:tab/>
            </w:r>
            <w:r>
              <w:rPr>
                <w:rStyle w:val="IndexLink"/>
              </w:rPr>
              <w:t>179</w:t>
            </w:r>
          </w:hyperlink>
        </w:p>
        <w:p>
          <w:pPr>
            <w:pStyle w:val="Contents6"/>
            <w:tabs>
              <w:tab w:val="clear" w:pos="7609"/>
              <w:tab w:val="right" w:pos="9026" w:leader="dot"/>
            </w:tabs>
            <w:rPr/>
          </w:pPr>
          <w:hyperlink w:anchor="__RefHeading___Toc3732039_3804643083">
            <w:r>
              <w:rPr>
                <w:webHidden/>
                <w:rStyle w:val="IndexLink"/>
                <w:rtl w:val="true"/>
              </w:rPr>
              <w:t>العاشر</w:t>
            </w:r>
            <w:r>
              <w:rPr>
                <w:rStyle w:val="IndexLink"/>
                <w:rtl w:val="true"/>
              </w:rPr>
              <w:t>:</w:t>
              <w:tab/>
            </w:r>
            <w:r>
              <w:rPr>
                <w:rStyle w:val="IndexLink"/>
              </w:rPr>
              <w:t>179</w:t>
            </w:r>
          </w:hyperlink>
        </w:p>
        <w:p>
          <w:pPr>
            <w:pStyle w:val="Contents6"/>
            <w:tabs>
              <w:tab w:val="clear" w:pos="7609"/>
              <w:tab w:val="right" w:pos="9026" w:leader="dot"/>
            </w:tabs>
            <w:rPr/>
          </w:pPr>
          <w:hyperlink w:anchor="__RefHeading___Toc3732041_3804643083">
            <w:r>
              <w:rPr>
                <w:webHidden/>
                <w:rStyle w:val="IndexLink"/>
                <w:rtl w:val="true"/>
              </w:rPr>
              <w:t>الثاني</w:t>
            </w:r>
            <w:r>
              <w:rPr>
                <w:rStyle w:val="IndexLink"/>
                <w:rtl w:val="true"/>
              </w:rPr>
              <w:t xml:space="preserve">: </w:t>
            </w:r>
            <w:r>
              <w:rPr>
                <w:rStyle w:val="IndexLink"/>
                <w:rtl w:val="true"/>
              </w:rPr>
              <w:t>غسل الوجه</w:t>
            </w:r>
            <w:r>
              <w:rPr>
                <w:rStyle w:val="IndexLink"/>
                <w:rtl w:val="true"/>
              </w:rPr>
              <w:t>:</w:t>
              <w:tab/>
            </w:r>
            <w:r>
              <w:rPr>
                <w:rStyle w:val="IndexLink"/>
              </w:rPr>
              <w:t>184</w:t>
            </w:r>
          </w:hyperlink>
        </w:p>
        <w:p>
          <w:pPr>
            <w:pStyle w:val="Contents6"/>
            <w:tabs>
              <w:tab w:val="clear" w:pos="7609"/>
              <w:tab w:val="right" w:pos="9026" w:leader="dot"/>
            </w:tabs>
            <w:rPr/>
          </w:pPr>
          <w:hyperlink w:anchor="__RefHeading___Toc3732043_380464308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732045_3804643083">
            <w:r>
              <w:rPr>
                <w:webHidden/>
                <w:rStyle w:val="IndexLink"/>
                <w:rtl w:val="true"/>
              </w:rPr>
              <w:t>فروع</w:t>
            </w:r>
            <w:r>
              <w:rPr>
                <w:rStyle w:val="IndexLink"/>
                <w:rtl w:val="true"/>
              </w:rPr>
              <w:t>:</w:t>
              <w:tab/>
            </w:r>
            <w:r>
              <w:rPr>
                <w:rStyle w:val="IndexLink"/>
              </w:rPr>
              <w:t>186</w:t>
            </w:r>
          </w:hyperlink>
        </w:p>
        <w:p>
          <w:pPr>
            <w:pStyle w:val="Contents6"/>
            <w:tabs>
              <w:tab w:val="clear" w:pos="7609"/>
              <w:tab w:val="right" w:pos="9026" w:leader="dot"/>
            </w:tabs>
            <w:rPr/>
          </w:pPr>
          <w:hyperlink w:anchor="__RefHeading___Toc3732047_3804643083">
            <w:r>
              <w:rPr>
                <w:webHidden/>
                <w:rStyle w:val="IndexLink"/>
                <w:rtl w:val="true"/>
              </w:rPr>
              <w:t>الأوّل</w:t>
            </w:r>
            <w:r>
              <w:rPr>
                <w:rStyle w:val="IndexLink"/>
                <w:rtl w:val="true"/>
              </w:rPr>
              <w:t>:</w:t>
              <w:tab/>
            </w:r>
            <w:r>
              <w:rPr>
                <w:rStyle w:val="IndexLink"/>
              </w:rPr>
              <w:t>186</w:t>
            </w:r>
          </w:hyperlink>
        </w:p>
        <w:p>
          <w:pPr>
            <w:pStyle w:val="Contents6"/>
            <w:tabs>
              <w:tab w:val="clear" w:pos="7609"/>
              <w:tab w:val="right" w:pos="9026" w:leader="dot"/>
            </w:tabs>
            <w:rPr/>
          </w:pPr>
          <w:hyperlink w:anchor="__RefHeading___Toc3732049_3804643083">
            <w:r>
              <w:rPr>
                <w:webHidden/>
                <w:rStyle w:val="IndexLink"/>
                <w:rtl w:val="true"/>
              </w:rPr>
              <w:t>الثاني</w:t>
            </w:r>
            <w:r>
              <w:rPr>
                <w:rStyle w:val="IndexLink"/>
                <w:rtl w:val="true"/>
              </w:rPr>
              <w:t>:</w:t>
              <w:tab/>
            </w:r>
            <w:r>
              <w:rPr>
                <w:rStyle w:val="IndexLink"/>
              </w:rPr>
              <w:t>186</w:t>
            </w:r>
          </w:hyperlink>
        </w:p>
        <w:p>
          <w:pPr>
            <w:pStyle w:val="Contents6"/>
            <w:tabs>
              <w:tab w:val="clear" w:pos="7609"/>
              <w:tab w:val="right" w:pos="9026" w:leader="dot"/>
            </w:tabs>
            <w:rPr/>
          </w:pPr>
          <w:hyperlink w:anchor="__RefHeading___Toc3732051_3804643083">
            <w:r>
              <w:rPr>
                <w:webHidden/>
                <w:rStyle w:val="IndexLink"/>
                <w:rtl w:val="true"/>
              </w:rPr>
              <w:t>الثالث</w:t>
            </w:r>
            <w:r>
              <w:rPr>
                <w:rStyle w:val="IndexLink"/>
                <w:rtl w:val="true"/>
              </w:rPr>
              <w:t>:</w:t>
              <w:tab/>
            </w:r>
            <w:r>
              <w:rPr>
                <w:rStyle w:val="IndexLink"/>
              </w:rPr>
              <w:t>186</w:t>
            </w:r>
          </w:hyperlink>
        </w:p>
        <w:p>
          <w:pPr>
            <w:pStyle w:val="Contents6"/>
            <w:tabs>
              <w:tab w:val="clear" w:pos="7609"/>
              <w:tab w:val="right" w:pos="9026" w:leader="dot"/>
            </w:tabs>
            <w:rPr/>
          </w:pPr>
          <w:hyperlink w:anchor="__RefHeading___Toc3732053_3804643083">
            <w:r>
              <w:rPr>
                <w:webHidden/>
                <w:rStyle w:val="IndexLink"/>
                <w:rtl w:val="true"/>
              </w:rPr>
              <w:t>الرابع</w:t>
            </w:r>
            <w:r>
              <w:rPr>
                <w:rStyle w:val="IndexLink"/>
                <w:rtl w:val="true"/>
              </w:rPr>
              <w:t>:</w:t>
              <w:tab/>
            </w:r>
            <w:r>
              <w:rPr>
                <w:rStyle w:val="IndexLink"/>
              </w:rPr>
              <w:t>187</w:t>
            </w:r>
          </w:hyperlink>
        </w:p>
        <w:p>
          <w:pPr>
            <w:pStyle w:val="Contents6"/>
            <w:tabs>
              <w:tab w:val="clear" w:pos="7609"/>
              <w:tab w:val="right" w:pos="9026" w:leader="dot"/>
            </w:tabs>
            <w:rPr/>
          </w:pPr>
          <w:hyperlink w:anchor="__RefHeading___Toc3732055_3804643083">
            <w:r>
              <w:rPr>
                <w:webHidden/>
                <w:rStyle w:val="IndexLink"/>
                <w:rtl w:val="true"/>
              </w:rPr>
              <w:t>الخامس</w:t>
            </w:r>
            <w:r>
              <w:rPr>
                <w:rStyle w:val="IndexLink"/>
                <w:rtl w:val="true"/>
              </w:rPr>
              <w:t>:</w:t>
              <w:tab/>
            </w:r>
            <w:r>
              <w:rPr>
                <w:rStyle w:val="IndexLink"/>
              </w:rPr>
              <w:t>189</w:t>
            </w:r>
          </w:hyperlink>
        </w:p>
        <w:p>
          <w:pPr>
            <w:pStyle w:val="Contents6"/>
            <w:tabs>
              <w:tab w:val="clear" w:pos="7609"/>
              <w:tab w:val="right" w:pos="9026" w:leader="dot"/>
            </w:tabs>
            <w:rPr/>
          </w:pPr>
          <w:hyperlink w:anchor="__RefHeading___Toc3732057_3804643083">
            <w:r>
              <w:rPr>
                <w:webHidden/>
                <w:rStyle w:val="IndexLink"/>
                <w:rtl w:val="true"/>
              </w:rPr>
              <w:t>السادس</w:t>
            </w:r>
            <w:r>
              <w:rPr>
                <w:rStyle w:val="IndexLink"/>
                <w:rtl w:val="true"/>
              </w:rPr>
              <w:t>:</w:t>
              <w:tab/>
            </w:r>
            <w:r>
              <w:rPr>
                <w:rStyle w:val="IndexLink"/>
              </w:rPr>
              <w:t>189</w:t>
            </w:r>
          </w:hyperlink>
        </w:p>
        <w:p>
          <w:pPr>
            <w:pStyle w:val="Contents6"/>
            <w:tabs>
              <w:tab w:val="clear" w:pos="7609"/>
              <w:tab w:val="right" w:pos="9026" w:leader="dot"/>
            </w:tabs>
            <w:rPr/>
          </w:pPr>
          <w:hyperlink w:anchor="__RefHeading___Toc3732059_3804643083">
            <w:r>
              <w:rPr>
                <w:webHidden/>
                <w:rStyle w:val="IndexLink"/>
                <w:rtl w:val="true"/>
              </w:rPr>
              <w:t>السابع</w:t>
            </w:r>
            <w:r>
              <w:rPr>
                <w:rStyle w:val="IndexLink"/>
                <w:rtl w:val="true"/>
              </w:rPr>
              <w:t>:</w:t>
              <w:tab/>
            </w:r>
            <w:r>
              <w:rPr>
                <w:rStyle w:val="IndexLink"/>
              </w:rPr>
              <w:t>189</w:t>
            </w:r>
          </w:hyperlink>
        </w:p>
        <w:p>
          <w:pPr>
            <w:pStyle w:val="Contents6"/>
            <w:tabs>
              <w:tab w:val="clear" w:pos="7609"/>
              <w:tab w:val="right" w:pos="9026" w:leader="dot"/>
            </w:tabs>
            <w:rPr/>
          </w:pPr>
          <w:hyperlink w:anchor="__RefHeading___Toc3732061_3804643083">
            <w:r>
              <w:rPr>
                <w:webHidden/>
                <w:rStyle w:val="IndexLink"/>
                <w:rtl w:val="true"/>
              </w:rPr>
              <w:t>الثامن</w:t>
            </w:r>
            <w:r>
              <w:rPr>
                <w:rStyle w:val="IndexLink"/>
                <w:rtl w:val="true"/>
              </w:rPr>
              <w:t>:</w:t>
              <w:tab/>
            </w:r>
            <w:r>
              <w:rPr>
                <w:rStyle w:val="IndexLink"/>
              </w:rPr>
              <w:t>189</w:t>
            </w:r>
          </w:hyperlink>
        </w:p>
        <w:p>
          <w:pPr>
            <w:pStyle w:val="Contents6"/>
            <w:tabs>
              <w:tab w:val="clear" w:pos="7609"/>
              <w:tab w:val="right" w:pos="9026" w:leader="dot"/>
            </w:tabs>
            <w:rPr/>
          </w:pPr>
          <w:hyperlink w:anchor="__RefHeading___Toc3732063_3804643083">
            <w:r>
              <w:rPr>
                <w:webHidden/>
                <w:rStyle w:val="IndexLink"/>
                <w:rtl w:val="true"/>
              </w:rPr>
              <w:t>التاسع</w:t>
            </w:r>
            <w:r>
              <w:rPr>
                <w:rStyle w:val="IndexLink"/>
                <w:rtl w:val="true"/>
              </w:rPr>
              <w:t>:</w:t>
              <w:tab/>
            </w:r>
            <w:r>
              <w:rPr>
                <w:rStyle w:val="IndexLink"/>
              </w:rPr>
              <w:t>190</w:t>
            </w:r>
          </w:hyperlink>
        </w:p>
        <w:p>
          <w:pPr>
            <w:pStyle w:val="Contents6"/>
            <w:tabs>
              <w:tab w:val="clear" w:pos="7609"/>
              <w:tab w:val="right" w:pos="9026" w:leader="dot"/>
            </w:tabs>
            <w:rPr/>
          </w:pPr>
          <w:hyperlink w:anchor="__RefHeading___Toc3732065_3804643083">
            <w:r>
              <w:rPr>
                <w:webHidden/>
                <w:rStyle w:val="IndexLink"/>
                <w:rtl w:val="true"/>
              </w:rPr>
              <w:t>الثالث</w:t>
            </w:r>
            <w:r>
              <w:rPr>
                <w:rStyle w:val="IndexLink"/>
                <w:rtl w:val="true"/>
              </w:rPr>
              <w:t xml:space="preserve">: </w:t>
            </w:r>
            <w:r>
              <w:rPr>
                <w:rStyle w:val="IndexLink"/>
                <w:rtl w:val="true"/>
              </w:rPr>
              <w:t>غسل اليدين</w:t>
            </w:r>
            <w:r>
              <w:rPr>
                <w:rStyle w:val="IndexLink"/>
                <w:rtl w:val="true"/>
              </w:rPr>
              <w:t>:</w:t>
              <w:tab/>
            </w:r>
            <w:r>
              <w:rPr>
                <w:rStyle w:val="IndexLink"/>
              </w:rPr>
              <w:t>190</w:t>
            </w:r>
          </w:hyperlink>
        </w:p>
        <w:p>
          <w:pPr>
            <w:pStyle w:val="Contents6"/>
            <w:tabs>
              <w:tab w:val="clear" w:pos="7609"/>
              <w:tab w:val="right" w:pos="9026" w:leader="dot"/>
            </w:tabs>
            <w:rPr/>
          </w:pPr>
          <w:hyperlink w:anchor="__RefHeading___Toc3732067_380464308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732069_3804643083">
            <w:r>
              <w:rPr>
                <w:webHidden/>
                <w:rStyle w:val="IndexLink"/>
                <w:rtl w:val="true"/>
              </w:rPr>
              <w:t>فروع</w:t>
            </w:r>
            <w:r>
              <w:rPr>
                <w:rStyle w:val="IndexLink"/>
                <w:rtl w:val="true"/>
              </w:rPr>
              <w:t>:</w:t>
              <w:tab/>
            </w:r>
            <w:r>
              <w:rPr>
                <w:rStyle w:val="IndexLink"/>
              </w:rPr>
              <w:t>190</w:t>
            </w:r>
          </w:hyperlink>
        </w:p>
        <w:p>
          <w:pPr>
            <w:pStyle w:val="Contents6"/>
            <w:tabs>
              <w:tab w:val="clear" w:pos="7609"/>
              <w:tab w:val="right" w:pos="9026" w:leader="dot"/>
            </w:tabs>
            <w:rPr/>
          </w:pPr>
          <w:hyperlink w:anchor="__RefHeading___Toc3732071_3804643083">
            <w:r>
              <w:rPr>
                <w:webHidden/>
                <w:rStyle w:val="IndexLink"/>
                <w:rtl w:val="true"/>
              </w:rPr>
              <w:t>الأوّل</w:t>
            </w:r>
            <w:r>
              <w:rPr>
                <w:rStyle w:val="IndexLink"/>
                <w:rtl w:val="true"/>
              </w:rPr>
              <w:t>:</w:t>
              <w:tab/>
            </w:r>
            <w:r>
              <w:rPr>
                <w:rStyle w:val="IndexLink"/>
              </w:rPr>
              <w:t>190</w:t>
            </w:r>
          </w:hyperlink>
        </w:p>
        <w:p>
          <w:pPr>
            <w:pStyle w:val="Contents6"/>
            <w:tabs>
              <w:tab w:val="clear" w:pos="7609"/>
              <w:tab w:val="right" w:pos="9026" w:leader="dot"/>
            </w:tabs>
            <w:rPr/>
          </w:pPr>
          <w:hyperlink w:anchor="__RefHeading___Toc3732073_3804643083">
            <w:r>
              <w:rPr>
                <w:webHidden/>
                <w:rStyle w:val="IndexLink"/>
                <w:rtl w:val="true"/>
              </w:rPr>
              <w:t>الثاني</w:t>
            </w:r>
            <w:r>
              <w:rPr>
                <w:rStyle w:val="IndexLink"/>
                <w:rtl w:val="true"/>
              </w:rPr>
              <w:t>:</w:t>
              <w:tab/>
            </w:r>
            <w:r>
              <w:rPr>
                <w:rStyle w:val="IndexLink"/>
              </w:rPr>
              <w:t>192</w:t>
            </w:r>
          </w:hyperlink>
        </w:p>
        <w:p>
          <w:pPr>
            <w:pStyle w:val="Contents6"/>
            <w:tabs>
              <w:tab w:val="clear" w:pos="7609"/>
              <w:tab w:val="right" w:pos="9026" w:leader="dot"/>
            </w:tabs>
            <w:rPr/>
          </w:pPr>
          <w:hyperlink w:anchor="__RefHeading___Toc3732075_3804643083">
            <w:r>
              <w:rPr>
                <w:webHidden/>
                <w:rStyle w:val="IndexLink"/>
                <w:rtl w:val="true"/>
              </w:rPr>
              <w:t>الثالث</w:t>
            </w:r>
            <w:r>
              <w:rPr>
                <w:rStyle w:val="IndexLink"/>
                <w:rtl w:val="true"/>
              </w:rPr>
              <w:t>:</w:t>
              <w:tab/>
            </w:r>
            <w:r>
              <w:rPr>
                <w:rStyle w:val="IndexLink"/>
              </w:rPr>
              <w:t>192</w:t>
            </w:r>
          </w:hyperlink>
        </w:p>
        <w:p>
          <w:pPr>
            <w:pStyle w:val="Contents6"/>
            <w:tabs>
              <w:tab w:val="clear" w:pos="7609"/>
              <w:tab w:val="right" w:pos="9026" w:leader="dot"/>
            </w:tabs>
            <w:rPr/>
          </w:pPr>
          <w:hyperlink w:anchor="__RefHeading___Toc3732077_3804643083">
            <w:r>
              <w:rPr>
                <w:webHidden/>
                <w:rStyle w:val="IndexLink"/>
                <w:rtl w:val="true"/>
              </w:rPr>
              <w:t>الرابع</w:t>
            </w:r>
            <w:r>
              <w:rPr>
                <w:rStyle w:val="IndexLink"/>
                <w:rtl w:val="true"/>
              </w:rPr>
              <w:t>:</w:t>
              <w:tab/>
            </w:r>
            <w:r>
              <w:rPr>
                <w:rStyle w:val="IndexLink"/>
              </w:rPr>
              <w:t>192</w:t>
            </w:r>
          </w:hyperlink>
        </w:p>
        <w:p>
          <w:pPr>
            <w:pStyle w:val="Contents6"/>
            <w:tabs>
              <w:tab w:val="clear" w:pos="7609"/>
              <w:tab w:val="right" w:pos="9026" w:leader="dot"/>
            </w:tabs>
            <w:rPr/>
          </w:pPr>
          <w:hyperlink w:anchor="__RefHeading___Toc3732079_3804643083">
            <w:r>
              <w:rPr>
                <w:webHidden/>
                <w:rStyle w:val="IndexLink"/>
                <w:rtl w:val="true"/>
              </w:rPr>
              <w:t>[</w:t>
            </w:r>
            <w:r>
              <w:rPr>
                <w:rStyle w:val="IndexLink"/>
                <w:rtl w:val="true"/>
              </w:rPr>
              <w:t>الخامس</w:t>
            </w:r>
            <w:r>
              <w:rPr>
                <w:rStyle w:val="IndexLink"/>
                <w:rtl w:val="true"/>
              </w:rPr>
              <w:t>:]</w:t>
              <w:tab/>
            </w:r>
            <w:r>
              <w:rPr>
                <w:rStyle w:val="IndexLink"/>
              </w:rPr>
              <w:t>193</w:t>
            </w:r>
          </w:hyperlink>
        </w:p>
        <w:p>
          <w:pPr>
            <w:pStyle w:val="Contents6"/>
            <w:tabs>
              <w:tab w:val="clear" w:pos="7609"/>
              <w:tab w:val="right" w:pos="9026" w:leader="dot"/>
            </w:tabs>
            <w:rPr/>
          </w:pPr>
          <w:hyperlink w:anchor="__RefHeading___Toc3732081_3804643083">
            <w:r>
              <w:rPr>
                <w:webHidden/>
                <w:rStyle w:val="IndexLink"/>
                <w:rtl w:val="true"/>
              </w:rPr>
              <w:t>السادس</w:t>
            </w:r>
            <w:r>
              <w:rPr>
                <w:rStyle w:val="IndexLink"/>
                <w:rtl w:val="true"/>
              </w:rPr>
              <w:t>:</w:t>
              <w:tab/>
            </w:r>
            <w:r>
              <w:rPr>
                <w:rStyle w:val="IndexLink"/>
              </w:rPr>
              <w:t>193</w:t>
            </w:r>
          </w:hyperlink>
        </w:p>
        <w:p>
          <w:pPr>
            <w:pStyle w:val="Contents6"/>
            <w:tabs>
              <w:tab w:val="clear" w:pos="7609"/>
              <w:tab w:val="right" w:pos="9026" w:leader="dot"/>
            </w:tabs>
            <w:rPr/>
          </w:pPr>
          <w:hyperlink w:anchor="__RefHeading___Toc3732083_3804643083">
            <w:r>
              <w:rPr>
                <w:webHidden/>
                <w:rStyle w:val="IndexLink"/>
                <w:rtl w:val="true"/>
              </w:rPr>
              <w:t>الرابع</w:t>
            </w:r>
            <w:r>
              <w:rPr>
                <w:rStyle w:val="IndexLink"/>
                <w:rtl w:val="true"/>
              </w:rPr>
              <w:t xml:space="preserve">: </w:t>
            </w:r>
            <w:r>
              <w:rPr>
                <w:rStyle w:val="IndexLink"/>
                <w:rtl w:val="true"/>
              </w:rPr>
              <w:t>مسح الرأس</w:t>
            </w:r>
            <w:r>
              <w:rPr>
                <w:rStyle w:val="IndexLink"/>
                <w:rtl w:val="true"/>
              </w:rPr>
              <w:t>:</w:t>
              <w:tab/>
            </w:r>
            <w:r>
              <w:rPr>
                <w:rStyle w:val="IndexLink"/>
              </w:rPr>
              <w:t>193</w:t>
            </w:r>
          </w:hyperlink>
        </w:p>
        <w:p>
          <w:pPr>
            <w:pStyle w:val="Contents6"/>
            <w:tabs>
              <w:tab w:val="clear" w:pos="7609"/>
              <w:tab w:val="right" w:pos="9026" w:leader="dot"/>
            </w:tabs>
            <w:rPr/>
          </w:pPr>
          <w:hyperlink w:anchor="__RefHeading___Toc3732085_3804643083">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732087_3804643083">
            <w:r>
              <w:rPr>
                <w:webHidden/>
                <w:rStyle w:val="IndexLink"/>
                <w:rtl w:val="true"/>
              </w:rPr>
              <w:t>فروع</w:t>
            </w:r>
            <w:r>
              <w:rPr>
                <w:rStyle w:val="IndexLink"/>
                <w:rtl w:val="true"/>
              </w:rPr>
              <w:t>:</w:t>
              <w:tab/>
            </w:r>
            <w:r>
              <w:rPr>
                <w:rStyle w:val="IndexLink"/>
              </w:rPr>
              <w:t>195</w:t>
            </w:r>
          </w:hyperlink>
        </w:p>
        <w:p>
          <w:pPr>
            <w:pStyle w:val="Contents6"/>
            <w:tabs>
              <w:tab w:val="clear" w:pos="7609"/>
              <w:tab w:val="right" w:pos="9026" w:leader="dot"/>
            </w:tabs>
            <w:rPr/>
          </w:pPr>
          <w:hyperlink w:anchor="__RefHeading___Toc3732089_3804643083">
            <w:r>
              <w:rPr>
                <w:webHidden/>
                <w:rStyle w:val="IndexLink"/>
                <w:rtl w:val="true"/>
              </w:rPr>
              <w:t>الأوّل</w:t>
            </w:r>
            <w:r>
              <w:rPr>
                <w:rStyle w:val="IndexLink"/>
                <w:rtl w:val="true"/>
              </w:rPr>
              <w:t>:</w:t>
              <w:tab/>
            </w:r>
            <w:r>
              <w:rPr>
                <w:rStyle w:val="IndexLink"/>
              </w:rPr>
              <w:t>195</w:t>
            </w:r>
          </w:hyperlink>
        </w:p>
        <w:p>
          <w:pPr>
            <w:pStyle w:val="Contents6"/>
            <w:tabs>
              <w:tab w:val="clear" w:pos="7609"/>
              <w:tab w:val="right" w:pos="9026" w:leader="dot"/>
            </w:tabs>
            <w:rPr/>
          </w:pPr>
          <w:hyperlink w:anchor="__RefHeading___Toc3732091_3804643083">
            <w:r>
              <w:rPr>
                <w:webHidden/>
                <w:rStyle w:val="IndexLink"/>
                <w:rtl w:val="true"/>
              </w:rPr>
              <w:t>الثاني</w:t>
            </w:r>
            <w:r>
              <w:rPr>
                <w:rStyle w:val="IndexLink"/>
                <w:rtl w:val="true"/>
              </w:rPr>
              <w:t>:</w:t>
              <w:tab/>
            </w:r>
            <w:r>
              <w:rPr>
                <w:rStyle w:val="IndexLink"/>
              </w:rPr>
              <w:t>195</w:t>
            </w:r>
          </w:hyperlink>
        </w:p>
        <w:p>
          <w:pPr>
            <w:pStyle w:val="Contents6"/>
            <w:tabs>
              <w:tab w:val="clear" w:pos="7609"/>
              <w:tab w:val="right" w:pos="9026" w:leader="dot"/>
            </w:tabs>
            <w:rPr/>
          </w:pPr>
          <w:hyperlink w:anchor="__RefHeading___Toc3732093_3804643083">
            <w:r>
              <w:rPr>
                <w:webHidden/>
                <w:rStyle w:val="IndexLink"/>
                <w:rtl w:val="true"/>
              </w:rPr>
              <w:t>الثالث</w:t>
            </w:r>
            <w:r>
              <w:rPr>
                <w:rStyle w:val="IndexLink"/>
                <w:rtl w:val="true"/>
              </w:rPr>
              <w:t>:</w:t>
              <w:tab/>
            </w:r>
            <w:r>
              <w:rPr>
                <w:rStyle w:val="IndexLink"/>
              </w:rPr>
              <w:t>196</w:t>
            </w:r>
          </w:hyperlink>
        </w:p>
        <w:p>
          <w:pPr>
            <w:pStyle w:val="Contents6"/>
            <w:tabs>
              <w:tab w:val="clear" w:pos="7609"/>
              <w:tab w:val="right" w:pos="9026" w:leader="dot"/>
            </w:tabs>
            <w:rPr/>
          </w:pPr>
          <w:hyperlink w:anchor="__RefHeading___Toc3732095_3804643083">
            <w:r>
              <w:rPr>
                <w:webHidden/>
                <w:rStyle w:val="IndexLink"/>
                <w:rtl w:val="true"/>
              </w:rPr>
              <w:t>الرابع</w:t>
            </w:r>
            <w:r>
              <w:rPr>
                <w:rStyle w:val="IndexLink"/>
                <w:rtl w:val="true"/>
              </w:rPr>
              <w:t>:</w:t>
              <w:tab/>
            </w:r>
            <w:r>
              <w:rPr>
                <w:rStyle w:val="IndexLink"/>
              </w:rPr>
              <w:t>197</w:t>
            </w:r>
          </w:hyperlink>
        </w:p>
        <w:p>
          <w:pPr>
            <w:pStyle w:val="Contents6"/>
            <w:tabs>
              <w:tab w:val="clear" w:pos="7609"/>
              <w:tab w:val="right" w:pos="9026" w:leader="dot"/>
            </w:tabs>
            <w:rPr/>
          </w:pPr>
          <w:hyperlink w:anchor="__RefHeading___Toc3732097_3804643083">
            <w:r>
              <w:rPr>
                <w:webHidden/>
                <w:rStyle w:val="IndexLink"/>
                <w:rtl w:val="true"/>
              </w:rPr>
              <w:t>الخامس</w:t>
            </w:r>
            <w:r>
              <w:rPr>
                <w:rStyle w:val="IndexLink"/>
                <w:rtl w:val="true"/>
              </w:rPr>
              <w:t>:</w:t>
              <w:tab/>
            </w:r>
            <w:r>
              <w:rPr>
                <w:rStyle w:val="IndexLink"/>
              </w:rPr>
              <w:t>197</w:t>
            </w:r>
          </w:hyperlink>
        </w:p>
        <w:p>
          <w:pPr>
            <w:pStyle w:val="Contents6"/>
            <w:tabs>
              <w:tab w:val="clear" w:pos="7609"/>
              <w:tab w:val="right" w:pos="9026" w:leader="dot"/>
            </w:tabs>
            <w:rPr/>
          </w:pPr>
          <w:hyperlink w:anchor="__RefHeading___Toc3732099_3804643083">
            <w:r>
              <w:rPr>
                <w:webHidden/>
                <w:rStyle w:val="IndexLink"/>
                <w:rtl w:val="true"/>
              </w:rPr>
              <w:t>السادس</w:t>
            </w:r>
            <w:r>
              <w:rPr>
                <w:rStyle w:val="IndexLink"/>
                <w:rtl w:val="true"/>
              </w:rPr>
              <w:t>:</w:t>
              <w:tab/>
            </w:r>
            <w:r>
              <w:rPr>
                <w:rStyle w:val="IndexLink"/>
              </w:rPr>
              <w:t>197</w:t>
            </w:r>
          </w:hyperlink>
        </w:p>
        <w:p>
          <w:pPr>
            <w:pStyle w:val="Contents6"/>
            <w:tabs>
              <w:tab w:val="clear" w:pos="7609"/>
              <w:tab w:val="right" w:pos="9026" w:leader="dot"/>
            </w:tabs>
            <w:rPr/>
          </w:pPr>
          <w:hyperlink w:anchor="__RefHeading___Toc3732101_3804643083">
            <w:r>
              <w:rPr>
                <w:webHidden/>
                <w:rStyle w:val="IndexLink"/>
                <w:rtl w:val="true"/>
              </w:rPr>
              <w:t>السابع</w:t>
            </w:r>
            <w:r>
              <w:rPr>
                <w:rStyle w:val="IndexLink"/>
                <w:rtl w:val="true"/>
              </w:rPr>
              <w:t>:</w:t>
              <w:tab/>
            </w:r>
            <w:r>
              <w:rPr>
                <w:rStyle w:val="IndexLink"/>
              </w:rPr>
              <w:t>197</w:t>
            </w:r>
          </w:hyperlink>
        </w:p>
        <w:p>
          <w:pPr>
            <w:pStyle w:val="Contents6"/>
            <w:tabs>
              <w:tab w:val="clear" w:pos="7609"/>
              <w:tab w:val="right" w:pos="9026" w:leader="dot"/>
            </w:tabs>
            <w:rPr/>
          </w:pPr>
          <w:hyperlink w:anchor="__RefHeading___Toc3732103_3804643083">
            <w:r>
              <w:rPr>
                <w:webHidden/>
                <w:rStyle w:val="IndexLink"/>
                <w:rtl w:val="true"/>
              </w:rPr>
              <w:t>الثامن</w:t>
            </w:r>
            <w:r>
              <w:rPr>
                <w:rStyle w:val="IndexLink"/>
                <w:rtl w:val="true"/>
              </w:rPr>
              <w:t>:</w:t>
              <w:tab/>
            </w:r>
            <w:r>
              <w:rPr>
                <w:rStyle w:val="IndexLink"/>
              </w:rPr>
              <w:t>197</w:t>
            </w:r>
          </w:hyperlink>
        </w:p>
        <w:p>
          <w:pPr>
            <w:pStyle w:val="Contents6"/>
            <w:tabs>
              <w:tab w:val="clear" w:pos="7609"/>
              <w:tab w:val="right" w:pos="9026" w:leader="dot"/>
            </w:tabs>
            <w:rPr/>
          </w:pPr>
          <w:hyperlink w:anchor="__RefHeading___Toc3732105_3804643083">
            <w:r>
              <w:rPr>
                <w:webHidden/>
                <w:rStyle w:val="IndexLink"/>
                <w:rtl w:val="true"/>
              </w:rPr>
              <w:t>التاسع</w:t>
            </w:r>
            <w:r>
              <w:rPr>
                <w:rStyle w:val="IndexLink"/>
                <w:rtl w:val="true"/>
              </w:rPr>
              <w:t>:</w:t>
              <w:tab/>
            </w:r>
            <w:r>
              <w:rPr>
                <w:rStyle w:val="IndexLink"/>
              </w:rPr>
              <w:t>198</w:t>
            </w:r>
          </w:hyperlink>
        </w:p>
        <w:p>
          <w:pPr>
            <w:pStyle w:val="Contents6"/>
            <w:tabs>
              <w:tab w:val="clear" w:pos="7609"/>
              <w:tab w:val="right" w:pos="9026" w:leader="dot"/>
            </w:tabs>
            <w:rPr/>
          </w:pPr>
          <w:hyperlink w:anchor="__RefHeading___Toc3732107_3804643083">
            <w:r>
              <w:rPr>
                <w:webHidden/>
                <w:rStyle w:val="IndexLink"/>
                <w:rtl w:val="true"/>
              </w:rPr>
              <w:t>العاشر</w:t>
            </w:r>
            <w:r>
              <w:rPr>
                <w:rStyle w:val="IndexLink"/>
                <w:rtl w:val="true"/>
              </w:rPr>
              <w:t>:</w:t>
              <w:tab/>
            </w:r>
            <w:r>
              <w:rPr>
                <w:rStyle w:val="IndexLink"/>
              </w:rPr>
              <w:t>198</w:t>
            </w:r>
          </w:hyperlink>
        </w:p>
        <w:p>
          <w:pPr>
            <w:pStyle w:val="Contents6"/>
            <w:tabs>
              <w:tab w:val="clear" w:pos="7609"/>
              <w:tab w:val="right" w:pos="9026" w:leader="dot"/>
            </w:tabs>
            <w:rPr/>
          </w:pPr>
          <w:hyperlink w:anchor="__RefHeading___Toc3732109_3804643083">
            <w:r>
              <w:rPr>
                <w:webHidden/>
                <w:rStyle w:val="IndexLink"/>
                <w:rtl w:val="true"/>
              </w:rPr>
              <w:t>الحادي عشر</w:t>
            </w:r>
            <w:r>
              <w:rPr>
                <w:rStyle w:val="IndexLink"/>
                <w:rtl w:val="true"/>
              </w:rPr>
              <w:t>:</w:t>
              <w:tab/>
            </w:r>
            <w:r>
              <w:rPr>
                <w:rStyle w:val="IndexLink"/>
              </w:rPr>
              <w:t>199</w:t>
            </w:r>
          </w:hyperlink>
        </w:p>
        <w:p>
          <w:pPr>
            <w:pStyle w:val="Contents6"/>
            <w:tabs>
              <w:tab w:val="clear" w:pos="7609"/>
              <w:tab w:val="right" w:pos="9026" w:leader="dot"/>
            </w:tabs>
            <w:rPr/>
          </w:pPr>
          <w:hyperlink w:anchor="__RefHeading___Toc3732111_3804643083">
            <w:r>
              <w:rPr>
                <w:webHidden/>
                <w:rStyle w:val="IndexLink"/>
                <w:rtl w:val="true"/>
              </w:rPr>
              <w:t>الخامس</w:t>
            </w:r>
            <w:r>
              <w:rPr>
                <w:rStyle w:val="IndexLink"/>
                <w:rtl w:val="true"/>
              </w:rPr>
              <w:t xml:space="preserve">: </w:t>
            </w:r>
            <w:r>
              <w:rPr>
                <w:rStyle w:val="IndexLink"/>
                <w:rtl w:val="true"/>
              </w:rPr>
              <w:t>مسح الرجلين</w:t>
            </w:r>
            <w:r>
              <w:rPr>
                <w:rStyle w:val="IndexLink"/>
                <w:rtl w:val="true"/>
              </w:rPr>
              <w:t>:</w:t>
              <w:tab/>
            </w:r>
            <w:r>
              <w:rPr>
                <w:rStyle w:val="IndexLink"/>
              </w:rPr>
              <w:t>199</w:t>
            </w:r>
          </w:hyperlink>
        </w:p>
        <w:p>
          <w:pPr>
            <w:pStyle w:val="Contents6"/>
            <w:tabs>
              <w:tab w:val="clear" w:pos="7609"/>
              <w:tab w:val="right" w:pos="9026" w:leader="dot"/>
            </w:tabs>
            <w:rPr/>
          </w:pPr>
          <w:hyperlink w:anchor="__RefHeading___Toc3732113_3804643083">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732115_3804643083">
            <w:r>
              <w:rPr>
                <w:webHidden/>
                <w:rStyle w:val="IndexLink"/>
                <w:rtl w:val="true"/>
              </w:rPr>
              <w:t>فروع</w:t>
            </w:r>
            <w:r>
              <w:rPr>
                <w:rStyle w:val="IndexLink"/>
                <w:rtl w:val="true"/>
              </w:rPr>
              <w:t>:</w:t>
              <w:tab/>
            </w:r>
            <w:r>
              <w:rPr>
                <w:rStyle w:val="IndexLink"/>
              </w:rPr>
              <w:t>199</w:t>
            </w:r>
          </w:hyperlink>
        </w:p>
        <w:p>
          <w:pPr>
            <w:pStyle w:val="Contents6"/>
            <w:tabs>
              <w:tab w:val="clear" w:pos="7609"/>
              <w:tab w:val="right" w:pos="9026" w:leader="dot"/>
            </w:tabs>
            <w:rPr/>
          </w:pPr>
          <w:hyperlink w:anchor="__RefHeading___Toc3732117_3804643083">
            <w:r>
              <w:rPr>
                <w:webHidden/>
                <w:rStyle w:val="IndexLink"/>
                <w:rtl w:val="true"/>
              </w:rPr>
              <w:t>الأوّل</w:t>
            </w:r>
            <w:r>
              <w:rPr>
                <w:rStyle w:val="IndexLink"/>
                <w:rtl w:val="true"/>
              </w:rPr>
              <w:t>:</w:t>
              <w:tab/>
            </w:r>
            <w:r>
              <w:rPr>
                <w:rStyle w:val="IndexLink"/>
              </w:rPr>
              <w:t>199</w:t>
            </w:r>
          </w:hyperlink>
        </w:p>
        <w:p>
          <w:pPr>
            <w:pStyle w:val="Contents6"/>
            <w:tabs>
              <w:tab w:val="clear" w:pos="7609"/>
              <w:tab w:val="right" w:pos="9026" w:leader="dot"/>
            </w:tabs>
            <w:rPr/>
          </w:pPr>
          <w:hyperlink w:anchor="__RefHeading___Toc3732119_3804643083">
            <w:r>
              <w:rPr>
                <w:webHidden/>
                <w:rStyle w:val="IndexLink"/>
                <w:rtl w:val="true"/>
              </w:rPr>
              <w:t>الثاني</w:t>
            </w:r>
            <w:r>
              <w:rPr>
                <w:rStyle w:val="IndexLink"/>
                <w:rtl w:val="true"/>
              </w:rPr>
              <w:t>:</w:t>
              <w:tab/>
            </w:r>
            <w:r>
              <w:rPr>
                <w:rStyle w:val="IndexLink"/>
              </w:rPr>
              <w:t>202</w:t>
            </w:r>
          </w:hyperlink>
        </w:p>
        <w:p>
          <w:pPr>
            <w:pStyle w:val="Contents6"/>
            <w:tabs>
              <w:tab w:val="clear" w:pos="7609"/>
              <w:tab w:val="right" w:pos="9026" w:leader="dot"/>
            </w:tabs>
            <w:rPr/>
          </w:pPr>
          <w:hyperlink w:anchor="__RefHeading___Toc3732121_3804643083">
            <w:r>
              <w:rPr>
                <w:webHidden/>
                <w:rStyle w:val="IndexLink"/>
                <w:rtl w:val="true"/>
              </w:rPr>
              <w:t>الثالث</w:t>
            </w:r>
            <w:r>
              <w:rPr>
                <w:rStyle w:val="IndexLink"/>
                <w:rtl w:val="true"/>
              </w:rPr>
              <w:t>:</w:t>
              <w:tab/>
            </w:r>
            <w:r>
              <w:rPr>
                <w:rStyle w:val="IndexLink"/>
              </w:rPr>
              <w:t>203</w:t>
            </w:r>
          </w:hyperlink>
        </w:p>
        <w:p>
          <w:pPr>
            <w:pStyle w:val="Contents6"/>
            <w:tabs>
              <w:tab w:val="clear" w:pos="7609"/>
              <w:tab w:val="right" w:pos="9026" w:leader="dot"/>
            </w:tabs>
            <w:rPr/>
          </w:pPr>
          <w:hyperlink w:anchor="__RefHeading___Toc3732123_3804643083">
            <w:r>
              <w:rPr>
                <w:webHidden/>
                <w:rStyle w:val="IndexLink"/>
                <w:rtl w:val="true"/>
              </w:rPr>
              <w:t>الرابع</w:t>
            </w:r>
            <w:r>
              <w:rPr>
                <w:rStyle w:val="IndexLink"/>
                <w:rtl w:val="true"/>
              </w:rPr>
              <w:t>:</w:t>
              <w:tab/>
            </w:r>
            <w:r>
              <w:rPr>
                <w:rStyle w:val="IndexLink"/>
              </w:rPr>
              <w:t>203</w:t>
            </w:r>
          </w:hyperlink>
        </w:p>
        <w:p>
          <w:pPr>
            <w:pStyle w:val="Contents6"/>
            <w:tabs>
              <w:tab w:val="clear" w:pos="7609"/>
              <w:tab w:val="right" w:pos="9026" w:leader="dot"/>
            </w:tabs>
            <w:rPr/>
          </w:pPr>
          <w:hyperlink w:anchor="__RefHeading___Toc3732125_3804643083">
            <w:r>
              <w:rPr>
                <w:webHidden/>
                <w:rStyle w:val="IndexLink"/>
                <w:rtl w:val="true"/>
              </w:rPr>
              <w:t>الخامس</w:t>
            </w:r>
            <w:r>
              <w:rPr>
                <w:rStyle w:val="IndexLink"/>
                <w:rtl w:val="true"/>
              </w:rPr>
              <w:t>:</w:t>
              <w:tab/>
            </w:r>
            <w:r>
              <w:rPr>
                <w:rStyle w:val="IndexLink"/>
              </w:rPr>
              <w:t>205</w:t>
            </w:r>
          </w:hyperlink>
        </w:p>
        <w:p>
          <w:pPr>
            <w:pStyle w:val="Contents6"/>
            <w:tabs>
              <w:tab w:val="clear" w:pos="7609"/>
              <w:tab w:val="right" w:pos="9026" w:leader="dot"/>
            </w:tabs>
            <w:rPr/>
          </w:pPr>
          <w:hyperlink w:anchor="__RefHeading___Toc3732127_3804643083">
            <w:r>
              <w:rPr>
                <w:webHidden/>
                <w:rStyle w:val="IndexLink"/>
                <w:rtl w:val="true"/>
              </w:rPr>
              <w:t>السادس</w:t>
            </w:r>
            <w:r>
              <w:rPr>
                <w:rStyle w:val="IndexLink"/>
                <w:rtl w:val="true"/>
              </w:rPr>
              <w:t xml:space="preserve">: </w:t>
            </w:r>
            <w:r>
              <w:rPr>
                <w:rStyle w:val="IndexLink"/>
                <w:rtl w:val="true"/>
              </w:rPr>
              <w:t>الترتيب</w:t>
            </w:r>
            <w:r>
              <w:rPr>
                <w:rStyle w:val="IndexLink"/>
                <w:rtl w:val="true"/>
              </w:rPr>
              <w:t>:</w:t>
              <w:tab/>
            </w:r>
            <w:r>
              <w:rPr>
                <w:rStyle w:val="IndexLink"/>
              </w:rPr>
              <w:t>205</w:t>
            </w:r>
          </w:hyperlink>
        </w:p>
        <w:p>
          <w:pPr>
            <w:pStyle w:val="Contents6"/>
            <w:tabs>
              <w:tab w:val="clear" w:pos="7609"/>
              <w:tab w:val="right" w:pos="9026" w:leader="dot"/>
            </w:tabs>
            <w:rPr/>
          </w:pPr>
          <w:hyperlink w:anchor="__RefHeading___Toc3732129_3804643083">
            <w:r>
              <w:rPr>
                <w:webHidden/>
                <w:rStyle w:val="IndexLink"/>
                <w:rtl w:val="true"/>
              </w:rPr>
              <w:t>السابع</w:t>
            </w:r>
            <w:r>
              <w:rPr>
                <w:rStyle w:val="IndexLink"/>
                <w:rtl w:val="true"/>
              </w:rPr>
              <w:t xml:space="preserve">: </w:t>
            </w:r>
            <w:r>
              <w:rPr>
                <w:rStyle w:val="IndexLink"/>
                <w:rtl w:val="true"/>
              </w:rPr>
              <w:t>الموالاة</w:t>
            </w:r>
            <w:r>
              <w:rPr>
                <w:rStyle w:val="IndexLink"/>
                <w:rtl w:val="true"/>
              </w:rPr>
              <w:t>:</w:t>
              <w:tab/>
            </w:r>
            <w:r>
              <w:rPr>
                <w:rStyle w:val="IndexLink"/>
              </w:rPr>
              <w:t>206</w:t>
            </w:r>
          </w:hyperlink>
        </w:p>
        <w:p>
          <w:pPr>
            <w:pStyle w:val="Contents6"/>
            <w:tabs>
              <w:tab w:val="clear" w:pos="7609"/>
              <w:tab w:val="right" w:pos="9026" w:leader="dot"/>
            </w:tabs>
            <w:rPr/>
          </w:pPr>
          <w:hyperlink w:anchor="__RefHeading___Toc3732131_3804643083">
            <w:r>
              <w:rPr>
                <w:webHidden/>
                <w:rStyle w:val="IndexLink"/>
                <w:rtl w:val="true"/>
              </w:rPr>
              <w:t>الثامن</w:t>
            </w:r>
            <w:r>
              <w:rPr>
                <w:rStyle w:val="IndexLink"/>
                <w:rtl w:val="true"/>
              </w:rPr>
              <w:t xml:space="preserve">: </w:t>
            </w:r>
            <w:r>
              <w:rPr>
                <w:rStyle w:val="IndexLink"/>
                <w:rtl w:val="true"/>
              </w:rPr>
              <w:t>المباشرة بنفسه مع الاختيار</w:t>
            </w:r>
            <w:r>
              <w:rPr>
                <w:rStyle w:val="IndexLink"/>
                <w:rtl w:val="true"/>
              </w:rPr>
              <w:t>:</w:t>
              <w:tab/>
            </w:r>
            <w:r>
              <w:rPr>
                <w:rStyle w:val="IndexLink"/>
              </w:rPr>
              <w:t>210</w:t>
            </w:r>
          </w:hyperlink>
        </w:p>
        <w:p>
          <w:pPr>
            <w:pStyle w:val="Contents6"/>
            <w:tabs>
              <w:tab w:val="clear" w:pos="7609"/>
              <w:tab w:val="right" w:pos="9026" w:leader="dot"/>
            </w:tabs>
            <w:rPr/>
          </w:pPr>
          <w:hyperlink w:anchor="__RefHeading___Toc3732133_3804643083">
            <w:r>
              <w:rPr>
                <w:webHidden/>
                <w:rStyle w:val="IndexLink"/>
                <w:rtl w:val="true"/>
              </w:rPr>
              <w:t>التاسع</w:t>
            </w:r>
            <w:r>
              <w:rPr>
                <w:rStyle w:val="IndexLink"/>
                <w:rtl w:val="true"/>
              </w:rPr>
              <w:t>:</w:t>
              <w:tab/>
            </w:r>
            <w:r>
              <w:rPr>
                <w:rStyle w:val="IndexLink"/>
              </w:rPr>
              <w:t>210</w:t>
            </w:r>
          </w:hyperlink>
        </w:p>
        <w:p>
          <w:pPr>
            <w:pStyle w:val="Contents5"/>
            <w:tabs>
              <w:tab w:val="clear" w:pos="7892"/>
              <w:tab w:val="right" w:pos="9026" w:leader="dot"/>
            </w:tabs>
            <w:rPr/>
          </w:pPr>
          <w:hyperlink w:anchor="__RefHeading___Toc3732135_3804643083">
            <w:r>
              <w:rPr>
                <w:webHidden/>
                <w:rStyle w:val="IndexLink"/>
                <w:rtl w:val="true"/>
              </w:rPr>
              <w:t>فصل يستحبّ فيه</w:t>
            </w:r>
            <w:r>
              <w:rPr>
                <w:rStyle w:val="IndexLink"/>
                <w:rtl w:val="true"/>
              </w:rPr>
              <w:t>:</w:t>
              <w:tab/>
            </w:r>
            <w:r>
              <w:rPr>
                <w:rStyle w:val="IndexLink"/>
              </w:rPr>
              <w:t>211</w:t>
            </w:r>
          </w:hyperlink>
        </w:p>
        <w:p>
          <w:pPr>
            <w:pStyle w:val="Contents5"/>
            <w:tabs>
              <w:tab w:val="clear" w:pos="7892"/>
              <w:tab w:val="right" w:pos="9026" w:leader="dot"/>
            </w:tabs>
            <w:rPr/>
          </w:pPr>
          <w:hyperlink w:anchor="__RefHeading___Toc3732137_3804643083">
            <w:r>
              <w:rPr>
                <w:webHidden/>
                <w:rStyle w:val="IndexLink"/>
                <w:rtl w:val="true"/>
              </w:rPr>
              <w:t>فصل و يكره</w:t>
            </w:r>
            <w:r>
              <w:rPr>
                <w:rStyle w:val="IndexLink"/>
                <w:rtl w:val="true"/>
              </w:rPr>
              <w:t>:</w:t>
              <w:tab/>
            </w:r>
            <w:r>
              <w:rPr>
                <w:rStyle w:val="IndexLink"/>
              </w:rPr>
              <w:t>216</w:t>
            </w:r>
          </w:hyperlink>
        </w:p>
        <w:p>
          <w:pPr>
            <w:pStyle w:val="Contents5"/>
            <w:tabs>
              <w:tab w:val="clear" w:pos="7892"/>
              <w:tab w:val="right" w:pos="9026" w:leader="dot"/>
            </w:tabs>
            <w:rPr/>
          </w:pPr>
          <w:hyperlink w:anchor="__RefHeading___Toc3732139_3804643083">
            <w:r>
              <w:rPr>
                <w:webHidden/>
                <w:rStyle w:val="IndexLink"/>
                <w:rtl w:val="true"/>
              </w:rPr>
              <w:t xml:space="preserve">فصل </w:t>
            </w:r>
            <w:r>
              <w:rPr>
                <w:rStyle w:val="IndexLink"/>
                <w:rtl w:val="true"/>
              </w:rPr>
              <w:t>[</w:t>
            </w:r>
            <w:r>
              <w:rPr>
                <w:rStyle w:val="IndexLink"/>
                <w:rtl w:val="true"/>
              </w:rPr>
              <w:t>حكم الشك في الوضوء</w:t>
            </w:r>
            <w:r>
              <w:rPr>
                <w:rStyle w:val="IndexLink"/>
                <w:rtl w:val="true"/>
              </w:rPr>
              <w:t>]</w:t>
              <w:tab/>
            </w:r>
            <w:r>
              <w:rPr>
                <w:rStyle w:val="IndexLink"/>
              </w:rPr>
              <w:t>217</w:t>
            </w:r>
          </w:hyperlink>
        </w:p>
        <w:p>
          <w:pPr>
            <w:pStyle w:val="Contents5"/>
            <w:tabs>
              <w:tab w:val="clear" w:pos="7892"/>
              <w:tab w:val="right" w:pos="9026" w:leader="dot"/>
            </w:tabs>
            <w:rPr/>
          </w:pPr>
          <w:hyperlink w:anchor="__RefHeading___Toc3732141_3804643083">
            <w:r>
              <w:rPr>
                <w:webHidden/>
                <w:rStyle w:val="IndexLink"/>
                <w:rtl w:val="true"/>
              </w:rPr>
              <w:t xml:space="preserve">فصل </w:t>
            </w:r>
            <w:r>
              <w:rPr>
                <w:rStyle w:val="IndexLink"/>
                <w:rtl w:val="true"/>
              </w:rPr>
              <w:t>[</w:t>
            </w:r>
            <w:r>
              <w:rPr>
                <w:rStyle w:val="IndexLink"/>
                <w:rtl w:val="true"/>
              </w:rPr>
              <w:t>استصحاب الطهارة أو الحدث</w:t>
            </w:r>
            <w:r>
              <w:rPr>
                <w:rStyle w:val="IndexLink"/>
                <w:rtl w:val="true"/>
              </w:rPr>
              <w:t>]</w:t>
              <w:tab/>
            </w:r>
            <w:r>
              <w:rPr>
                <w:rStyle w:val="IndexLink"/>
              </w:rPr>
              <w:t>219</w:t>
            </w:r>
          </w:hyperlink>
        </w:p>
        <w:p>
          <w:pPr>
            <w:pStyle w:val="Contents5"/>
            <w:tabs>
              <w:tab w:val="clear" w:pos="7892"/>
              <w:tab w:val="right" w:pos="9026" w:leader="dot"/>
            </w:tabs>
            <w:rPr/>
          </w:pPr>
          <w:hyperlink w:anchor="__RefHeading___Toc3732143_3804643083">
            <w:r>
              <w:rPr>
                <w:webHidden/>
                <w:rStyle w:val="IndexLink"/>
                <w:rtl w:val="true"/>
              </w:rPr>
              <w:t xml:space="preserve">فصل </w:t>
            </w:r>
            <w:r>
              <w:rPr>
                <w:rStyle w:val="IndexLink"/>
                <w:rtl w:val="true"/>
              </w:rPr>
              <w:t>[</w:t>
            </w:r>
            <w:r>
              <w:rPr>
                <w:rStyle w:val="IndexLink"/>
                <w:rtl w:val="true"/>
              </w:rPr>
              <w:t>تذكّر الخلل بعد الصلاة</w:t>
            </w:r>
            <w:r>
              <w:rPr>
                <w:rStyle w:val="IndexLink"/>
                <w:rtl w:val="true"/>
              </w:rPr>
              <w:t>]</w:t>
              <w:tab/>
            </w:r>
            <w:r>
              <w:rPr>
                <w:rStyle w:val="IndexLink"/>
              </w:rPr>
              <w:t>220</w:t>
            </w:r>
          </w:hyperlink>
        </w:p>
        <w:p>
          <w:pPr>
            <w:pStyle w:val="Contents5"/>
            <w:tabs>
              <w:tab w:val="clear" w:pos="7892"/>
              <w:tab w:val="right" w:pos="9026" w:leader="dot"/>
            </w:tabs>
            <w:rPr/>
          </w:pPr>
          <w:hyperlink w:anchor="__RefHeading___Toc3732145_3804643083">
            <w:r>
              <w:rPr>
                <w:webHidden/>
                <w:rStyle w:val="IndexLink"/>
                <w:rtl w:val="true"/>
              </w:rPr>
              <w:t xml:space="preserve">فصل </w:t>
            </w:r>
            <w:r>
              <w:rPr>
                <w:rStyle w:val="IndexLink"/>
                <w:rtl w:val="true"/>
              </w:rPr>
              <w:t>[</w:t>
            </w:r>
            <w:r>
              <w:rPr>
                <w:rStyle w:val="IndexLink"/>
                <w:rtl w:val="true"/>
              </w:rPr>
              <w:t>أحكام الجبيرة</w:t>
            </w:r>
            <w:r>
              <w:rPr>
                <w:rStyle w:val="IndexLink"/>
                <w:rtl w:val="true"/>
              </w:rPr>
              <w:t>]</w:t>
              <w:tab/>
            </w:r>
            <w:r>
              <w:rPr>
                <w:rStyle w:val="IndexLink"/>
              </w:rPr>
              <w:t>225</w:t>
            </w:r>
          </w:hyperlink>
        </w:p>
        <w:p>
          <w:pPr>
            <w:pStyle w:val="Contents5"/>
            <w:tabs>
              <w:tab w:val="clear" w:pos="7892"/>
              <w:tab w:val="right" w:pos="9026" w:leader="dot"/>
            </w:tabs>
            <w:rPr/>
          </w:pPr>
          <w:hyperlink w:anchor="__RefHeading___Toc3732147_3804643083">
            <w:r>
              <w:rPr>
                <w:webHidden/>
                <w:rStyle w:val="IndexLink"/>
                <w:rtl w:val="true"/>
              </w:rPr>
              <w:t xml:space="preserve">فصل </w:t>
            </w:r>
            <w:r>
              <w:rPr>
                <w:rStyle w:val="IndexLink"/>
                <w:rtl w:val="true"/>
              </w:rPr>
              <w:t>[</w:t>
            </w:r>
            <w:r>
              <w:rPr>
                <w:rStyle w:val="IndexLink"/>
                <w:rtl w:val="true"/>
              </w:rPr>
              <w:t>حكم السلس</w:t>
            </w:r>
            <w:r>
              <w:rPr>
                <w:rStyle w:val="IndexLink"/>
                <w:rtl w:val="true"/>
              </w:rPr>
              <w:t>]</w:t>
              <w:tab/>
            </w:r>
            <w:r>
              <w:rPr>
                <w:rStyle w:val="IndexLink"/>
              </w:rPr>
              <w:t>228</w:t>
            </w:r>
          </w:hyperlink>
        </w:p>
        <w:p>
          <w:pPr>
            <w:pStyle w:val="Contents5"/>
            <w:tabs>
              <w:tab w:val="clear" w:pos="7892"/>
              <w:tab w:val="right" w:pos="9026" w:leader="dot"/>
            </w:tabs>
            <w:rPr/>
          </w:pPr>
          <w:hyperlink w:anchor="__RefHeading___Toc3732149_3804643083">
            <w:r>
              <w:rPr>
                <w:webHidden/>
                <w:rStyle w:val="IndexLink"/>
                <w:rtl w:val="true"/>
              </w:rPr>
              <w:t xml:space="preserve">فصل </w:t>
            </w:r>
            <w:r>
              <w:rPr>
                <w:rStyle w:val="IndexLink"/>
                <w:rtl w:val="true"/>
              </w:rPr>
              <w:t>[</w:t>
            </w:r>
            <w:r>
              <w:rPr>
                <w:rStyle w:val="IndexLink"/>
                <w:rtl w:val="true"/>
              </w:rPr>
              <w:t>حكم البطن</w:t>
            </w:r>
            <w:r>
              <w:rPr>
                <w:rStyle w:val="IndexLink"/>
                <w:rtl w:val="true"/>
              </w:rPr>
              <w:t>]</w:t>
              <w:tab/>
            </w:r>
            <w:r>
              <w:rPr>
                <w:rStyle w:val="IndexLink"/>
              </w:rPr>
              <w:t>229</w:t>
            </w:r>
          </w:hyperlink>
        </w:p>
        <w:p>
          <w:pPr>
            <w:pStyle w:val="Contents4"/>
            <w:tabs>
              <w:tab w:val="clear" w:pos="8176"/>
              <w:tab w:val="right" w:pos="9026" w:leader="dot"/>
            </w:tabs>
            <w:rPr/>
          </w:pPr>
          <w:hyperlink w:anchor="__RefHeading___Toc3732151_3804643083">
            <w:r>
              <w:rPr>
                <w:webHidden/>
                <w:rStyle w:val="IndexLink"/>
                <w:rtl w:val="true"/>
              </w:rPr>
              <w:t>[</w:t>
            </w:r>
            <w:r>
              <w:rPr>
                <w:rStyle w:val="IndexLink"/>
                <w:rtl w:val="true"/>
              </w:rPr>
              <w:t>مباحث الغسل</w:t>
            </w:r>
            <w:r>
              <w:rPr>
                <w:rStyle w:val="IndexLink"/>
                <w:rtl w:val="true"/>
              </w:rPr>
              <w:t>]</w:t>
              <w:tab/>
            </w:r>
            <w:r>
              <w:rPr>
                <w:rStyle w:val="IndexLink"/>
              </w:rPr>
              <w:t>232</w:t>
            </w:r>
          </w:hyperlink>
        </w:p>
        <w:p>
          <w:pPr>
            <w:pStyle w:val="Contents5"/>
            <w:tabs>
              <w:tab w:val="clear" w:pos="7892"/>
              <w:tab w:val="right" w:pos="9026" w:leader="dot"/>
            </w:tabs>
            <w:rPr/>
          </w:pPr>
          <w:hyperlink w:anchor="__RefHeading___Toc3732153_3804643083">
            <w:r>
              <w:rPr>
                <w:webHidden/>
                <w:rStyle w:val="IndexLink"/>
                <w:rtl w:val="true"/>
              </w:rPr>
              <w:t>بحث غسل الجنابة</w:t>
            </w:r>
            <w:r>
              <w:rPr>
                <w:rStyle w:val="IndexLink"/>
                <w:rtl w:val="true"/>
              </w:rPr>
              <w:tab/>
            </w:r>
            <w:r>
              <w:rPr>
                <w:rStyle w:val="IndexLink"/>
              </w:rPr>
              <w:t>232</w:t>
            </w:r>
          </w:hyperlink>
        </w:p>
        <w:p>
          <w:pPr>
            <w:pStyle w:val="Contents6"/>
            <w:tabs>
              <w:tab w:val="clear" w:pos="7609"/>
              <w:tab w:val="right" w:pos="9026" w:leader="dot"/>
            </w:tabs>
            <w:rPr/>
          </w:pPr>
          <w:hyperlink w:anchor="__RefHeading___Toc3732155_3804643083">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732157_3804643083">
            <w:r>
              <w:rPr>
                <w:webHidden/>
                <w:rStyle w:val="IndexLink"/>
                <w:rtl w:val="true"/>
              </w:rPr>
              <w:t xml:space="preserve">فصل </w:t>
            </w:r>
            <w:r>
              <w:rPr>
                <w:rStyle w:val="IndexLink"/>
                <w:rtl w:val="true"/>
              </w:rPr>
              <w:t>[</w:t>
            </w:r>
            <w:r>
              <w:rPr>
                <w:rStyle w:val="IndexLink"/>
                <w:rtl w:val="true"/>
              </w:rPr>
              <w:t>غسل الجنابة واجب غيري</w:t>
            </w:r>
            <w:r>
              <w:rPr>
                <w:rStyle w:val="IndexLink"/>
                <w:rtl w:val="true"/>
              </w:rPr>
              <w:t>]</w:t>
              <w:tab/>
            </w:r>
            <w:r>
              <w:rPr>
                <w:rStyle w:val="IndexLink"/>
              </w:rPr>
              <w:t>233</w:t>
            </w:r>
          </w:hyperlink>
        </w:p>
        <w:p>
          <w:pPr>
            <w:pStyle w:val="Contents6"/>
            <w:tabs>
              <w:tab w:val="clear" w:pos="7609"/>
              <w:tab w:val="right" w:pos="9026" w:leader="dot"/>
            </w:tabs>
            <w:rPr/>
          </w:pPr>
          <w:hyperlink w:anchor="__RefHeading___Toc3732159_3804643083">
            <w:r>
              <w:rPr>
                <w:webHidden/>
                <w:rStyle w:val="IndexLink"/>
                <w:rtl w:val="true"/>
              </w:rPr>
              <w:t xml:space="preserve">فصل </w:t>
            </w:r>
            <w:r>
              <w:rPr>
                <w:rStyle w:val="IndexLink"/>
                <w:rtl w:val="true"/>
              </w:rPr>
              <w:t>[</w:t>
            </w:r>
            <w:r>
              <w:rPr>
                <w:rStyle w:val="IndexLink"/>
                <w:rtl w:val="true"/>
              </w:rPr>
              <w:t>موجبات الجنابة</w:t>
            </w:r>
            <w:r>
              <w:rPr>
                <w:rStyle w:val="IndexLink"/>
                <w:rtl w:val="true"/>
              </w:rPr>
              <w:t>]</w:t>
              <w:tab/>
            </w:r>
            <w:r>
              <w:rPr>
                <w:rStyle w:val="IndexLink"/>
              </w:rPr>
              <w:t>234</w:t>
            </w:r>
          </w:hyperlink>
        </w:p>
        <w:p>
          <w:pPr>
            <w:pStyle w:val="Contents6"/>
            <w:tabs>
              <w:tab w:val="clear" w:pos="7609"/>
              <w:tab w:val="right" w:pos="9026" w:leader="dot"/>
            </w:tabs>
            <w:rPr/>
          </w:pPr>
          <w:hyperlink w:anchor="__RefHeading___Toc3732161_380464308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732163_3804643083">
            <w:r>
              <w:rPr>
                <w:webHidden/>
                <w:rStyle w:val="IndexLink"/>
                <w:rtl w:val="true"/>
              </w:rPr>
              <w:t>فروع</w:t>
            </w:r>
            <w:r>
              <w:rPr>
                <w:rStyle w:val="IndexLink"/>
                <w:rtl w:val="true"/>
              </w:rPr>
              <w:t>:</w:t>
              <w:tab/>
            </w:r>
            <w:r>
              <w:rPr>
                <w:rStyle w:val="IndexLink"/>
              </w:rPr>
              <w:t>235</w:t>
            </w:r>
          </w:hyperlink>
        </w:p>
        <w:p>
          <w:pPr>
            <w:pStyle w:val="Contents6"/>
            <w:tabs>
              <w:tab w:val="clear" w:pos="7609"/>
              <w:tab w:val="right" w:pos="9026" w:leader="dot"/>
            </w:tabs>
            <w:rPr/>
          </w:pPr>
          <w:hyperlink w:anchor="__RefHeading___Toc3732165_3804643083">
            <w:r>
              <w:rPr>
                <w:webHidden/>
                <w:rStyle w:val="IndexLink"/>
                <w:rtl w:val="true"/>
              </w:rPr>
              <w:t>الأوّل</w:t>
            </w:r>
            <w:r>
              <w:rPr>
                <w:rStyle w:val="IndexLink"/>
                <w:rtl w:val="true"/>
              </w:rPr>
              <w:t>:</w:t>
              <w:tab/>
            </w:r>
            <w:r>
              <w:rPr>
                <w:rStyle w:val="IndexLink"/>
              </w:rPr>
              <w:t>235</w:t>
            </w:r>
          </w:hyperlink>
        </w:p>
        <w:p>
          <w:pPr>
            <w:pStyle w:val="Contents6"/>
            <w:tabs>
              <w:tab w:val="clear" w:pos="7609"/>
              <w:tab w:val="right" w:pos="9026" w:leader="dot"/>
            </w:tabs>
            <w:rPr/>
          </w:pPr>
          <w:hyperlink w:anchor="__RefHeading___Toc3732167_3804643083">
            <w:r>
              <w:rPr>
                <w:webHidden/>
                <w:rStyle w:val="IndexLink"/>
                <w:rtl w:val="true"/>
              </w:rPr>
              <w:t>الثاني</w:t>
            </w:r>
            <w:r>
              <w:rPr>
                <w:rStyle w:val="IndexLink"/>
                <w:rtl w:val="true"/>
              </w:rPr>
              <w:t>:</w:t>
              <w:tab/>
            </w:r>
            <w:r>
              <w:rPr>
                <w:rStyle w:val="IndexLink"/>
              </w:rPr>
              <w:t>235</w:t>
            </w:r>
          </w:hyperlink>
        </w:p>
        <w:p>
          <w:pPr>
            <w:pStyle w:val="Contents6"/>
            <w:tabs>
              <w:tab w:val="clear" w:pos="7609"/>
              <w:tab w:val="right" w:pos="9026" w:leader="dot"/>
            </w:tabs>
            <w:rPr/>
          </w:pPr>
          <w:hyperlink w:anchor="__RefHeading___Toc3732169_3804643083">
            <w:r>
              <w:rPr>
                <w:webHidden/>
                <w:rStyle w:val="IndexLink"/>
                <w:rtl w:val="true"/>
              </w:rPr>
              <w:t>الثالث</w:t>
            </w:r>
            <w:r>
              <w:rPr>
                <w:rStyle w:val="IndexLink"/>
                <w:rtl w:val="true"/>
              </w:rPr>
              <w:t>:</w:t>
              <w:tab/>
            </w:r>
            <w:r>
              <w:rPr>
                <w:rStyle w:val="IndexLink"/>
              </w:rPr>
              <w:t>236</w:t>
            </w:r>
          </w:hyperlink>
        </w:p>
        <w:p>
          <w:pPr>
            <w:pStyle w:val="Contents6"/>
            <w:tabs>
              <w:tab w:val="clear" w:pos="7609"/>
              <w:tab w:val="right" w:pos="9026" w:leader="dot"/>
            </w:tabs>
            <w:rPr/>
          </w:pPr>
          <w:hyperlink w:anchor="__RefHeading___Toc3732171_3804643083">
            <w:r>
              <w:rPr>
                <w:webHidden/>
                <w:rStyle w:val="IndexLink"/>
                <w:rtl w:val="true"/>
              </w:rPr>
              <w:t>الرابع</w:t>
            </w:r>
            <w:r>
              <w:rPr>
                <w:rStyle w:val="IndexLink"/>
                <w:rtl w:val="true"/>
              </w:rPr>
              <w:t>:</w:t>
              <w:tab/>
            </w:r>
            <w:r>
              <w:rPr>
                <w:rStyle w:val="IndexLink"/>
              </w:rPr>
              <w:t>236</w:t>
            </w:r>
          </w:hyperlink>
        </w:p>
        <w:p>
          <w:pPr>
            <w:pStyle w:val="Contents6"/>
            <w:tabs>
              <w:tab w:val="clear" w:pos="7609"/>
              <w:tab w:val="right" w:pos="9026" w:leader="dot"/>
            </w:tabs>
            <w:rPr/>
          </w:pPr>
          <w:hyperlink w:anchor="__RefHeading___Toc3732173_3804643083">
            <w:r>
              <w:rPr>
                <w:webHidden/>
                <w:rStyle w:val="IndexLink"/>
                <w:rtl w:val="true"/>
              </w:rPr>
              <w:t>الخامس</w:t>
            </w:r>
            <w:r>
              <w:rPr>
                <w:rStyle w:val="IndexLink"/>
                <w:rtl w:val="true"/>
              </w:rPr>
              <w:t>:</w:t>
              <w:tab/>
            </w:r>
            <w:r>
              <w:rPr>
                <w:rStyle w:val="IndexLink"/>
              </w:rPr>
              <w:t>238</w:t>
            </w:r>
          </w:hyperlink>
        </w:p>
        <w:p>
          <w:pPr>
            <w:pStyle w:val="Contents6"/>
            <w:tabs>
              <w:tab w:val="clear" w:pos="7609"/>
              <w:tab w:val="right" w:pos="9026" w:leader="dot"/>
            </w:tabs>
            <w:rPr/>
          </w:pPr>
          <w:hyperlink w:anchor="__RefHeading___Toc3732175_3804643083">
            <w:r>
              <w:rPr>
                <w:webHidden/>
                <w:rStyle w:val="IndexLink"/>
                <w:rtl w:val="true"/>
              </w:rPr>
              <w:t>السادس</w:t>
            </w:r>
            <w:r>
              <w:rPr>
                <w:rStyle w:val="IndexLink"/>
                <w:rtl w:val="true"/>
              </w:rPr>
              <w:t>:</w:t>
              <w:tab/>
            </w:r>
            <w:r>
              <w:rPr>
                <w:rStyle w:val="IndexLink"/>
              </w:rPr>
              <w:t>238</w:t>
            </w:r>
          </w:hyperlink>
        </w:p>
        <w:p>
          <w:pPr>
            <w:pStyle w:val="Contents6"/>
            <w:tabs>
              <w:tab w:val="clear" w:pos="7609"/>
              <w:tab w:val="right" w:pos="9026" w:leader="dot"/>
            </w:tabs>
            <w:rPr/>
          </w:pPr>
          <w:hyperlink w:anchor="__RefHeading___Toc3732177_3804643083">
            <w:r>
              <w:rPr>
                <w:webHidden/>
                <w:rStyle w:val="IndexLink"/>
                <w:rtl w:val="true"/>
              </w:rPr>
              <w:t>السابع</w:t>
            </w:r>
            <w:r>
              <w:rPr>
                <w:rStyle w:val="IndexLink"/>
                <w:rtl w:val="true"/>
              </w:rPr>
              <w:t>:</w:t>
              <w:tab/>
            </w:r>
            <w:r>
              <w:rPr>
                <w:rStyle w:val="IndexLink"/>
              </w:rPr>
              <w:t>238</w:t>
            </w:r>
          </w:hyperlink>
        </w:p>
        <w:p>
          <w:pPr>
            <w:pStyle w:val="Contents6"/>
            <w:tabs>
              <w:tab w:val="clear" w:pos="7609"/>
              <w:tab w:val="right" w:pos="9026" w:leader="dot"/>
            </w:tabs>
            <w:rPr/>
          </w:pPr>
          <w:hyperlink w:anchor="__RefHeading___Toc3732179_3804643083">
            <w:r>
              <w:rPr>
                <w:webHidden/>
                <w:rStyle w:val="IndexLink"/>
                <w:rtl w:val="true"/>
              </w:rPr>
              <w:t>الثامن</w:t>
            </w:r>
            <w:r>
              <w:rPr>
                <w:rStyle w:val="IndexLink"/>
                <w:rtl w:val="true"/>
              </w:rPr>
              <w:t>:</w:t>
              <w:tab/>
            </w:r>
            <w:r>
              <w:rPr>
                <w:rStyle w:val="IndexLink"/>
              </w:rPr>
              <w:t>238</w:t>
            </w:r>
          </w:hyperlink>
        </w:p>
        <w:p>
          <w:pPr>
            <w:pStyle w:val="Contents6"/>
            <w:tabs>
              <w:tab w:val="clear" w:pos="7609"/>
              <w:tab w:val="right" w:pos="9026" w:leader="dot"/>
            </w:tabs>
            <w:rPr/>
          </w:pPr>
          <w:hyperlink w:anchor="__RefHeading___Toc3732181_3804643083">
            <w:r>
              <w:rPr>
                <w:webHidden/>
                <w:rStyle w:val="IndexLink"/>
                <w:rtl w:val="true"/>
              </w:rPr>
              <w:t>التاسع</w:t>
            </w:r>
            <w:r>
              <w:rPr>
                <w:rStyle w:val="IndexLink"/>
                <w:rtl w:val="true"/>
              </w:rPr>
              <w:t>:</w:t>
              <w:tab/>
            </w:r>
            <w:r>
              <w:rPr>
                <w:rStyle w:val="IndexLink"/>
              </w:rPr>
              <w:t>238</w:t>
            </w:r>
          </w:hyperlink>
        </w:p>
        <w:p>
          <w:pPr>
            <w:pStyle w:val="Contents6"/>
            <w:tabs>
              <w:tab w:val="clear" w:pos="7609"/>
              <w:tab w:val="right" w:pos="9026" w:leader="dot"/>
            </w:tabs>
            <w:rPr/>
          </w:pPr>
          <w:hyperlink w:anchor="__RefHeading___Toc3732183_3804643083">
            <w:r>
              <w:rPr>
                <w:webHidden/>
                <w:rStyle w:val="IndexLink"/>
                <w:rtl w:val="true"/>
              </w:rPr>
              <w:t>العاشر</w:t>
            </w:r>
            <w:r>
              <w:rPr>
                <w:rStyle w:val="IndexLink"/>
                <w:rtl w:val="true"/>
              </w:rPr>
              <w:t>:</w:t>
              <w:tab/>
            </w:r>
            <w:r>
              <w:rPr>
                <w:rStyle w:val="IndexLink"/>
              </w:rPr>
              <w:t>239</w:t>
            </w:r>
          </w:hyperlink>
        </w:p>
        <w:p>
          <w:pPr>
            <w:pStyle w:val="Contents6"/>
            <w:tabs>
              <w:tab w:val="clear" w:pos="7609"/>
              <w:tab w:val="right" w:pos="9026" w:leader="dot"/>
            </w:tabs>
            <w:rPr/>
          </w:pPr>
          <w:hyperlink w:anchor="__RefHeading___Toc3732185_3804643083">
            <w:r>
              <w:rPr>
                <w:webHidden/>
                <w:rStyle w:val="IndexLink"/>
                <w:rtl w:val="true"/>
              </w:rPr>
              <w:t>الحادي عشر</w:t>
            </w:r>
            <w:r>
              <w:rPr>
                <w:rStyle w:val="IndexLink"/>
                <w:rtl w:val="true"/>
              </w:rPr>
              <w:t>:</w:t>
              <w:tab/>
            </w:r>
            <w:r>
              <w:rPr>
                <w:rStyle w:val="IndexLink"/>
              </w:rPr>
              <w:t>239</w:t>
            </w:r>
          </w:hyperlink>
        </w:p>
        <w:p>
          <w:pPr>
            <w:pStyle w:val="Contents6"/>
            <w:tabs>
              <w:tab w:val="clear" w:pos="7609"/>
              <w:tab w:val="right" w:pos="9026" w:leader="dot"/>
            </w:tabs>
            <w:rPr/>
          </w:pPr>
          <w:hyperlink w:anchor="__RefHeading___Toc3732187_3804643083">
            <w:r>
              <w:rPr>
                <w:webHidden/>
                <w:rStyle w:val="IndexLink"/>
                <w:rtl w:val="true"/>
              </w:rPr>
              <w:t>مسألة</w:t>
            </w:r>
            <w:r>
              <w:rPr>
                <w:rStyle w:val="IndexLink"/>
                <w:rtl w:val="true"/>
              </w:rPr>
              <w:t>: [</w:t>
            </w:r>
            <w:r>
              <w:rPr>
                <w:rStyle w:val="IndexLink"/>
                <w:rtl w:val="true"/>
              </w:rPr>
              <w:t>واجد المني</w:t>
            </w:r>
            <w:r>
              <w:rPr>
                <w:rStyle w:val="IndexLink"/>
                <w:rtl w:val="true"/>
              </w:rPr>
              <w:t>]</w:t>
              <w:tab/>
            </w:r>
            <w:r>
              <w:rPr>
                <w:rStyle w:val="IndexLink"/>
              </w:rPr>
              <w:t>239</w:t>
            </w:r>
          </w:hyperlink>
        </w:p>
        <w:p>
          <w:pPr>
            <w:pStyle w:val="Contents6"/>
            <w:tabs>
              <w:tab w:val="clear" w:pos="7609"/>
              <w:tab w:val="right" w:pos="9026" w:leader="dot"/>
            </w:tabs>
            <w:rPr/>
          </w:pPr>
          <w:hyperlink w:anchor="__RefHeading___Toc3732189_3804643083">
            <w:r>
              <w:rPr>
                <w:webHidden/>
                <w:rStyle w:val="IndexLink"/>
                <w:rtl w:val="true"/>
              </w:rPr>
              <w:t>فصل</w:t>
            </w:r>
            <w:r>
              <w:rPr>
                <w:rStyle w:val="IndexLink"/>
                <w:rtl w:val="true"/>
              </w:rPr>
              <w:tab/>
            </w:r>
            <w:r>
              <w:rPr>
                <w:rStyle w:val="IndexLink"/>
              </w:rPr>
              <w:t>240</w:t>
            </w:r>
          </w:hyperlink>
        </w:p>
        <w:p>
          <w:pPr>
            <w:pStyle w:val="Contents6"/>
            <w:tabs>
              <w:tab w:val="clear" w:pos="7609"/>
              <w:tab w:val="right" w:pos="9026" w:leader="dot"/>
            </w:tabs>
            <w:rPr/>
          </w:pPr>
          <w:hyperlink w:anchor="__RefHeading___Toc3732191_3804643083">
            <w:r>
              <w:rPr>
                <w:webHidden/>
                <w:rStyle w:val="IndexLink"/>
                <w:rtl w:val="true"/>
              </w:rPr>
              <w:t>فصل يحرم على الجنب</w:t>
            </w:r>
            <w:r>
              <w:rPr>
                <w:rStyle w:val="IndexLink"/>
                <w:rtl w:val="true"/>
              </w:rPr>
              <w:t>:</w:t>
              <w:tab/>
            </w:r>
            <w:r>
              <w:rPr>
                <w:rStyle w:val="IndexLink"/>
              </w:rPr>
              <w:t>241</w:t>
            </w:r>
          </w:hyperlink>
        </w:p>
        <w:p>
          <w:pPr>
            <w:pStyle w:val="Contents6"/>
            <w:tabs>
              <w:tab w:val="clear" w:pos="7609"/>
              <w:tab w:val="right" w:pos="9026" w:leader="dot"/>
            </w:tabs>
            <w:rPr/>
          </w:pPr>
          <w:hyperlink w:anchor="__RefHeading___Toc3732193_3804643083">
            <w:r>
              <w:rPr>
                <w:webHidden/>
                <w:rStyle w:val="IndexLink"/>
                <w:rtl w:val="true"/>
              </w:rPr>
              <w:t>فصل</w:t>
            </w:r>
            <w:r>
              <w:rPr>
                <w:rStyle w:val="IndexLink"/>
                <w:rtl w:val="true"/>
              </w:rPr>
              <w:tab/>
            </w:r>
            <w:r>
              <w:rPr>
                <w:rStyle w:val="IndexLink"/>
              </w:rPr>
              <w:t>245</w:t>
            </w:r>
          </w:hyperlink>
        </w:p>
        <w:p>
          <w:pPr>
            <w:pStyle w:val="Contents6"/>
            <w:tabs>
              <w:tab w:val="clear" w:pos="7609"/>
              <w:tab w:val="right" w:pos="9026" w:leader="dot"/>
            </w:tabs>
            <w:rPr/>
          </w:pPr>
          <w:hyperlink w:anchor="__RefHeading___Toc3732195_3804643083">
            <w:r>
              <w:rPr>
                <w:webHidden/>
                <w:rStyle w:val="IndexLink"/>
                <w:rtl w:val="true"/>
              </w:rPr>
              <w:t>واجباته</w:t>
            </w:r>
            <w:r>
              <w:rPr>
                <w:rStyle w:val="IndexLink"/>
                <w:rtl w:val="true"/>
              </w:rPr>
              <w:t>:</w:t>
              <w:tab/>
            </w:r>
            <w:r>
              <w:rPr>
                <w:rStyle w:val="IndexLink"/>
              </w:rPr>
              <w:t>245</w:t>
            </w:r>
          </w:hyperlink>
        </w:p>
        <w:p>
          <w:pPr>
            <w:pStyle w:val="Contents6"/>
            <w:tabs>
              <w:tab w:val="clear" w:pos="7609"/>
              <w:tab w:val="right" w:pos="9026" w:leader="dot"/>
            </w:tabs>
            <w:rPr/>
          </w:pPr>
          <w:hyperlink w:anchor="__RefHeading___Toc3732197_3804643083">
            <w:r>
              <w:rPr>
                <w:webHidden/>
                <w:rStyle w:val="IndexLink"/>
                <w:rtl w:val="true"/>
              </w:rPr>
              <w:t>النية</w:t>
            </w:r>
            <w:r>
              <w:rPr>
                <w:rStyle w:val="IndexLink"/>
                <w:rtl w:val="true"/>
              </w:rPr>
              <w:t>.</w:t>
              <w:tab/>
            </w:r>
            <w:r>
              <w:rPr>
                <w:rStyle w:val="IndexLink"/>
              </w:rPr>
              <w:t>245</w:t>
            </w:r>
          </w:hyperlink>
        </w:p>
        <w:p>
          <w:pPr>
            <w:pStyle w:val="Contents6"/>
            <w:tabs>
              <w:tab w:val="clear" w:pos="7609"/>
              <w:tab w:val="right" w:pos="9026" w:leader="dot"/>
            </w:tabs>
            <w:rPr/>
          </w:pPr>
          <w:hyperlink w:anchor="__RefHeading___Toc3732199_3804643083">
            <w:r>
              <w:rPr>
                <w:webHidden/>
                <w:rStyle w:val="IndexLink"/>
                <w:rtl w:val="true"/>
              </w:rPr>
              <w:t>و الترتيب</w:t>
            </w:r>
            <w:r>
              <w:rPr>
                <w:rStyle w:val="IndexLink"/>
                <w:rtl w:val="true"/>
              </w:rPr>
              <w:tab/>
            </w:r>
            <w:r>
              <w:rPr>
                <w:rStyle w:val="IndexLink"/>
              </w:rPr>
              <w:t>246</w:t>
            </w:r>
          </w:hyperlink>
        </w:p>
        <w:p>
          <w:pPr>
            <w:pStyle w:val="Contents6"/>
            <w:tabs>
              <w:tab w:val="clear" w:pos="7609"/>
              <w:tab w:val="right" w:pos="9026" w:leader="dot"/>
            </w:tabs>
            <w:rPr/>
          </w:pPr>
          <w:hyperlink w:anchor="__RefHeading___Toc3732201_3804643083">
            <w:r>
              <w:rPr>
                <w:webHidden/>
                <w:rStyle w:val="IndexLink"/>
                <w:rtl w:val="true"/>
              </w:rPr>
              <w:t>و تخليل المانع</w:t>
            </w:r>
            <w:r>
              <w:rPr>
                <w:rStyle w:val="IndexLink"/>
                <w:rtl w:val="true"/>
              </w:rPr>
              <w:tab/>
            </w:r>
            <w:r>
              <w:rPr>
                <w:rStyle w:val="IndexLink"/>
              </w:rPr>
              <w:t>248</w:t>
            </w:r>
          </w:hyperlink>
        </w:p>
        <w:p>
          <w:pPr>
            <w:pStyle w:val="Contents6"/>
            <w:tabs>
              <w:tab w:val="clear" w:pos="7609"/>
              <w:tab w:val="right" w:pos="9026" w:leader="dot"/>
            </w:tabs>
            <w:rPr/>
          </w:pPr>
          <w:hyperlink w:anchor="__RefHeading___Toc3732203_3804643083">
            <w:r>
              <w:rPr>
                <w:webHidden/>
                <w:rStyle w:val="IndexLink"/>
                <w:rtl w:val="true"/>
              </w:rPr>
              <w:t>و سننه</w:t>
            </w:r>
            <w:r>
              <w:rPr>
                <w:rStyle w:val="IndexLink"/>
                <w:rtl w:val="true"/>
              </w:rPr>
              <w:t>:</w:t>
              <w:tab/>
            </w:r>
            <w:r>
              <w:rPr>
                <w:rStyle w:val="IndexLink"/>
              </w:rPr>
              <w:t>249</w:t>
            </w:r>
          </w:hyperlink>
        </w:p>
        <w:p>
          <w:pPr>
            <w:pStyle w:val="Contents6"/>
            <w:tabs>
              <w:tab w:val="clear" w:pos="7609"/>
              <w:tab w:val="right" w:pos="9026" w:leader="dot"/>
            </w:tabs>
            <w:rPr/>
          </w:pPr>
          <w:hyperlink w:anchor="__RefHeading___Toc3732205_3804643083">
            <w:r>
              <w:rPr>
                <w:webHidden/>
                <w:rStyle w:val="IndexLink"/>
                <w:rtl w:val="true"/>
              </w:rPr>
              <w:t>فروع</w:t>
            </w:r>
            <w:r>
              <w:rPr>
                <w:rStyle w:val="IndexLink"/>
                <w:rtl w:val="true"/>
              </w:rPr>
              <w:t>:</w:t>
              <w:tab/>
            </w:r>
            <w:r>
              <w:rPr>
                <w:rStyle w:val="IndexLink"/>
              </w:rPr>
              <w:t>250</w:t>
            </w:r>
          </w:hyperlink>
        </w:p>
        <w:p>
          <w:pPr>
            <w:pStyle w:val="Contents6"/>
            <w:tabs>
              <w:tab w:val="clear" w:pos="7609"/>
              <w:tab w:val="right" w:pos="9026" w:leader="dot"/>
            </w:tabs>
            <w:rPr/>
          </w:pPr>
          <w:hyperlink w:anchor="__RefHeading___Toc3732207_3804643083">
            <w:r>
              <w:rPr>
                <w:webHidden/>
                <w:rStyle w:val="IndexLink"/>
                <w:rtl w:val="true"/>
              </w:rPr>
              <w:t>الأوّل</w:t>
            </w:r>
            <w:r>
              <w:rPr>
                <w:rStyle w:val="IndexLink"/>
                <w:rtl w:val="true"/>
              </w:rPr>
              <w:t>:</w:t>
              <w:tab/>
            </w:r>
            <w:r>
              <w:rPr>
                <w:rStyle w:val="IndexLink"/>
              </w:rPr>
              <w:t>250</w:t>
            </w:r>
          </w:hyperlink>
        </w:p>
        <w:p>
          <w:pPr>
            <w:pStyle w:val="Contents6"/>
            <w:tabs>
              <w:tab w:val="clear" w:pos="7609"/>
              <w:tab w:val="right" w:pos="9026" w:leader="dot"/>
            </w:tabs>
            <w:rPr/>
          </w:pPr>
          <w:hyperlink w:anchor="__RefHeading___Toc3732209_3804643083">
            <w:r>
              <w:rPr>
                <w:webHidden/>
                <w:rStyle w:val="IndexLink"/>
                <w:rtl w:val="true"/>
              </w:rPr>
              <w:t>الثاني</w:t>
            </w:r>
            <w:r>
              <w:rPr>
                <w:rStyle w:val="IndexLink"/>
                <w:rtl w:val="true"/>
              </w:rPr>
              <w:t>:</w:t>
              <w:tab/>
            </w:r>
            <w:r>
              <w:rPr>
                <w:rStyle w:val="IndexLink"/>
              </w:rPr>
              <w:t>251</w:t>
            </w:r>
          </w:hyperlink>
        </w:p>
        <w:p>
          <w:pPr>
            <w:pStyle w:val="Contents6"/>
            <w:tabs>
              <w:tab w:val="clear" w:pos="7609"/>
              <w:tab w:val="right" w:pos="9026" w:leader="dot"/>
            </w:tabs>
            <w:rPr/>
          </w:pPr>
          <w:hyperlink w:anchor="__RefHeading___Toc3732211_3804643083">
            <w:r>
              <w:rPr>
                <w:webHidden/>
                <w:rStyle w:val="IndexLink"/>
                <w:rtl w:val="true"/>
              </w:rPr>
              <w:t>الثالث</w:t>
            </w:r>
            <w:r>
              <w:rPr>
                <w:rStyle w:val="IndexLink"/>
                <w:rtl w:val="true"/>
              </w:rPr>
              <w:t>:</w:t>
              <w:tab/>
            </w:r>
            <w:r>
              <w:rPr>
                <w:rStyle w:val="IndexLink"/>
              </w:rPr>
              <w:t>252</w:t>
            </w:r>
          </w:hyperlink>
        </w:p>
        <w:p>
          <w:pPr>
            <w:pStyle w:val="Contents6"/>
            <w:tabs>
              <w:tab w:val="clear" w:pos="7609"/>
              <w:tab w:val="right" w:pos="9026" w:leader="dot"/>
            </w:tabs>
            <w:rPr/>
          </w:pPr>
          <w:hyperlink w:anchor="__RefHeading___Toc3732213_3804643083">
            <w:r>
              <w:rPr>
                <w:webHidden/>
                <w:rStyle w:val="IndexLink"/>
                <w:rtl w:val="true"/>
              </w:rPr>
              <w:t>الرابع</w:t>
            </w:r>
            <w:r>
              <w:rPr>
                <w:rStyle w:val="IndexLink"/>
                <w:rtl w:val="true"/>
              </w:rPr>
              <w:t>:</w:t>
              <w:tab/>
            </w:r>
            <w:r>
              <w:rPr>
                <w:rStyle w:val="IndexLink"/>
              </w:rPr>
              <w:t>253</w:t>
            </w:r>
          </w:hyperlink>
        </w:p>
        <w:p>
          <w:pPr>
            <w:pStyle w:val="Contents6"/>
            <w:tabs>
              <w:tab w:val="clear" w:pos="7609"/>
              <w:tab w:val="right" w:pos="9026" w:leader="dot"/>
            </w:tabs>
            <w:rPr/>
          </w:pPr>
          <w:hyperlink w:anchor="__RefHeading___Toc3732215_3804643083">
            <w:r>
              <w:rPr>
                <w:webHidden/>
                <w:rStyle w:val="IndexLink"/>
                <w:rtl w:val="true"/>
              </w:rPr>
              <w:t>الخامس</w:t>
            </w:r>
            <w:r>
              <w:rPr>
                <w:rStyle w:val="IndexLink"/>
                <w:rtl w:val="true"/>
              </w:rPr>
              <w:t>:</w:t>
              <w:tab/>
            </w:r>
            <w:r>
              <w:rPr>
                <w:rStyle w:val="IndexLink"/>
              </w:rPr>
              <w:t>254</w:t>
            </w:r>
          </w:hyperlink>
        </w:p>
        <w:p>
          <w:pPr>
            <w:pStyle w:val="Contents6"/>
            <w:tabs>
              <w:tab w:val="clear" w:pos="7609"/>
              <w:tab w:val="right" w:pos="9026" w:leader="dot"/>
            </w:tabs>
            <w:rPr/>
          </w:pPr>
          <w:hyperlink w:anchor="__RefHeading___Toc3732217_3804643083">
            <w:r>
              <w:rPr>
                <w:webHidden/>
                <w:rStyle w:val="IndexLink"/>
                <w:rtl w:val="true"/>
              </w:rPr>
              <w:t>السادس</w:t>
            </w:r>
            <w:r>
              <w:rPr>
                <w:rStyle w:val="IndexLink"/>
                <w:rtl w:val="true"/>
              </w:rPr>
              <w:t>:</w:t>
              <w:tab/>
            </w:r>
            <w:r>
              <w:rPr>
                <w:rStyle w:val="IndexLink"/>
              </w:rPr>
              <w:t>255</w:t>
            </w:r>
          </w:hyperlink>
        </w:p>
        <w:p>
          <w:pPr>
            <w:pStyle w:val="Contents6"/>
            <w:tabs>
              <w:tab w:val="clear" w:pos="7609"/>
              <w:tab w:val="right" w:pos="9026" w:leader="dot"/>
            </w:tabs>
            <w:rPr/>
          </w:pPr>
          <w:hyperlink w:anchor="__RefHeading___Toc3732219_3804643083">
            <w:r>
              <w:rPr>
                <w:webHidden/>
                <w:rStyle w:val="IndexLink"/>
                <w:rtl w:val="true"/>
              </w:rPr>
              <w:t xml:space="preserve">فصل </w:t>
            </w:r>
            <w:r>
              <w:rPr>
                <w:rStyle w:val="IndexLink"/>
                <w:rtl w:val="true"/>
              </w:rPr>
              <w:t>[</w:t>
            </w:r>
            <w:r>
              <w:rPr>
                <w:rStyle w:val="IndexLink"/>
                <w:rtl w:val="true"/>
              </w:rPr>
              <w:t>إجزاء الغسل عن الوضوء</w:t>
            </w:r>
            <w:r>
              <w:rPr>
                <w:rStyle w:val="IndexLink"/>
                <w:rtl w:val="true"/>
              </w:rPr>
              <w:t>]</w:t>
              <w:tab/>
            </w:r>
            <w:r>
              <w:rPr>
                <w:rStyle w:val="IndexLink"/>
              </w:rPr>
              <w:t>257</w:t>
            </w:r>
          </w:hyperlink>
        </w:p>
        <w:p>
          <w:pPr>
            <w:pStyle w:val="Contents5"/>
            <w:tabs>
              <w:tab w:val="clear" w:pos="7892"/>
              <w:tab w:val="right" w:pos="9026" w:leader="dot"/>
            </w:tabs>
            <w:rPr/>
          </w:pPr>
          <w:hyperlink w:anchor="__RefHeading___Toc3732221_3804643083">
            <w:r>
              <w:rPr>
                <w:webHidden/>
                <w:rStyle w:val="IndexLink"/>
                <w:rtl w:val="true"/>
              </w:rPr>
              <w:t>بحث غسل الحيض</w:t>
            </w:r>
            <w:r>
              <w:rPr>
                <w:rStyle w:val="IndexLink"/>
                <w:rtl w:val="true"/>
              </w:rPr>
              <w:tab/>
            </w:r>
            <w:r>
              <w:rPr>
                <w:rStyle w:val="IndexLink"/>
              </w:rPr>
              <w:t>259</w:t>
            </w:r>
          </w:hyperlink>
        </w:p>
        <w:p>
          <w:pPr>
            <w:pStyle w:val="Contents6"/>
            <w:tabs>
              <w:tab w:val="clear" w:pos="7609"/>
              <w:tab w:val="right" w:pos="9026" w:leader="dot"/>
            </w:tabs>
            <w:rPr/>
          </w:pPr>
          <w:hyperlink w:anchor="__RefHeading___Toc3732223_3804643083">
            <w:r>
              <w:rPr>
                <w:webHidden/>
                <w:rStyle w:val="IndexLink"/>
                <w:rtl w:val="true"/>
              </w:rPr>
              <w:t xml:space="preserve">فصل </w:t>
            </w:r>
            <w:r>
              <w:rPr>
                <w:rStyle w:val="IndexLink"/>
                <w:rtl w:val="true"/>
              </w:rPr>
              <w:t>[</w:t>
            </w:r>
            <w:r>
              <w:rPr>
                <w:rStyle w:val="IndexLink"/>
                <w:rtl w:val="true"/>
              </w:rPr>
              <w:t>صفات الحيض</w:t>
            </w:r>
            <w:r>
              <w:rPr>
                <w:rStyle w:val="IndexLink"/>
                <w:rtl w:val="true"/>
              </w:rPr>
              <w:t>]</w:t>
              <w:tab/>
            </w:r>
            <w:r>
              <w:rPr>
                <w:rStyle w:val="IndexLink"/>
              </w:rPr>
              <w:t>259</w:t>
            </w:r>
          </w:hyperlink>
        </w:p>
        <w:p>
          <w:pPr>
            <w:pStyle w:val="Contents6"/>
            <w:tabs>
              <w:tab w:val="clear" w:pos="7609"/>
              <w:tab w:val="right" w:pos="9026" w:leader="dot"/>
            </w:tabs>
            <w:rPr/>
          </w:pPr>
          <w:hyperlink w:anchor="__RefHeading___Toc3732225_3804643083">
            <w:r>
              <w:rPr>
                <w:webHidden/>
                <w:rStyle w:val="IndexLink"/>
                <w:rtl w:val="true"/>
              </w:rPr>
              <w:t xml:space="preserve">فصل </w:t>
            </w:r>
            <w:r>
              <w:rPr>
                <w:rStyle w:val="IndexLink"/>
                <w:rtl w:val="true"/>
              </w:rPr>
              <w:t>[</w:t>
            </w:r>
            <w:r>
              <w:rPr>
                <w:rStyle w:val="IndexLink"/>
                <w:rtl w:val="true"/>
              </w:rPr>
              <w:t>أقلّ الطهر</w:t>
            </w:r>
            <w:r>
              <w:rPr>
                <w:rStyle w:val="IndexLink"/>
                <w:rtl w:val="true"/>
              </w:rPr>
              <w:t>]</w:t>
              <w:tab/>
            </w:r>
            <w:r>
              <w:rPr>
                <w:rStyle w:val="IndexLink"/>
              </w:rPr>
              <w:t>262</w:t>
            </w:r>
          </w:hyperlink>
        </w:p>
        <w:p>
          <w:pPr>
            <w:pStyle w:val="Contents6"/>
            <w:tabs>
              <w:tab w:val="clear" w:pos="7609"/>
              <w:tab w:val="right" w:pos="9026" w:leader="dot"/>
            </w:tabs>
            <w:rPr/>
          </w:pPr>
          <w:hyperlink w:anchor="__RefHeading___Toc3732227_3804643083">
            <w:r>
              <w:rPr>
                <w:webHidden/>
                <w:rStyle w:val="IndexLink"/>
                <w:rtl w:val="true"/>
              </w:rPr>
              <w:t xml:space="preserve">فصل </w:t>
            </w:r>
            <w:r>
              <w:rPr>
                <w:rStyle w:val="IndexLink"/>
                <w:rtl w:val="true"/>
              </w:rPr>
              <w:t>[</w:t>
            </w:r>
            <w:r>
              <w:rPr>
                <w:rStyle w:val="IndexLink"/>
                <w:rtl w:val="true"/>
              </w:rPr>
              <w:t>سن الحيض</w:t>
            </w:r>
            <w:r>
              <w:rPr>
                <w:rStyle w:val="IndexLink"/>
                <w:rtl w:val="true"/>
              </w:rPr>
              <w:t>]</w:t>
              <w:tab/>
            </w:r>
            <w:r>
              <w:rPr>
                <w:rStyle w:val="IndexLink"/>
              </w:rPr>
              <w:t>262</w:t>
            </w:r>
          </w:hyperlink>
        </w:p>
        <w:p>
          <w:pPr>
            <w:pStyle w:val="Contents6"/>
            <w:tabs>
              <w:tab w:val="clear" w:pos="7609"/>
              <w:tab w:val="right" w:pos="9026" w:leader="dot"/>
            </w:tabs>
            <w:rPr/>
          </w:pPr>
          <w:hyperlink w:anchor="__RefHeading___Toc3732229_3804643083">
            <w:r>
              <w:rPr>
                <w:webHidden/>
                <w:rStyle w:val="IndexLink"/>
                <w:rtl w:val="true"/>
              </w:rPr>
              <w:t xml:space="preserve">فصل </w:t>
            </w:r>
            <w:r>
              <w:rPr>
                <w:rStyle w:val="IndexLink"/>
                <w:rtl w:val="true"/>
              </w:rPr>
              <w:t>[</w:t>
            </w:r>
            <w:r>
              <w:rPr>
                <w:rStyle w:val="IndexLink"/>
                <w:rtl w:val="true"/>
              </w:rPr>
              <w:t>الشكّ في الحيض</w:t>
            </w:r>
            <w:r>
              <w:rPr>
                <w:rStyle w:val="IndexLink"/>
                <w:rtl w:val="true"/>
              </w:rPr>
              <w:t>]</w:t>
              <w:tab/>
            </w:r>
            <w:r>
              <w:rPr>
                <w:rStyle w:val="IndexLink"/>
              </w:rPr>
              <w:t>263</w:t>
            </w:r>
          </w:hyperlink>
        </w:p>
        <w:p>
          <w:pPr>
            <w:pStyle w:val="Contents6"/>
            <w:tabs>
              <w:tab w:val="clear" w:pos="7609"/>
              <w:tab w:val="right" w:pos="9026" w:leader="dot"/>
            </w:tabs>
            <w:rPr/>
          </w:pPr>
          <w:hyperlink w:anchor="__RefHeading___Toc3732231_3804643083">
            <w:r>
              <w:rPr>
                <w:webHidden/>
                <w:rStyle w:val="IndexLink"/>
                <w:rtl w:val="true"/>
              </w:rPr>
              <w:t xml:space="preserve">فصل </w:t>
            </w:r>
            <w:r>
              <w:rPr>
                <w:rStyle w:val="IndexLink"/>
                <w:rtl w:val="true"/>
              </w:rPr>
              <w:t>[</w:t>
            </w:r>
            <w:r>
              <w:rPr>
                <w:rStyle w:val="IndexLink"/>
                <w:rtl w:val="true"/>
              </w:rPr>
              <w:t>اجتماع الحيض و الحمل</w:t>
            </w:r>
            <w:r>
              <w:rPr>
                <w:rStyle w:val="IndexLink"/>
                <w:rtl w:val="true"/>
              </w:rPr>
              <w:t>]</w:t>
              <w:tab/>
            </w:r>
            <w:r>
              <w:rPr>
                <w:rStyle w:val="IndexLink"/>
              </w:rPr>
              <w:t>264</w:t>
            </w:r>
          </w:hyperlink>
        </w:p>
        <w:p>
          <w:pPr>
            <w:pStyle w:val="Contents6"/>
            <w:tabs>
              <w:tab w:val="clear" w:pos="7609"/>
              <w:tab w:val="right" w:pos="9026" w:leader="dot"/>
            </w:tabs>
            <w:rPr/>
          </w:pPr>
          <w:hyperlink w:anchor="__RefHeading___Toc3732233_3804643083">
            <w:r>
              <w:rPr>
                <w:webHidden/>
                <w:rStyle w:val="IndexLink"/>
                <w:rtl w:val="true"/>
              </w:rPr>
              <w:t xml:space="preserve">فصل </w:t>
            </w:r>
            <w:r>
              <w:rPr>
                <w:rStyle w:val="IndexLink"/>
                <w:rtl w:val="true"/>
              </w:rPr>
              <w:t>[</w:t>
            </w:r>
            <w:r>
              <w:rPr>
                <w:rStyle w:val="IndexLink"/>
                <w:rtl w:val="true"/>
              </w:rPr>
              <w:t>حكم رؤية الدمين</w:t>
            </w:r>
            <w:r>
              <w:rPr>
                <w:rStyle w:val="IndexLink"/>
                <w:rtl w:val="true"/>
              </w:rPr>
              <w:t>]</w:t>
              <w:tab/>
            </w:r>
            <w:r>
              <w:rPr>
                <w:rStyle w:val="IndexLink"/>
              </w:rPr>
              <w:t>266</w:t>
            </w:r>
          </w:hyperlink>
        </w:p>
        <w:p>
          <w:pPr>
            <w:pStyle w:val="Contents6"/>
            <w:tabs>
              <w:tab w:val="clear" w:pos="7609"/>
              <w:tab w:val="right" w:pos="9026" w:leader="dot"/>
            </w:tabs>
            <w:rPr/>
          </w:pPr>
          <w:hyperlink w:anchor="__RefHeading___Toc3732235_3804643083">
            <w:r>
              <w:rPr>
                <w:webHidden/>
                <w:rStyle w:val="IndexLink"/>
                <w:rtl w:val="true"/>
              </w:rPr>
              <w:t xml:space="preserve">فصل </w:t>
            </w:r>
            <w:r>
              <w:rPr>
                <w:rStyle w:val="IndexLink"/>
                <w:rtl w:val="true"/>
              </w:rPr>
              <w:t>[</w:t>
            </w:r>
            <w:r>
              <w:rPr>
                <w:rStyle w:val="IndexLink"/>
                <w:rtl w:val="true"/>
              </w:rPr>
              <w:t>ثبوت العادة</w:t>
            </w:r>
            <w:r>
              <w:rPr>
                <w:rStyle w:val="IndexLink"/>
                <w:rtl w:val="true"/>
              </w:rPr>
              <w:t>]</w:t>
              <w:tab/>
            </w:r>
            <w:r>
              <w:rPr>
                <w:rStyle w:val="IndexLink"/>
              </w:rPr>
              <w:t>267</w:t>
            </w:r>
          </w:hyperlink>
        </w:p>
        <w:p>
          <w:pPr>
            <w:pStyle w:val="Contents6"/>
            <w:tabs>
              <w:tab w:val="clear" w:pos="7609"/>
              <w:tab w:val="right" w:pos="9026" w:leader="dot"/>
            </w:tabs>
            <w:rPr/>
          </w:pPr>
          <w:hyperlink w:anchor="__RefHeading___Toc3732237_3804643083">
            <w:r>
              <w:rPr>
                <w:webHidden/>
                <w:rStyle w:val="IndexLink"/>
                <w:rtl w:val="true"/>
              </w:rPr>
              <w:t xml:space="preserve">فصل </w:t>
            </w:r>
            <w:r>
              <w:rPr>
                <w:rStyle w:val="IndexLink"/>
                <w:rtl w:val="true"/>
              </w:rPr>
              <w:t>[</w:t>
            </w:r>
            <w:r>
              <w:rPr>
                <w:rStyle w:val="IndexLink"/>
                <w:rtl w:val="true"/>
              </w:rPr>
              <w:t>استقرار العادة</w:t>
            </w:r>
            <w:r>
              <w:rPr>
                <w:rStyle w:val="IndexLink"/>
                <w:rtl w:val="true"/>
              </w:rPr>
              <w:t>]</w:t>
              <w:tab/>
            </w:r>
            <w:r>
              <w:rPr>
                <w:rStyle w:val="IndexLink"/>
              </w:rPr>
              <w:t>268</w:t>
            </w:r>
          </w:hyperlink>
        </w:p>
        <w:p>
          <w:pPr>
            <w:pStyle w:val="Contents6"/>
            <w:tabs>
              <w:tab w:val="clear" w:pos="7609"/>
              <w:tab w:val="right" w:pos="9026" w:leader="dot"/>
            </w:tabs>
            <w:rPr/>
          </w:pPr>
          <w:hyperlink w:anchor="__RefHeading___Toc3732239_3804643083">
            <w:r>
              <w:rPr>
                <w:webHidden/>
                <w:rStyle w:val="IndexLink"/>
                <w:rtl w:val="true"/>
              </w:rPr>
              <w:t xml:space="preserve">فصل </w:t>
            </w:r>
            <w:r>
              <w:rPr>
                <w:rStyle w:val="IndexLink"/>
                <w:rtl w:val="true"/>
              </w:rPr>
              <w:t>[</w:t>
            </w:r>
            <w:r>
              <w:rPr>
                <w:rStyle w:val="IndexLink"/>
                <w:rtl w:val="true"/>
              </w:rPr>
              <w:t>تحديد الشهر</w:t>
            </w:r>
            <w:r>
              <w:rPr>
                <w:rStyle w:val="IndexLink"/>
                <w:rtl w:val="true"/>
              </w:rPr>
              <w:t>]</w:t>
              <w:tab/>
            </w:r>
            <w:r>
              <w:rPr>
                <w:rStyle w:val="IndexLink"/>
              </w:rPr>
              <w:t>270</w:t>
            </w:r>
          </w:hyperlink>
        </w:p>
        <w:p>
          <w:pPr>
            <w:pStyle w:val="Contents6"/>
            <w:tabs>
              <w:tab w:val="clear" w:pos="7609"/>
              <w:tab w:val="right" w:pos="9026" w:leader="dot"/>
            </w:tabs>
            <w:rPr/>
          </w:pPr>
          <w:hyperlink w:anchor="__RefHeading___Toc3732241_3804643083">
            <w:r>
              <w:rPr>
                <w:webHidden/>
                <w:rStyle w:val="IndexLink"/>
                <w:rtl w:val="true"/>
              </w:rPr>
              <w:t xml:space="preserve">فصل </w:t>
            </w:r>
            <w:r>
              <w:rPr>
                <w:rStyle w:val="IndexLink"/>
                <w:rtl w:val="true"/>
              </w:rPr>
              <w:t>[</w:t>
            </w:r>
            <w:r>
              <w:rPr>
                <w:rStyle w:val="IndexLink"/>
                <w:rtl w:val="true"/>
              </w:rPr>
              <w:t>حصول العادة بالتمييز</w:t>
            </w:r>
            <w:r>
              <w:rPr>
                <w:rStyle w:val="IndexLink"/>
                <w:rtl w:val="true"/>
              </w:rPr>
              <w:t>]</w:t>
              <w:tab/>
            </w:r>
            <w:r>
              <w:rPr>
                <w:rStyle w:val="IndexLink"/>
              </w:rPr>
              <w:t>271</w:t>
            </w:r>
          </w:hyperlink>
        </w:p>
        <w:p>
          <w:pPr>
            <w:pStyle w:val="Contents6"/>
            <w:tabs>
              <w:tab w:val="clear" w:pos="7609"/>
              <w:tab w:val="right" w:pos="9026" w:leader="dot"/>
            </w:tabs>
            <w:rPr/>
          </w:pPr>
          <w:hyperlink w:anchor="__RefHeading___Toc3732243_3804643083">
            <w:r>
              <w:rPr>
                <w:webHidden/>
                <w:rStyle w:val="IndexLink"/>
                <w:rtl w:val="true"/>
              </w:rPr>
              <w:t xml:space="preserve">فصل </w:t>
            </w:r>
            <w:r>
              <w:rPr>
                <w:rStyle w:val="IndexLink"/>
                <w:rtl w:val="true"/>
              </w:rPr>
              <w:t>[</w:t>
            </w:r>
            <w:r>
              <w:rPr>
                <w:rStyle w:val="IndexLink"/>
                <w:rtl w:val="true"/>
              </w:rPr>
              <w:t>أحكام الحائض</w:t>
            </w:r>
            <w:r>
              <w:rPr>
                <w:rStyle w:val="IndexLink"/>
                <w:rtl w:val="true"/>
              </w:rPr>
              <w:t>]</w:t>
              <w:tab/>
            </w:r>
            <w:r>
              <w:rPr>
                <w:rStyle w:val="IndexLink"/>
              </w:rPr>
              <w:t>272</w:t>
            </w:r>
          </w:hyperlink>
        </w:p>
        <w:p>
          <w:pPr>
            <w:pStyle w:val="Contents6"/>
            <w:tabs>
              <w:tab w:val="clear" w:pos="7609"/>
              <w:tab w:val="right" w:pos="9026" w:leader="dot"/>
            </w:tabs>
            <w:rPr/>
          </w:pPr>
          <w:hyperlink w:anchor="__RefHeading___Toc3732245_3804643083">
            <w:r>
              <w:rPr>
                <w:webHidden/>
                <w:rStyle w:val="IndexLink"/>
                <w:rtl w:val="true"/>
              </w:rPr>
              <w:t xml:space="preserve">فصل </w:t>
            </w:r>
            <w:r>
              <w:rPr>
                <w:rStyle w:val="IndexLink"/>
                <w:rtl w:val="true"/>
              </w:rPr>
              <w:t>[</w:t>
            </w:r>
            <w:r>
              <w:rPr>
                <w:rStyle w:val="IndexLink"/>
                <w:rtl w:val="true"/>
              </w:rPr>
              <w:t>ألوان الدماء</w:t>
            </w:r>
            <w:r>
              <w:rPr>
                <w:rStyle w:val="IndexLink"/>
                <w:rtl w:val="true"/>
              </w:rPr>
              <w:t>]</w:t>
              <w:tab/>
            </w:r>
            <w:r>
              <w:rPr>
                <w:rStyle w:val="IndexLink"/>
              </w:rPr>
              <w:t>274</w:t>
            </w:r>
          </w:hyperlink>
        </w:p>
        <w:p>
          <w:pPr>
            <w:pStyle w:val="Contents6"/>
            <w:tabs>
              <w:tab w:val="clear" w:pos="7609"/>
              <w:tab w:val="right" w:pos="9026" w:leader="dot"/>
            </w:tabs>
            <w:rPr/>
          </w:pPr>
          <w:hyperlink w:anchor="__RefHeading___Toc3732247_3804643083">
            <w:r>
              <w:rPr>
                <w:webHidden/>
                <w:rStyle w:val="IndexLink"/>
                <w:rtl w:val="true"/>
              </w:rPr>
              <w:t xml:space="preserve">فصل </w:t>
            </w:r>
            <w:r>
              <w:rPr>
                <w:rStyle w:val="IndexLink"/>
                <w:rtl w:val="true"/>
              </w:rPr>
              <w:t>[</w:t>
            </w:r>
            <w:r>
              <w:rPr>
                <w:rStyle w:val="IndexLink"/>
                <w:rtl w:val="true"/>
              </w:rPr>
              <w:t>تعريف المبتدأة و المضطربة</w:t>
            </w:r>
            <w:r>
              <w:rPr>
                <w:rStyle w:val="IndexLink"/>
                <w:rtl w:val="true"/>
              </w:rPr>
              <w:t>]</w:t>
              <w:tab/>
            </w:r>
            <w:r>
              <w:rPr>
                <w:rStyle w:val="IndexLink"/>
              </w:rPr>
              <w:t>274</w:t>
            </w:r>
          </w:hyperlink>
        </w:p>
        <w:p>
          <w:pPr>
            <w:pStyle w:val="Contents6"/>
            <w:tabs>
              <w:tab w:val="clear" w:pos="7609"/>
              <w:tab w:val="right" w:pos="9026" w:leader="dot"/>
            </w:tabs>
            <w:rPr/>
          </w:pPr>
          <w:hyperlink w:anchor="__RefHeading___Toc3732249_3804643083">
            <w:r>
              <w:rPr>
                <w:webHidden/>
                <w:rStyle w:val="IndexLink"/>
                <w:rtl w:val="true"/>
              </w:rPr>
              <w:t xml:space="preserve">فصل </w:t>
            </w:r>
            <w:r>
              <w:rPr>
                <w:rStyle w:val="IndexLink"/>
                <w:rtl w:val="true"/>
              </w:rPr>
              <w:t>[</w:t>
            </w:r>
            <w:r>
              <w:rPr>
                <w:rStyle w:val="IndexLink"/>
                <w:rtl w:val="true"/>
              </w:rPr>
              <w:t>أحكام المبتدأة و المضطربة</w:t>
            </w:r>
            <w:r>
              <w:rPr>
                <w:rStyle w:val="IndexLink"/>
                <w:rtl w:val="true"/>
              </w:rPr>
              <w:t>]</w:t>
              <w:tab/>
            </w:r>
            <w:r>
              <w:rPr>
                <w:rStyle w:val="IndexLink"/>
              </w:rPr>
              <w:t>276</w:t>
            </w:r>
          </w:hyperlink>
        </w:p>
        <w:p>
          <w:pPr>
            <w:pStyle w:val="Contents6"/>
            <w:tabs>
              <w:tab w:val="clear" w:pos="7609"/>
              <w:tab w:val="right" w:pos="9026" w:leader="dot"/>
            </w:tabs>
            <w:rPr/>
          </w:pPr>
          <w:hyperlink w:anchor="__RefHeading___Toc3732251_3804643083">
            <w:r>
              <w:rPr>
                <w:webHidden/>
                <w:rStyle w:val="IndexLink"/>
                <w:rtl w:val="true"/>
              </w:rPr>
              <w:t xml:space="preserve">فصل </w:t>
            </w:r>
            <w:r>
              <w:rPr>
                <w:rStyle w:val="IndexLink"/>
                <w:rtl w:val="true"/>
              </w:rPr>
              <w:t>[</w:t>
            </w:r>
            <w:r>
              <w:rPr>
                <w:rStyle w:val="IndexLink"/>
                <w:rtl w:val="true"/>
              </w:rPr>
              <w:t>أحكام ذات العادة</w:t>
            </w:r>
            <w:r>
              <w:rPr>
                <w:rStyle w:val="IndexLink"/>
                <w:rtl w:val="true"/>
              </w:rPr>
              <w:t>]</w:t>
              <w:tab/>
            </w:r>
            <w:r>
              <w:rPr>
                <w:rStyle w:val="IndexLink"/>
              </w:rPr>
              <w:t>281</w:t>
            </w:r>
          </w:hyperlink>
        </w:p>
        <w:p>
          <w:pPr>
            <w:pStyle w:val="Contents6"/>
            <w:tabs>
              <w:tab w:val="clear" w:pos="7609"/>
              <w:tab w:val="right" w:pos="9026" w:leader="dot"/>
            </w:tabs>
            <w:rPr/>
          </w:pPr>
          <w:hyperlink w:anchor="__RefHeading___Toc3732253_3804643083">
            <w:r>
              <w:rPr>
                <w:webHidden/>
                <w:rStyle w:val="IndexLink"/>
                <w:rtl w:val="true"/>
              </w:rPr>
              <w:t xml:space="preserve">فصل </w:t>
            </w:r>
            <w:r>
              <w:rPr>
                <w:rStyle w:val="IndexLink"/>
                <w:rtl w:val="true"/>
              </w:rPr>
              <w:t>[</w:t>
            </w:r>
            <w:r>
              <w:rPr>
                <w:rStyle w:val="IndexLink"/>
                <w:rtl w:val="true"/>
              </w:rPr>
              <w:t>استقرار العادة علىٰ عدد</w:t>
            </w:r>
            <w:r>
              <w:rPr>
                <w:rStyle w:val="IndexLink"/>
                <w:rtl w:val="true"/>
              </w:rPr>
              <w:t>]</w:t>
              <w:tab/>
            </w:r>
            <w:r>
              <w:rPr>
                <w:rStyle w:val="IndexLink"/>
              </w:rPr>
              <w:t>283</w:t>
            </w:r>
          </w:hyperlink>
        </w:p>
        <w:p>
          <w:pPr>
            <w:pStyle w:val="Contents6"/>
            <w:tabs>
              <w:tab w:val="clear" w:pos="7609"/>
              <w:tab w:val="right" w:pos="9026" w:leader="dot"/>
            </w:tabs>
            <w:rPr/>
          </w:pPr>
          <w:hyperlink w:anchor="__RefHeading___Toc3732255_3804643083">
            <w:r>
              <w:rPr>
                <w:webHidden/>
                <w:rStyle w:val="IndexLink"/>
                <w:rtl w:val="true"/>
              </w:rPr>
              <w:t xml:space="preserve">فصل </w:t>
            </w:r>
            <w:r>
              <w:rPr>
                <w:rStyle w:val="IndexLink"/>
                <w:rtl w:val="true"/>
              </w:rPr>
              <w:t>[</w:t>
            </w:r>
            <w:r>
              <w:rPr>
                <w:rStyle w:val="IndexLink"/>
                <w:rtl w:val="true"/>
              </w:rPr>
              <w:t>تحيّض المبتدأة</w:t>
            </w:r>
            <w:r>
              <w:rPr>
                <w:rStyle w:val="IndexLink"/>
                <w:rtl w:val="true"/>
              </w:rPr>
              <w:t>]</w:t>
              <w:tab/>
            </w:r>
            <w:r>
              <w:rPr>
                <w:rStyle w:val="IndexLink"/>
              </w:rPr>
              <w:t>285</w:t>
            </w:r>
          </w:hyperlink>
        </w:p>
        <w:p>
          <w:pPr>
            <w:pStyle w:val="Contents6"/>
            <w:tabs>
              <w:tab w:val="clear" w:pos="7609"/>
              <w:tab w:val="right" w:pos="9026" w:leader="dot"/>
            </w:tabs>
            <w:rPr/>
          </w:pPr>
          <w:hyperlink w:anchor="__RefHeading___Toc3732257_3804643083">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732259_3804643083">
            <w:r>
              <w:rPr>
                <w:webHidden/>
                <w:rStyle w:val="IndexLink"/>
                <w:rtl w:val="true"/>
              </w:rPr>
              <w:t>فروع</w:t>
            </w:r>
            <w:r>
              <w:rPr>
                <w:rStyle w:val="IndexLink"/>
                <w:rtl w:val="true"/>
              </w:rPr>
              <w:t>:</w:t>
              <w:tab/>
            </w:r>
            <w:r>
              <w:rPr>
                <w:rStyle w:val="IndexLink"/>
              </w:rPr>
              <w:t>287</w:t>
            </w:r>
          </w:hyperlink>
        </w:p>
        <w:p>
          <w:pPr>
            <w:pStyle w:val="Contents6"/>
            <w:tabs>
              <w:tab w:val="clear" w:pos="7609"/>
              <w:tab w:val="right" w:pos="9026" w:leader="dot"/>
            </w:tabs>
            <w:rPr/>
          </w:pPr>
          <w:hyperlink w:anchor="__RefHeading___Toc3732261_3804643083">
            <w:r>
              <w:rPr>
                <w:webHidden/>
                <w:rStyle w:val="IndexLink"/>
                <w:rtl w:val="true"/>
              </w:rPr>
              <w:t>الأوّل</w:t>
            </w:r>
            <w:r>
              <w:rPr>
                <w:rStyle w:val="IndexLink"/>
                <w:rtl w:val="true"/>
              </w:rPr>
              <w:t>:</w:t>
              <w:tab/>
            </w:r>
            <w:r>
              <w:rPr>
                <w:rStyle w:val="IndexLink"/>
              </w:rPr>
              <w:t>287</w:t>
            </w:r>
          </w:hyperlink>
        </w:p>
        <w:p>
          <w:pPr>
            <w:pStyle w:val="Contents6"/>
            <w:tabs>
              <w:tab w:val="clear" w:pos="7609"/>
              <w:tab w:val="right" w:pos="9026" w:leader="dot"/>
            </w:tabs>
            <w:rPr/>
          </w:pPr>
          <w:hyperlink w:anchor="__RefHeading___Toc3732263_3804643083">
            <w:r>
              <w:rPr>
                <w:webHidden/>
                <w:rStyle w:val="IndexLink"/>
                <w:rtl w:val="true"/>
              </w:rPr>
              <w:t>الثاني</w:t>
            </w:r>
            <w:r>
              <w:rPr>
                <w:rStyle w:val="IndexLink"/>
                <w:rtl w:val="true"/>
              </w:rPr>
              <w:t>:</w:t>
              <w:tab/>
            </w:r>
            <w:r>
              <w:rPr>
                <w:rStyle w:val="IndexLink"/>
              </w:rPr>
              <w:t>288</w:t>
            </w:r>
          </w:hyperlink>
        </w:p>
        <w:p>
          <w:pPr>
            <w:pStyle w:val="Contents6"/>
            <w:tabs>
              <w:tab w:val="clear" w:pos="7609"/>
              <w:tab w:val="right" w:pos="9026" w:leader="dot"/>
            </w:tabs>
            <w:rPr/>
          </w:pPr>
          <w:hyperlink w:anchor="__RefHeading___Toc3732265_3804643083">
            <w:r>
              <w:rPr>
                <w:webHidden/>
                <w:rStyle w:val="IndexLink"/>
                <w:rtl w:val="true"/>
              </w:rPr>
              <w:t>الثالث</w:t>
            </w:r>
            <w:r>
              <w:rPr>
                <w:rStyle w:val="IndexLink"/>
                <w:rtl w:val="true"/>
              </w:rPr>
              <w:t>:</w:t>
              <w:tab/>
            </w:r>
            <w:r>
              <w:rPr>
                <w:rStyle w:val="IndexLink"/>
              </w:rPr>
              <w:t>288</w:t>
            </w:r>
          </w:hyperlink>
        </w:p>
        <w:p>
          <w:pPr>
            <w:pStyle w:val="Contents6"/>
            <w:tabs>
              <w:tab w:val="clear" w:pos="7609"/>
              <w:tab w:val="right" w:pos="9026" w:leader="dot"/>
            </w:tabs>
            <w:rPr/>
          </w:pPr>
          <w:hyperlink w:anchor="__RefHeading___Toc3732267_3804643083">
            <w:r>
              <w:rPr>
                <w:webHidden/>
                <w:rStyle w:val="IndexLink"/>
                <w:rtl w:val="true"/>
              </w:rPr>
              <w:t>الرابع</w:t>
            </w:r>
            <w:r>
              <w:rPr>
                <w:rStyle w:val="IndexLink"/>
                <w:rtl w:val="true"/>
              </w:rPr>
              <w:t>:</w:t>
              <w:tab/>
            </w:r>
            <w:r>
              <w:rPr>
                <w:rStyle w:val="IndexLink"/>
              </w:rPr>
              <w:t>289</w:t>
            </w:r>
          </w:hyperlink>
        </w:p>
        <w:p>
          <w:pPr>
            <w:pStyle w:val="Contents6"/>
            <w:tabs>
              <w:tab w:val="clear" w:pos="7609"/>
              <w:tab w:val="right" w:pos="9026" w:leader="dot"/>
            </w:tabs>
            <w:rPr/>
          </w:pPr>
          <w:hyperlink w:anchor="__RefHeading___Toc3732269_3804643083">
            <w:r>
              <w:rPr>
                <w:webHidden/>
                <w:rStyle w:val="IndexLink"/>
                <w:rtl w:val="true"/>
              </w:rPr>
              <w:t>الخامس</w:t>
            </w:r>
            <w:r>
              <w:rPr>
                <w:rStyle w:val="IndexLink"/>
                <w:rtl w:val="true"/>
              </w:rPr>
              <w:t>:</w:t>
              <w:tab/>
            </w:r>
            <w:r>
              <w:rPr>
                <w:rStyle w:val="IndexLink"/>
              </w:rPr>
              <w:t>289</w:t>
            </w:r>
          </w:hyperlink>
        </w:p>
        <w:p>
          <w:pPr>
            <w:pStyle w:val="Contents6"/>
            <w:tabs>
              <w:tab w:val="clear" w:pos="7609"/>
              <w:tab w:val="right" w:pos="9026" w:leader="dot"/>
            </w:tabs>
            <w:rPr/>
          </w:pPr>
          <w:hyperlink w:anchor="__RefHeading___Toc3732271_3804643083">
            <w:r>
              <w:rPr>
                <w:webHidden/>
                <w:rStyle w:val="IndexLink"/>
                <w:rtl w:val="true"/>
              </w:rPr>
              <w:t>السادس</w:t>
            </w:r>
            <w:r>
              <w:rPr>
                <w:rStyle w:val="IndexLink"/>
                <w:rtl w:val="true"/>
              </w:rPr>
              <w:t>:</w:t>
              <w:tab/>
            </w:r>
            <w:r>
              <w:rPr>
                <w:rStyle w:val="IndexLink"/>
              </w:rPr>
              <w:t>289</w:t>
            </w:r>
          </w:hyperlink>
        </w:p>
        <w:p>
          <w:pPr>
            <w:pStyle w:val="Contents6"/>
            <w:tabs>
              <w:tab w:val="clear" w:pos="7609"/>
              <w:tab w:val="right" w:pos="9026" w:leader="dot"/>
            </w:tabs>
            <w:rPr/>
          </w:pPr>
          <w:hyperlink w:anchor="__RefHeading___Toc3732273_3804643083">
            <w:r>
              <w:rPr>
                <w:webHidden/>
                <w:rStyle w:val="IndexLink"/>
                <w:rtl w:val="true"/>
              </w:rPr>
              <w:t xml:space="preserve">فصل </w:t>
            </w:r>
            <w:r>
              <w:rPr>
                <w:rStyle w:val="IndexLink"/>
                <w:rtl w:val="true"/>
              </w:rPr>
              <w:t>[</w:t>
            </w:r>
            <w:r>
              <w:rPr>
                <w:rStyle w:val="IndexLink"/>
                <w:rtl w:val="true"/>
              </w:rPr>
              <w:t>أحكام المضطربة</w:t>
            </w:r>
            <w:r>
              <w:rPr>
                <w:rStyle w:val="IndexLink"/>
                <w:rtl w:val="true"/>
              </w:rPr>
              <w:t>]</w:t>
              <w:tab/>
            </w:r>
            <w:r>
              <w:rPr>
                <w:rStyle w:val="IndexLink"/>
              </w:rPr>
              <w:t>290</w:t>
            </w:r>
          </w:hyperlink>
        </w:p>
        <w:p>
          <w:pPr>
            <w:pStyle w:val="Contents6"/>
            <w:tabs>
              <w:tab w:val="clear" w:pos="7609"/>
              <w:tab w:val="right" w:pos="9026" w:leader="dot"/>
            </w:tabs>
            <w:rPr/>
          </w:pPr>
          <w:hyperlink w:anchor="__RefHeading___Toc3732275_3804643083">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3732277_3804643083">
            <w:r>
              <w:rPr>
                <w:webHidden/>
                <w:rStyle w:val="IndexLink"/>
                <w:rtl w:val="true"/>
              </w:rPr>
              <w:t>تذنيبٌ</w:t>
            </w:r>
            <w:r>
              <w:rPr>
                <w:rStyle w:val="IndexLink"/>
                <w:rtl w:val="true"/>
              </w:rPr>
              <w:t>:</w:t>
              <w:tab/>
            </w:r>
            <w:r>
              <w:rPr>
                <w:rStyle w:val="IndexLink"/>
              </w:rPr>
              <w:t>292</w:t>
            </w:r>
          </w:hyperlink>
        </w:p>
        <w:p>
          <w:pPr>
            <w:pStyle w:val="Contents6"/>
            <w:tabs>
              <w:tab w:val="clear" w:pos="7609"/>
              <w:tab w:val="right" w:pos="9026" w:leader="dot"/>
            </w:tabs>
            <w:rPr/>
          </w:pPr>
          <w:hyperlink w:anchor="__RefHeading___Toc3732279_3804643083">
            <w:r>
              <w:rPr>
                <w:webHidden/>
                <w:rStyle w:val="IndexLink"/>
                <w:rtl w:val="true"/>
              </w:rPr>
              <w:t>و منها</w:t>
            </w:r>
            <w:r>
              <w:rPr>
                <w:rStyle w:val="IndexLink"/>
                <w:rtl w:val="true"/>
              </w:rPr>
              <w:t>:</w:t>
              <w:tab/>
            </w:r>
            <w:r>
              <w:rPr>
                <w:rStyle w:val="IndexLink"/>
              </w:rPr>
              <w:t>294</w:t>
            </w:r>
          </w:hyperlink>
        </w:p>
        <w:p>
          <w:pPr>
            <w:pStyle w:val="Contents6"/>
            <w:tabs>
              <w:tab w:val="clear" w:pos="7609"/>
              <w:tab w:val="right" w:pos="9026" w:leader="dot"/>
            </w:tabs>
            <w:rPr/>
          </w:pPr>
          <w:hyperlink w:anchor="__RefHeading___Toc3732281_3804643083">
            <w:r>
              <w:rPr>
                <w:webHidden/>
                <w:rStyle w:val="IndexLink"/>
                <w:rtl w:val="true"/>
              </w:rPr>
              <w:t>و منها</w:t>
            </w:r>
            <w:r>
              <w:rPr>
                <w:rStyle w:val="IndexLink"/>
                <w:rtl w:val="true"/>
              </w:rPr>
              <w:t>:</w:t>
              <w:tab/>
            </w:r>
            <w:r>
              <w:rPr>
                <w:rStyle w:val="IndexLink"/>
              </w:rPr>
              <w:t>297</w:t>
            </w:r>
          </w:hyperlink>
        </w:p>
        <w:p>
          <w:pPr>
            <w:pStyle w:val="Contents6"/>
            <w:tabs>
              <w:tab w:val="clear" w:pos="7609"/>
              <w:tab w:val="right" w:pos="9026" w:leader="dot"/>
            </w:tabs>
            <w:rPr/>
          </w:pPr>
          <w:hyperlink w:anchor="__RefHeading___Toc3732283_380464308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732285_3804643083">
            <w:r>
              <w:rPr>
                <w:webHidden/>
                <w:rStyle w:val="IndexLink"/>
                <w:rtl w:val="true"/>
              </w:rPr>
              <w:t>مسألة التلفيق</w:t>
            </w:r>
            <w:r>
              <w:rPr>
                <w:rStyle w:val="IndexLink"/>
                <w:rtl w:val="true"/>
              </w:rPr>
              <w:t>:</w:t>
              <w:tab/>
            </w:r>
            <w:r>
              <w:rPr>
                <w:rStyle w:val="IndexLink"/>
              </w:rPr>
              <w:t>303</w:t>
            </w:r>
          </w:hyperlink>
        </w:p>
        <w:p>
          <w:pPr>
            <w:pStyle w:val="Contents6"/>
            <w:tabs>
              <w:tab w:val="clear" w:pos="7609"/>
              <w:tab w:val="right" w:pos="9026" w:leader="dot"/>
            </w:tabs>
            <w:rPr/>
          </w:pPr>
          <w:hyperlink w:anchor="__RefHeading___Toc3732287_3804643083">
            <w:r>
              <w:rPr>
                <w:webHidden/>
                <w:rStyle w:val="IndexLink"/>
                <w:rtl w:val="true"/>
              </w:rPr>
              <w:t>فصل يحرم على الحائض</w:t>
            </w:r>
            <w:r>
              <w:rPr>
                <w:rStyle w:val="IndexLink"/>
                <w:rtl w:val="true"/>
              </w:rPr>
              <w:t>:</w:t>
              <w:tab/>
            </w:r>
            <w:r>
              <w:rPr>
                <w:rStyle w:val="IndexLink"/>
              </w:rPr>
              <w:t>304</w:t>
            </w:r>
          </w:hyperlink>
        </w:p>
        <w:p>
          <w:pPr>
            <w:pStyle w:val="Contents6"/>
            <w:tabs>
              <w:tab w:val="clear" w:pos="7609"/>
              <w:tab w:val="right" w:pos="9026" w:leader="dot"/>
            </w:tabs>
            <w:rPr/>
          </w:pPr>
          <w:hyperlink w:anchor="__RefHeading___Toc3732289_380464308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732291_3804643083">
            <w:r>
              <w:rPr>
                <w:webHidden/>
                <w:rStyle w:val="IndexLink"/>
                <w:rtl w:val="true"/>
              </w:rPr>
              <w:t>مسائل</w:t>
            </w:r>
            <w:r>
              <w:rPr>
                <w:rStyle w:val="IndexLink"/>
                <w:rtl w:val="true"/>
              </w:rPr>
              <w:t>:</w:t>
              <w:tab/>
            </w:r>
            <w:r>
              <w:rPr>
                <w:rStyle w:val="IndexLink"/>
              </w:rPr>
              <w:t>306</w:t>
            </w:r>
          </w:hyperlink>
        </w:p>
        <w:p>
          <w:pPr>
            <w:pStyle w:val="Contents6"/>
            <w:tabs>
              <w:tab w:val="clear" w:pos="7609"/>
              <w:tab w:val="right" w:pos="9026" w:leader="dot"/>
            </w:tabs>
            <w:rPr/>
          </w:pPr>
          <w:hyperlink w:anchor="__RefHeading___Toc3732293_3804643083">
            <w:r>
              <w:rPr>
                <w:webHidden/>
                <w:rStyle w:val="IndexLink"/>
                <w:rtl w:val="true"/>
              </w:rPr>
              <w:t>الأُولىٰ</w:t>
            </w:r>
            <w:r>
              <w:rPr>
                <w:rStyle w:val="IndexLink"/>
                <w:rtl w:val="true"/>
              </w:rPr>
              <w:t>:</w:t>
              <w:tab/>
            </w:r>
            <w:r>
              <w:rPr>
                <w:rStyle w:val="IndexLink"/>
              </w:rPr>
              <w:t>306</w:t>
            </w:r>
          </w:hyperlink>
        </w:p>
        <w:p>
          <w:pPr>
            <w:pStyle w:val="Contents6"/>
            <w:tabs>
              <w:tab w:val="clear" w:pos="7609"/>
              <w:tab w:val="right" w:pos="9026" w:leader="dot"/>
            </w:tabs>
            <w:rPr/>
          </w:pPr>
          <w:hyperlink w:anchor="__RefHeading___Toc3732295_3804643083">
            <w:r>
              <w:rPr>
                <w:webHidden/>
                <w:rStyle w:val="IndexLink"/>
                <w:rtl w:val="true"/>
              </w:rPr>
              <w:t>الثانية</w:t>
            </w:r>
            <w:r>
              <w:rPr>
                <w:rStyle w:val="IndexLink"/>
                <w:rtl w:val="true"/>
              </w:rPr>
              <w:t>:</w:t>
              <w:tab/>
            </w:r>
            <w:r>
              <w:rPr>
                <w:rStyle w:val="IndexLink"/>
              </w:rPr>
              <w:t>307</w:t>
            </w:r>
          </w:hyperlink>
        </w:p>
        <w:p>
          <w:pPr>
            <w:pStyle w:val="Contents6"/>
            <w:tabs>
              <w:tab w:val="clear" w:pos="7609"/>
              <w:tab w:val="right" w:pos="9026" w:leader="dot"/>
            </w:tabs>
            <w:rPr/>
          </w:pPr>
          <w:hyperlink w:anchor="__RefHeading___Toc3732297_3804643083">
            <w:r>
              <w:rPr>
                <w:webHidden/>
                <w:rStyle w:val="IndexLink"/>
                <w:rtl w:val="true"/>
              </w:rPr>
              <w:t>الثالثة</w:t>
            </w:r>
            <w:r>
              <w:rPr>
                <w:rStyle w:val="IndexLink"/>
                <w:rtl w:val="true"/>
              </w:rPr>
              <w:t>:</w:t>
              <w:tab/>
            </w:r>
            <w:r>
              <w:rPr>
                <w:rStyle w:val="IndexLink"/>
              </w:rPr>
              <w:t>307</w:t>
            </w:r>
          </w:hyperlink>
        </w:p>
        <w:p>
          <w:pPr>
            <w:pStyle w:val="Contents6"/>
            <w:tabs>
              <w:tab w:val="clear" w:pos="7609"/>
              <w:tab w:val="right" w:pos="9026" w:leader="dot"/>
            </w:tabs>
            <w:rPr/>
          </w:pPr>
          <w:hyperlink w:anchor="__RefHeading___Toc3732299_3804643083">
            <w:r>
              <w:rPr>
                <w:webHidden/>
                <w:rStyle w:val="IndexLink"/>
                <w:rtl w:val="true"/>
              </w:rPr>
              <w:t>الرابعة</w:t>
            </w:r>
            <w:r>
              <w:rPr>
                <w:rStyle w:val="IndexLink"/>
                <w:rtl w:val="true"/>
              </w:rPr>
              <w:t>:</w:t>
              <w:tab/>
            </w:r>
            <w:r>
              <w:rPr>
                <w:rStyle w:val="IndexLink"/>
              </w:rPr>
              <w:t>308</w:t>
            </w:r>
          </w:hyperlink>
        </w:p>
        <w:p>
          <w:pPr>
            <w:pStyle w:val="Contents6"/>
            <w:tabs>
              <w:tab w:val="clear" w:pos="7609"/>
              <w:tab w:val="right" w:pos="9026" w:leader="dot"/>
            </w:tabs>
            <w:rPr/>
          </w:pPr>
          <w:hyperlink w:anchor="__RefHeading___Toc3732301_3804643083">
            <w:r>
              <w:rPr>
                <w:webHidden/>
                <w:rStyle w:val="IndexLink"/>
                <w:rtl w:val="true"/>
              </w:rPr>
              <w:t>الخامسة</w:t>
            </w:r>
            <w:r>
              <w:rPr>
                <w:rStyle w:val="IndexLink"/>
                <w:rtl w:val="true"/>
              </w:rPr>
              <w:t>:</w:t>
              <w:tab/>
            </w:r>
            <w:r>
              <w:rPr>
                <w:rStyle w:val="IndexLink"/>
              </w:rPr>
              <w:t>310</w:t>
            </w:r>
          </w:hyperlink>
        </w:p>
        <w:p>
          <w:pPr>
            <w:pStyle w:val="Contents6"/>
            <w:tabs>
              <w:tab w:val="clear" w:pos="7609"/>
              <w:tab w:val="right" w:pos="9026" w:leader="dot"/>
            </w:tabs>
            <w:rPr/>
          </w:pPr>
          <w:hyperlink w:anchor="__RefHeading___Toc3732303_3804643083">
            <w:r>
              <w:rPr>
                <w:webHidden/>
                <w:rStyle w:val="IndexLink"/>
                <w:rtl w:val="true"/>
              </w:rPr>
              <w:t>السادسة</w:t>
            </w:r>
            <w:r>
              <w:rPr>
                <w:rStyle w:val="IndexLink"/>
                <w:rtl w:val="true"/>
              </w:rPr>
              <w:t>:</w:t>
              <w:tab/>
            </w:r>
            <w:r>
              <w:rPr>
                <w:rStyle w:val="IndexLink"/>
              </w:rPr>
              <w:t>311</w:t>
            </w:r>
          </w:hyperlink>
        </w:p>
        <w:p>
          <w:pPr>
            <w:pStyle w:val="Contents6"/>
            <w:tabs>
              <w:tab w:val="clear" w:pos="7609"/>
              <w:tab w:val="right" w:pos="9026" w:leader="dot"/>
            </w:tabs>
            <w:rPr/>
          </w:pPr>
          <w:hyperlink w:anchor="__RefHeading___Toc3732305_3804643083">
            <w:r>
              <w:rPr>
                <w:webHidden/>
                <w:rStyle w:val="IndexLink"/>
                <w:rtl w:val="true"/>
              </w:rPr>
              <w:t>السابعة</w:t>
            </w:r>
            <w:r>
              <w:rPr>
                <w:rStyle w:val="IndexLink"/>
                <w:rtl w:val="true"/>
              </w:rPr>
              <w:t>:</w:t>
              <w:tab/>
            </w:r>
            <w:r>
              <w:rPr>
                <w:rStyle w:val="IndexLink"/>
              </w:rPr>
              <w:t>314</w:t>
            </w:r>
          </w:hyperlink>
        </w:p>
        <w:p>
          <w:pPr>
            <w:pStyle w:val="Contents6"/>
            <w:tabs>
              <w:tab w:val="clear" w:pos="7609"/>
              <w:tab w:val="right" w:pos="9026" w:leader="dot"/>
            </w:tabs>
            <w:rPr/>
          </w:pPr>
          <w:hyperlink w:anchor="__RefHeading___Toc3732307_3804643083">
            <w:r>
              <w:rPr>
                <w:webHidden/>
                <w:rStyle w:val="IndexLink"/>
                <w:rtl w:val="true"/>
              </w:rPr>
              <w:t>الثامنة</w:t>
            </w:r>
            <w:r>
              <w:rPr>
                <w:rStyle w:val="IndexLink"/>
                <w:rtl w:val="true"/>
              </w:rPr>
              <w:t>:</w:t>
              <w:tab/>
            </w:r>
            <w:r>
              <w:rPr>
                <w:rStyle w:val="IndexLink"/>
              </w:rPr>
              <w:t>314</w:t>
            </w:r>
          </w:hyperlink>
        </w:p>
        <w:p>
          <w:pPr>
            <w:pStyle w:val="Contents6"/>
            <w:tabs>
              <w:tab w:val="clear" w:pos="7609"/>
              <w:tab w:val="right" w:pos="9026" w:leader="dot"/>
            </w:tabs>
            <w:rPr/>
          </w:pPr>
          <w:hyperlink w:anchor="__RefHeading___Toc3732309_3804643083">
            <w:r>
              <w:rPr>
                <w:webHidden/>
                <w:rStyle w:val="IndexLink"/>
                <w:rtl w:val="true"/>
              </w:rPr>
              <w:t>التاسعة</w:t>
            </w:r>
            <w:r>
              <w:rPr>
                <w:rStyle w:val="IndexLink"/>
                <w:rtl w:val="true"/>
              </w:rPr>
              <w:t>:</w:t>
              <w:tab/>
            </w:r>
            <w:r>
              <w:rPr>
                <w:rStyle w:val="IndexLink"/>
              </w:rPr>
              <w:t>315</w:t>
            </w:r>
          </w:hyperlink>
        </w:p>
        <w:p>
          <w:pPr>
            <w:pStyle w:val="Contents5"/>
            <w:tabs>
              <w:tab w:val="clear" w:pos="7892"/>
              <w:tab w:val="right" w:pos="9026" w:leader="dot"/>
            </w:tabs>
            <w:rPr/>
          </w:pPr>
          <w:hyperlink w:anchor="__RefHeading___Toc3732311_3804643083">
            <w:r>
              <w:rPr>
                <w:webHidden/>
                <w:rStyle w:val="IndexLink"/>
                <w:rtl w:val="true"/>
              </w:rPr>
              <w:t>بحث غسل الاستحاضة</w:t>
            </w:r>
            <w:r>
              <w:rPr>
                <w:rStyle w:val="IndexLink"/>
                <w:rtl w:val="true"/>
              </w:rPr>
              <w:tab/>
            </w:r>
            <w:r>
              <w:rPr>
                <w:rStyle w:val="IndexLink"/>
              </w:rPr>
              <w:t>316</w:t>
            </w:r>
          </w:hyperlink>
        </w:p>
        <w:p>
          <w:pPr>
            <w:pStyle w:val="Contents6"/>
            <w:tabs>
              <w:tab w:val="clear" w:pos="7609"/>
              <w:tab w:val="right" w:pos="9026" w:leader="dot"/>
            </w:tabs>
            <w:rPr/>
          </w:pPr>
          <w:hyperlink w:anchor="__RefHeading___Toc3732313_380464308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3732315_3804643083">
            <w:r>
              <w:rPr>
                <w:webHidden/>
                <w:rStyle w:val="IndexLink"/>
                <w:rtl w:val="true"/>
              </w:rPr>
              <w:t>فروع</w:t>
            </w:r>
            <w:r>
              <w:rPr>
                <w:rStyle w:val="IndexLink"/>
                <w:rtl w:val="true"/>
              </w:rPr>
              <w:t>:</w:t>
              <w:tab/>
            </w:r>
            <w:r>
              <w:rPr>
                <w:rStyle w:val="IndexLink"/>
              </w:rPr>
              <w:t>319</w:t>
            </w:r>
          </w:hyperlink>
        </w:p>
        <w:p>
          <w:pPr>
            <w:pStyle w:val="Contents6"/>
            <w:tabs>
              <w:tab w:val="clear" w:pos="7609"/>
              <w:tab w:val="right" w:pos="9026" w:leader="dot"/>
            </w:tabs>
            <w:rPr/>
          </w:pPr>
          <w:hyperlink w:anchor="__RefHeading___Toc3732317_3804643083">
            <w:r>
              <w:rPr>
                <w:webHidden/>
                <w:rStyle w:val="IndexLink"/>
                <w:rtl w:val="true"/>
              </w:rPr>
              <w:t>الأوّل</w:t>
            </w:r>
            <w:r>
              <w:rPr>
                <w:rStyle w:val="IndexLink"/>
                <w:rtl w:val="true"/>
              </w:rPr>
              <w:t>:</w:t>
              <w:tab/>
            </w:r>
            <w:r>
              <w:rPr>
                <w:rStyle w:val="IndexLink"/>
              </w:rPr>
              <w:t>319</w:t>
            </w:r>
          </w:hyperlink>
        </w:p>
        <w:p>
          <w:pPr>
            <w:pStyle w:val="Contents6"/>
            <w:tabs>
              <w:tab w:val="clear" w:pos="7609"/>
              <w:tab w:val="right" w:pos="9026" w:leader="dot"/>
            </w:tabs>
            <w:rPr/>
          </w:pPr>
          <w:hyperlink w:anchor="__RefHeading___Toc3732319_3804643083">
            <w:r>
              <w:rPr>
                <w:webHidden/>
                <w:rStyle w:val="IndexLink"/>
                <w:rtl w:val="true"/>
              </w:rPr>
              <w:t>الثاني</w:t>
            </w:r>
            <w:r>
              <w:rPr>
                <w:rStyle w:val="IndexLink"/>
                <w:rtl w:val="true"/>
              </w:rPr>
              <w:t>:</w:t>
              <w:tab/>
            </w:r>
            <w:r>
              <w:rPr>
                <w:rStyle w:val="IndexLink"/>
              </w:rPr>
              <w:t>319</w:t>
            </w:r>
          </w:hyperlink>
        </w:p>
        <w:p>
          <w:pPr>
            <w:pStyle w:val="Contents6"/>
            <w:tabs>
              <w:tab w:val="clear" w:pos="7609"/>
              <w:tab w:val="right" w:pos="9026" w:leader="dot"/>
            </w:tabs>
            <w:rPr/>
          </w:pPr>
          <w:hyperlink w:anchor="__RefHeading___Toc3732321_3804643083">
            <w:r>
              <w:rPr>
                <w:webHidden/>
                <w:rStyle w:val="IndexLink"/>
                <w:rtl w:val="true"/>
              </w:rPr>
              <w:t>الثالث</w:t>
            </w:r>
            <w:r>
              <w:rPr>
                <w:rStyle w:val="IndexLink"/>
                <w:rtl w:val="true"/>
              </w:rPr>
              <w:t>:</w:t>
              <w:tab/>
            </w:r>
            <w:r>
              <w:rPr>
                <w:rStyle w:val="IndexLink"/>
              </w:rPr>
              <w:t>320</w:t>
            </w:r>
          </w:hyperlink>
        </w:p>
        <w:p>
          <w:pPr>
            <w:pStyle w:val="Contents6"/>
            <w:tabs>
              <w:tab w:val="clear" w:pos="7609"/>
              <w:tab w:val="right" w:pos="9026" w:leader="dot"/>
            </w:tabs>
            <w:rPr/>
          </w:pPr>
          <w:hyperlink w:anchor="__RefHeading___Toc3732323_3804643083">
            <w:r>
              <w:rPr>
                <w:webHidden/>
                <w:rStyle w:val="IndexLink"/>
                <w:rtl w:val="true"/>
              </w:rPr>
              <w:t>الرابع</w:t>
            </w:r>
            <w:r>
              <w:rPr>
                <w:rStyle w:val="IndexLink"/>
                <w:rtl w:val="true"/>
              </w:rPr>
              <w:t>:</w:t>
              <w:tab/>
            </w:r>
            <w:r>
              <w:rPr>
                <w:rStyle w:val="IndexLink"/>
              </w:rPr>
              <w:t>320</w:t>
            </w:r>
          </w:hyperlink>
        </w:p>
        <w:p>
          <w:pPr>
            <w:pStyle w:val="Contents6"/>
            <w:tabs>
              <w:tab w:val="clear" w:pos="7609"/>
              <w:tab w:val="right" w:pos="9026" w:leader="dot"/>
            </w:tabs>
            <w:rPr/>
          </w:pPr>
          <w:hyperlink w:anchor="__RefHeading___Toc3732325_3804643083">
            <w:r>
              <w:rPr>
                <w:webHidden/>
                <w:rStyle w:val="IndexLink"/>
                <w:rtl w:val="true"/>
              </w:rPr>
              <w:t>الخامس</w:t>
            </w:r>
            <w:r>
              <w:rPr>
                <w:rStyle w:val="IndexLink"/>
                <w:rtl w:val="true"/>
              </w:rPr>
              <w:t>:</w:t>
              <w:tab/>
            </w:r>
            <w:r>
              <w:rPr>
                <w:rStyle w:val="IndexLink"/>
              </w:rPr>
              <w:t>321</w:t>
            </w:r>
          </w:hyperlink>
        </w:p>
        <w:p>
          <w:pPr>
            <w:pStyle w:val="Contents6"/>
            <w:tabs>
              <w:tab w:val="clear" w:pos="7609"/>
              <w:tab w:val="right" w:pos="9026" w:leader="dot"/>
            </w:tabs>
            <w:rPr/>
          </w:pPr>
          <w:hyperlink w:anchor="__RefHeading___Toc3732327_3804643083">
            <w:r>
              <w:rPr>
                <w:webHidden/>
                <w:rStyle w:val="IndexLink"/>
                <w:rtl w:val="true"/>
              </w:rPr>
              <w:t>السادس</w:t>
            </w:r>
            <w:r>
              <w:rPr>
                <w:rStyle w:val="IndexLink"/>
                <w:rtl w:val="true"/>
              </w:rPr>
              <w:t>:</w:t>
              <w:tab/>
            </w:r>
            <w:r>
              <w:rPr>
                <w:rStyle w:val="IndexLink"/>
              </w:rPr>
              <w:t>321</w:t>
            </w:r>
          </w:hyperlink>
        </w:p>
        <w:p>
          <w:pPr>
            <w:pStyle w:val="Contents6"/>
            <w:tabs>
              <w:tab w:val="clear" w:pos="7609"/>
              <w:tab w:val="right" w:pos="9026" w:leader="dot"/>
            </w:tabs>
            <w:rPr/>
          </w:pPr>
          <w:hyperlink w:anchor="__RefHeading___Toc3732329_3804643083">
            <w:r>
              <w:rPr>
                <w:webHidden/>
                <w:rStyle w:val="IndexLink"/>
                <w:rtl w:val="true"/>
              </w:rPr>
              <w:t xml:space="preserve">فصل </w:t>
            </w:r>
            <w:r>
              <w:rPr>
                <w:rStyle w:val="IndexLink"/>
                <w:rtl w:val="true"/>
              </w:rPr>
              <w:t>[</w:t>
            </w:r>
            <w:r>
              <w:rPr>
                <w:rStyle w:val="IndexLink"/>
                <w:rtl w:val="true"/>
              </w:rPr>
              <w:t>تطهّر المستحاضة</w:t>
            </w:r>
            <w:r>
              <w:rPr>
                <w:rStyle w:val="IndexLink"/>
                <w:rtl w:val="true"/>
              </w:rPr>
              <w:t>]</w:t>
              <w:tab/>
            </w:r>
            <w:r>
              <w:rPr>
                <w:rStyle w:val="IndexLink"/>
              </w:rPr>
              <w:t>321</w:t>
            </w:r>
          </w:hyperlink>
        </w:p>
        <w:p>
          <w:pPr>
            <w:pStyle w:val="Contents5"/>
            <w:tabs>
              <w:tab w:val="clear" w:pos="7892"/>
              <w:tab w:val="right" w:pos="9026" w:leader="dot"/>
            </w:tabs>
            <w:rPr/>
          </w:pPr>
          <w:hyperlink w:anchor="__RefHeading___Toc3732331_3804643083">
            <w:r>
              <w:rPr>
                <w:webHidden/>
                <w:rStyle w:val="IndexLink"/>
                <w:rtl w:val="true"/>
              </w:rPr>
              <w:t>بحث غسل النفاس</w:t>
            </w:r>
            <w:r>
              <w:rPr>
                <w:rStyle w:val="IndexLink"/>
                <w:rtl w:val="true"/>
              </w:rPr>
              <w:tab/>
            </w:r>
            <w:r>
              <w:rPr>
                <w:rStyle w:val="IndexLink"/>
              </w:rPr>
              <w:t>327</w:t>
            </w:r>
          </w:hyperlink>
        </w:p>
        <w:p>
          <w:pPr>
            <w:pStyle w:val="Contents6"/>
            <w:tabs>
              <w:tab w:val="clear" w:pos="7609"/>
              <w:tab w:val="right" w:pos="9026" w:leader="dot"/>
            </w:tabs>
            <w:rPr/>
          </w:pPr>
          <w:hyperlink w:anchor="__RefHeading___Toc3732333_3804643083">
            <w:r>
              <w:rPr>
                <w:webHidden/>
                <w:rStyle w:val="IndexLink"/>
                <w:rtl w:val="true"/>
              </w:rPr>
              <w:t>[</w:t>
            </w:r>
            <w:r>
              <w:rPr>
                <w:rStyle w:val="IndexLink"/>
                <w:rtl w:val="true"/>
              </w:rPr>
              <w:t>تعريف النفاس</w:t>
            </w:r>
            <w:r>
              <w:rPr>
                <w:rStyle w:val="IndexLink"/>
                <w:rtl w:val="true"/>
              </w:rPr>
              <w:t>]</w:t>
              <w:tab/>
            </w:r>
            <w:r>
              <w:rPr>
                <w:rStyle w:val="IndexLink"/>
              </w:rPr>
              <w:t>327</w:t>
            </w:r>
          </w:hyperlink>
        </w:p>
        <w:p>
          <w:pPr>
            <w:pStyle w:val="Contents6"/>
            <w:tabs>
              <w:tab w:val="clear" w:pos="7609"/>
              <w:tab w:val="right" w:pos="9026" w:leader="dot"/>
            </w:tabs>
            <w:rPr/>
          </w:pPr>
          <w:hyperlink w:anchor="__RefHeading___Toc3732335_3804643083">
            <w:r>
              <w:rPr>
                <w:webHidden/>
                <w:rStyle w:val="IndexLink"/>
                <w:rtl w:val="true"/>
              </w:rPr>
              <w:t xml:space="preserve">فصل </w:t>
            </w:r>
            <w:r>
              <w:rPr>
                <w:rStyle w:val="IndexLink"/>
                <w:rtl w:val="true"/>
              </w:rPr>
              <w:t>[</w:t>
            </w:r>
            <w:r>
              <w:rPr>
                <w:rStyle w:val="IndexLink"/>
                <w:rtl w:val="true"/>
              </w:rPr>
              <w:t>فترة ما بين الحيض و النفاس</w:t>
            </w:r>
            <w:r>
              <w:rPr>
                <w:rStyle w:val="IndexLink"/>
                <w:rtl w:val="true"/>
              </w:rPr>
              <w:t>]</w:t>
              <w:tab/>
            </w:r>
            <w:r>
              <w:rPr>
                <w:rStyle w:val="IndexLink"/>
              </w:rPr>
              <w:t>328</w:t>
            </w:r>
          </w:hyperlink>
        </w:p>
        <w:p>
          <w:pPr>
            <w:pStyle w:val="Contents6"/>
            <w:tabs>
              <w:tab w:val="clear" w:pos="7609"/>
              <w:tab w:val="right" w:pos="9026" w:leader="dot"/>
            </w:tabs>
            <w:rPr/>
          </w:pPr>
          <w:hyperlink w:anchor="__RefHeading___Toc3732337_3804643083">
            <w:r>
              <w:rPr>
                <w:webHidden/>
                <w:rStyle w:val="IndexLink"/>
                <w:rtl w:val="true"/>
              </w:rPr>
              <w:t xml:space="preserve">فصل </w:t>
            </w:r>
            <w:r>
              <w:rPr>
                <w:rStyle w:val="IndexLink"/>
                <w:rtl w:val="true"/>
              </w:rPr>
              <w:t>[</w:t>
            </w:r>
            <w:r>
              <w:rPr>
                <w:rStyle w:val="IndexLink"/>
                <w:rtl w:val="true"/>
              </w:rPr>
              <w:t>أقلّ النفاس و أكثره</w:t>
            </w:r>
            <w:r>
              <w:rPr>
                <w:rStyle w:val="IndexLink"/>
                <w:rtl w:val="true"/>
              </w:rPr>
              <w:t>]</w:t>
              <w:tab/>
            </w:r>
            <w:r>
              <w:rPr>
                <w:rStyle w:val="IndexLink"/>
              </w:rPr>
              <w:t>329</w:t>
            </w:r>
          </w:hyperlink>
        </w:p>
        <w:p>
          <w:pPr>
            <w:pStyle w:val="Contents6"/>
            <w:tabs>
              <w:tab w:val="clear" w:pos="7609"/>
              <w:tab w:val="right" w:pos="9026" w:leader="dot"/>
            </w:tabs>
            <w:rPr/>
          </w:pPr>
          <w:hyperlink w:anchor="__RefHeading___Toc3732339_3804643083">
            <w:r>
              <w:rPr>
                <w:webHidden/>
                <w:rStyle w:val="IndexLink"/>
                <w:rtl w:val="true"/>
              </w:rPr>
              <w:t>فروع</w:t>
            </w:r>
            <w:r>
              <w:rPr>
                <w:rStyle w:val="IndexLink"/>
                <w:rtl w:val="true"/>
              </w:rPr>
              <w:t>:</w:t>
              <w:tab/>
            </w:r>
            <w:r>
              <w:rPr>
                <w:rStyle w:val="IndexLink"/>
              </w:rPr>
              <w:t>332</w:t>
            </w:r>
          </w:hyperlink>
        </w:p>
        <w:p>
          <w:pPr>
            <w:pStyle w:val="Contents6"/>
            <w:tabs>
              <w:tab w:val="clear" w:pos="7609"/>
              <w:tab w:val="right" w:pos="9026" w:leader="dot"/>
            </w:tabs>
            <w:rPr/>
          </w:pPr>
          <w:hyperlink w:anchor="__RefHeading___Toc3732341_3804643083">
            <w:r>
              <w:rPr>
                <w:webHidden/>
                <w:rStyle w:val="IndexLink"/>
                <w:rtl w:val="true"/>
              </w:rPr>
              <w:t>الأوّل</w:t>
            </w:r>
            <w:r>
              <w:rPr>
                <w:rStyle w:val="IndexLink"/>
                <w:rtl w:val="true"/>
              </w:rPr>
              <w:t>:</w:t>
              <w:tab/>
            </w:r>
            <w:r>
              <w:rPr>
                <w:rStyle w:val="IndexLink"/>
              </w:rPr>
              <w:t>332</w:t>
            </w:r>
          </w:hyperlink>
        </w:p>
        <w:p>
          <w:pPr>
            <w:pStyle w:val="Contents6"/>
            <w:tabs>
              <w:tab w:val="clear" w:pos="7609"/>
              <w:tab w:val="right" w:pos="9026" w:leader="dot"/>
            </w:tabs>
            <w:rPr/>
          </w:pPr>
          <w:hyperlink w:anchor="__RefHeading___Toc3732343_3804643083">
            <w:r>
              <w:rPr>
                <w:webHidden/>
                <w:rStyle w:val="IndexLink"/>
                <w:rtl w:val="true"/>
              </w:rPr>
              <w:t>الثاني</w:t>
            </w:r>
            <w:r>
              <w:rPr>
                <w:rStyle w:val="IndexLink"/>
                <w:rtl w:val="true"/>
              </w:rPr>
              <w:t>:</w:t>
              <w:tab/>
            </w:r>
            <w:r>
              <w:rPr>
                <w:rStyle w:val="IndexLink"/>
              </w:rPr>
              <w:t>333</w:t>
            </w:r>
          </w:hyperlink>
        </w:p>
        <w:p>
          <w:pPr>
            <w:pStyle w:val="Contents6"/>
            <w:tabs>
              <w:tab w:val="clear" w:pos="7609"/>
              <w:tab w:val="right" w:pos="9026" w:leader="dot"/>
            </w:tabs>
            <w:rPr/>
          </w:pPr>
          <w:hyperlink w:anchor="__RefHeading___Toc3732345_3804643083">
            <w:r>
              <w:rPr>
                <w:webHidden/>
                <w:rStyle w:val="IndexLink"/>
                <w:rtl w:val="true"/>
              </w:rPr>
              <w:t>الثالث</w:t>
            </w:r>
            <w:r>
              <w:rPr>
                <w:rStyle w:val="IndexLink"/>
                <w:rtl w:val="true"/>
              </w:rPr>
              <w:t>:</w:t>
              <w:tab/>
            </w:r>
            <w:r>
              <w:rPr>
                <w:rStyle w:val="IndexLink"/>
              </w:rPr>
              <w:t>333</w:t>
            </w:r>
          </w:hyperlink>
        </w:p>
        <w:p>
          <w:pPr>
            <w:pStyle w:val="Contents6"/>
            <w:tabs>
              <w:tab w:val="clear" w:pos="7609"/>
              <w:tab w:val="right" w:pos="9026" w:leader="dot"/>
            </w:tabs>
            <w:rPr/>
          </w:pPr>
          <w:hyperlink w:anchor="__RefHeading___Toc3732347_3804643083">
            <w:r>
              <w:rPr>
                <w:webHidden/>
                <w:rStyle w:val="IndexLink"/>
                <w:rtl w:val="true"/>
              </w:rPr>
              <w:t>الرابع</w:t>
            </w:r>
            <w:r>
              <w:rPr>
                <w:rStyle w:val="IndexLink"/>
                <w:rtl w:val="true"/>
              </w:rPr>
              <w:t>:</w:t>
              <w:tab/>
            </w:r>
            <w:r>
              <w:rPr>
                <w:rStyle w:val="IndexLink"/>
              </w:rPr>
              <w:t>334</w:t>
            </w:r>
          </w:hyperlink>
        </w:p>
        <w:p>
          <w:pPr>
            <w:pStyle w:val="Contents6"/>
            <w:tabs>
              <w:tab w:val="clear" w:pos="7609"/>
              <w:tab w:val="right" w:pos="9026" w:leader="dot"/>
            </w:tabs>
            <w:rPr/>
          </w:pPr>
          <w:hyperlink w:anchor="__RefHeading___Toc3732349_3804643083">
            <w:r>
              <w:rPr>
                <w:webHidden/>
                <w:rStyle w:val="IndexLink"/>
                <w:rtl w:val="true"/>
              </w:rPr>
              <w:t xml:space="preserve">باب </w:t>
            </w:r>
            <w:r>
              <w:rPr>
                <w:rStyle w:val="IndexLink"/>
                <w:rtl w:val="true"/>
              </w:rPr>
              <w:t>[</w:t>
            </w:r>
            <w:r>
              <w:rPr>
                <w:rStyle w:val="IndexLink"/>
                <w:rtl w:val="true"/>
              </w:rPr>
              <w:t>نفاس ذات التوأمين</w:t>
            </w:r>
            <w:r>
              <w:rPr>
                <w:rStyle w:val="IndexLink"/>
                <w:rtl w:val="true"/>
              </w:rPr>
              <w:t>]:</w:t>
              <w:tab/>
            </w:r>
            <w:r>
              <w:rPr>
                <w:rStyle w:val="IndexLink"/>
              </w:rPr>
              <w:t>335</w:t>
            </w:r>
          </w:hyperlink>
        </w:p>
        <w:p>
          <w:pPr>
            <w:pStyle w:val="Contents6"/>
            <w:tabs>
              <w:tab w:val="clear" w:pos="7609"/>
              <w:tab w:val="right" w:pos="9026" w:leader="dot"/>
            </w:tabs>
            <w:rPr/>
          </w:pPr>
          <w:hyperlink w:anchor="__RefHeading___Toc3732351_3804643083">
            <w:r>
              <w:rPr>
                <w:webHidden/>
                <w:rStyle w:val="IndexLink"/>
                <w:rtl w:val="true"/>
              </w:rPr>
              <w:t xml:space="preserve">مسألة </w:t>
            </w:r>
            <w:r>
              <w:rPr>
                <w:rStyle w:val="IndexLink"/>
                <w:rtl w:val="true"/>
              </w:rPr>
              <w:t>[</w:t>
            </w:r>
            <w:r>
              <w:rPr>
                <w:rStyle w:val="IndexLink"/>
                <w:rtl w:val="true"/>
              </w:rPr>
              <w:t>الفرق بين الحائض و النفساء</w:t>
            </w:r>
            <w:r>
              <w:rPr>
                <w:rStyle w:val="IndexLink"/>
                <w:rtl w:val="true"/>
              </w:rPr>
              <w:t>]:</w:t>
              <w:tab/>
            </w:r>
            <w:r>
              <w:rPr>
                <w:rStyle w:val="IndexLink"/>
              </w:rPr>
              <w:t>335</w:t>
            </w:r>
          </w:hyperlink>
        </w:p>
        <w:p>
          <w:pPr>
            <w:pStyle w:val="Contents5"/>
            <w:tabs>
              <w:tab w:val="clear" w:pos="7892"/>
              <w:tab w:val="right" w:pos="9026" w:leader="dot"/>
            </w:tabs>
            <w:rPr/>
          </w:pPr>
          <w:hyperlink w:anchor="__RefHeading___Toc3732353_3804643083">
            <w:r>
              <w:rPr>
                <w:webHidden/>
                <w:rStyle w:val="IndexLink"/>
                <w:rtl w:val="true"/>
              </w:rPr>
              <w:t>بحث غسل المسّ</w:t>
            </w:r>
            <w:r>
              <w:rPr>
                <w:rStyle w:val="IndexLink"/>
                <w:rtl w:val="true"/>
              </w:rPr>
              <w:tab/>
            </w:r>
            <w:r>
              <w:rPr>
                <w:rStyle w:val="IndexLink"/>
              </w:rPr>
              <w:t>336</w:t>
            </w:r>
          </w:hyperlink>
        </w:p>
        <w:p>
          <w:pPr>
            <w:pStyle w:val="Contents6"/>
            <w:tabs>
              <w:tab w:val="clear" w:pos="7609"/>
              <w:tab w:val="right" w:pos="9026" w:leader="dot"/>
            </w:tabs>
            <w:rPr/>
          </w:pPr>
          <w:hyperlink w:anchor="__RefHeading___Toc3732355_3804643083">
            <w:r>
              <w:rPr>
                <w:webHidden/>
                <w:rStyle w:val="IndexLink"/>
                <w:rtl w:val="true"/>
              </w:rPr>
              <w:t xml:space="preserve">فصل </w:t>
            </w:r>
            <w:r>
              <w:rPr>
                <w:rStyle w:val="IndexLink"/>
                <w:rtl w:val="true"/>
              </w:rPr>
              <w:t>[</w:t>
            </w:r>
            <w:r>
              <w:rPr>
                <w:rStyle w:val="IndexLink"/>
                <w:rtl w:val="true"/>
              </w:rPr>
              <w:t>وجوبه</w:t>
            </w:r>
            <w:r>
              <w:rPr>
                <w:rStyle w:val="IndexLink"/>
                <w:rtl w:val="true"/>
              </w:rPr>
              <w:t>]</w:t>
              <w:tab/>
            </w:r>
            <w:r>
              <w:rPr>
                <w:rStyle w:val="IndexLink"/>
              </w:rPr>
              <w:t>336</w:t>
            </w:r>
          </w:hyperlink>
        </w:p>
        <w:p>
          <w:pPr>
            <w:pStyle w:val="Contents6"/>
            <w:tabs>
              <w:tab w:val="clear" w:pos="7609"/>
              <w:tab w:val="right" w:pos="9026" w:leader="dot"/>
            </w:tabs>
            <w:rPr/>
          </w:pPr>
          <w:hyperlink w:anchor="__RefHeading___Toc3732357_3804643083">
            <w:r>
              <w:rPr>
                <w:webHidden/>
                <w:rStyle w:val="IndexLink"/>
                <w:rtl w:val="true"/>
              </w:rPr>
              <w:t xml:space="preserve">فصل </w:t>
            </w:r>
            <w:r>
              <w:rPr>
                <w:rStyle w:val="IndexLink"/>
                <w:rtl w:val="true"/>
              </w:rPr>
              <w:t>[</w:t>
            </w:r>
            <w:r>
              <w:rPr>
                <w:rStyle w:val="IndexLink"/>
                <w:rtl w:val="true"/>
              </w:rPr>
              <w:t>نوع نجاسة الميّت</w:t>
            </w:r>
            <w:r>
              <w:rPr>
                <w:rStyle w:val="IndexLink"/>
                <w:rtl w:val="true"/>
              </w:rPr>
              <w:t>]</w:t>
              <w:tab/>
            </w:r>
            <w:r>
              <w:rPr>
                <w:rStyle w:val="IndexLink"/>
              </w:rPr>
              <w:t>338</w:t>
            </w:r>
          </w:hyperlink>
        </w:p>
        <w:p>
          <w:pPr>
            <w:pStyle w:val="Contents5"/>
            <w:tabs>
              <w:tab w:val="clear" w:pos="7892"/>
              <w:tab w:val="right" w:pos="9026" w:leader="dot"/>
            </w:tabs>
            <w:rPr/>
          </w:pPr>
          <w:hyperlink w:anchor="__RefHeading___Toc3732359_3804643083">
            <w:r>
              <w:rPr>
                <w:webHidden/>
                <w:rStyle w:val="IndexLink"/>
                <w:rtl w:val="true"/>
              </w:rPr>
              <w:t>بحث غسل الميّت و سائر أحكامه الخاصّة</w:t>
            </w:r>
            <w:r>
              <w:rPr>
                <w:rStyle w:val="IndexLink"/>
                <w:rtl w:val="true"/>
              </w:rPr>
              <w:tab/>
            </w:r>
            <w:r>
              <w:rPr>
                <w:rStyle w:val="IndexLink"/>
              </w:rPr>
              <w:t>342</w:t>
            </w:r>
          </w:hyperlink>
        </w:p>
        <w:p>
          <w:pPr>
            <w:pStyle w:val="Contents6"/>
            <w:tabs>
              <w:tab w:val="clear" w:pos="7609"/>
              <w:tab w:val="right" w:pos="9026" w:leader="dot"/>
            </w:tabs>
            <w:rPr/>
          </w:pPr>
          <w:hyperlink w:anchor="__RefHeading___Toc3732361_3804643083">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3732363_3804643083">
            <w:r>
              <w:rPr>
                <w:webHidden/>
                <w:rStyle w:val="IndexLink"/>
                <w:rtl w:val="true"/>
              </w:rPr>
              <w:t>الأوّل</w:t>
            </w:r>
            <w:r>
              <w:rPr>
                <w:rStyle w:val="IndexLink"/>
                <w:rtl w:val="true"/>
              </w:rPr>
              <w:t xml:space="preserve">: </w:t>
            </w:r>
            <w:r>
              <w:rPr>
                <w:rStyle w:val="IndexLink"/>
                <w:rtl w:val="true"/>
              </w:rPr>
              <w:t>الاحتضار</w:t>
            </w:r>
            <w:r>
              <w:rPr>
                <w:rStyle w:val="IndexLink"/>
                <w:rtl w:val="true"/>
              </w:rPr>
              <w:tab/>
            </w:r>
            <w:r>
              <w:rPr>
                <w:rStyle w:val="IndexLink"/>
              </w:rPr>
              <w:t>343</w:t>
            </w:r>
          </w:hyperlink>
        </w:p>
        <w:p>
          <w:pPr>
            <w:pStyle w:val="Contents6"/>
            <w:tabs>
              <w:tab w:val="clear" w:pos="7609"/>
              <w:tab w:val="right" w:pos="9026" w:leader="dot"/>
            </w:tabs>
            <w:rPr/>
          </w:pPr>
          <w:hyperlink w:anchor="__RefHeading___Toc3732365_3804643083">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732367_3804643083">
            <w:r>
              <w:rPr>
                <w:webHidden/>
                <w:rStyle w:val="IndexLink"/>
                <w:rtl w:val="true"/>
              </w:rPr>
              <w:t>و يستحبّ</w:t>
            </w:r>
            <w:r>
              <w:rPr>
                <w:rStyle w:val="IndexLink"/>
                <w:rtl w:val="true"/>
              </w:rPr>
              <w:t>:</w:t>
              <w:tab/>
            </w:r>
            <w:r>
              <w:rPr>
                <w:rStyle w:val="IndexLink"/>
              </w:rPr>
              <w:t>344</w:t>
            </w:r>
          </w:hyperlink>
        </w:p>
        <w:p>
          <w:pPr>
            <w:pStyle w:val="Contents6"/>
            <w:tabs>
              <w:tab w:val="clear" w:pos="7609"/>
              <w:tab w:val="right" w:pos="9026" w:leader="dot"/>
            </w:tabs>
            <w:rPr/>
          </w:pPr>
          <w:hyperlink w:anchor="__RefHeading___Toc3732369_3804643083">
            <w:r>
              <w:rPr>
                <w:webHidden/>
                <w:rStyle w:val="IndexLink"/>
                <w:rtl w:val="true"/>
              </w:rPr>
              <w:t>و يكره</w:t>
            </w:r>
            <w:r>
              <w:rPr>
                <w:rStyle w:val="IndexLink"/>
                <w:rtl w:val="true"/>
              </w:rPr>
              <w:t>:</w:t>
              <w:tab/>
            </w:r>
            <w:r>
              <w:rPr>
                <w:rStyle w:val="IndexLink"/>
              </w:rPr>
              <w:t>346</w:t>
            </w:r>
          </w:hyperlink>
        </w:p>
        <w:p>
          <w:pPr>
            <w:pStyle w:val="Contents6"/>
            <w:tabs>
              <w:tab w:val="clear" w:pos="7609"/>
              <w:tab w:val="right" w:pos="9026" w:leader="dot"/>
            </w:tabs>
            <w:rPr/>
          </w:pPr>
          <w:hyperlink w:anchor="__RefHeading___Toc3732371_3804643083">
            <w:r>
              <w:rPr>
                <w:webHidden/>
                <w:rStyle w:val="IndexLink"/>
                <w:rtl w:val="true"/>
              </w:rPr>
              <w:t>الثاني</w:t>
            </w:r>
            <w:r>
              <w:rPr>
                <w:rStyle w:val="IndexLink"/>
                <w:rtl w:val="true"/>
              </w:rPr>
              <w:t xml:space="preserve">: </w:t>
            </w:r>
            <w:r>
              <w:rPr>
                <w:rStyle w:val="IndexLink"/>
                <w:rtl w:val="true"/>
              </w:rPr>
              <w:t>التغسيل</w:t>
            </w:r>
            <w:r>
              <w:rPr>
                <w:rStyle w:val="IndexLink"/>
                <w:rtl w:val="true"/>
              </w:rPr>
              <w:tab/>
            </w:r>
            <w:r>
              <w:rPr>
                <w:rStyle w:val="IndexLink"/>
              </w:rPr>
              <w:t>347</w:t>
            </w:r>
          </w:hyperlink>
        </w:p>
        <w:p>
          <w:pPr>
            <w:pStyle w:val="Contents6"/>
            <w:tabs>
              <w:tab w:val="clear" w:pos="7609"/>
              <w:tab w:val="right" w:pos="9026" w:leader="dot"/>
            </w:tabs>
            <w:rPr/>
          </w:pPr>
          <w:hyperlink w:anchor="__RefHeading___Toc3732373_380464308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732375_3804643083">
            <w:r>
              <w:rPr>
                <w:webHidden/>
                <w:rStyle w:val="IndexLink"/>
                <w:rtl w:val="true"/>
              </w:rPr>
              <w:t xml:space="preserve">فصل </w:t>
            </w:r>
            <w:r>
              <w:rPr>
                <w:rStyle w:val="IndexLink"/>
                <w:rtl w:val="true"/>
              </w:rPr>
              <w:t>[</w:t>
            </w:r>
            <w:r>
              <w:rPr>
                <w:rStyle w:val="IndexLink"/>
                <w:rtl w:val="true"/>
              </w:rPr>
              <w:t>المماثلة بين الغاسل و الميّت</w:t>
            </w:r>
            <w:r>
              <w:rPr>
                <w:rStyle w:val="IndexLink"/>
                <w:rtl w:val="true"/>
              </w:rPr>
              <w:t>]</w:t>
              <w:tab/>
            </w:r>
            <w:r>
              <w:rPr>
                <w:rStyle w:val="IndexLink"/>
              </w:rPr>
              <w:t>349</w:t>
            </w:r>
          </w:hyperlink>
        </w:p>
        <w:p>
          <w:pPr>
            <w:pStyle w:val="Contents6"/>
            <w:tabs>
              <w:tab w:val="clear" w:pos="7609"/>
              <w:tab w:val="right" w:pos="9026" w:leader="dot"/>
            </w:tabs>
            <w:rPr/>
          </w:pPr>
          <w:hyperlink w:anchor="__RefHeading___Toc3732377_3804643083">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3732379_3804643083">
            <w:r>
              <w:rPr>
                <w:webHidden/>
                <w:rStyle w:val="IndexLink"/>
                <w:rtl w:val="true"/>
              </w:rPr>
              <w:t>الأوّل</w:t>
            </w:r>
            <w:r>
              <w:rPr>
                <w:rStyle w:val="IndexLink"/>
                <w:rtl w:val="true"/>
              </w:rPr>
              <w:t xml:space="preserve">: </w:t>
            </w:r>
            <w:r>
              <w:rPr>
                <w:rStyle w:val="IndexLink"/>
                <w:rtl w:val="true"/>
              </w:rPr>
              <w:t>تغسيل كلّ من الزوجين صاحبه</w:t>
            </w:r>
            <w:r>
              <w:rPr>
                <w:rStyle w:val="IndexLink"/>
                <w:rtl w:val="true"/>
              </w:rPr>
              <w:t>.</w:t>
              <w:tab/>
            </w:r>
            <w:r>
              <w:rPr>
                <w:rStyle w:val="IndexLink"/>
              </w:rPr>
              <w:t>349</w:t>
            </w:r>
          </w:hyperlink>
        </w:p>
        <w:p>
          <w:pPr>
            <w:pStyle w:val="Contents6"/>
            <w:tabs>
              <w:tab w:val="clear" w:pos="7609"/>
              <w:tab w:val="right" w:pos="9026" w:leader="dot"/>
            </w:tabs>
            <w:rPr/>
          </w:pPr>
          <w:hyperlink w:anchor="__RefHeading___Toc3732381_3804643083">
            <w:r>
              <w:rPr>
                <w:webHidden/>
                <w:rStyle w:val="IndexLink"/>
                <w:rtl w:val="true"/>
              </w:rPr>
              <w:t>الثاني</w:t>
            </w:r>
            <w:r>
              <w:rPr>
                <w:rStyle w:val="IndexLink"/>
                <w:rtl w:val="true"/>
              </w:rPr>
              <w:t xml:space="preserve">: </w:t>
            </w:r>
            <w:r>
              <w:rPr>
                <w:rStyle w:val="IndexLink"/>
                <w:rtl w:val="true"/>
              </w:rPr>
              <w:t>تغسيل المحرم</w:t>
            </w:r>
            <w:r>
              <w:rPr>
                <w:rStyle w:val="IndexLink"/>
                <w:rtl w:val="true"/>
              </w:rPr>
              <w:t>:</w:t>
              <w:tab/>
            </w:r>
            <w:r>
              <w:rPr>
                <w:rStyle w:val="IndexLink"/>
              </w:rPr>
              <w:t>351</w:t>
            </w:r>
          </w:hyperlink>
        </w:p>
        <w:p>
          <w:pPr>
            <w:pStyle w:val="Contents6"/>
            <w:tabs>
              <w:tab w:val="clear" w:pos="7609"/>
              <w:tab w:val="right" w:pos="9026" w:leader="dot"/>
            </w:tabs>
            <w:rPr/>
          </w:pPr>
          <w:hyperlink w:anchor="__RefHeading___Toc3732383_3804643083">
            <w:r>
              <w:rPr>
                <w:webHidden/>
                <w:rStyle w:val="IndexLink"/>
                <w:rtl w:val="true"/>
              </w:rPr>
              <w:t>الثالث</w:t>
            </w:r>
            <w:r>
              <w:rPr>
                <w:rStyle w:val="IndexLink"/>
                <w:rtl w:val="true"/>
              </w:rPr>
              <w:t xml:space="preserve">: </w:t>
            </w:r>
            <w:r>
              <w:rPr>
                <w:rStyle w:val="IndexLink"/>
                <w:rtl w:val="true"/>
              </w:rPr>
              <w:t>تغسيل ابن الثلاث و بنتها</w:t>
            </w:r>
            <w:r>
              <w:rPr>
                <w:rStyle w:val="IndexLink"/>
                <w:rtl w:val="true"/>
              </w:rPr>
              <w:t>:</w:t>
              <w:tab/>
            </w:r>
            <w:r>
              <w:rPr>
                <w:rStyle w:val="IndexLink"/>
              </w:rPr>
              <w:t>352</w:t>
            </w:r>
          </w:hyperlink>
        </w:p>
        <w:p>
          <w:pPr>
            <w:pStyle w:val="Contents6"/>
            <w:tabs>
              <w:tab w:val="clear" w:pos="7609"/>
              <w:tab w:val="right" w:pos="9026" w:leader="dot"/>
            </w:tabs>
            <w:rPr/>
          </w:pPr>
          <w:hyperlink w:anchor="__RefHeading___Toc3732385_3804643083">
            <w:r>
              <w:rPr>
                <w:webHidden/>
                <w:rStyle w:val="IndexLink"/>
                <w:rtl w:val="true"/>
              </w:rPr>
              <w:t xml:space="preserve">فصل </w:t>
            </w:r>
            <w:r>
              <w:rPr>
                <w:rStyle w:val="IndexLink"/>
                <w:rtl w:val="true"/>
              </w:rPr>
              <w:t>[</w:t>
            </w:r>
            <w:r>
              <w:rPr>
                <w:rStyle w:val="IndexLink"/>
                <w:rtl w:val="true"/>
              </w:rPr>
              <w:t>فقد المماثل و المحرم</w:t>
            </w:r>
            <w:r>
              <w:rPr>
                <w:rStyle w:val="IndexLink"/>
                <w:rtl w:val="true"/>
              </w:rPr>
              <w:t>]</w:t>
              <w:tab/>
            </w:r>
            <w:r>
              <w:rPr>
                <w:rStyle w:val="IndexLink"/>
              </w:rPr>
              <w:t>353</w:t>
            </w:r>
          </w:hyperlink>
        </w:p>
        <w:p>
          <w:pPr>
            <w:pStyle w:val="Contents6"/>
            <w:tabs>
              <w:tab w:val="clear" w:pos="7609"/>
              <w:tab w:val="right" w:pos="9026" w:leader="dot"/>
            </w:tabs>
            <w:rPr/>
          </w:pPr>
          <w:hyperlink w:anchor="__RefHeading___Toc3732387_3804643083">
            <w:r>
              <w:rPr>
                <w:webHidden/>
                <w:rStyle w:val="IndexLink"/>
                <w:rtl w:val="true"/>
              </w:rPr>
              <w:t xml:space="preserve">فصل </w:t>
            </w:r>
            <w:r>
              <w:rPr>
                <w:rStyle w:val="IndexLink"/>
                <w:rtl w:val="true"/>
              </w:rPr>
              <w:t>[</w:t>
            </w:r>
            <w:r>
              <w:rPr>
                <w:rStyle w:val="IndexLink"/>
                <w:rtl w:val="true"/>
              </w:rPr>
              <w:t>تغسيل الذمّي للمسلم</w:t>
            </w:r>
            <w:r>
              <w:rPr>
                <w:rStyle w:val="IndexLink"/>
                <w:rtl w:val="true"/>
              </w:rPr>
              <w:t>]</w:t>
              <w:tab/>
            </w:r>
            <w:r>
              <w:rPr>
                <w:rStyle w:val="IndexLink"/>
              </w:rPr>
              <w:t>354</w:t>
            </w:r>
          </w:hyperlink>
        </w:p>
        <w:p>
          <w:pPr>
            <w:pStyle w:val="Contents6"/>
            <w:tabs>
              <w:tab w:val="clear" w:pos="7609"/>
              <w:tab w:val="right" w:pos="9026" w:leader="dot"/>
            </w:tabs>
            <w:rPr/>
          </w:pPr>
          <w:hyperlink w:anchor="__RefHeading___Toc3732389_3804643083">
            <w:r>
              <w:rPr>
                <w:webHidden/>
                <w:rStyle w:val="IndexLink"/>
                <w:rtl w:val="true"/>
              </w:rPr>
              <w:t xml:space="preserve">فصل </w:t>
            </w:r>
            <w:r>
              <w:rPr>
                <w:rStyle w:val="IndexLink"/>
                <w:rtl w:val="true"/>
              </w:rPr>
              <w:t>[</w:t>
            </w:r>
            <w:r>
              <w:rPr>
                <w:rStyle w:val="IndexLink"/>
                <w:rtl w:val="true"/>
              </w:rPr>
              <w:t>تغسيل الكافر و المخالف</w:t>
            </w:r>
            <w:r>
              <w:rPr>
                <w:rStyle w:val="IndexLink"/>
                <w:rtl w:val="true"/>
              </w:rPr>
              <w:t>]</w:t>
              <w:tab/>
            </w:r>
            <w:r>
              <w:rPr>
                <w:rStyle w:val="IndexLink"/>
              </w:rPr>
              <w:t>355</w:t>
            </w:r>
          </w:hyperlink>
        </w:p>
        <w:p>
          <w:pPr>
            <w:pStyle w:val="Contents6"/>
            <w:tabs>
              <w:tab w:val="clear" w:pos="7609"/>
              <w:tab w:val="right" w:pos="9026" w:leader="dot"/>
            </w:tabs>
            <w:rPr/>
          </w:pPr>
          <w:hyperlink w:anchor="__RefHeading___Toc3732391_3804643083">
            <w:r>
              <w:rPr>
                <w:webHidden/>
                <w:rStyle w:val="IndexLink"/>
                <w:rtl w:val="true"/>
              </w:rPr>
              <w:t xml:space="preserve">فصل </w:t>
            </w:r>
            <w:r>
              <w:rPr>
                <w:rStyle w:val="IndexLink"/>
                <w:rtl w:val="true"/>
              </w:rPr>
              <w:t>[</w:t>
            </w:r>
            <w:r>
              <w:rPr>
                <w:rStyle w:val="IndexLink"/>
                <w:rtl w:val="true"/>
              </w:rPr>
              <w:t>أحكام الشهيد</w:t>
            </w:r>
            <w:r>
              <w:rPr>
                <w:rStyle w:val="IndexLink"/>
                <w:rtl w:val="true"/>
              </w:rPr>
              <w:t>]</w:t>
              <w:tab/>
            </w:r>
            <w:r>
              <w:rPr>
                <w:rStyle w:val="IndexLink"/>
              </w:rPr>
              <w:t>357</w:t>
            </w:r>
          </w:hyperlink>
        </w:p>
        <w:p>
          <w:pPr>
            <w:pStyle w:val="Contents6"/>
            <w:tabs>
              <w:tab w:val="clear" w:pos="7609"/>
              <w:tab w:val="right" w:pos="9026" w:leader="dot"/>
            </w:tabs>
            <w:rPr/>
          </w:pPr>
          <w:hyperlink w:anchor="__RefHeading___Toc3732393_3804643083">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3732395_3804643083">
            <w:r>
              <w:rPr>
                <w:webHidden/>
                <w:rStyle w:val="IndexLink"/>
                <w:rtl w:val="true"/>
              </w:rPr>
              <w:t>[</w:t>
            </w:r>
            <w:r>
              <w:rPr>
                <w:rStyle w:val="IndexLink"/>
                <w:rtl w:val="true"/>
              </w:rPr>
              <w:t>سقوط الغسل</w:t>
            </w:r>
            <w:r>
              <w:rPr>
                <w:rStyle w:val="IndexLink"/>
                <w:rtl w:val="true"/>
              </w:rPr>
              <w:t>]</w:t>
              <w:tab/>
            </w:r>
            <w:r>
              <w:rPr>
                <w:rStyle w:val="IndexLink"/>
              </w:rPr>
              <w:t>358</w:t>
            </w:r>
          </w:hyperlink>
        </w:p>
        <w:p>
          <w:pPr>
            <w:pStyle w:val="Contents6"/>
            <w:tabs>
              <w:tab w:val="clear" w:pos="7609"/>
              <w:tab w:val="right" w:pos="9026" w:leader="dot"/>
            </w:tabs>
            <w:rPr/>
          </w:pPr>
          <w:hyperlink w:anchor="__RefHeading___Toc3732397_3804643083">
            <w:r>
              <w:rPr>
                <w:webHidden/>
                <w:rStyle w:val="IndexLink"/>
                <w:rtl w:val="true"/>
              </w:rPr>
              <w:t xml:space="preserve">فصل </w:t>
            </w:r>
            <w:r>
              <w:rPr>
                <w:rStyle w:val="IndexLink"/>
                <w:rtl w:val="true"/>
              </w:rPr>
              <w:t>[</w:t>
            </w:r>
            <w:r>
              <w:rPr>
                <w:rStyle w:val="IndexLink"/>
                <w:rtl w:val="true"/>
              </w:rPr>
              <w:t>حكم القطعة المبانة</w:t>
            </w:r>
            <w:r>
              <w:rPr>
                <w:rStyle w:val="IndexLink"/>
                <w:rtl w:val="true"/>
              </w:rPr>
              <w:t>]</w:t>
              <w:tab/>
            </w:r>
            <w:r>
              <w:rPr>
                <w:rStyle w:val="IndexLink"/>
              </w:rPr>
              <w:t>359</w:t>
            </w:r>
          </w:hyperlink>
        </w:p>
        <w:p>
          <w:pPr>
            <w:pStyle w:val="Contents6"/>
            <w:tabs>
              <w:tab w:val="clear" w:pos="7609"/>
              <w:tab w:val="right" w:pos="9026" w:leader="dot"/>
            </w:tabs>
            <w:rPr/>
          </w:pPr>
          <w:hyperlink w:anchor="__RefHeading___Toc3732399_3804643083">
            <w:r>
              <w:rPr>
                <w:webHidden/>
                <w:rStyle w:val="IndexLink"/>
                <w:rtl w:val="true"/>
              </w:rPr>
              <w:t xml:space="preserve">فصل </w:t>
            </w:r>
            <w:r>
              <w:rPr>
                <w:rStyle w:val="IndexLink"/>
                <w:rtl w:val="true"/>
              </w:rPr>
              <w:t>[</w:t>
            </w:r>
            <w:r>
              <w:rPr>
                <w:rStyle w:val="IndexLink"/>
                <w:rtl w:val="true"/>
              </w:rPr>
              <w:t>حكم المرجوم و المقاد</w:t>
            </w:r>
            <w:r>
              <w:rPr>
                <w:rStyle w:val="IndexLink"/>
                <w:rtl w:val="true"/>
              </w:rPr>
              <w:t>]</w:t>
              <w:tab/>
            </w:r>
            <w:r>
              <w:rPr>
                <w:rStyle w:val="IndexLink"/>
              </w:rPr>
              <w:t>361</w:t>
            </w:r>
          </w:hyperlink>
        </w:p>
        <w:p>
          <w:pPr>
            <w:pStyle w:val="Contents6"/>
            <w:tabs>
              <w:tab w:val="clear" w:pos="7609"/>
              <w:tab w:val="right" w:pos="9026" w:leader="dot"/>
            </w:tabs>
            <w:rPr/>
          </w:pPr>
          <w:hyperlink w:anchor="__RefHeading___Toc3732401_3804643083">
            <w:r>
              <w:rPr>
                <w:webHidden/>
                <w:rStyle w:val="IndexLink"/>
                <w:rtl w:val="true"/>
              </w:rPr>
              <w:t xml:space="preserve">فصل </w:t>
            </w:r>
            <w:r>
              <w:rPr>
                <w:rStyle w:val="IndexLink"/>
                <w:rtl w:val="true"/>
              </w:rPr>
              <w:t>[</w:t>
            </w:r>
            <w:r>
              <w:rPr>
                <w:rStyle w:val="IndexLink"/>
                <w:rtl w:val="true"/>
              </w:rPr>
              <w:t>حكم المحرم</w:t>
            </w:r>
            <w:r>
              <w:rPr>
                <w:rStyle w:val="IndexLink"/>
                <w:rtl w:val="true"/>
              </w:rPr>
              <w:t>]</w:t>
              <w:tab/>
            </w:r>
            <w:r>
              <w:rPr>
                <w:rStyle w:val="IndexLink"/>
              </w:rPr>
              <w:t>362</w:t>
            </w:r>
          </w:hyperlink>
        </w:p>
        <w:p>
          <w:pPr>
            <w:pStyle w:val="Contents6"/>
            <w:tabs>
              <w:tab w:val="clear" w:pos="7609"/>
              <w:tab w:val="right" w:pos="9026" w:leader="dot"/>
            </w:tabs>
            <w:rPr/>
          </w:pPr>
          <w:hyperlink w:anchor="__RefHeading___Toc3732403_3804643083">
            <w:r>
              <w:rPr>
                <w:webHidden/>
                <w:rStyle w:val="IndexLink"/>
                <w:rtl w:val="true"/>
              </w:rPr>
              <w:t xml:space="preserve">فصل </w:t>
            </w:r>
            <w:r>
              <w:rPr>
                <w:rStyle w:val="IndexLink"/>
                <w:rtl w:val="true"/>
              </w:rPr>
              <w:t>[</w:t>
            </w:r>
            <w:r>
              <w:rPr>
                <w:rStyle w:val="IndexLink"/>
                <w:rtl w:val="true"/>
              </w:rPr>
              <w:t>حكم الجنين</w:t>
            </w:r>
            <w:r>
              <w:rPr>
                <w:rStyle w:val="IndexLink"/>
                <w:rtl w:val="true"/>
              </w:rPr>
              <w:t>]</w:t>
              <w:tab/>
            </w:r>
            <w:r>
              <w:rPr>
                <w:rStyle w:val="IndexLink"/>
              </w:rPr>
              <w:t>363</w:t>
            </w:r>
          </w:hyperlink>
        </w:p>
        <w:p>
          <w:pPr>
            <w:pStyle w:val="Contents6"/>
            <w:tabs>
              <w:tab w:val="clear" w:pos="7609"/>
              <w:tab w:val="right" w:pos="9026" w:leader="dot"/>
            </w:tabs>
            <w:rPr/>
          </w:pPr>
          <w:hyperlink w:anchor="__RefHeading___Toc3732405_3804643083">
            <w:r>
              <w:rPr>
                <w:webHidden/>
                <w:rStyle w:val="IndexLink"/>
                <w:rtl w:val="true"/>
              </w:rPr>
              <w:t>فصل</w:t>
            </w:r>
            <w:r>
              <w:rPr>
                <w:rStyle w:val="IndexLink"/>
                <w:rtl w:val="true"/>
              </w:rPr>
              <w:tab/>
            </w:r>
            <w:r>
              <w:rPr>
                <w:rStyle w:val="IndexLink"/>
              </w:rPr>
              <w:t>364</w:t>
            </w:r>
          </w:hyperlink>
        </w:p>
        <w:p>
          <w:pPr>
            <w:pStyle w:val="Contents6"/>
            <w:tabs>
              <w:tab w:val="clear" w:pos="7609"/>
              <w:tab w:val="right" w:pos="9026" w:leader="dot"/>
            </w:tabs>
            <w:rPr/>
          </w:pPr>
          <w:hyperlink w:anchor="__RefHeading___Toc3732407_3804643083">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732409_3804643083">
            <w:r>
              <w:rPr>
                <w:webHidden/>
                <w:rStyle w:val="IndexLink"/>
                <w:rtl w:val="true"/>
              </w:rPr>
              <w:t>فروع</w:t>
            </w:r>
            <w:r>
              <w:rPr>
                <w:rStyle w:val="IndexLink"/>
                <w:rtl w:val="true"/>
              </w:rPr>
              <w:t>:</w:t>
              <w:tab/>
            </w:r>
            <w:r>
              <w:rPr>
                <w:rStyle w:val="IndexLink"/>
              </w:rPr>
              <w:t>365</w:t>
            </w:r>
          </w:hyperlink>
        </w:p>
        <w:p>
          <w:pPr>
            <w:pStyle w:val="Contents6"/>
            <w:tabs>
              <w:tab w:val="clear" w:pos="7609"/>
              <w:tab w:val="right" w:pos="9026" w:leader="dot"/>
            </w:tabs>
            <w:rPr/>
          </w:pPr>
          <w:hyperlink w:anchor="__RefHeading___Toc3732411_3804643083">
            <w:r>
              <w:rPr>
                <w:webHidden/>
                <w:rStyle w:val="IndexLink"/>
                <w:rtl w:val="true"/>
              </w:rPr>
              <w:t xml:space="preserve">الأوّل </w:t>
            </w:r>
            <w:r>
              <w:rPr>
                <w:rStyle w:val="IndexLink"/>
                <w:rtl w:val="true"/>
              </w:rPr>
              <w:t>[</w:t>
            </w:r>
            <w:r>
              <w:rPr>
                <w:rStyle w:val="IndexLink"/>
                <w:rtl w:val="true"/>
              </w:rPr>
              <w:t>معنىٰ القراح و الخليط</w:t>
            </w:r>
            <w:r>
              <w:rPr>
                <w:rStyle w:val="IndexLink"/>
                <w:rtl w:val="true"/>
              </w:rPr>
              <w:t>]:</w:t>
              <w:tab/>
            </w:r>
            <w:r>
              <w:rPr>
                <w:rStyle w:val="IndexLink"/>
              </w:rPr>
              <w:t>365</w:t>
            </w:r>
          </w:hyperlink>
        </w:p>
        <w:p>
          <w:pPr>
            <w:pStyle w:val="Contents6"/>
            <w:tabs>
              <w:tab w:val="clear" w:pos="7609"/>
              <w:tab w:val="right" w:pos="9026" w:leader="dot"/>
            </w:tabs>
            <w:rPr/>
          </w:pPr>
          <w:hyperlink w:anchor="__RefHeading___Toc3732413_3804643083">
            <w:r>
              <w:rPr>
                <w:webHidden/>
                <w:rStyle w:val="IndexLink"/>
                <w:rtl w:val="true"/>
              </w:rPr>
              <w:t xml:space="preserve">الثاني </w:t>
            </w:r>
            <w:r>
              <w:rPr>
                <w:rStyle w:val="IndexLink"/>
                <w:rtl w:val="true"/>
              </w:rPr>
              <w:t>[</w:t>
            </w:r>
            <w:r>
              <w:rPr>
                <w:rStyle w:val="IndexLink"/>
                <w:rtl w:val="true"/>
              </w:rPr>
              <w:t>غسل الرأس</w:t>
            </w:r>
            <w:r>
              <w:rPr>
                <w:rStyle w:val="IndexLink"/>
                <w:rtl w:val="true"/>
              </w:rPr>
              <w:t>]:</w:t>
              <w:tab/>
            </w:r>
            <w:r>
              <w:rPr>
                <w:rStyle w:val="IndexLink"/>
              </w:rPr>
              <w:t>367</w:t>
            </w:r>
          </w:hyperlink>
        </w:p>
        <w:p>
          <w:pPr>
            <w:pStyle w:val="Contents6"/>
            <w:tabs>
              <w:tab w:val="clear" w:pos="7609"/>
              <w:tab w:val="right" w:pos="9026" w:leader="dot"/>
            </w:tabs>
            <w:rPr/>
          </w:pPr>
          <w:hyperlink w:anchor="__RefHeading___Toc3732415_3804643083">
            <w:r>
              <w:rPr>
                <w:webHidden/>
                <w:rStyle w:val="IndexLink"/>
                <w:rtl w:val="true"/>
              </w:rPr>
              <w:t xml:space="preserve">الثالث </w:t>
            </w:r>
            <w:r>
              <w:rPr>
                <w:rStyle w:val="IndexLink"/>
                <w:rtl w:val="true"/>
              </w:rPr>
              <w:t>[</w:t>
            </w:r>
            <w:r>
              <w:rPr>
                <w:rStyle w:val="IndexLink"/>
                <w:rtl w:val="true"/>
              </w:rPr>
              <w:t>وجوب النيّة</w:t>
            </w:r>
            <w:r>
              <w:rPr>
                <w:rStyle w:val="IndexLink"/>
                <w:rtl w:val="true"/>
              </w:rPr>
              <w:t>]:</w:t>
              <w:tab/>
            </w:r>
            <w:r>
              <w:rPr>
                <w:rStyle w:val="IndexLink"/>
              </w:rPr>
              <w:t>367</w:t>
            </w:r>
          </w:hyperlink>
        </w:p>
        <w:p>
          <w:pPr>
            <w:pStyle w:val="Contents6"/>
            <w:tabs>
              <w:tab w:val="clear" w:pos="7609"/>
              <w:tab w:val="right" w:pos="9026" w:leader="dot"/>
            </w:tabs>
            <w:rPr/>
          </w:pPr>
          <w:hyperlink w:anchor="__RefHeading___Toc3732417_3804643083">
            <w:r>
              <w:rPr>
                <w:webHidden/>
                <w:rStyle w:val="IndexLink"/>
                <w:rtl w:val="true"/>
              </w:rPr>
              <w:t xml:space="preserve">الرابع </w:t>
            </w:r>
            <w:r>
              <w:rPr>
                <w:rStyle w:val="IndexLink"/>
                <w:rtl w:val="true"/>
              </w:rPr>
              <w:t>[</w:t>
            </w:r>
            <w:r>
              <w:rPr>
                <w:rStyle w:val="IndexLink"/>
                <w:rtl w:val="true"/>
              </w:rPr>
              <w:t>وضوء الميّت</w:t>
            </w:r>
            <w:r>
              <w:rPr>
                <w:rStyle w:val="IndexLink"/>
                <w:rtl w:val="true"/>
              </w:rPr>
              <w:t>]:</w:t>
              <w:tab/>
            </w:r>
            <w:r>
              <w:rPr>
                <w:rStyle w:val="IndexLink"/>
              </w:rPr>
              <w:t>369</w:t>
            </w:r>
          </w:hyperlink>
        </w:p>
        <w:p>
          <w:pPr>
            <w:pStyle w:val="Contents6"/>
            <w:tabs>
              <w:tab w:val="clear" w:pos="7609"/>
              <w:tab w:val="right" w:pos="9026" w:leader="dot"/>
            </w:tabs>
            <w:rPr/>
          </w:pPr>
          <w:hyperlink w:anchor="__RefHeading___Toc3732419_3804643083">
            <w:r>
              <w:rPr>
                <w:webHidden/>
                <w:rStyle w:val="IndexLink"/>
                <w:rtl w:val="true"/>
              </w:rPr>
              <w:t xml:space="preserve">الخامس </w:t>
            </w:r>
            <w:r>
              <w:rPr>
                <w:rStyle w:val="IndexLink"/>
                <w:rtl w:val="true"/>
              </w:rPr>
              <w:t>[</w:t>
            </w:r>
            <w:r>
              <w:rPr>
                <w:rStyle w:val="IndexLink"/>
                <w:rtl w:val="true"/>
              </w:rPr>
              <w:t>فقد الخليطين</w:t>
            </w:r>
            <w:r>
              <w:rPr>
                <w:rStyle w:val="IndexLink"/>
                <w:rtl w:val="true"/>
              </w:rPr>
              <w:t>]:</w:t>
              <w:tab/>
            </w:r>
            <w:r>
              <w:rPr>
                <w:rStyle w:val="IndexLink"/>
              </w:rPr>
              <w:t>370</w:t>
            </w:r>
          </w:hyperlink>
        </w:p>
        <w:p>
          <w:pPr>
            <w:pStyle w:val="Contents6"/>
            <w:tabs>
              <w:tab w:val="clear" w:pos="7609"/>
              <w:tab w:val="right" w:pos="9026" w:leader="dot"/>
            </w:tabs>
            <w:rPr/>
          </w:pPr>
          <w:hyperlink w:anchor="__RefHeading___Toc3732421_3804643083">
            <w:r>
              <w:rPr>
                <w:webHidden/>
                <w:rStyle w:val="IndexLink"/>
                <w:rtl w:val="true"/>
              </w:rPr>
              <w:t xml:space="preserve">السادس </w:t>
            </w:r>
            <w:r>
              <w:rPr>
                <w:rStyle w:val="IndexLink"/>
                <w:rtl w:val="true"/>
              </w:rPr>
              <w:t>[</w:t>
            </w:r>
            <w:r>
              <w:rPr>
                <w:rStyle w:val="IndexLink"/>
                <w:rtl w:val="true"/>
              </w:rPr>
              <w:t>نقص الماء</w:t>
            </w:r>
            <w:r>
              <w:rPr>
                <w:rStyle w:val="IndexLink"/>
                <w:rtl w:val="true"/>
              </w:rPr>
              <w:t>]:</w:t>
              <w:tab/>
            </w:r>
            <w:r>
              <w:rPr>
                <w:rStyle w:val="IndexLink"/>
              </w:rPr>
              <w:t>371</w:t>
            </w:r>
          </w:hyperlink>
        </w:p>
        <w:p>
          <w:pPr>
            <w:pStyle w:val="Contents6"/>
            <w:tabs>
              <w:tab w:val="clear" w:pos="7609"/>
              <w:tab w:val="right" w:pos="9026" w:leader="dot"/>
            </w:tabs>
            <w:rPr/>
          </w:pPr>
          <w:hyperlink w:anchor="__RefHeading___Toc3732423_3804643083">
            <w:r>
              <w:rPr>
                <w:webHidden/>
                <w:rStyle w:val="IndexLink"/>
                <w:rtl w:val="true"/>
              </w:rPr>
              <w:t>السابع</w:t>
            </w:r>
            <w:r>
              <w:rPr>
                <w:rStyle w:val="IndexLink"/>
                <w:rtl w:val="true"/>
              </w:rPr>
              <w:t>:</w:t>
              <w:tab/>
            </w:r>
            <w:r>
              <w:rPr>
                <w:rStyle w:val="IndexLink"/>
              </w:rPr>
              <w:t>371</w:t>
            </w:r>
          </w:hyperlink>
        </w:p>
        <w:p>
          <w:pPr>
            <w:pStyle w:val="Contents6"/>
            <w:tabs>
              <w:tab w:val="clear" w:pos="7609"/>
              <w:tab w:val="right" w:pos="9026" w:leader="dot"/>
            </w:tabs>
            <w:rPr/>
          </w:pPr>
          <w:hyperlink w:anchor="__RefHeading___Toc3732425_3804643083">
            <w:r>
              <w:rPr>
                <w:webHidden/>
                <w:rStyle w:val="IndexLink"/>
                <w:rtl w:val="true"/>
              </w:rPr>
              <w:t>الثامن</w:t>
            </w:r>
            <w:r>
              <w:rPr>
                <w:rStyle w:val="IndexLink"/>
                <w:rtl w:val="true"/>
              </w:rPr>
              <w:t>:</w:t>
              <w:tab/>
            </w:r>
            <w:r>
              <w:rPr>
                <w:rStyle w:val="IndexLink"/>
              </w:rPr>
              <w:t>371</w:t>
            </w:r>
          </w:hyperlink>
        </w:p>
        <w:p>
          <w:pPr>
            <w:pStyle w:val="Contents6"/>
            <w:tabs>
              <w:tab w:val="clear" w:pos="7609"/>
              <w:tab w:val="right" w:pos="9026" w:leader="dot"/>
            </w:tabs>
            <w:rPr/>
          </w:pPr>
          <w:hyperlink w:anchor="__RefHeading___Toc3732427_3804643083">
            <w:r>
              <w:rPr>
                <w:webHidden/>
                <w:rStyle w:val="IndexLink"/>
                <w:rtl w:val="true"/>
              </w:rPr>
              <w:t xml:space="preserve">التاسع </w:t>
            </w:r>
            <w:r>
              <w:rPr>
                <w:rStyle w:val="IndexLink"/>
                <w:rtl w:val="true"/>
              </w:rPr>
              <w:t>[</w:t>
            </w:r>
            <w:r>
              <w:rPr>
                <w:rStyle w:val="IndexLink"/>
                <w:rtl w:val="true"/>
              </w:rPr>
              <w:t>غسل الميّت الجنب</w:t>
            </w:r>
            <w:r>
              <w:rPr>
                <w:rStyle w:val="IndexLink"/>
                <w:rtl w:val="true"/>
              </w:rPr>
              <w:t>]:</w:t>
              <w:tab/>
            </w:r>
            <w:r>
              <w:rPr>
                <w:rStyle w:val="IndexLink"/>
              </w:rPr>
              <w:t>372</w:t>
            </w:r>
          </w:hyperlink>
        </w:p>
        <w:p>
          <w:pPr>
            <w:pStyle w:val="Contents6"/>
            <w:tabs>
              <w:tab w:val="clear" w:pos="7609"/>
              <w:tab w:val="right" w:pos="9026" w:leader="dot"/>
            </w:tabs>
            <w:rPr/>
          </w:pPr>
          <w:hyperlink w:anchor="__RefHeading___Toc3732429_3804643083">
            <w:r>
              <w:rPr>
                <w:webHidden/>
                <w:rStyle w:val="IndexLink"/>
                <w:rtl w:val="true"/>
              </w:rPr>
              <w:t xml:space="preserve">العاشر </w:t>
            </w:r>
            <w:r>
              <w:rPr>
                <w:rStyle w:val="IndexLink"/>
                <w:rtl w:val="true"/>
              </w:rPr>
              <w:t>[</w:t>
            </w:r>
            <w:r>
              <w:rPr>
                <w:rStyle w:val="IndexLink"/>
                <w:rtl w:val="true"/>
              </w:rPr>
              <w:t>ستر العورة</w:t>
            </w:r>
            <w:r>
              <w:rPr>
                <w:rStyle w:val="IndexLink"/>
                <w:rtl w:val="true"/>
              </w:rPr>
              <w:t>]:</w:t>
              <w:tab/>
            </w:r>
            <w:r>
              <w:rPr>
                <w:rStyle w:val="IndexLink"/>
              </w:rPr>
              <w:t>372</w:t>
            </w:r>
          </w:hyperlink>
        </w:p>
        <w:p>
          <w:pPr>
            <w:pStyle w:val="Contents6"/>
            <w:tabs>
              <w:tab w:val="clear" w:pos="7609"/>
              <w:tab w:val="right" w:pos="9026" w:leader="dot"/>
            </w:tabs>
            <w:rPr/>
          </w:pPr>
          <w:hyperlink w:anchor="__RefHeading___Toc3732431_3804643083">
            <w:r>
              <w:rPr>
                <w:webHidden/>
                <w:rStyle w:val="IndexLink"/>
                <w:rtl w:val="true"/>
              </w:rPr>
              <w:t xml:space="preserve">الحادي عشر </w:t>
            </w:r>
            <w:r>
              <w:rPr>
                <w:rStyle w:val="IndexLink"/>
                <w:rtl w:val="true"/>
              </w:rPr>
              <w:t>[</w:t>
            </w:r>
            <w:r>
              <w:rPr>
                <w:rStyle w:val="IndexLink"/>
                <w:rtl w:val="true"/>
              </w:rPr>
              <w:t>استقبال القبلة</w:t>
            </w:r>
            <w:r>
              <w:rPr>
                <w:rStyle w:val="IndexLink"/>
                <w:rtl w:val="true"/>
              </w:rPr>
              <w:t>]:</w:t>
              <w:tab/>
            </w:r>
            <w:r>
              <w:rPr>
                <w:rStyle w:val="IndexLink"/>
              </w:rPr>
              <w:t>373</w:t>
            </w:r>
          </w:hyperlink>
        </w:p>
        <w:p>
          <w:pPr>
            <w:pStyle w:val="Contents6"/>
            <w:tabs>
              <w:tab w:val="clear" w:pos="7609"/>
              <w:tab w:val="right" w:pos="9026" w:leader="dot"/>
            </w:tabs>
            <w:rPr/>
          </w:pPr>
          <w:hyperlink w:anchor="__RefHeading___Toc3732433_3804643083">
            <w:r>
              <w:rPr>
                <w:webHidden/>
                <w:rStyle w:val="IndexLink"/>
                <w:rtl w:val="true"/>
              </w:rPr>
              <w:t xml:space="preserve">الثاني عشر </w:t>
            </w:r>
            <w:r>
              <w:rPr>
                <w:rStyle w:val="IndexLink"/>
                <w:rtl w:val="true"/>
              </w:rPr>
              <w:t>[</w:t>
            </w:r>
            <w:r>
              <w:rPr>
                <w:rStyle w:val="IndexLink"/>
                <w:rtl w:val="true"/>
              </w:rPr>
              <w:t>ملاقاة النجاسة</w:t>
            </w:r>
            <w:r>
              <w:rPr>
                <w:rStyle w:val="IndexLink"/>
                <w:rtl w:val="true"/>
              </w:rPr>
              <w:t>]:</w:t>
              <w:tab/>
            </w:r>
            <w:r>
              <w:rPr>
                <w:rStyle w:val="IndexLink"/>
              </w:rPr>
              <w:t>373</w:t>
            </w:r>
          </w:hyperlink>
        </w:p>
        <w:p>
          <w:pPr>
            <w:pStyle w:val="Contents6"/>
            <w:tabs>
              <w:tab w:val="clear" w:pos="7609"/>
              <w:tab w:val="right" w:pos="9026" w:leader="dot"/>
            </w:tabs>
            <w:rPr/>
          </w:pPr>
          <w:hyperlink w:anchor="__RefHeading___Toc3732435_3804643083">
            <w:r>
              <w:rPr>
                <w:webHidden/>
                <w:rStyle w:val="IndexLink"/>
                <w:rtl w:val="true"/>
              </w:rPr>
              <w:t xml:space="preserve">فصل </w:t>
            </w:r>
            <w:r>
              <w:rPr>
                <w:rStyle w:val="IndexLink"/>
                <w:rtl w:val="true"/>
              </w:rPr>
              <w:t>[</w:t>
            </w:r>
            <w:r>
              <w:rPr>
                <w:rStyle w:val="IndexLink"/>
                <w:rtl w:val="true"/>
              </w:rPr>
              <w:t>مستحبّات غسل الميّت</w:t>
            </w:r>
            <w:r>
              <w:rPr>
                <w:rStyle w:val="IndexLink"/>
                <w:rtl w:val="true"/>
              </w:rPr>
              <w:t>]</w:t>
              <w:tab/>
            </w:r>
            <w:r>
              <w:rPr>
                <w:rStyle w:val="IndexLink"/>
              </w:rPr>
              <w:t>375</w:t>
            </w:r>
          </w:hyperlink>
        </w:p>
        <w:p>
          <w:pPr>
            <w:pStyle w:val="Contents6"/>
            <w:tabs>
              <w:tab w:val="clear" w:pos="7609"/>
              <w:tab w:val="right" w:pos="9026" w:leader="dot"/>
            </w:tabs>
            <w:rPr/>
          </w:pPr>
          <w:hyperlink w:anchor="__RefHeading___Toc3732437_3804643083">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3732439_3804643083">
            <w:r>
              <w:rPr>
                <w:webHidden/>
                <w:rStyle w:val="IndexLink"/>
                <w:rtl w:val="true"/>
              </w:rPr>
              <w:t>مسألة و يكره فيه</w:t>
            </w:r>
            <w:r>
              <w:rPr>
                <w:rStyle w:val="IndexLink"/>
                <w:rtl w:val="true"/>
              </w:rPr>
              <w:t>:</w:t>
              <w:tab/>
            </w:r>
            <w:r>
              <w:rPr>
                <w:rStyle w:val="IndexLink"/>
              </w:rPr>
              <w:t>379</w:t>
            </w:r>
          </w:hyperlink>
        </w:p>
        <w:p>
          <w:pPr>
            <w:pStyle w:val="Contents6"/>
            <w:tabs>
              <w:tab w:val="clear" w:pos="7609"/>
              <w:tab w:val="right" w:pos="9026" w:leader="dot"/>
            </w:tabs>
            <w:rPr/>
          </w:pPr>
          <w:hyperlink w:anchor="__RefHeading___Toc3732441_3804643083">
            <w:r>
              <w:rPr>
                <w:webHidden/>
                <w:rStyle w:val="IndexLink"/>
                <w:rtl w:val="true"/>
              </w:rPr>
              <w:t>الثالث</w:t>
            </w:r>
            <w:r>
              <w:rPr>
                <w:rStyle w:val="IndexLink"/>
                <w:rtl w:val="true"/>
              </w:rPr>
              <w:t xml:space="preserve">: </w:t>
            </w:r>
            <w:r>
              <w:rPr>
                <w:rStyle w:val="IndexLink"/>
                <w:rtl w:val="true"/>
              </w:rPr>
              <w:t>الكفن</w:t>
            </w:r>
            <w:r>
              <w:rPr>
                <w:rStyle w:val="IndexLink"/>
                <w:rtl w:val="true"/>
              </w:rPr>
              <w:tab/>
            </w:r>
            <w:r>
              <w:rPr>
                <w:rStyle w:val="IndexLink"/>
              </w:rPr>
              <w:t>380</w:t>
            </w:r>
          </w:hyperlink>
        </w:p>
        <w:p>
          <w:pPr>
            <w:pStyle w:val="Contents6"/>
            <w:tabs>
              <w:tab w:val="clear" w:pos="7609"/>
              <w:tab w:val="right" w:pos="9026" w:leader="dot"/>
            </w:tabs>
            <w:rPr/>
          </w:pPr>
          <w:hyperlink w:anchor="__RefHeading___Toc3732443_3804643083">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3732445_3804643083">
            <w:r>
              <w:rPr>
                <w:webHidden/>
                <w:rStyle w:val="IndexLink"/>
                <w:rtl w:val="true"/>
              </w:rPr>
              <w:t>فروع</w:t>
            </w:r>
            <w:r>
              <w:rPr>
                <w:rStyle w:val="IndexLink"/>
                <w:rtl w:val="true"/>
              </w:rPr>
              <w:t>:</w:t>
              <w:tab/>
            </w:r>
            <w:r>
              <w:rPr>
                <w:rStyle w:val="IndexLink"/>
              </w:rPr>
              <w:t>382</w:t>
            </w:r>
          </w:hyperlink>
        </w:p>
        <w:p>
          <w:pPr>
            <w:pStyle w:val="Contents6"/>
            <w:tabs>
              <w:tab w:val="clear" w:pos="7609"/>
              <w:tab w:val="right" w:pos="9026" w:leader="dot"/>
            </w:tabs>
            <w:rPr/>
          </w:pPr>
          <w:hyperlink w:anchor="__RefHeading___Toc3732447_3804643083">
            <w:r>
              <w:rPr>
                <w:webHidden/>
                <w:rStyle w:val="IndexLink"/>
                <w:rtl w:val="true"/>
              </w:rPr>
              <w:t>الأوّل</w:t>
            </w:r>
            <w:r>
              <w:rPr>
                <w:rStyle w:val="IndexLink"/>
                <w:rtl w:val="true"/>
              </w:rPr>
              <w:t>:</w:t>
              <w:tab/>
            </w:r>
            <w:r>
              <w:rPr>
                <w:rStyle w:val="IndexLink"/>
              </w:rPr>
              <w:t>382</w:t>
            </w:r>
          </w:hyperlink>
        </w:p>
        <w:p>
          <w:pPr>
            <w:pStyle w:val="Contents6"/>
            <w:tabs>
              <w:tab w:val="clear" w:pos="7609"/>
              <w:tab w:val="right" w:pos="9026" w:leader="dot"/>
            </w:tabs>
            <w:rPr/>
          </w:pPr>
          <w:hyperlink w:anchor="__RefHeading___Toc3732449_3804643083">
            <w:r>
              <w:rPr>
                <w:webHidden/>
                <w:rStyle w:val="IndexLink"/>
                <w:rtl w:val="true"/>
              </w:rPr>
              <w:t>الثاني</w:t>
            </w:r>
            <w:r>
              <w:rPr>
                <w:rStyle w:val="IndexLink"/>
                <w:rtl w:val="true"/>
              </w:rPr>
              <w:t>:</w:t>
              <w:tab/>
            </w:r>
            <w:r>
              <w:rPr>
                <w:rStyle w:val="IndexLink"/>
              </w:rPr>
              <w:t>383</w:t>
            </w:r>
          </w:hyperlink>
        </w:p>
        <w:p>
          <w:pPr>
            <w:pStyle w:val="Contents6"/>
            <w:tabs>
              <w:tab w:val="clear" w:pos="7609"/>
              <w:tab w:val="right" w:pos="9026" w:leader="dot"/>
            </w:tabs>
            <w:rPr/>
          </w:pPr>
          <w:hyperlink w:anchor="__RefHeading___Toc3732451_3804643083">
            <w:r>
              <w:rPr>
                <w:webHidden/>
                <w:rStyle w:val="IndexLink"/>
                <w:rtl w:val="true"/>
              </w:rPr>
              <w:t>الثالث</w:t>
            </w:r>
            <w:r>
              <w:rPr>
                <w:rStyle w:val="IndexLink"/>
                <w:rtl w:val="true"/>
              </w:rPr>
              <w:t>:</w:t>
              <w:tab/>
            </w:r>
            <w:r>
              <w:rPr>
                <w:rStyle w:val="IndexLink"/>
              </w:rPr>
              <w:t>383</w:t>
            </w:r>
          </w:hyperlink>
        </w:p>
        <w:p>
          <w:pPr>
            <w:pStyle w:val="Contents6"/>
            <w:tabs>
              <w:tab w:val="clear" w:pos="7609"/>
              <w:tab w:val="right" w:pos="9026" w:leader="dot"/>
            </w:tabs>
            <w:rPr/>
          </w:pPr>
          <w:hyperlink w:anchor="__RefHeading___Toc3732453_3804643083">
            <w:r>
              <w:rPr>
                <w:webHidden/>
                <w:rStyle w:val="IndexLink"/>
                <w:rtl w:val="true"/>
              </w:rPr>
              <w:t>الرابع</w:t>
            </w:r>
            <w:r>
              <w:rPr>
                <w:rStyle w:val="IndexLink"/>
                <w:rtl w:val="true"/>
              </w:rPr>
              <w:t>:</w:t>
              <w:tab/>
            </w:r>
            <w:r>
              <w:rPr>
                <w:rStyle w:val="IndexLink"/>
              </w:rPr>
              <w:t>383</w:t>
            </w:r>
          </w:hyperlink>
        </w:p>
        <w:p>
          <w:pPr>
            <w:pStyle w:val="Contents6"/>
            <w:tabs>
              <w:tab w:val="clear" w:pos="7609"/>
              <w:tab w:val="right" w:pos="9026" w:leader="dot"/>
            </w:tabs>
            <w:rPr/>
          </w:pPr>
          <w:hyperlink w:anchor="__RefHeading___Toc3732455_3804643083">
            <w:r>
              <w:rPr>
                <w:webHidden/>
                <w:rStyle w:val="IndexLink"/>
                <w:rtl w:val="true"/>
              </w:rPr>
              <w:t>الخامس</w:t>
            </w:r>
            <w:r>
              <w:rPr>
                <w:rStyle w:val="IndexLink"/>
                <w:rtl w:val="true"/>
              </w:rPr>
              <w:t>:</w:t>
              <w:tab/>
            </w:r>
            <w:r>
              <w:rPr>
                <w:rStyle w:val="IndexLink"/>
              </w:rPr>
              <w:t>383</w:t>
            </w:r>
          </w:hyperlink>
        </w:p>
        <w:p>
          <w:pPr>
            <w:pStyle w:val="Contents6"/>
            <w:tabs>
              <w:tab w:val="clear" w:pos="7609"/>
              <w:tab w:val="right" w:pos="9026" w:leader="dot"/>
            </w:tabs>
            <w:rPr/>
          </w:pPr>
          <w:hyperlink w:anchor="__RefHeading___Toc3732457_3804643083">
            <w:r>
              <w:rPr>
                <w:webHidden/>
                <w:rStyle w:val="IndexLink"/>
                <w:rtl w:val="true"/>
              </w:rPr>
              <w:t xml:space="preserve">فصل </w:t>
            </w:r>
            <w:r>
              <w:rPr>
                <w:rStyle w:val="IndexLink"/>
                <w:rtl w:val="true"/>
              </w:rPr>
              <w:t>[</w:t>
            </w:r>
            <w:r>
              <w:rPr>
                <w:rStyle w:val="IndexLink"/>
                <w:rtl w:val="true"/>
              </w:rPr>
              <w:t>الحبرة و الخرقة و العمامة</w:t>
            </w:r>
            <w:r>
              <w:rPr>
                <w:rStyle w:val="IndexLink"/>
                <w:rtl w:val="true"/>
              </w:rPr>
              <w:t>]</w:t>
              <w:tab/>
            </w:r>
            <w:r>
              <w:rPr>
                <w:rStyle w:val="IndexLink"/>
              </w:rPr>
              <w:t>385</w:t>
            </w:r>
          </w:hyperlink>
        </w:p>
        <w:p>
          <w:pPr>
            <w:pStyle w:val="Contents6"/>
            <w:tabs>
              <w:tab w:val="clear" w:pos="7609"/>
              <w:tab w:val="right" w:pos="9026" w:leader="dot"/>
            </w:tabs>
            <w:rPr/>
          </w:pPr>
          <w:hyperlink w:anchor="__RefHeading___Toc3732459_3804643083">
            <w:r>
              <w:rPr>
                <w:webHidden/>
                <w:rStyle w:val="IndexLink"/>
                <w:rtl w:val="true"/>
              </w:rPr>
              <w:t>[</w:t>
            </w:r>
            <w:r>
              <w:rPr>
                <w:rStyle w:val="IndexLink"/>
                <w:rtl w:val="true"/>
              </w:rPr>
              <w:t>فصل</w:t>
            </w:r>
            <w:r>
              <w:rPr>
                <w:rStyle w:val="IndexLink"/>
                <w:rtl w:val="true"/>
              </w:rPr>
              <w:t xml:space="preserve">] </w:t>
            </w:r>
            <w:r>
              <w:rPr>
                <w:rStyle w:val="IndexLink"/>
                <w:rtl w:val="true"/>
              </w:rPr>
              <w:t>و من سنن التكفين</w:t>
            </w:r>
            <w:r>
              <w:rPr>
                <w:rStyle w:val="IndexLink"/>
                <w:rtl w:val="true"/>
              </w:rPr>
              <w:t>:</w:t>
              <w:tab/>
            </w:r>
            <w:r>
              <w:rPr>
                <w:rStyle w:val="IndexLink"/>
              </w:rPr>
              <w:t>387</w:t>
            </w:r>
          </w:hyperlink>
        </w:p>
        <w:p>
          <w:pPr>
            <w:pStyle w:val="Contents6"/>
            <w:tabs>
              <w:tab w:val="clear" w:pos="7609"/>
              <w:tab w:val="right" w:pos="9026" w:leader="dot"/>
            </w:tabs>
            <w:rPr/>
          </w:pPr>
          <w:hyperlink w:anchor="__RefHeading___Toc3732461_3804643083">
            <w:r>
              <w:rPr>
                <w:webHidden/>
                <w:rStyle w:val="IndexLink"/>
                <w:rtl w:val="true"/>
              </w:rPr>
              <w:t xml:space="preserve">فصل </w:t>
            </w:r>
            <w:r>
              <w:rPr>
                <w:rStyle w:val="IndexLink"/>
                <w:rtl w:val="true"/>
              </w:rPr>
              <w:t>[</w:t>
            </w:r>
            <w:r>
              <w:rPr>
                <w:rStyle w:val="IndexLink"/>
                <w:rtl w:val="true"/>
              </w:rPr>
              <w:t>التحنيط</w:t>
            </w:r>
            <w:r>
              <w:rPr>
                <w:rStyle w:val="IndexLink"/>
                <w:rtl w:val="true"/>
              </w:rPr>
              <w:t>]</w:t>
              <w:tab/>
            </w:r>
            <w:r>
              <w:rPr>
                <w:rStyle w:val="IndexLink"/>
              </w:rPr>
              <w:t>391</w:t>
            </w:r>
          </w:hyperlink>
        </w:p>
        <w:p>
          <w:pPr>
            <w:pStyle w:val="Contents6"/>
            <w:tabs>
              <w:tab w:val="clear" w:pos="7609"/>
              <w:tab w:val="right" w:pos="9026" w:leader="dot"/>
            </w:tabs>
            <w:rPr/>
          </w:pPr>
          <w:hyperlink w:anchor="__RefHeading___Toc3732463_3804643083">
            <w:r>
              <w:rPr>
                <w:webHidden/>
                <w:rStyle w:val="IndexLink"/>
                <w:rtl w:val="true"/>
              </w:rPr>
              <w:t xml:space="preserve">فصل </w:t>
            </w:r>
            <w:r>
              <w:rPr>
                <w:rStyle w:val="IndexLink"/>
                <w:rtl w:val="true"/>
              </w:rPr>
              <w:t>[</w:t>
            </w:r>
            <w:r>
              <w:rPr>
                <w:rStyle w:val="IndexLink"/>
                <w:rtl w:val="true"/>
              </w:rPr>
              <w:t>الجريدتان</w:t>
            </w:r>
            <w:r>
              <w:rPr>
                <w:rStyle w:val="IndexLink"/>
                <w:rtl w:val="true"/>
              </w:rPr>
              <w:t>]</w:t>
              <w:tab/>
            </w:r>
            <w:r>
              <w:rPr>
                <w:rStyle w:val="IndexLink"/>
              </w:rPr>
              <w:t>394</w:t>
            </w:r>
          </w:hyperlink>
        </w:p>
        <w:p>
          <w:pPr>
            <w:pStyle w:val="Contents6"/>
            <w:tabs>
              <w:tab w:val="clear" w:pos="7609"/>
              <w:tab w:val="right" w:pos="9026" w:leader="dot"/>
            </w:tabs>
            <w:rPr/>
          </w:pPr>
          <w:hyperlink w:anchor="__RefHeading___Toc3732465_3804643083">
            <w:r>
              <w:rPr>
                <w:webHidden/>
                <w:rStyle w:val="IndexLink"/>
                <w:rtl w:val="true"/>
              </w:rPr>
              <w:t>مسائل</w:t>
            </w:r>
            <w:r>
              <w:rPr>
                <w:rStyle w:val="IndexLink"/>
                <w:rtl w:val="true"/>
              </w:rPr>
              <w:t>:</w:t>
              <w:tab/>
            </w:r>
            <w:r>
              <w:rPr>
                <w:rStyle w:val="IndexLink"/>
              </w:rPr>
              <w:t>396</w:t>
            </w:r>
          </w:hyperlink>
        </w:p>
        <w:p>
          <w:pPr>
            <w:pStyle w:val="Contents6"/>
            <w:tabs>
              <w:tab w:val="clear" w:pos="7609"/>
              <w:tab w:val="right" w:pos="9026" w:leader="dot"/>
            </w:tabs>
            <w:rPr/>
          </w:pPr>
          <w:hyperlink w:anchor="__RefHeading___Toc3732467_3804643083">
            <w:r>
              <w:rPr>
                <w:webHidden/>
                <w:rStyle w:val="IndexLink"/>
                <w:rtl w:val="true"/>
              </w:rPr>
              <w:t>الأُولىٰ</w:t>
            </w:r>
            <w:r>
              <w:rPr>
                <w:rStyle w:val="IndexLink"/>
                <w:rtl w:val="true"/>
              </w:rPr>
              <w:t>:</w:t>
              <w:tab/>
            </w:r>
            <w:r>
              <w:rPr>
                <w:rStyle w:val="IndexLink"/>
              </w:rPr>
              <w:t>396</w:t>
            </w:r>
          </w:hyperlink>
        </w:p>
        <w:p>
          <w:pPr>
            <w:pStyle w:val="Contents6"/>
            <w:tabs>
              <w:tab w:val="clear" w:pos="7609"/>
              <w:tab w:val="right" w:pos="9026" w:leader="dot"/>
            </w:tabs>
            <w:rPr/>
          </w:pPr>
          <w:hyperlink w:anchor="__RefHeading___Toc3732469_3804643083">
            <w:r>
              <w:rPr>
                <w:webHidden/>
                <w:rStyle w:val="IndexLink"/>
                <w:rtl w:val="true"/>
              </w:rPr>
              <w:t>الثانية</w:t>
            </w:r>
            <w:r>
              <w:rPr>
                <w:rStyle w:val="IndexLink"/>
                <w:rtl w:val="true"/>
              </w:rPr>
              <w:t>:</w:t>
              <w:tab/>
            </w:r>
            <w:r>
              <w:rPr>
                <w:rStyle w:val="IndexLink"/>
              </w:rPr>
              <w:t>396</w:t>
            </w:r>
          </w:hyperlink>
        </w:p>
        <w:p>
          <w:pPr>
            <w:pStyle w:val="Contents6"/>
            <w:tabs>
              <w:tab w:val="clear" w:pos="7609"/>
              <w:tab w:val="right" w:pos="9026" w:leader="dot"/>
            </w:tabs>
            <w:rPr/>
          </w:pPr>
          <w:hyperlink w:anchor="__RefHeading___Toc3732471_3804643083">
            <w:r>
              <w:rPr>
                <w:webHidden/>
                <w:rStyle w:val="IndexLink"/>
                <w:rtl w:val="true"/>
              </w:rPr>
              <w:t>الثالثة</w:t>
            </w:r>
            <w:r>
              <w:rPr>
                <w:rStyle w:val="IndexLink"/>
                <w:rtl w:val="true"/>
              </w:rPr>
              <w:t>:</w:t>
              <w:tab/>
            </w:r>
            <w:r>
              <w:rPr>
                <w:rStyle w:val="IndexLink"/>
              </w:rPr>
              <w:t>396</w:t>
            </w:r>
          </w:hyperlink>
        </w:p>
        <w:p>
          <w:pPr>
            <w:pStyle w:val="Contents6"/>
            <w:tabs>
              <w:tab w:val="clear" w:pos="7609"/>
              <w:tab w:val="right" w:pos="9026" w:leader="dot"/>
            </w:tabs>
            <w:rPr/>
          </w:pPr>
          <w:hyperlink w:anchor="__RefHeading___Toc3732473_3804643083">
            <w:r>
              <w:rPr>
                <w:webHidden/>
                <w:rStyle w:val="IndexLink"/>
                <w:rtl w:val="true"/>
              </w:rPr>
              <w:t>الرابعة</w:t>
            </w:r>
            <w:r>
              <w:rPr>
                <w:rStyle w:val="IndexLink"/>
                <w:rtl w:val="true"/>
              </w:rPr>
              <w:t>:</w:t>
              <w:tab/>
            </w:r>
            <w:r>
              <w:rPr>
                <w:rStyle w:val="IndexLink"/>
              </w:rPr>
              <w:t>397</w:t>
            </w:r>
          </w:hyperlink>
        </w:p>
        <w:p>
          <w:pPr>
            <w:pStyle w:val="Contents6"/>
            <w:tabs>
              <w:tab w:val="clear" w:pos="7609"/>
              <w:tab w:val="right" w:pos="9026" w:leader="dot"/>
            </w:tabs>
            <w:rPr/>
          </w:pPr>
          <w:hyperlink w:anchor="__RefHeading___Toc3732475_3804643083">
            <w:r>
              <w:rPr>
                <w:webHidden/>
                <w:rStyle w:val="IndexLink"/>
                <w:rtl w:val="true"/>
              </w:rPr>
              <w:t>الخامسة</w:t>
            </w:r>
            <w:r>
              <w:rPr>
                <w:rStyle w:val="IndexLink"/>
                <w:rtl w:val="true"/>
              </w:rPr>
              <w:t>:</w:t>
              <w:tab/>
            </w:r>
            <w:r>
              <w:rPr>
                <w:rStyle w:val="IndexLink"/>
              </w:rPr>
              <w:t>398</w:t>
            </w:r>
          </w:hyperlink>
        </w:p>
        <w:p>
          <w:pPr>
            <w:pStyle w:val="Contents6"/>
            <w:tabs>
              <w:tab w:val="clear" w:pos="7609"/>
              <w:tab w:val="right" w:pos="9026" w:leader="dot"/>
            </w:tabs>
            <w:rPr/>
          </w:pPr>
          <w:hyperlink w:anchor="__RefHeading___Toc3732477_3804643083">
            <w:r>
              <w:rPr>
                <w:webHidden/>
                <w:rStyle w:val="IndexLink"/>
                <w:rtl w:val="true"/>
              </w:rPr>
              <w:t>السادسة</w:t>
            </w:r>
            <w:r>
              <w:rPr>
                <w:rStyle w:val="IndexLink"/>
                <w:rtl w:val="true"/>
              </w:rPr>
              <w:t>:</w:t>
              <w:tab/>
            </w:r>
            <w:r>
              <w:rPr>
                <w:rStyle w:val="IndexLink"/>
              </w:rPr>
              <w:t>398</w:t>
            </w:r>
          </w:hyperlink>
        </w:p>
        <w:p>
          <w:pPr>
            <w:pStyle w:val="Contents6"/>
            <w:tabs>
              <w:tab w:val="clear" w:pos="7609"/>
              <w:tab w:val="right" w:pos="9026" w:leader="dot"/>
            </w:tabs>
            <w:rPr/>
          </w:pPr>
          <w:hyperlink w:anchor="__RefHeading___Toc3732479_3804643083">
            <w:r>
              <w:rPr>
                <w:webHidden/>
                <w:rStyle w:val="IndexLink"/>
                <w:rtl w:val="true"/>
              </w:rPr>
              <w:t>الرابع</w:t>
            </w:r>
            <w:r>
              <w:rPr>
                <w:rStyle w:val="IndexLink"/>
                <w:rtl w:val="true"/>
              </w:rPr>
              <w:t xml:space="preserve">: </w:t>
            </w:r>
            <w:r>
              <w:rPr>
                <w:rStyle w:val="IndexLink"/>
                <w:rtl w:val="true"/>
              </w:rPr>
              <w:t>الصلاة عليه</w:t>
            </w:r>
            <w:r>
              <w:rPr>
                <w:rStyle w:val="IndexLink"/>
                <w:rtl w:val="true"/>
              </w:rPr>
              <w:tab/>
            </w:r>
            <w:r>
              <w:rPr>
                <w:rStyle w:val="IndexLink"/>
              </w:rPr>
              <w:t>398</w:t>
            </w:r>
          </w:hyperlink>
        </w:p>
        <w:p>
          <w:pPr>
            <w:pStyle w:val="Contents6"/>
            <w:tabs>
              <w:tab w:val="clear" w:pos="7609"/>
              <w:tab w:val="right" w:pos="9026" w:leader="dot"/>
            </w:tabs>
            <w:rPr/>
          </w:pPr>
          <w:hyperlink w:anchor="__RefHeading___Toc3732481_3804643083">
            <w:r>
              <w:rPr>
                <w:webHidden/>
                <w:rStyle w:val="IndexLink"/>
                <w:rtl w:val="true"/>
              </w:rPr>
              <w:t>الخامس</w:t>
            </w:r>
            <w:r>
              <w:rPr>
                <w:rStyle w:val="IndexLink"/>
                <w:rtl w:val="true"/>
              </w:rPr>
              <w:t xml:space="preserve">: </w:t>
            </w:r>
            <w:r>
              <w:rPr>
                <w:rStyle w:val="IndexLink"/>
                <w:rtl w:val="true"/>
              </w:rPr>
              <w:t>دفنه</w:t>
            </w:r>
            <w:r>
              <w:rPr>
                <w:rStyle w:val="IndexLink"/>
                <w:rtl w:val="true"/>
              </w:rPr>
              <w:tab/>
            </w:r>
            <w:r>
              <w:rPr>
                <w:rStyle w:val="IndexLink"/>
              </w:rPr>
              <w:t>399</w:t>
            </w:r>
          </w:hyperlink>
        </w:p>
        <w:p>
          <w:pPr>
            <w:pStyle w:val="Contents6"/>
            <w:tabs>
              <w:tab w:val="clear" w:pos="7609"/>
              <w:tab w:val="right" w:pos="9026" w:leader="dot"/>
            </w:tabs>
            <w:rPr/>
          </w:pPr>
          <w:hyperlink w:anchor="__RefHeading___Toc3732483_3804643083">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3732485_3804643083">
            <w:r>
              <w:rPr>
                <w:webHidden/>
                <w:rStyle w:val="IndexLink"/>
                <w:rtl w:val="true"/>
              </w:rPr>
              <w:t xml:space="preserve">فصل </w:t>
            </w:r>
            <w:r>
              <w:rPr>
                <w:rStyle w:val="IndexLink"/>
                <w:rtl w:val="true"/>
              </w:rPr>
              <w:t>[</w:t>
            </w:r>
            <w:r>
              <w:rPr>
                <w:rStyle w:val="IndexLink"/>
                <w:rtl w:val="true"/>
              </w:rPr>
              <w:t>توجيه الميّت للقبلة</w:t>
            </w:r>
            <w:r>
              <w:rPr>
                <w:rStyle w:val="IndexLink"/>
                <w:rtl w:val="true"/>
              </w:rPr>
              <w:t>]</w:t>
              <w:tab/>
            </w:r>
            <w:r>
              <w:rPr>
                <w:rStyle w:val="IndexLink"/>
              </w:rPr>
              <w:t>399</w:t>
            </w:r>
          </w:hyperlink>
        </w:p>
        <w:p>
          <w:pPr>
            <w:pStyle w:val="Contents6"/>
            <w:tabs>
              <w:tab w:val="clear" w:pos="7609"/>
              <w:tab w:val="right" w:pos="9026" w:leader="dot"/>
            </w:tabs>
            <w:rPr/>
          </w:pPr>
          <w:hyperlink w:anchor="__RefHeading___Toc3732487_3804643083">
            <w:r>
              <w:rPr>
                <w:webHidden/>
                <w:rStyle w:val="IndexLink"/>
                <w:rtl w:val="true"/>
              </w:rPr>
              <w:t xml:space="preserve">فصل </w:t>
            </w:r>
            <w:r>
              <w:rPr>
                <w:rStyle w:val="IndexLink"/>
                <w:rtl w:val="true"/>
              </w:rPr>
              <w:t>[</w:t>
            </w:r>
            <w:r>
              <w:rPr>
                <w:rStyle w:val="IndexLink"/>
                <w:rtl w:val="true"/>
              </w:rPr>
              <w:t>تشييع الجنازة</w:t>
            </w:r>
            <w:r>
              <w:rPr>
                <w:rStyle w:val="IndexLink"/>
                <w:rtl w:val="true"/>
              </w:rPr>
              <w:t>]</w:t>
              <w:tab/>
            </w:r>
            <w:r>
              <w:rPr>
                <w:rStyle w:val="IndexLink"/>
              </w:rPr>
              <w:t>400</w:t>
            </w:r>
          </w:hyperlink>
        </w:p>
        <w:p>
          <w:pPr>
            <w:pStyle w:val="Contents6"/>
            <w:tabs>
              <w:tab w:val="clear" w:pos="7609"/>
              <w:tab w:val="right" w:pos="9026" w:leader="dot"/>
            </w:tabs>
            <w:rPr/>
          </w:pPr>
          <w:hyperlink w:anchor="__RefHeading___Toc3732489_3804643083">
            <w:r>
              <w:rPr>
                <w:webHidden/>
                <w:rStyle w:val="IndexLink"/>
                <w:rtl w:val="true"/>
              </w:rPr>
              <w:t xml:space="preserve">مسألة </w:t>
            </w:r>
            <w:r>
              <w:rPr>
                <w:rStyle w:val="IndexLink"/>
                <w:rtl w:val="true"/>
              </w:rPr>
              <w:t>[</w:t>
            </w:r>
            <w:r>
              <w:rPr>
                <w:rStyle w:val="IndexLink"/>
                <w:rtl w:val="true"/>
              </w:rPr>
              <w:t>حمل الميّت إلى القبر</w:t>
            </w:r>
            <w:r>
              <w:rPr>
                <w:rStyle w:val="IndexLink"/>
                <w:rtl w:val="true"/>
              </w:rPr>
              <w:t>]:</w:t>
              <w:tab/>
            </w:r>
            <w:r>
              <w:rPr>
                <w:rStyle w:val="IndexLink"/>
              </w:rPr>
              <w:t>405</w:t>
            </w:r>
          </w:hyperlink>
        </w:p>
        <w:p>
          <w:pPr>
            <w:pStyle w:val="Contents6"/>
            <w:tabs>
              <w:tab w:val="clear" w:pos="7609"/>
              <w:tab w:val="right" w:pos="9026" w:leader="dot"/>
            </w:tabs>
            <w:rPr/>
          </w:pPr>
          <w:hyperlink w:anchor="__RefHeading___Toc3732491_3804643083">
            <w:r>
              <w:rPr>
                <w:webHidden/>
                <w:rStyle w:val="IndexLink"/>
                <w:rtl w:val="true"/>
              </w:rPr>
              <w:t xml:space="preserve">فصل </w:t>
            </w:r>
            <w:r>
              <w:rPr>
                <w:rStyle w:val="IndexLink"/>
                <w:rtl w:val="true"/>
              </w:rPr>
              <w:t>[</w:t>
            </w:r>
            <w:r>
              <w:rPr>
                <w:rStyle w:val="IndexLink"/>
                <w:rtl w:val="true"/>
              </w:rPr>
              <w:t>كيفيّة حفر القبر</w:t>
            </w:r>
            <w:r>
              <w:rPr>
                <w:rStyle w:val="IndexLink"/>
                <w:rtl w:val="true"/>
              </w:rPr>
              <w:t>]</w:t>
              <w:tab/>
            </w:r>
            <w:r>
              <w:rPr>
                <w:rStyle w:val="IndexLink"/>
              </w:rPr>
              <w:t>407</w:t>
            </w:r>
          </w:hyperlink>
        </w:p>
        <w:p>
          <w:pPr>
            <w:pStyle w:val="Contents6"/>
            <w:tabs>
              <w:tab w:val="clear" w:pos="7609"/>
              <w:tab w:val="right" w:pos="9026" w:leader="dot"/>
            </w:tabs>
            <w:rPr/>
          </w:pPr>
          <w:hyperlink w:anchor="__RefHeading___Toc3732493_3804643083">
            <w:r>
              <w:rPr>
                <w:webHidden/>
                <w:rStyle w:val="IndexLink"/>
                <w:rtl w:val="true"/>
              </w:rPr>
              <w:t>[</w:t>
            </w:r>
            <w:r>
              <w:rPr>
                <w:rStyle w:val="IndexLink"/>
                <w:rtl w:val="true"/>
              </w:rPr>
              <w:t>فصل</w:t>
            </w:r>
            <w:r>
              <w:rPr>
                <w:rStyle w:val="IndexLink"/>
                <w:rtl w:val="true"/>
              </w:rPr>
              <w:t xml:space="preserve">] </w:t>
            </w:r>
            <w:r>
              <w:rPr>
                <w:rStyle w:val="IndexLink"/>
                <w:rtl w:val="true"/>
              </w:rPr>
              <w:t>يستحبّ عند الدفن</w:t>
            </w:r>
            <w:r>
              <w:rPr>
                <w:rStyle w:val="IndexLink"/>
                <w:rtl w:val="true"/>
              </w:rPr>
              <w:t>:</w:t>
              <w:tab/>
            </w:r>
            <w:r>
              <w:rPr>
                <w:rStyle w:val="IndexLink"/>
              </w:rPr>
              <w:t>408</w:t>
            </w:r>
          </w:hyperlink>
        </w:p>
        <w:p>
          <w:pPr>
            <w:pStyle w:val="Contents6"/>
            <w:tabs>
              <w:tab w:val="clear" w:pos="7609"/>
              <w:tab w:val="right" w:pos="9026" w:leader="dot"/>
            </w:tabs>
            <w:rPr/>
          </w:pPr>
          <w:hyperlink w:anchor="__RefHeading___Toc3732495_3804643083">
            <w:r>
              <w:rPr>
                <w:webHidden/>
                <w:rStyle w:val="IndexLink"/>
                <w:rtl w:val="true"/>
              </w:rPr>
              <w:t>فصل يستحبّ بعد الدفن</w:t>
            </w:r>
            <w:r>
              <w:rPr>
                <w:rStyle w:val="IndexLink"/>
                <w:rtl w:val="true"/>
              </w:rPr>
              <w:t>:</w:t>
              <w:tab/>
            </w:r>
            <w:r>
              <w:rPr>
                <w:rStyle w:val="IndexLink"/>
              </w:rPr>
              <w:t>414</w:t>
            </w:r>
          </w:hyperlink>
        </w:p>
        <w:p>
          <w:pPr>
            <w:pStyle w:val="Contents6"/>
            <w:tabs>
              <w:tab w:val="clear" w:pos="7609"/>
              <w:tab w:val="right" w:pos="9026" w:leader="dot"/>
            </w:tabs>
            <w:rPr/>
          </w:pPr>
          <w:hyperlink w:anchor="__RefHeading___Toc3732497_3804643083">
            <w:r>
              <w:rPr>
                <w:webHidden/>
                <w:rStyle w:val="IndexLink"/>
                <w:rtl w:val="true"/>
              </w:rPr>
              <w:t>فصل يكره</w:t>
            </w:r>
            <w:r>
              <w:rPr>
                <w:rStyle w:val="IndexLink"/>
                <w:rtl w:val="true"/>
              </w:rPr>
              <w:t>:</w:t>
              <w:tab/>
            </w:r>
            <w:r>
              <w:rPr>
                <w:rStyle w:val="IndexLink"/>
              </w:rPr>
              <w:t>418</w:t>
            </w:r>
          </w:hyperlink>
        </w:p>
        <w:p>
          <w:pPr>
            <w:pStyle w:val="Contents6"/>
            <w:tabs>
              <w:tab w:val="clear" w:pos="7609"/>
              <w:tab w:val="right" w:pos="9026" w:leader="dot"/>
            </w:tabs>
            <w:rPr/>
          </w:pPr>
          <w:hyperlink w:anchor="__RefHeading___Toc3732499_3804643083">
            <w:r>
              <w:rPr>
                <w:webHidden/>
                <w:rStyle w:val="IndexLink"/>
                <w:rtl w:val="true"/>
              </w:rPr>
              <w:t>مسائل</w:t>
            </w:r>
            <w:r>
              <w:rPr>
                <w:rStyle w:val="IndexLink"/>
                <w:rtl w:val="true"/>
              </w:rPr>
              <w:t>:</w:t>
              <w:tab/>
            </w:r>
            <w:r>
              <w:rPr>
                <w:rStyle w:val="IndexLink"/>
              </w:rPr>
              <w:t>421</w:t>
            </w:r>
          </w:hyperlink>
        </w:p>
        <w:p>
          <w:pPr>
            <w:pStyle w:val="Contents6"/>
            <w:tabs>
              <w:tab w:val="clear" w:pos="7609"/>
              <w:tab w:val="right" w:pos="9026" w:leader="dot"/>
            </w:tabs>
            <w:rPr/>
          </w:pPr>
          <w:hyperlink w:anchor="__RefHeading___Toc3732501_3804643083">
            <w:r>
              <w:rPr>
                <w:webHidden/>
                <w:rStyle w:val="IndexLink"/>
                <w:rtl w:val="true"/>
              </w:rPr>
              <w:t>الأُولىٰ</w:t>
            </w:r>
            <w:r>
              <w:rPr>
                <w:rStyle w:val="IndexLink"/>
                <w:rtl w:val="true"/>
              </w:rPr>
              <w:t xml:space="preserve">: </w:t>
            </w:r>
            <w:r>
              <w:rPr>
                <w:rStyle w:val="IndexLink"/>
                <w:rtl w:val="true"/>
              </w:rPr>
              <w:t>يكره دفن اثنين في قبر واحد</w:t>
            </w:r>
            <w:r>
              <w:rPr>
                <w:rStyle w:val="IndexLink"/>
                <w:rtl w:val="true"/>
              </w:rPr>
              <w:tab/>
            </w:r>
            <w:r>
              <w:rPr>
                <w:rStyle w:val="IndexLink"/>
              </w:rPr>
              <w:t>421</w:t>
            </w:r>
          </w:hyperlink>
        </w:p>
        <w:p>
          <w:pPr>
            <w:pStyle w:val="Contents6"/>
            <w:tabs>
              <w:tab w:val="clear" w:pos="7609"/>
              <w:tab w:val="right" w:pos="9026" w:leader="dot"/>
            </w:tabs>
            <w:rPr/>
          </w:pPr>
          <w:hyperlink w:anchor="__RefHeading___Toc3732503_3804643083">
            <w:r>
              <w:rPr>
                <w:webHidden/>
                <w:rStyle w:val="IndexLink"/>
                <w:rtl w:val="true"/>
              </w:rPr>
              <w:t>الثانية</w:t>
            </w:r>
            <w:r>
              <w:rPr>
                <w:rStyle w:val="IndexLink"/>
                <w:rtl w:val="true"/>
              </w:rPr>
              <w:t xml:space="preserve">: </w:t>
            </w:r>
            <w:r>
              <w:rPr>
                <w:rStyle w:val="IndexLink"/>
                <w:rtl w:val="true"/>
              </w:rPr>
              <w:t>الدفن في المقبرة أفضل من البيت</w:t>
            </w:r>
            <w:r>
              <w:rPr>
                <w:rStyle w:val="IndexLink"/>
                <w:rtl w:val="true"/>
              </w:rPr>
              <w:tab/>
            </w:r>
            <w:r>
              <w:rPr>
                <w:rStyle w:val="IndexLink"/>
              </w:rPr>
              <w:t>421</w:t>
            </w:r>
          </w:hyperlink>
        </w:p>
        <w:p>
          <w:pPr>
            <w:pStyle w:val="Contents6"/>
            <w:tabs>
              <w:tab w:val="clear" w:pos="7609"/>
              <w:tab w:val="right" w:pos="9026" w:leader="dot"/>
            </w:tabs>
            <w:rPr/>
          </w:pPr>
          <w:hyperlink w:anchor="__RefHeading___Toc3732505_3804643083">
            <w:r>
              <w:rPr>
                <w:webHidden/>
                <w:rStyle w:val="IndexLink"/>
                <w:rtl w:val="true"/>
              </w:rPr>
              <w:t>الثالثة</w:t>
            </w:r>
            <w:r>
              <w:rPr>
                <w:rStyle w:val="IndexLink"/>
                <w:rtl w:val="true"/>
              </w:rPr>
              <w:t xml:space="preserve">: </w:t>
            </w:r>
            <w:r>
              <w:rPr>
                <w:rStyle w:val="IndexLink"/>
                <w:rtl w:val="true"/>
              </w:rPr>
              <w:t>لا يجوز دفن الكافر في مقبرة المسلمين</w:t>
            </w:r>
            <w:r>
              <w:rPr>
                <w:rStyle w:val="IndexLink"/>
                <w:rtl w:val="true"/>
              </w:rPr>
              <w:tab/>
            </w:r>
            <w:r>
              <w:rPr>
                <w:rStyle w:val="IndexLink"/>
              </w:rPr>
              <w:t>422</w:t>
            </w:r>
          </w:hyperlink>
        </w:p>
        <w:p>
          <w:pPr>
            <w:pStyle w:val="Contents6"/>
            <w:tabs>
              <w:tab w:val="clear" w:pos="7609"/>
              <w:tab w:val="right" w:pos="9026" w:leader="dot"/>
            </w:tabs>
            <w:rPr/>
          </w:pPr>
          <w:hyperlink w:anchor="__RefHeading___Toc3732507_3804643083">
            <w:r>
              <w:rPr>
                <w:webHidden/>
                <w:rStyle w:val="IndexLink"/>
                <w:rtl w:val="true"/>
              </w:rPr>
              <w:t>الرابعة</w:t>
            </w:r>
            <w:r>
              <w:rPr>
                <w:rStyle w:val="IndexLink"/>
                <w:rtl w:val="true"/>
              </w:rPr>
              <w:t xml:space="preserve">: </w:t>
            </w:r>
            <w:r>
              <w:rPr>
                <w:rStyle w:val="IndexLink"/>
                <w:rtl w:val="true"/>
              </w:rPr>
              <w:t>يجوز الدفن عندنا في الليل</w:t>
            </w:r>
            <w:r>
              <w:rPr>
                <w:rStyle w:val="IndexLink"/>
                <w:rtl w:val="true"/>
              </w:rPr>
              <w:tab/>
            </w:r>
            <w:r>
              <w:rPr>
                <w:rStyle w:val="IndexLink"/>
              </w:rPr>
              <w:t>422</w:t>
            </w:r>
          </w:hyperlink>
        </w:p>
        <w:p>
          <w:pPr>
            <w:pStyle w:val="Contents6"/>
            <w:tabs>
              <w:tab w:val="clear" w:pos="7609"/>
              <w:tab w:val="right" w:pos="9026" w:leader="dot"/>
            </w:tabs>
            <w:rPr/>
          </w:pPr>
          <w:hyperlink w:anchor="__RefHeading___Toc3732509_3804643083">
            <w:r>
              <w:rPr>
                <w:webHidden/>
                <w:rStyle w:val="IndexLink"/>
                <w:rtl w:val="true"/>
              </w:rPr>
              <w:t>الخامسة</w:t>
            </w:r>
            <w:r>
              <w:rPr>
                <w:rStyle w:val="IndexLink"/>
                <w:rtl w:val="true"/>
              </w:rPr>
              <w:t xml:space="preserve">: </w:t>
            </w:r>
            <w:r>
              <w:rPr>
                <w:rStyle w:val="IndexLink"/>
                <w:rtl w:val="true"/>
              </w:rPr>
              <w:t>لو أوصى بدفنه في بيته أو ملكه</w:t>
            </w:r>
            <w:r>
              <w:rPr>
                <w:rStyle w:val="IndexLink"/>
                <w:rtl w:val="true"/>
              </w:rPr>
              <w:tab/>
            </w:r>
            <w:r>
              <w:rPr>
                <w:rStyle w:val="IndexLink"/>
              </w:rPr>
              <w:t>423</w:t>
            </w:r>
          </w:hyperlink>
        </w:p>
        <w:p>
          <w:pPr>
            <w:pStyle w:val="Contents6"/>
            <w:tabs>
              <w:tab w:val="clear" w:pos="7609"/>
              <w:tab w:val="right" w:pos="9026" w:leader="dot"/>
            </w:tabs>
            <w:rPr/>
          </w:pPr>
          <w:hyperlink w:anchor="__RefHeading___Toc3732511_3804643083">
            <w:r>
              <w:rPr>
                <w:webHidden/>
                <w:rStyle w:val="IndexLink"/>
                <w:rtl w:val="true"/>
              </w:rPr>
              <w:t>السادسة</w:t>
            </w:r>
            <w:r>
              <w:rPr>
                <w:rStyle w:val="IndexLink"/>
                <w:rtl w:val="true"/>
              </w:rPr>
              <w:t xml:space="preserve">: </w:t>
            </w:r>
            <w:r>
              <w:rPr>
                <w:rStyle w:val="IndexLink"/>
                <w:rtl w:val="true"/>
              </w:rPr>
              <w:t>الدفن في ملك الغير بالإذن أو الاستعارة جائز بالإجماع</w:t>
            </w:r>
            <w:r>
              <w:rPr>
                <w:rStyle w:val="IndexLink"/>
                <w:rtl w:val="true"/>
              </w:rPr>
              <w:t>.</w:t>
              <w:tab/>
            </w:r>
            <w:r>
              <w:rPr>
                <w:rStyle w:val="IndexLink"/>
              </w:rPr>
              <w:t>423</w:t>
            </w:r>
          </w:hyperlink>
        </w:p>
        <w:p>
          <w:pPr>
            <w:pStyle w:val="Contents6"/>
            <w:tabs>
              <w:tab w:val="clear" w:pos="7609"/>
              <w:tab w:val="right" w:pos="9026" w:leader="dot"/>
            </w:tabs>
            <w:rPr/>
          </w:pPr>
          <w:hyperlink w:anchor="__RefHeading___Toc3732513_3804643083">
            <w:r>
              <w:rPr>
                <w:webHidden/>
                <w:rStyle w:val="IndexLink"/>
                <w:rtl w:val="true"/>
              </w:rPr>
              <w:t>السابعة</w:t>
            </w:r>
            <w:r>
              <w:rPr>
                <w:rStyle w:val="IndexLink"/>
                <w:rtl w:val="true"/>
              </w:rPr>
              <w:t xml:space="preserve">: </w:t>
            </w:r>
            <w:r>
              <w:rPr>
                <w:rStyle w:val="IndexLink"/>
                <w:rtl w:val="true"/>
              </w:rPr>
              <w:t>إذا مات الأغلف جهّز بلا ختان</w:t>
            </w:r>
            <w:r>
              <w:rPr>
                <w:rStyle w:val="IndexLink"/>
                <w:rtl w:val="true"/>
              </w:rPr>
              <w:tab/>
            </w:r>
            <w:r>
              <w:rPr>
                <w:rStyle w:val="IndexLink"/>
              </w:rPr>
              <w:t>423</w:t>
            </w:r>
          </w:hyperlink>
        </w:p>
        <w:p>
          <w:pPr>
            <w:pStyle w:val="Contents6"/>
            <w:tabs>
              <w:tab w:val="clear" w:pos="7609"/>
              <w:tab w:val="right" w:pos="9026" w:leader="dot"/>
            </w:tabs>
            <w:rPr/>
          </w:pPr>
          <w:hyperlink w:anchor="__RefHeading___Toc3732515_3804643083">
            <w:r>
              <w:rPr>
                <w:webHidden/>
                <w:rStyle w:val="IndexLink"/>
                <w:rtl w:val="true"/>
              </w:rPr>
              <w:t>الثامنة</w:t>
            </w:r>
            <w:r>
              <w:rPr>
                <w:rStyle w:val="IndexLink"/>
                <w:rtl w:val="true"/>
              </w:rPr>
              <w:t xml:space="preserve">: </w:t>
            </w:r>
            <w:r>
              <w:rPr>
                <w:rStyle w:val="IndexLink"/>
                <w:rtl w:val="true"/>
              </w:rPr>
              <w:t>يكره</w:t>
            </w:r>
            <w:r>
              <w:rPr>
                <w:rStyle w:val="IndexLink"/>
                <w:rtl w:val="true"/>
              </w:rPr>
              <w:t>:</w:t>
              <w:tab/>
            </w:r>
            <w:r>
              <w:rPr>
                <w:rStyle w:val="IndexLink"/>
              </w:rPr>
              <w:t>423</w:t>
            </w:r>
          </w:hyperlink>
        </w:p>
        <w:p>
          <w:pPr>
            <w:pStyle w:val="Contents6"/>
            <w:tabs>
              <w:tab w:val="clear" w:pos="7609"/>
              <w:tab w:val="right" w:pos="9026" w:leader="dot"/>
            </w:tabs>
            <w:rPr/>
          </w:pPr>
          <w:hyperlink w:anchor="__RefHeading___Toc3732517_3804643083">
            <w:r>
              <w:rPr>
                <w:webHidden/>
                <w:rStyle w:val="IndexLink"/>
                <w:rtl w:val="true"/>
              </w:rPr>
              <w:t xml:space="preserve">فصل </w:t>
            </w:r>
            <w:r>
              <w:rPr>
                <w:rStyle w:val="IndexLink"/>
                <w:rtl w:val="true"/>
              </w:rPr>
              <w:t>[</w:t>
            </w:r>
            <w:r>
              <w:rPr>
                <w:rStyle w:val="IndexLink"/>
                <w:rtl w:val="true"/>
              </w:rPr>
              <w:t>حرمة النبش</w:t>
            </w:r>
            <w:r>
              <w:rPr>
                <w:rStyle w:val="IndexLink"/>
                <w:rtl w:val="true"/>
              </w:rPr>
              <w:t>]</w:t>
              <w:tab/>
            </w:r>
            <w:r>
              <w:rPr>
                <w:rStyle w:val="IndexLink"/>
              </w:rPr>
              <w:t>424</w:t>
            </w:r>
          </w:hyperlink>
        </w:p>
        <w:p>
          <w:pPr>
            <w:pStyle w:val="Contents6"/>
            <w:tabs>
              <w:tab w:val="clear" w:pos="7609"/>
              <w:tab w:val="right" w:pos="9026" w:leader="dot"/>
            </w:tabs>
            <w:rPr/>
          </w:pPr>
          <w:hyperlink w:anchor="__RefHeading___Toc3732519_3804643083">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3732521_3804643083">
            <w:r>
              <w:rPr>
                <w:webHidden/>
                <w:rStyle w:val="IndexLink"/>
                <w:rtl w:val="true"/>
              </w:rPr>
              <w:t>و قد استثني صور</w:t>
            </w:r>
            <w:r>
              <w:rPr>
                <w:rStyle w:val="IndexLink"/>
                <w:rtl w:val="true"/>
              </w:rPr>
              <w:t>:</w:t>
              <w:tab/>
            </w:r>
            <w:r>
              <w:rPr>
                <w:rStyle w:val="IndexLink"/>
              </w:rPr>
              <w:t>424</w:t>
            </w:r>
          </w:hyperlink>
        </w:p>
        <w:p>
          <w:pPr>
            <w:pStyle w:val="Contents6"/>
            <w:tabs>
              <w:tab w:val="clear" w:pos="7609"/>
              <w:tab w:val="right" w:pos="9026" w:leader="dot"/>
            </w:tabs>
            <w:rPr/>
          </w:pPr>
          <w:hyperlink w:anchor="__RefHeading___Toc3732523_3804643083">
            <w:r>
              <w:rPr>
                <w:webHidden/>
                <w:rStyle w:val="IndexLink"/>
                <w:rtl w:val="true"/>
              </w:rPr>
              <w:t>الاولىٰ</w:t>
            </w:r>
            <w:r>
              <w:rPr>
                <w:rStyle w:val="IndexLink"/>
                <w:rtl w:val="true"/>
              </w:rPr>
              <w:t>:</w:t>
              <w:tab/>
            </w:r>
            <w:r>
              <w:rPr>
                <w:rStyle w:val="IndexLink"/>
              </w:rPr>
              <w:t>424</w:t>
            </w:r>
          </w:hyperlink>
        </w:p>
        <w:p>
          <w:pPr>
            <w:pStyle w:val="Contents6"/>
            <w:tabs>
              <w:tab w:val="clear" w:pos="7609"/>
              <w:tab w:val="right" w:pos="9026" w:leader="dot"/>
            </w:tabs>
            <w:rPr/>
          </w:pPr>
          <w:hyperlink w:anchor="__RefHeading___Toc3732525_3804643083">
            <w:r>
              <w:rPr>
                <w:webHidden/>
                <w:rStyle w:val="IndexLink"/>
                <w:rtl w:val="true"/>
              </w:rPr>
              <w:t>الثانية</w:t>
            </w:r>
            <w:r>
              <w:rPr>
                <w:rStyle w:val="IndexLink"/>
                <w:rtl w:val="true"/>
              </w:rPr>
              <w:t>:</w:t>
              <w:tab/>
            </w:r>
            <w:r>
              <w:rPr>
                <w:rStyle w:val="IndexLink"/>
              </w:rPr>
              <w:t>424</w:t>
            </w:r>
          </w:hyperlink>
        </w:p>
        <w:p>
          <w:pPr>
            <w:pStyle w:val="Contents6"/>
            <w:tabs>
              <w:tab w:val="clear" w:pos="7609"/>
              <w:tab w:val="right" w:pos="9026" w:leader="dot"/>
            </w:tabs>
            <w:rPr/>
          </w:pPr>
          <w:hyperlink w:anchor="__RefHeading___Toc3732527_3804643083">
            <w:r>
              <w:rPr>
                <w:webHidden/>
                <w:rStyle w:val="IndexLink"/>
                <w:rtl w:val="true"/>
              </w:rPr>
              <w:t>الثالثة</w:t>
            </w:r>
            <w:r>
              <w:rPr>
                <w:rStyle w:val="IndexLink"/>
                <w:rtl w:val="true"/>
              </w:rPr>
              <w:t>:</w:t>
              <w:tab/>
            </w:r>
            <w:r>
              <w:rPr>
                <w:rStyle w:val="IndexLink"/>
              </w:rPr>
              <w:t>424</w:t>
            </w:r>
          </w:hyperlink>
        </w:p>
        <w:p>
          <w:pPr>
            <w:pStyle w:val="Contents6"/>
            <w:tabs>
              <w:tab w:val="clear" w:pos="7609"/>
              <w:tab w:val="right" w:pos="9026" w:leader="dot"/>
            </w:tabs>
            <w:rPr/>
          </w:pPr>
          <w:hyperlink w:anchor="__RefHeading___Toc3732529_3804643083">
            <w:r>
              <w:rPr>
                <w:webHidden/>
                <w:rStyle w:val="IndexLink"/>
                <w:rtl w:val="true"/>
              </w:rPr>
              <w:t>الرابعة</w:t>
            </w:r>
            <w:r>
              <w:rPr>
                <w:rStyle w:val="IndexLink"/>
                <w:rtl w:val="true"/>
              </w:rPr>
              <w:t>:</w:t>
              <w:tab/>
            </w:r>
            <w:r>
              <w:rPr>
                <w:rStyle w:val="IndexLink"/>
              </w:rPr>
              <w:t>425</w:t>
            </w:r>
          </w:hyperlink>
        </w:p>
        <w:p>
          <w:pPr>
            <w:pStyle w:val="Contents6"/>
            <w:tabs>
              <w:tab w:val="clear" w:pos="7609"/>
              <w:tab w:val="right" w:pos="9026" w:leader="dot"/>
            </w:tabs>
            <w:rPr/>
          </w:pPr>
          <w:hyperlink w:anchor="__RefHeading___Toc3732531_3804643083">
            <w:r>
              <w:rPr>
                <w:webHidden/>
                <w:rStyle w:val="IndexLink"/>
                <w:rtl w:val="true"/>
              </w:rPr>
              <w:t>الخامسة</w:t>
            </w:r>
            <w:r>
              <w:rPr>
                <w:rStyle w:val="IndexLink"/>
                <w:rtl w:val="true"/>
              </w:rPr>
              <w:t>:</w:t>
              <w:tab/>
            </w:r>
            <w:r>
              <w:rPr>
                <w:rStyle w:val="IndexLink"/>
              </w:rPr>
              <w:t>425</w:t>
            </w:r>
          </w:hyperlink>
        </w:p>
        <w:p>
          <w:pPr>
            <w:pStyle w:val="Contents6"/>
            <w:tabs>
              <w:tab w:val="clear" w:pos="7609"/>
              <w:tab w:val="right" w:pos="9026" w:leader="dot"/>
            </w:tabs>
            <w:rPr/>
          </w:pPr>
          <w:hyperlink w:anchor="__RefHeading___Toc3732533_3804643083">
            <w:r>
              <w:rPr>
                <w:webHidden/>
                <w:rStyle w:val="IndexLink"/>
                <w:rtl w:val="true"/>
              </w:rPr>
              <w:t>السادسة</w:t>
            </w:r>
            <w:r>
              <w:rPr>
                <w:rStyle w:val="IndexLink"/>
                <w:rtl w:val="true"/>
              </w:rPr>
              <w:t>:</w:t>
              <w:tab/>
            </w:r>
            <w:r>
              <w:rPr>
                <w:rStyle w:val="IndexLink"/>
              </w:rPr>
              <w:t>425</w:t>
            </w:r>
          </w:hyperlink>
        </w:p>
        <w:p>
          <w:pPr>
            <w:pStyle w:val="Contents6"/>
            <w:tabs>
              <w:tab w:val="clear" w:pos="7609"/>
              <w:tab w:val="right" w:pos="9026" w:leader="dot"/>
            </w:tabs>
            <w:rPr/>
          </w:pPr>
          <w:hyperlink w:anchor="__RefHeading___Toc3732535_3804643083">
            <w:r>
              <w:rPr>
                <w:webHidden/>
                <w:rStyle w:val="IndexLink"/>
                <w:rtl w:val="true"/>
              </w:rPr>
              <w:t>فصل النقل إلىٰ غير المشاهد قبل الدفن مكروه</w:t>
            </w:r>
            <w:r>
              <w:rPr>
                <w:rStyle w:val="IndexLink"/>
                <w:rtl w:val="true"/>
              </w:rPr>
              <w:tab/>
            </w:r>
            <w:r>
              <w:rPr>
                <w:rStyle w:val="IndexLink"/>
              </w:rPr>
              <w:t>426</w:t>
            </w:r>
          </w:hyperlink>
        </w:p>
        <w:p>
          <w:pPr>
            <w:pStyle w:val="Contents6"/>
            <w:tabs>
              <w:tab w:val="clear" w:pos="7609"/>
              <w:tab w:val="right" w:pos="9026" w:leader="dot"/>
            </w:tabs>
            <w:rPr/>
          </w:pPr>
          <w:hyperlink w:anchor="__RefHeading___Toc3732537_3804643083">
            <w:r>
              <w:rPr>
                <w:webHidden/>
                <w:rStyle w:val="IndexLink"/>
                <w:rtl w:val="true"/>
              </w:rPr>
              <w:t xml:space="preserve">فصل </w:t>
            </w:r>
            <w:r>
              <w:rPr>
                <w:rStyle w:val="IndexLink"/>
                <w:rtl w:val="true"/>
              </w:rPr>
              <w:t>[</w:t>
            </w:r>
            <w:r>
              <w:rPr>
                <w:rStyle w:val="IndexLink"/>
                <w:rtl w:val="true"/>
              </w:rPr>
              <w:t>تعزية أهل المصاب</w:t>
            </w:r>
            <w:r>
              <w:rPr>
                <w:rStyle w:val="IndexLink"/>
                <w:rtl w:val="true"/>
              </w:rPr>
              <w:t>]</w:t>
              <w:tab/>
            </w:r>
            <w:r>
              <w:rPr>
                <w:rStyle w:val="IndexLink"/>
              </w:rPr>
              <w:t>428</w:t>
            </w:r>
          </w:hyperlink>
        </w:p>
        <w:p>
          <w:pPr>
            <w:pStyle w:val="Contents6"/>
            <w:tabs>
              <w:tab w:val="clear" w:pos="7609"/>
              <w:tab w:val="right" w:pos="9026" w:leader="dot"/>
            </w:tabs>
            <w:rPr/>
          </w:pPr>
          <w:hyperlink w:anchor="__RefHeading___Toc3732539_3804643083">
            <w:r>
              <w:rPr>
                <w:webHidden/>
                <w:rStyle w:val="IndexLink"/>
                <w:rtl w:val="true"/>
              </w:rPr>
              <w:t xml:space="preserve">فصل </w:t>
            </w:r>
            <w:r>
              <w:rPr>
                <w:rStyle w:val="IndexLink"/>
                <w:rtl w:val="true"/>
              </w:rPr>
              <w:t>[</w:t>
            </w:r>
            <w:r>
              <w:rPr>
                <w:rStyle w:val="IndexLink"/>
                <w:rtl w:val="true"/>
              </w:rPr>
              <w:t>البكاء على الميّت</w:t>
            </w:r>
            <w:r>
              <w:rPr>
                <w:rStyle w:val="IndexLink"/>
                <w:rtl w:val="true"/>
              </w:rPr>
              <w:t>]</w:t>
              <w:tab/>
            </w:r>
            <w:r>
              <w:rPr>
                <w:rStyle w:val="IndexLink"/>
              </w:rPr>
              <w:t>429</w:t>
            </w:r>
          </w:hyperlink>
        </w:p>
        <w:p>
          <w:pPr>
            <w:pStyle w:val="Contents6"/>
            <w:tabs>
              <w:tab w:val="clear" w:pos="7609"/>
              <w:tab w:val="right" w:pos="9026" w:leader="dot"/>
            </w:tabs>
            <w:rPr/>
          </w:pPr>
          <w:hyperlink w:anchor="__RefHeading___Toc3732541_3804643083">
            <w:r>
              <w:rPr>
                <w:webHidden/>
                <w:rStyle w:val="IndexLink"/>
                <w:rtl w:val="true"/>
              </w:rPr>
              <w:t xml:space="preserve">فصل </w:t>
            </w:r>
            <w:r>
              <w:rPr>
                <w:rStyle w:val="IndexLink"/>
                <w:rtl w:val="true"/>
              </w:rPr>
              <w:t>[</w:t>
            </w:r>
            <w:r>
              <w:rPr>
                <w:rStyle w:val="IndexLink"/>
                <w:rtl w:val="true"/>
              </w:rPr>
              <w:t>زيارة القبور</w:t>
            </w:r>
            <w:r>
              <w:rPr>
                <w:rStyle w:val="IndexLink"/>
                <w:rtl w:val="true"/>
              </w:rPr>
              <w:t>]</w:t>
              <w:tab/>
            </w:r>
            <w:r>
              <w:rPr>
                <w:rStyle w:val="IndexLink"/>
              </w:rPr>
              <w:t>430</w:t>
            </w:r>
          </w:hyperlink>
        </w:p>
        <w:p>
          <w:pPr>
            <w:pStyle w:val="Contents6"/>
            <w:tabs>
              <w:tab w:val="clear" w:pos="7609"/>
              <w:tab w:val="right" w:pos="9026" w:leader="dot"/>
            </w:tabs>
            <w:rPr/>
          </w:pPr>
          <w:hyperlink w:anchor="__RefHeading___Toc3732543_3804643083">
            <w:r>
              <w:rPr>
                <w:webHidden/>
                <w:rStyle w:val="IndexLink"/>
                <w:rtl w:val="true"/>
              </w:rPr>
              <w:t>بحث الأغسال المسنونة</w:t>
            </w:r>
            <w:r>
              <w:rPr>
                <w:rStyle w:val="IndexLink"/>
                <w:rtl w:val="true"/>
              </w:rPr>
              <w:tab/>
            </w:r>
            <w:r>
              <w:rPr>
                <w:rStyle w:val="IndexLink"/>
              </w:rPr>
              <w:t>432</w:t>
            </w:r>
          </w:hyperlink>
        </w:p>
        <w:p>
          <w:pPr>
            <w:pStyle w:val="Contents4"/>
            <w:tabs>
              <w:tab w:val="clear" w:pos="8176"/>
              <w:tab w:val="right" w:pos="9026" w:leader="dot"/>
            </w:tabs>
            <w:rPr/>
          </w:pPr>
          <w:hyperlink w:anchor="__RefHeading___Toc3732545_3804643083">
            <w:r>
              <w:rPr>
                <w:webHidden/>
                <w:rStyle w:val="IndexLink"/>
                <w:rtl w:val="true"/>
              </w:rPr>
              <w:t>بحث التيمّم</w:t>
            </w:r>
            <w:r>
              <w:rPr>
                <w:rStyle w:val="IndexLink"/>
                <w:rtl w:val="true"/>
              </w:rPr>
              <w:tab/>
            </w:r>
            <w:r>
              <w:rPr>
                <w:rStyle w:val="IndexLink"/>
              </w:rPr>
              <w:t>438</w:t>
            </w:r>
          </w:hyperlink>
        </w:p>
        <w:p>
          <w:pPr>
            <w:pStyle w:val="Contents5"/>
            <w:tabs>
              <w:tab w:val="clear" w:pos="7892"/>
              <w:tab w:val="right" w:pos="9026" w:leader="dot"/>
            </w:tabs>
            <w:rPr/>
          </w:pPr>
          <w:hyperlink w:anchor="__RefHeading___Toc3732547_3804643083">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732549_3804643083">
            <w:r>
              <w:rPr>
                <w:webHidden/>
                <w:rStyle w:val="IndexLink"/>
                <w:rtl w:val="true"/>
              </w:rPr>
              <w:t>فصل يشترط التيمّم</w:t>
            </w:r>
            <w:r>
              <w:rPr>
                <w:rStyle w:val="IndexLink"/>
                <w:rtl w:val="true"/>
              </w:rPr>
              <w:tab/>
            </w:r>
            <w:r>
              <w:rPr>
                <w:rStyle w:val="IndexLink"/>
              </w:rPr>
              <w:t>441</w:t>
            </w:r>
          </w:hyperlink>
        </w:p>
        <w:p>
          <w:pPr>
            <w:pStyle w:val="Contents5"/>
            <w:tabs>
              <w:tab w:val="clear" w:pos="7892"/>
              <w:tab w:val="right" w:pos="9026" w:leader="dot"/>
            </w:tabs>
            <w:rPr/>
          </w:pPr>
          <w:hyperlink w:anchor="__RefHeading___Toc3732551_3804643083">
            <w:r>
              <w:rPr>
                <w:webHidden/>
                <w:rStyle w:val="IndexLink"/>
                <w:rtl w:val="true"/>
              </w:rPr>
              <w:t xml:space="preserve">فصل </w:t>
            </w:r>
            <w:r>
              <w:rPr>
                <w:rStyle w:val="IndexLink"/>
                <w:rtl w:val="true"/>
              </w:rPr>
              <w:t>[</w:t>
            </w:r>
            <w:r>
              <w:rPr>
                <w:rStyle w:val="IndexLink"/>
                <w:rtl w:val="true"/>
              </w:rPr>
              <w:t>موارد تسويغ التيمّم</w:t>
            </w:r>
            <w:r>
              <w:rPr>
                <w:rStyle w:val="IndexLink"/>
                <w:rtl w:val="true"/>
              </w:rPr>
              <w:t>]</w:t>
              <w:tab/>
            </w:r>
            <w:r>
              <w:rPr>
                <w:rStyle w:val="IndexLink"/>
              </w:rPr>
              <w:t>445</w:t>
            </w:r>
          </w:hyperlink>
        </w:p>
        <w:p>
          <w:pPr>
            <w:pStyle w:val="Contents5"/>
            <w:tabs>
              <w:tab w:val="clear" w:pos="7892"/>
              <w:tab w:val="right" w:pos="9026" w:leader="dot"/>
            </w:tabs>
            <w:rPr/>
          </w:pPr>
          <w:hyperlink w:anchor="__RefHeading___Toc3732553_3804643083">
            <w:r>
              <w:rPr>
                <w:webHidden/>
                <w:rStyle w:val="IndexLink"/>
                <w:rtl w:val="true"/>
              </w:rPr>
              <w:t xml:space="preserve">فصل </w:t>
            </w:r>
            <w:r>
              <w:rPr>
                <w:rStyle w:val="IndexLink"/>
                <w:rtl w:val="true"/>
              </w:rPr>
              <w:t>[</w:t>
            </w:r>
            <w:r>
              <w:rPr>
                <w:rStyle w:val="IndexLink"/>
                <w:rtl w:val="true"/>
              </w:rPr>
              <w:t>ما به التيمّم</w:t>
            </w:r>
            <w:r>
              <w:rPr>
                <w:rStyle w:val="IndexLink"/>
                <w:rtl w:val="true"/>
              </w:rPr>
              <w:t>]</w:t>
              <w:tab/>
            </w:r>
            <w:r>
              <w:rPr>
                <w:rStyle w:val="IndexLink"/>
              </w:rPr>
              <w:t>450</w:t>
            </w:r>
          </w:hyperlink>
        </w:p>
        <w:p>
          <w:pPr>
            <w:pStyle w:val="Contents6"/>
            <w:tabs>
              <w:tab w:val="clear" w:pos="7609"/>
              <w:tab w:val="right" w:pos="9026" w:leader="dot"/>
            </w:tabs>
            <w:rPr/>
          </w:pPr>
          <w:hyperlink w:anchor="__RefHeading___Toc3732555_3804643083">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3732557_3804643083">
            <w:r>
              <w:rPr>
                <w:webHidden/>
                <w:rStyle w:val="IndexLink"/>
                <w:rtl w:val="true"/>
              </w:rPr>
              <w:t>فروع</w:t>
            </w:r>
            <w:r>
              <w:rPr>
                <w:rStyle w:val="IndexLink"/>
                <w:rtl w:val="true"/>
              </w:rPr>
              <w:t>:</w:t>
              <w:tab/>
            </w:r>
            <w:r>
              <w:rPr>
                <w:rStyle w:val="IndexLink"/>
              </w:rPr>
              <w:t>451</w:t>
            </w:r>
          </w:hyperlink>
        </w:p>
        <w:p>
          <w:pPr>
            <w:pStyle w:val="Contents6"/>
            <w:tabs>
              <w:tab w:val="clear" w:pos="7609"/>
              <w:tab w:val="right" w:pos="9026" w:leader="dot"/>
            </w:tabs>
            <w:rPr/>
          </w:pPr>
          <w:hyperlink w:anchor="__RefHeading___Toc3732559_3804643083">
            <w:r>
              <w:rPr>
                <w:webHidden/>
                <w:rStyle w:val="IndexLink"/>
                <w:rtl w:val="true"/>
              </w:rPr>
              <w:t>الأوّل</w:t>
            </w:r>
            <w:r>
              <w:rPr>
                <w:rStyle w:val="IndexLink"/>
                <w:rtl w:val="true"/>
              </w:rPr>
              <w:t>:</w:t>
              <w:tab/>
            </w:r>
            <w:r>
              <w:rPr>
                <w:rStyle w:val="IndexLink"/>
              </w:rPr>
              <w:t>451</w:t>
            </w:r>
          </w:hyperlink>
        </w:p>
        <w:p>
          <w:pPr>
            <w:pStyle w:val="Contents6"/>
            <w:tabs>
              <w:tab w:val="clear" w:pos="7609"/>
              <w:tab w:val="right" w:pos="9026" w:leader="dot"/>
            </w:tabs>
            <w:rPr/>
          </w:pPr>
          <w:hyperlink w:anchor="__RefHeading___Toc3732561_3804643083">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3732563_3804643083">
            <w:r>
              <w:rPr>
                <w:webHidden/>
                <w:rStyle w:val="IndexLink"/>
                <w:rtl w:val="true"/>
              </w:rPr>
              <w:t xml:space="preserve">فصل </w:t>
            </w:r>
            <w:r>
              <w:rPr>
                <w:rStyle w:val="IndexLink"/>
                <w:rtl w:val="true"/>
              </w:rPr>
              <w:t>[</w:t>
            </w:r>
            <w:r>
              <w:rPr>
                <w:rStyle w:val="IndexLink"/>
                <w:rtl w:val="true"/>
              </w:rPr>
              <w:t>الطهارة عند توفّر الثلج</w:t>
            </w:r>
            <w:r>
              <w:rPr>
                <w:rStyle w:val="IndexLink"/>
                <w:rtl w:val="true"/>
              </w:rPr>
              <w:t>]</w:t>
              <w:tab/>
            </w:r>
            <w:r>
              <w:rPr>
                <w:rStyle w:val="IndexLink"/>
              </w:rPr>
              <w:t>453</w:t>
            </w:r>
          </w:hyperlink>
        </w:p>
        <w:p>
          <w:pPr>
            <w:pStyle w:val="Contents6"/>
            <w:tabs>
              <w:tab w:val="clear" w:pos="7609"/>
              <w:tab w:val="right" w:pos="9026" w:leader="dot"/>
            </w:tabs>
            <w:rPr/>
          </w:pPr>
          <w:hyperlink w:anchor="__RefHeading___Toc3732565_3804643083">
            <w:r>
              <w:rPr>
                <w:webHidden/>
                <w:rStyle w:val="IndexLink"/>
                <w:rtl w:val="true"/>
              </w:rPr>
              <w:t>الثاني</w:t>
            </w:r>
            <w:r>
              <w:rPr>
                <w:rStyle w:val="IndexLink"/>
                <w:rtl w:val="true"/>
              </w:rPr>
              <w:t>:</w:t>
              <w:tab/>
            </w:r>
            <w:r>
              <w:rPr>
                <w:rStyle w:val="IndexLink"/>
              </w:rPr>
              <w:t>454</w:t>
            </w:r>
          </w:hyperlink>
        </w:p>
        <w:p>
          <w:pPr>
            <w:pStyle w:val="Contents6"/>
            <w:tabs>
              <w:tab w:val="clear" w:pos="7609"/>
              <w:tab w:val="right" w:pos="9026" w:leader="dot"/>
            </w:tabs>
            <w:rPr/>
          </w:pPr>
          <w:hyperlink w:anchor="__RefHeading___Toc3732567_3804643083">
            <w:r>
              <w:rPr>
                <w:webHidden/>
                <w:rStyle w:val="IndexLink"/>
                <w:rtl w:val="true"/>
              </w:rPr>
              <w:t>الثالث</w:t>
            </w:r>
            <w:r>
              <w:rPr>
                <w:rStyle w:val="IndexLink"/>
                <w:rtl w:val="true"/>
              </w:rPr>
              <w:t>:</w:t>
              <w:tab/>
            </w:r>
            <w:r>
              <w:rPr>
                <w:rStyle w:val="IndexLink"/>
              </w:rPr>
              <w:t>455</w:t>
            </w:r>
          </w:hyperlink>
        </w:p>
        <w:p>
          <w:pPr>
            <w:pStyle w:val="Contents6"/>
            <w:tabs>
              <w:tab w:val="clear" w:pos="7609"/>
              <w:tab w:val="right" w:pos="9026" w:leader="dot"/>
            </w:tabs>
            <w:rPr/>
          </w:pPr>
          <w:hyperlink w:anchor="__RefHeading___Toc3732569_3804643083">
            <w:r>
              <w:rPr>
                <w:webHidden/>
                <w:rStyle w:val="IndexLink"/>
                <w:rtl w:val="true"/>
              </w:rPr>
              <w:t>الرابع</w:t>
            </w:r>
            <w:r>
              <w:rPr>
                <w:rStyle w:val="IndexLink"/>
                <w:rtl w:val="true"/>
              </w:rPr>
              <w:t>:</w:t>
              <w:tab/>
            </w:r>
            <w:r>
              <w:rPr>
                <w:rStyle w:val="IndexLink"/>
              </w:rPr>
              <w:t>456</w:t>
            </w:r>
          </w:hyperlink>
        </w:p>
        <w:p>
          <w:pPr>
            <w:pStyle w:val="Contents6"/>
            <w:tabs>
              <w:tab w:val="clear" w:pos="7609"/>
              <w:tab w:val="right" w:pos="9026" w:leader="dot"/>
            </w:tabs>
            <w:rPr/>
          </w:pPr>
          <w:hyperlink w:anchor="__RefHeading___Toc3732571_3804643083">
            <w:r>
              <w:rPr>
                <w:webHidden/>
                <w:rStyle w:val="IndexLink"/>
                <w:rtl w:val="true"/>
              </w:rPr>
              <w:t>الخامس</w:t>
            </w:r>
            <w:r>
              <w:rPr>
                <w:rStyle w:val="IndexLink"/>
                <w:rtl w:val="true"/>
              </w:rPr>
              <w:t>:</w:t>
              <w:tab/>
            </w:r>
            <w:r>
              <w:rPr>
                <w:rStyle w:val="IndexLink"/>
              </w:rPr>
              <w:t>457</w:t>
            </w:r>
          </w:hyperlink>
        </w:p>
        <w:p>
          <w:pPr>
            <w:pStyle w:val="Contents5"/>
            <w:tabs>
              <w:tab w:val="clear" w:pos="7892"/>
              <w:tab w:val="right" w:pos="9026" w:leader="dot"/>
            </w:tabs>
            <w:rPr/>
          </w:pPr>
          <w:hyperlink w:anchor="__RefHeading___Toc3732573_3804643083">
            <w:r>
              <w:rPr>
                <w:webHidden/>
                <w:rStyle w:val="IndexLink"/>
                <w:rtl w:val="true"/>
              </w:rPr>
              <w:t>فصل للتيمّم فروض</w:t>
            </w:r>
            <w:r>
              <w:rPr>
                <w:rStyle w:val="IndexLink"/>
                <w:rtl w:val="true"/>
              </w:rPr>
              <w:t>:</w:t>
              <w:tab/>
            </w:r>
            <w:r>
              <w:rPr>
                <w:rStyle w:val="IndexLink"/>
              </w:rPr>
              <w:t>459</w:t>
            </w:r>
          </w:hyperlink>
        </w:p>
        <w:p>
          <w:pPr>
            <w:pStyle w:val="Contents6"/>
            <w:tabs>
              <w:tab w:val="clear" w:pos="7609"/>
              <w:tab w:val="right" w:pos="9026" w:leader="dot"/>
            </w:tabs>
            <w:rPr/>
          </w:pPr>
          <w:hyperlink w:anchor="__RefHeading___Toc3732575_3804643083">
            <w:r>
              <w:rPr>
                <w:webHidden/>
                <w:rStyle w:val="IndexLink"/>
                <w:rtl w:val="true"/>
              </w:rPr>
              <w:t>الأوّل</w:t>
            </w:r>
            <w:r>
              <w:rPr>
                <w:rStyle w:val="IndexLink"/>
                <w:rtl w:val="true"/>
              </w:rPr>
              <w:t xml:space="preserve">: </w:t>
            </w:r>
            <w:r>
              <w:rPr>
                <w:rStyle w:val="IndexLink"/>
                <w:rtl w:val="true"/>
              </w:rPr>
              <w:t>النيّة</w:t>
            </w:r>
            <w:r>
              <w:rPr>
                <w:rStyle w:val="IndexLink"/>
                <w:rtl w:val="true"/>
              </w:rPr>
              <w:t>:</w:t>
              <w:tab/>
            </w:r>
            <w:r>
              <w:rPr>
                <w:rStyle w:val="IndexLink"/>
              </w:rPr>
              <w:t>459</w:t>
            </w:r>
          </w:hyperlink>
        </w:p>
        <w:p>
          <w:pPr>
            <w:pStyle w:val="Contents6"/>
            <w:tabs>
              <w:tab w:val="clear" w:pos="7609"/>
              <w:tab w:val="right" w:pos="9026" w:leader="dot"/>
            </w:tabs>
            <w:rPr/>
          </w:pPr>
          <w:hyperlink w:anchor="__RefHeading___Toc3732577_3804643083">
            <w:r>
              <w:rPr>
                <w:webHidden/>
                <w:rStyle w:val="IndexLink"/>
                <w:rtl w:val="true"/>
              </w:rPr>
              <w:t>الثاني</w:t>
            </w:r>
            <w:r>
              <w:rPr>
                <w:rStyle w:val="IndexLink"/>
                <w:rtl w:val="true"/>
              </w:rPr>
              <w:t xml:space="preserve">: </w:t>
            </w:r>
            <w:r>
              <w:rPr>
                <w:rStyle w:val="IndexLink"/>
                <w:rtl w:val="true"/>
              </w:rPr>
              <w:t>استدامتها حكماً إلى الفراغ</w:t>
            </w:r>
            <w:r>
              <w:rPr>
                <w:rStyle w:val="IndexLink"/>
                <w:rtl w:val="true"/>
              </w:rPr>
              <w:t>:</w:t>
              <w:tab/>
            </w:r>
            <w:r>
              <w:rPr>
                <w:rStyle w:val="IndexLink"/>
              </w:rPr>
              <w:t>460</w:t>
            </w:r>
          </w:hyperlink>
        </w:p>
        <w:p>
          <w:pPr>
            <w:pStyle w:val="Contents6"/>
            <w:tabs>
              <w:tab w:val="clear" w:pos="7609"/>
              <w:tab w:val="right" w:pos="9026" w:leader="dot"/>
            </w:tabs>
            <w:rPr/>
          </w:pPr>
          <w:hyperlink w:anchor="__RefHeading___Toc3732579_3804643083">
            <w:r>
              <w:rPr>
                <w:webHidden/>
                <w:rStyle w:val="IndexLink"/>
                <w:rtl w:val="true"/>
              </w:rPr>
              <w:t>الثالث</w:t>
            </w:r>
            <w:r>
              <w:rPr>
                <w:rStyle w:val="IndexLink"/>
                <w:rtl w:val="true"/>
              </w:rPr>
              <w:t xml:space="preserve">: </w:t>
            </w:r>
            <w:r>
              <w:rPr>
                <w:rStyle w:val="IndexLink"/>
                <w:rtl w:val="true"/>
              </w:rPr>
              <w:t>وضع اليدين على الأرض</w:t>
            </w:r>
            <w:r>
              <w:rPr>
                <w:rStyle w:val="IndexLink"/>
                <w:rtl w:val="true"/>
              </w:rPr>
              <w:t>:</w:t>
              <w:tab/>
            </w:r>
            <w:r>
              <w:rPr>
                <w:rStyle w:val="IndexLink"/>
              </w:rPr>
              <w:t>460</w:t>
            </w:r>
          </w:hyperlink>
        </w:p>
        <w:p>
          <w:pPr>
            <w:pStyle w:val="Contents6"/>
            <w:tabs>
              <w:tab w:val="clear" w:pos="7609"/>
              <w:tab w:val="right" w:pos="9026" w:leader="dot"/>
            </w:tabs>
            <w:rPr/>
          </w:pPr>
          <w:hyperlink w:anchor="__RefHeading___Toc3732581_3804643083">
            <w:r>
              <w:rPr>
                <w:webHidden/>
                <w:rStyle w:val="IndexLink"/>
                <w:rtl w:val="true"/>
              </w:rPr>
              <w:t>الرابع</w:t>
            </w:r>
            <w:r>
              <w:rPr>
                <w:rStyle w:val="IndexLink"/>
                <w:rtl w:val="true"/>
              </w:rPr>
              <w:t xml:space="preserve">: </w:t>
            </w:r>
            <w:r>
              <w:rPr>
                <w:rStyle w:val="IndexLink"/>
                <w:rtl w:val="true"/>
              </w:rPr>
              <w:t>مسح الجبهة و الجبينين</w:t>
            </w:r>
            <w:r>
              <w:rPr>
                <w:rStyle w:val="IndexLink"/>
                <w:rtl w:val="true"/>
              </w:rPr>
              <w:t>:</w:t>
              <w:tab/>
            </w:r>
            <w:r>
              <w:rPr>
                <w:rStyle w:val="IndexLink"/>
              </w:rPr>
              <w:t>462</w:t>
            </w:r>
          </w:hyperlink>
        </w:p>
        <w:p>
          <w:pPr>
            <w:pStyle w:val="Contents6"/>
            <w:tabs>
              <w:tab w:val="clear" w:pos="7609"/>
              <w:tab w:val="right" w:pos="9026" w:leader="dot"/>
            </w:tabs>
            <w:rPr/>
          </w:pPr>
          <w:hyperlink w:anchor="__RefHeading___Toc3732583_3804643083">
            <w:r>
              <w:rPr>
                <w:webHidden/>
                <w:rStyle w:val="IndexLink"/>
                <w:rtl w:val="true"/>
              </w:rPr>
              <w:t>الخامس</w:t>
            </w:r>
            <w:r>
              <w:rPr>
                <w:rStyle w:val="IndexLink"/>
                <w:rtl w:val="true"/>
              </w:rPr>
              <w:t xml:space="preserve">: </w:t>
            </w:r>
            <w:r>
              <w:rPr>
                <w:rStyle w:val="IndexLink"/>
                <w:rtl w:val="true"/>
              </w:rPr>
              <w:t>مسح ظاهر الكفّين بباطنهما</w:t>
            </w:r>
            <w:r>
              <w:rPr>
                <w:rStyle w:val="IndexLink"/>
                <w:rtl w:val="true"/>
              </w:rPr>
              <w:t>:</w:t>
              <w:tab/>
            </w:r>
            <w:r>
              <w:rPr>
                <w:rStyle w:val="IndexLink"/>
              </w:rPr>
              <w:t>464</w:t>
            </w:r>
          </w:hyperlink>
        </w:p>
        <w:p>
          <w:pPr>
            <w:pStyle w:val="Contents6"/>
            <w:tabs>
              <w:tab w:val="clear" w:pos="7609"/>
              <w:tab w:val="right" w:pos="9026" w:leader="dot"/>
            </w:tabs>
            <w:rPr/>
          </w:pPr>
          <w:hyperlink w:anchor="__RefHeading___Toc3732585_3804643083">
            <w:r>
              <w:rPr>
                <w:webHidden/>
                <w:rStyle w:val="IndexLink"/>
                <w:rtl w:val="true"/>
              </w:rPr>
              <w:t>السادس</w:t>
            </w:r>
            <w:r>
              <w:rPr>
                <w:rStyle w:val="IndexLink"/>
                <w:rtl w:val="true"/>
              </w:rPr>
              <w:t xml:space="preserve">: </w:t>
            </w:r>
            <w:r>
              <w:rPr>
                <w:rStyle w:val="IndexLink"/>
                <w:rtl w:val="true"/>
              </w:rPr>
              <w:t>الترتيب</w:t>
            </w:r>
            <w:r>
              <w:rPr>
                <w:rStyle w:val="IndexLink"/>
                <w:rtl w:val="true"/>
              </w:rPr>
              <w:t>:</w:t>
              <w:tab/>
            </w:r>
            <w:r>
              <w:rPr>
                <w:rStyle w:val="IndexLink"/>
              </w:rPr>
              <w:t>465</w:t>
            </w:r>
          </w:hyperlink>
        </w:p>
        <w:p>
          <w:pPr>
            <w:pStyle w:val="Contents6"/>
            <w:tabs>
              <w:tab w:val="clear" w:pos="7609"/>
              <w:tab w:val="right" w:pos="9026" w:leader="dot"/>
            </w:tabs>
            <w:rPr/>
          </w:pPr>
          <w:hyperlink w:anchor="__RefHeading___Toc3732587_3804643083">
            <w:r>
              <w:rPr>
                <w:webHidden/>
                <w:rStyle w:val="IndexLink"/>
                <w:rtl w:val="true"/>
              </w:rPr>
              <w:t>السابع</w:t>
            </w:r>
            <w:r>
              <w:rPr>
                <w:rStyle w:val="IndexLink"/>
                <w:rtl w:val="true"/>
              </w:rPr>
              <w:t xml:space="preserve">: </w:t>
            </w:r>
            <w:r>
              <w:rPr>
                <w:rStyle w:val="IndexLink"/>
                <w:rtl w:val="true"/>
              </w:rPr>
              <w:t>الموالاة</w:t>
            </w:r>
            <w:r>
              <w:rPr>
                <w:rStyle w:val="IndexLink"/>
                <w:rtl w:val="true"/>
              </w:rPr>
              <w:t>:</w:t>
              <w:tab/>
            </w:r>
            <w:r>
              <w:rPr>
                <w:rStyle w:val="IndexLink"/>
              </w:rPr>
              <w:t>466</w:t>
            </w:r>
          </w:hyperlink>
        </w:p>
        <w:p>
          <w:pPr>
            <w:pStyle w:val="Contents6"/>
            <w:tabs>
              <w:tab w:val="clear" w:pos="7609"/>
              <w:tab w:val="right" w:pos="9026" w:leader="dot"/>
            </w:tabs>
            <w:rPr/>
          </w:pPr>
          <w:hyperlink w:anchor="__RefHeading___Toc3732589_3804643083">
            <w:r>
              <w:rPr>
                <w:webHidden/>
                <w:rStyle w:val="IndexLink"/>
                <w:rtl w:val="true"/>
              </w:rPr>
              <w:t>الثامن</w:t>
            </w:r>
            <w:r>
              <w:rPr>
                <w:rStyle w:val="IndexLink"/>
                <w:rtl w:val="true"/>
              </w:rPr>
              <w:t xml:space="preserve">: </w:t>
            </w:r>
            <w:r>
              <w:rPr>
                <w:rStyle w:val="IndexLink"/>
                <w:rtl w:val="true"/>
              </w:rPr>
              <w:t>المباشرة بنفسه</w:t>
            </w:r>
            <w:r>
              <w:rPr>
                <w:rStyle w:val="IndexLink"/>
                <w:rtl w:val="true"/>
              </w:rPr>
              <w:t>:</w:t>
              <w:tab/>
            </w:r>
            <w:r>
              <w:rPr>
                <w:rStyle w:val="IndexLink"/>
              </w:rPr>
              <w:t>466</w:t>
            </w:r>
          </w:hyperlink>
        </w:p>
        <w:p>
          <w:pPr>
            <w:pStyle w:val="Contents5"/>
            <w:tabs>
              <w:tab w:val="clear" w:pos="7892"/>
              <w:tab w:val="right" w:pos="9026" w:leader="dot"/>
            </w:tabs>
            <w:rPr/>
          </w:pPr>
          <w:hyperlink w:anchor="__RefHeading___Toc3732591_3804643083">
            <w:r>
              <w:rPr>
                <w:webHidden/>
                <w:rStyle w:val="IndexLink"/>
                <w:rtl w:val="true"/>
              </w:rPr>
              <w:t>فصل يستحبّ للمتيمّم</w:t>
            </w:r>
            <w:r>
              <w:rPr>
                <w:rStyle w:val="IndexLink"/>
                <w:rtl w:val="true"/>
              </w:rPr>
              <w:t>:</w:t>
              <w:tab/>
            </w:r>
            <w:r>
              <w:rPr>
                <w:rStyle w:val="IndexLink"/>
              </w:rPr>
              <w:t>466</w:t>
            </w:r>
          </w:hyperlink>
        </w:p>
        <w:p>
          <w:pPr>
            <w:pStyle w:val="Contents5"/>
            <w:tabs>
              <w:tab w:val="clear" w:pos="7892"/>
              <w:tab w:val="right" w:pos="9026" w:leader="dot"/>
            </w:tabs>
            <w:rPr/>
          </w:pPr>
          <w:hyperlink w:anchor="__RefHeading___Toc3732593_3804643083">
            <w:r>
              <w:rPr>
                <w:webHidden/>
                <w:rStyle w:val="IndexLink"/>
                <w:rtl w:val="true"/>
              </w:rPr>
              <w:t>مسائل</w:t>
            </w:r>
            <w:r>
              <w:rPr>
                <w:rStyle w:val="IndexLink"/>
                <w:rtl w:val="true"/>
              </w:rPr>
              <w:t>:</w:t>
              <w:tab/>
            </w:r>
            <w:r>
              <w:rPr>
                <w:rStyle w:val="IndexLink"/>
              </w:rPr>
              <w:t>467</w:t>
            </w:r>
          </w:hyperlink>
        </w:p>
        <w:p>
          <w:pPr>
            <w:pStyle w:val="Contents6"/>
            <w:tabs>
              <w:tab w:val="clear" w:pos="7609"/>
              <w:tab w:val="right" w:pos="9026" w:leader="dot"/>
            </w:tabs>
            <w:rPr/>
          </w:pPr>
          <w:hyperlink w:anchor="__RefHeading___Toc3732595_3804643083">
            <w:r>
              <w:rPr>
                <w:webHidden/>
                <w:rStyle w:val="IndexLink"/>
                <w:rtl w:val="true"/>
              </w:rPr>
              <w:t>الأُولىٰ</w:t>
            </w:r>
            <w:r>
              <w:rPr>
                <w:rStyle w:val="IndexLink"/>
                <w:rtl w:val="true"/>
              </w:rPr>
              <w:t>:</w:t>
              <w:tab/>
            </w:r>
            <w:r>
              <w:rPr>
                <w:rStyle w:val="IndexLink"/>
              </w:rPr>
              <w:t>467</w:t>
            </w:r>
          </w:hyperlink>
        </w:p>
        <w:p>
          <w:pPr>
            <w:pStyle w:val="Contents6"/>
            <w:tabs>
              <w:tab w:val="clear" w:pos="7609"/>
              <w:tab w:val="right" w:pos="9026" w:leader="dot"/>
            </w:tabs>
            <w:rPr/>
          </w:pPr>
          <w:hyperlink w:anchor="__RefHeading___Toc3732597_3804643083">
            <w:r>
              <w:rPr>
                <w:webHidden/>
                <w:rStyle w:val="IndexLink"/>
                <w:rtl w:val="true"/>
              </w:rPr>
              <w:t>الثانية</w:t>
            </w:r>
            <w:r>
              <w:rPr>
                <w:rStyle w:val="IndexLink"/>
                <w:rtl w:val="true"/>
              </w:rPr>
              <w:t>:</w:t>
              <w:tab/>
            </w:r>
            <w:r>
              <w:rPr>
                <w:rStyle w:val="IndexLink"/>
              </w:rPr>
              <w:t>468</w:t>
            </w:r>
          </w:hyperlink>
        </w:p>
        <w:p>
          <w:pPr>
            <w:pStyle w:val="Contents6"/>
            <w:tabs>
              <w:tab w:val="clear" w:pos="7609"/>
              <w:tab w:val="right" w:pos="9026" w:leader="dot"/>
            </w:tabs>
            <w:rPr/>
          </w:pPr>
          <w:hyperlink w:anchor="__RefHeading___Toc3732599_3804643083">
            <w:r>
              <w:rPr>
                <w:webHidden/>
                <w:rStyle w:val="IndexLink"/>
                <w:rtl w:val="true"/>
              </w:rPr>
              <w:t>الثالثة</w:t>
            </w:r>
            <w:r>
              <w:rPr>
                <w:rStyle w:val="IndexLink"/>
                <w:rtl w:val="true"/>
              </w:rPr>
              <w:t>:</w:t>
              <w:tab/>
            </w:r>
            <w:r>
              <w:rPr>
                <w:rStyle w:val="IndexLink"/>
              </w:rPr>
              <w:t>469</w:t>
            </w:r>
          </w:hyperlink>
        </w:p>
        <w:p>
          <w:pPr>
            <w:pStyle w:val="Contents6"/>
            <w:tabs>
              <w:tab w:val="clear" w:pos="7609"/>
              <w:tab w:val="right" w:pos="9026" w:leader="dot"/>
            </w:tabs>
            <w:rPr/>
          </w:pPr>
          <w:hyperlink w:anchor="__RefHeading___Toc3732601_3804643083">
            <w:r>
              <w:rPr>
                <w:webHidden/>
                <w:rStyle w:val="IndexLink"/>
                <w:rtl w:val="true"/>
              </w:rPr>
              <w:t>الرابعة</w:t>
            </w:r>
            <w:r>
              <w:rPr>
                <w:rStyle w:val="IndexLink"/>
                <w:rtl w:val="true"/>
              </w:rPr>
              <w:t>:</w:t>
              <w:tab/>
            </w:r>
            <w:r>
              <w:rPr>
                <w:rStyle w:val="IndexLink"/>
              </w:rPr>
              <w:t>471</w:t>
            </w:r>
          </w:hyperlink>
        </w:p>
        <w:p>
          <w:pPr>
            <w:pStyle w:val="Contents6"/>
            <w:tabs>
              <w:tab w:val="clear" w:pos="7609"/>
              <w:tab w:val="right" w:pos="9026" w:leader="dot"/>
            </w:tabs>
            <w:rPr/>
          </w:pPr>
          <w:hyperlink w:anchor="__RefHeading___Toc3732603_3804643083">
            <w:r>
              <w:rPr>
                <w:webHidden/>
                <w:rStyle w:val="IndexLink"/>
                <w:rtl w:val="true"/>
              </w:rPr>
              <w:t>الخامسة</w:t>
            </w:r>
            <w:r>
              <w:rPr>
                <w:rStyle w:val="IndexLink"/>
                <w:rtl w:val="true"/>
              </w:rPr>
              <w:t>:</w:t>
              <w:tab/>
            </w:r>
            <w:r>
              <w:rPr>
                <w:rStyle w:val="IndexLink"/>
              </w:rPr>
              <w:t>471</w:t>
            </w:r>
          </w:hyperlink>
        </w:p>
        <w:p>
          <w:pPr>
            <w:pStyle w:val="Contents6"/>
            <w:tabs>
              <w:tab w:val="clear" w:pos="7609"/>
              <w:tab w:val="right" w:pos="9026" w:leader="dot"/>
            </w:tabs>
            <w:rPr/>
          </w:pPr>
          <w:hyperlink w:anchor="__RefHeading___Toc3732605_3804643083">
            <w:r>
              <w:rPr>
                <w:webHidden/>
                <w:rStyle w:val="IndexLink"/>
                <w:rtl w:val="true"/>
              </w:rPr>
              <w:t>السادسة</w:t>
            </w:r>
            <w:r>
              <w:rPr>
                <w:rStyle w:val="IndexLink"/>
                <w:rtl w:val="true"/>
              </w:rPr>
              <w:t>:</w:t>
              <w:tab/>
            </w:r>
            <w:r>
              <w:rPr>
                <w:rStyle w:val="IndexLink"/>
              </w:rPr>
              <w:t>472</w:t>
            </w:r>
          </w:hyperlink>
        </w:p>
        <w:p>
          <w:pPr>
            <w:pStyle w:val="Contents6"/>
            <w:tabs>
              <w:tab w:val="clear" w:pos="7609"/>
              <w:tab w:val="right" w:pos="9026" w:leader="dot"/>
            </w:tabs>
            <w:rPr/>
          </w:pPr>
          <w:hyperlink w:anchor="__RefHeading___Toc3732607_3804643083">
            <w:r>
              <w:rPr>
                <w:webHidden/>
                <w:rStyle w:val="IndexLink"/>
                <w:rtl w:val="true"/>
              </w:rPr>
              <w:t>السابعة</w:t>
            </w:r>
            <w:r>
              <w:rPr>
                <w:rStyle w:val="IndexLink"/>
                <w:rtl w:val="true"/>
              </w:rPr>
              <w:t>:</w:t>
              <w:tab/>
            </w:r>
            <w:r>
              <w:rPr>
                <w:rStyle w:val="IndexLink"/>
              </w:rPr>
              <w:t>473</w:t>
            </w:r>
          </w:hyperlink>
        </w:p>
        <w:p>
          <w:pPr>
            <w:pStyle w:val="Contents6"/>
            <w:tabs>
              <w:tab w:val="clear" w:pos="7609"/>
              <w:tab w:val="right" w:pos="9026" w:leader="dot"/>
            </w:tabs>
            <w:rPr/>
          </w:pPr>
          <w:hyperlink w:anchor="__RefHeading___Toc3732609_3804643083">
            <w:r>
              <w:rPr>
                <w:webHidden/>
                <w:rStyle w:val="IndexLink"/>
                <w:rtl w:val="true"/>
              </w:rPr>
              <w:t>الثامنة</w:t>
            </w:r>
            <w:r>
              <w:rPr>
                <w:rStyle w:val="IndexLink"/>
                <w:rtl w:val="true"/>
              </w:rPr>
              <w:t>:</w:t>
              <w:tab/>
            </w:r>
            <w:r>
              <w:rPr>
                <w:rStyle w:val="IndexLink"/>
              </w:rPr>
              <w:t>473</w:t>
            </w:r>
          </w:hyperlink>
        </w:p>
        <w:p>
          <w:pPr>
            <w:pStyle w:val="Contents2"/>
            <w:tabs>
              <w:tab w:val="clear" w:pos="8743"/>
              <w:tab w:val="right" w:pos="9026" w:leader="dot"/>
            </w:tabs>
            <w:rPr/>
          </w:pPr>
          <w:hyperlink w:anchor="__RefHeading___Toc3732611_3804643083">
            <w:r>
              <w:rPr>
                <w:webHidden/>
                <w:rStyle w:val="IndexLink"/>
                <w:rtl w:val="true"/>
              </w:rPr>
              <w:t>المنابع و المآخذ</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9_11434"/>
      <w:bookmarkStart w:id="1" w:name="pg2479_11434"/>
      <w:bookmarkEnd w:id="1"/>
    </w:p>
    <w:p>
      <w:pPr>
        <w:pStyle w:val="Heading2"/>
        <w:numPr>
          <w:ilvl w:val="1"/>
          <w:numId w:val="1"/>
        </w:numPr>
        <w:rPr/>
      </w:pPr>
      <w:bookmarkStart w:id="2" w:name="pg2479_11434"/>
      <w:bookmarkStart w:id="3" w:name="__RefHeading___Toc373179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الشيعة في أحكام الشريعة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نراقى، مولى محمد مهدى بن ابى ذر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بزرگداشت نراقى رحمه الله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مؤسسه علامه وحيد بهبهانى رحمه 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الشيعه في احكام الشريعه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مهدي النراقي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النراقي، </w:t>
      </w: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بزرگداشت ملا مهدي نراقي و ملا احمد نراقي</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۲۳۷۳۵۵۳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1793_3804643083"/>
      <w:bookmarkStart w:id="6" w:name="_Toc2"/>
      <w:bookmarkEnd w:id="5"/>
      <w:r>
        <w:rPr>
          <w:rtl w:val="true"/>
        </w:rPr>
        <w:t>اشارة</w:t>
      </w:r>
      <w:bookmarkStart w:id="7" w:name="pg2479_11438"/>
      <w:bookmarkEnd w:id="6"/>
    </w:p>
    <w:p>
      <w:pPr>
        <w:pStyle w:val="Heading2"/>
        <w:numPr>
          <w:ilvl w:val="1"/>
          <w:numId w:val="1"/>
        </w:numPr>
        <w:rPr/>
      </w:pPr>
      <w:bookmarkStart w:id="8" w:name="__RefHeading___Toc3731795_3804643083"/>
      <w:bookmarkStart w:id="9" w:name="_Toc3"/>
      <w:bookmarkEnd w:id="7"/>
      <w:bookmarkEnd w:id="8"/>
      <w:r>
        <w:rPr>
          <w:rtl w:val="true"/>
        </w:rPr>
        <w:t>[</w:t>
      </w:r>
      <w:r>
        <w:rPr>
          <w:rtl w:val="true"/>
        </w:rPr>
        <w:t>المقدمة</w:t>
      </w:r>
      <w:r>
        <w:rPr>
          <w:rtl w:val="true"/>
        </w:rPr>
        <w:t>]</w:t>
      </w:r>
      <w:bookmarkEnd w:id="9"/>
    </w:p>
    <w:p>
      <w:pPr>
        <w:pStyle w:val="Heading3"/>
        <w:numPr>
          <w:ilvl w:val="2"/>
          <w:numId w:val="1"/>
        </w:numPr>
        <w:rPr/>
      </w:pPr>
      <w:bookmarkStart w:id="10" w:name="__RefHeading___Toc3731797_3804643083"/>
      <w:bookmarkStart w:id="11" w:name="_Toc4"/>
      <w:bookmarkEnd w:id="10"/>
      <w:r>
        <w:rPr>
          <w:rtl w:val="true"/>
        </w:rPr>
        <w:t>مقدّمة التحقيق</w:t>
      </w:r>
      <w:r>
        <w:rPr>
          <w:rtl w:val="true"/>
        </w:rPr>
        <w:t>:</w:t>
      </w:r>
      <w:bookmarkEnd w:id="11"/>
    </w:p>
    <w:p>
      <w:pPr>
        <w:pStyle w:val="BookText"/>
        <w:rPr/>
      </w:pPr>
      <w:r>
        <w:rPr>
          <w:rFonts w:ascii="Amiri" w:hAnsi="Amiri" w:eastAsia="Amiri" w:cs="Amiri"/>
          <w:color w:val="111111"/>
          <w:sz w:val="28"/>
          <w:sz w:val="28"/>
          <w:szCs w:val="28"/>
          <w:rtl w:val="true"/>
          <w:lang w:bidi="ar-SA"/>
        </w:rPr>
        <w:t>دأبت مؤسّسة العلّامة المجدّد الوحيد البهبهاني رحمه اللّٰه على السعي الحثيث لإحياء و تحقيق الآثار القيّمة و النفيسة لعلماء و فقهاء الشيعة، و وضعها بين يدي الباحثين و المحقّقين الأكارم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بقيت النسخ الخطّية النادرة لمؤلّفات و آثار الفقهاء مئات السنين ترقد بين أطباق المكتبات، محبوسة بين قضبانها، بعيدة عن أيدي مريديها، في الوقت الذي يتعطّش فيه أصحاب الأقلام و يتشوّقون للغوص في غمرات علومها و العوم في محيطاتها الزاخرة بعلوم الطائفة الجعفريّة زاد اللّٰه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النسخ هي ضالّة الباحثين، و قد نالها بتراكم السنين من النسيان و الضياع ما 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هي هذه المؤسسة المباركة تمدّ يدها لتنتشر ما يمكنها إنقاذه من هذه الجواهر و إيصاله إلىٰ</w:t>
      </w:r>
    </w:p>
    <w:p>
      <w:pPr>
        <w:pStyle w:val="BookText"/>
        <w:rPr/>
      </w:pPr>
      <w:r>
        <w:rPr>
          <w:rFonts w:ascii="Amiri" w:hAnsi="Amiri" w:eastAsia="Amiri" w:cs="Amiri"/>
          <w:color w:val="111111"/>
          <w:sz w:val="28"/>
          <w:sz w:val="28"/>
          <w:szCs w:val="28"/>
          <w:rtl w:val="true"/>
          <w:lang w:bidi="ar-SA"/>
        </w:rPr>
        <w:t>محطّات النور، لتكون في متناول طلّابها في عرصات الجدّ و الاجتهاد و البحث في الحوزات العلميّة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 سماحة العلّامة الحجّة الأستاذ المير السيد محمّد اليثربي دام بقاؤه كل ما يملك من وسع لتأسيس هذه المؤسّسة؛ ليجعلها مركزاً يأخذ علىٰ عاتقه مسؤوليّة إحياء و تجديد تلك الآثار العلميّة الغالية، ثمّ وسم هذا المركز باسم جدّه المرحوم العلّامة المجدّد الوحيد البهبهاني رحمه اللّٰه، فكان من المناسب، بل الطبيعي، أن تكون الأولويّة و الهدف الأساس الذي تضعه المؤسّسة نصب عينيها هو السعي لإحياء آثار هذه العائلة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خضم أعمال هذه المؤسّسة تقدّم سماحة العلّامة الحجّة الأستاذ الشيخ رضا استادي دام بقاؤه رئيس مؤتمر المولى محمّد مهدي النراقي رحمه اللّٰه باقتراح لسماحة السيّد مؤسّس هذا المركز لتحقيق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المقرّرات و الموازين التي تعتمدها المؤسّسة في عملها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المتوقّع جدّاً كما هو الواقع أن يواجه هذا الطلب اعتذاراً؛ لمجموعة أسباب، منها أنّ هذه المؤسّسة قد أوقفت نفسها هذه الأيام للانشغال بتحقيق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بناءها هو العمل على إحياء آثار بيت المرحوم المجدّد الوحيد البهبهاني رحمه اللّٰه، و منها صعوبة العمل على مثل هذا الكتاب الذي امتاز بالإيجاز و الاختصار الشديدين، فهو يذكر أقوال الفقهاء في كلّ مسألة و دليل كلّ قول و الرد عليه ثمّ يختار ما يراه صحيحاً منها مع سبب ذلك بأوجز ما يمكن أن تكون عليه العبارة العلمية الدقيقة، بحيث إنّه</w:t>
      </w:r>
    </w:p>
    <w:p>
      <w:pPr>
        <w:pStyle w:val="BookText"/>
        <w:rPr/>
      </w:pPr>
      <w:r>
        <w:rPr>
          <w:rFonts w:ascii="Amiri" w:hAnsi="Amiri" w:eastAsia="Amiri" w:cs="Amiri"/>
          <w:color w:val="111111"/>
          <w:sz w:val="28"/>
          <w:sz w:val="28"/>
          <w:szCs w:val="28"/>
          <w:rtl w:val="true"/>
          <w:lang w:bidi="ar-SA"/>
        </w:rPr>
        <w:t>استوعب كلّ الأقوال و الآراء في كتاب الطهارة خلال مجلّد واحد، و قد عبّر المرحوم المؤلّف عن هذه الصفة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بتعبير يشوّق الطالب، و يقرّب بأوجز لفظ أقصى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كان يزيد الكتاب روعة و أهميّة، إلّا أنّه يضفي على علمنا فيه ألواناً من الصعوبة عند تحقيقه، ففك رموزه و إشاراته لا يخلو من صعوبة و تداخل، فمثلًا في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احتمال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أو الجامع للشرائع، أو جامع المقاصد، أو اللوامع، و هكذا غيرها من الرموز و الجمل المتداخلة بسبب شدّة الاختصار، فبناء علىٰ ذلك رفضت المؤسّسة ابتداءً القيام بهذه المهمّة خصوصاً و أنّ الفترة الزمنيّة المقترحة للتحقيق لا تتناسب أبداً مع ما يتطلبه الكتاب من جهد و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ضغوطاً اخرىٰ كانت تدفع المؤسّسة بالاتّجاه الآخر، أهمّها المكانة العلميّة الرائقة، و الفضل المعلوم، و المنزلة السامية للمرحوم النراقي، خصوصاً و أنّه من تلامذة أستاذ الكل المجدّد الوحيد البهبهاني رحمه اللّٰه، فكان القرار النهائي أن تتبنىٰ المؤسّسة هذا العمل متوكّلة على الباري القدير أن يسدّد خطاها في إنجازه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فشمّر المحقّقون عن ساعد الجدّ و الاجتهاد لجمع و تحقيق و دراسة الأقوال و الآراء المذكورة في الكتاب، بعد فكّ الرموز و تقطيع النص، و تصحيح ما ورد فيه من أخطاء لا تتحمّل الصحّة كتأنيث المذكّرات و تذكير المؤنّثات و غيرها، مع المحاولة و التأكيد على المحافظة على النص الموجود مهما أمكن ذلك، و كان ذلك ليس بالأمر الهيّن؛ فإن هذا الكتاب و إن بدا أنّه ملخّص لكتاب الطهارة، إلّا أنّه في الواقع سفر مفصّل يعرض أقوال المتقدّمين و آراء المتأخّرين، و يشير إلى أدلّتهم</w:t>
      </w:r>
    </w:p>
    <w:p>
      <w:pPr>
        <w:pStyle w:val="BookText"/>
        <w:rPr/>
      </w:pPr>
      <w:r>
        <w:rPr>
          <w:rFonts w:ascii="Amiri" w:hAnsi="Amiri" w:eastAsia="Amiri" w:cs="Amiri"/>
          <w:color w:val="111111"/>
          <w:sz w:val="28"/>
          <w:sz w:val="28"/>
          <w:szCs w:val="28"/>
          <w:rtl w:val="true"/>
          <w:lang w:bidi="ar-SA"/>
        </w:rPr>
        <w:t>و مستنداتهم، ثمّ يقيّمها ليختار ما 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اطّلع علىٰ هذا الكتاب المختصر لا بدّ له أن يذعن بأنّه لا يقل أهميّة عن كتب الفقه المطوّلة القيّمة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استيعاب الأحكام الشرعيّة و استنباط أدلّتها و عرض ما اختلف فيها من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فسعت هذه المؤسّسة رغم قلّة إمكاناتها و ضيق الوقت لإظهار هذا الأثر العلمي كما هو شأنه في تحقيقه و تدقيقه و التعليق عليه، فكانت طريقة العمل أن نتوخّى الاختصار و عدم الإطالة، فالأقوال و المستندات التي جاءت في سياق واحد ذكرت ضمن هامش واحد حسب ترتيبها في المتن، فعلى سبيل المثال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لظاهر الصدوق و صريح المحقّق و الشيخ 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عزلنا قول الصدوق في هامش مستقل و قول كل من المحقّق و الشيخ و الفاضل في هامش آخر مستقل، أو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لصريح الصحيح و الخبر و الموثّقين و ظاهر الرضوي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عزلنا كلا من الصحيح و الخبر و الموثّقين في هامش مستقل و الرضوي و الحسن في هامش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من الإشارة إلى أنّ هذا الكتاب جاءت فيه بعض الرموز الخاصّة التي لا بأس بالإشارة إليها هنا، فمثلًا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يقصد ابن الجنيد و ابن زهرة،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الثانيين يقصد الشهيد الثاني و المحقّق الثاني أي الكركي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يقصد الفقهاء الأوائل لغاية العلامة الحلي،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يقصد ما تأخّر عن العلامة الحلي إلى صاحب المدارك،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يقصد متأخّري المتأخّرين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 نقدّم هذا الكتاب القيّم بعد بذل الجهد الممكن في استخراجه و تنظيم هوامشه يملؤنا الأمل بأن نفوز و نحظى بالقبول و الرضا عند أهل الفن</w:t>
      </w:r>
    </w:p>
    <w:p>
      <w:pPr>
        <w:pStyle w:val="BookText"/>
        <w:rPr/>
      </w:pPr>
      <w:r>
        <w:rPr>
          <w:rFonts w:ascii="Amiri" w:hAnsi="Amiri" w:eastAsia="Amiri" w:cs="Amiri"/>
          <w:color w:val="111111"/>
          <w:sz w:val="28"/>
          <w:sz w:val="28"/>
          <w:szCs w:val="28"/>
          <w:rtl w:val="true"/>
          <w:lang w:bidi="ar-SA"/>
        </w:rPr>
        <w:t>من المحقّقين، و أن يكون مورد استحسان الباحثين، و أن يغفروا لنا ما فيه من هفوات و زلّات غير متعمّدة كان السبب الرئيسي فيها ضيق الوقت و محدوديّة 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الإخوة الأفاضل الّذين بذلوا جهوداً مباركة في مراحل التحقيق و التعليق في هذا السفر من مقابلة النسخ الخطّية و استخراج بيان مصادر المطالب و تنظيم الهوامش و تقطيع العبارات و ما إلىٰ ذلك من مراحل التحقيق، بعمل مشترك جماعي حسب ما ابتنىٰ عليه نظام المؤسّسة فإنّهم و حسب ترتيب الحروف الأبجديّة كلّ من حجج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جعفر أحمدي،</w:t>
      </w:r>
    </w:p>
    <w:p>
      <w:pPr>
        <w:pStyle w:val="BookText"/>
        <w:rPr/>
      </w:pPr>
      <w:r>
        <w:rPr>
          <w:rFonts w:ascii="Amiri" w:hAnsi="Amiri" w:eastAsia="Amiri" w:cs="Amiri"/>
          <w:color w:val="111111"/>
          <w:sz w:val="28"/>
          <w:sz w:val="28"/>
          <w:szCs w:val="28"/>
          <w:rtl w:val="true"/>
          <w:lang w:bidi="ar-SA"/>
        </w:rPr>
        <w:t>السيد محمّد مهدي إمام،</w:t>
      </w:r>
    </w:p>
    <w:p>
      <w:pPr>
        <w:pStyle w:val="BookText"/>
        <w:rPr/>
      </w:pPr>
      <w:r>
        <w:rPr>
          <w:rFonts w:ascii="Amiri" w:hAnsi="Amiri" w:eastAsia="Amiri" w:cs="Amiri"/>
          <w:color w:val="111111"/>
          <w:sz w:val="28"/>
          <w:sz w:val="28"/>
          <w:szCs w:val="28"/>
          <w:rtl w:val="true"/>
          <w:lang w:bidi="ar-SA"/>
        </w:rPr>
        <w:t>الشيخ يوسف تقي زاده،</w:t>
      </w:r>
    </w:p>
    <w:p>
      <w:pPr>
        <w:pStyle w:val="BookText"/>
        <w:rPr/>
      </w:pPr>
      <w:r>
        <w:rPr>
          <w:rFonts w:ascii="Amiri" w:hAnsi="Amiri" w:eastAsia="Amiri" w:cs="Amiri"/>
          <w:color w:val="111111"/>
          <w:sz w:val="28"/>
          <w:sz w:val="28"/>
          <w:szCs w:val="28"/>
          <w:rtl w:val="true"/>
          <w:lang w:bidi="ar-SA"/>
        </w:rPr>
        <w:t>الشيخ رعد الجميلي،</w:t>
      </w:r>
    </w:p>
    <w:p>
      <w:pPr>
        <w:pStyle w:val="BookText"/>
        <w:rPr/>
      </w:pPr>
      <w:r>
        <w:rPr>
          <w:rFonts w:ascii="Amiri" w:hAnsi="Amiri" w:eastAsia="Amiri" w:cs="Amiri"/>
          <w:color w:val="111111"/>
          <w:sz w:val="28"/>
          <w:sz w:val="28"/>
          <w:szCs w:val="28"/>
          <w:rtl w:val="true"/>
          <w:lang w:bidi="ar-SA"/>
        </w:rPr>
        <w:t>الشيخ خليل طالبي،</w:t>
      </w:r>
    </w:p>
    <w:p>
      <w:pPr>
        <w:pStyle w:val="BookText"/>
        <w:rPr/>
      </w:pPr>
      <w:r>
        <w:rPr>
          <w:rFonts w:ascii="Amiri" w:hAnsi="Amiri" w:eastAsia="Amiri" w:cs="Amiri"/>
          <w:color w:val="111111"/>
          <w:sz w:val="28"/>
          <w:sz w:val="28"/>
          <w:szCs w:val="28"/>
          <w:rtl w:val="true"/>
          <w:lang w:bidi="ar-SA"/>
        </w:rPr>
        <w:t>السيد حسن لطيفي،</w:t>
      </w:r>
    </w:p>
    <w:p>
      <w:pPr>
        <w:pStyle w:val="BookText"/>
        <w:rPr/>
      </w:pPr>
      <w:r>
        <w:rPr>
          <w:rFonts w:ascii="Amiri" w:hAnsi="Amiri" w:eastAsia="Amiri" w:cs="Amiri"/>
          <w:color w:val="111111"/>
          <w:sz w:val="28"/>
          <w:sz w:val="28"/>
          <w:szCs w:val="28"/>
          <w:rtl w:val="true"/>
          <w:lang w:bidi="ar-SA"/>
        </w:rPr>
        <w:t xml:space="preserve">الشيخ محمد نجفي دارابي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دارابكلائي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 الخطّية التي اعتمدناها في مراجعة المتن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الخطّية التي كانت في مكتبة آية اللّٰه السيد المرعشي النجفي رحمه اللّٰه و التي تحمل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 التي كانت في مكتبة المدرسة المباركة الفيضيّة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الموارد التي كانت محل إشكال راجعنا النسخة الخطّية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مكتبة آية اللّٰه السيد المرعشي النجفي رحمه اللّٰه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لنا في ختام هذه المقدّمة المختصرة أن نتقدّم بشكرنا الجزيل و ثنائنا</w:t>
      </w:r>
    </w:p>
    <w:p>
      <w:pPr>
        <w:pStyle w:val="BookText"/>
        <w:rPr/>
      </w:pPr>
      <w:r>
        <w:rPr>
          <w:rFonts w:ascii="Amiri" w:hAnsi="Amiri" w:eastAsia="Amiri" w:cs="Amiri"/>
          <w:color w:val="111111"/>
          <w:sz w:val="28"/>
          <w:sz w:val="28"/>
          <w:szCs w:val="28"/>
          <w:rtl w:val="true"/>
          <w:lang w:bidi="ar-SA"/>
        </w:rPr>
        <w:t>الجميل إلى سماحة حجّة الإسلام الشيخ رعد الجميلي الّذي بذل جهداً كبيراً في تقطيع و تصحيح هذا الكتاب، فجزاه اللّٰه خير جزاء المحسنين، و جزى الإخوة المحقّقين كذلك أجمعين، و الحمد للّٰه ربّ 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و عليه التكلان شعبان المعظّم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المقدّسة مؤسّسة العلّامة المجدّد الوحيد البهبهاني رحمه 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الاولىٰ من نسخة مكتبة آية اللّٰه السيّد المرعشي النجفي رحمه اللّٰه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نسخة مكتبة المدرسة الفيضيّة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معتمد الشيعة في أحكام الشريعة</w:t>
      </w:r>
      <w:bookmarkStart w:id="12" w:name="pg2479_11448"/>
    </w:p>
    <w:p>
      <w:pPr>
        <w:pStyle w:val="Heading3"/>
        <w:numPr>
          <w:ilvl w:val="2"/>
          <w:numId w:val="1"/>
        </w:numPr>
        <w:rPr/>
      </w:pPr>
      <w:bookmarkStart w:id="13" w:name="__RefHeading___Toc3731799_3804643083"/>
      <w:bookmarkStart w:id="14" w:name="_Toc5"/>
      <w:bookmarkEnd w:id="12"/>
      <w:bookmarkEnd w:id="13"/>
      <w:r>
        <w:rPr>
          <w:rtl w:val="true"/>
        </w:rPr>
        <w:t>[</w:t>
      </w:r>
      <w:r>
        <w:rPr>
          <w:rtl w:val="true"/>
        </w:rPr>
        <w:t>خطبة المصنف</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 بعد حمد اللّٰه الواجب المتعال، و ملهم الحقّ و واهب الكمال، و الصلاة على نبيّنا مبيّن الحرام و الحلال، و على آله و عترته خير عتر و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الأحقر مهدي بن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أردت من تحرير الأحكام، و تقرير مسائل الحلال و الحرام، مع مآخذها؛ من آية قرآنية، و إشارة فرقانيّة، أو نصوص العترة، و إجماع الفرقة، أو دلالة عقليّة قاطعة، و أمارة أُصوليّة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يشوّق الطالب، و يقرّب بأوجز لفظ أقصى المطالب، و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 علىٰ كتب 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و أبحاث، و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تأمّلت فيه لوجدت من فصاحة اللفظ، و تحقيق المعنىٰ ما لم يسمح به ثواقب الأنظار، في مدى الدهور و الأعصار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أنا أعرضه على علماء الأعصار، و فقهاء الأقطار</w:t>
      </w:r>
      <w:r>
        <w:rPr>
          <w:rFonts w:eastAsia="IRNazanin" w:cs="IRNazanin"/>
          <w:color w:val="111111"/>
          <w:sz w:val="28"/>
          <w:szCs w:val="28"/>
          <w:rtl w:val="true"/>
          <w:lang w:bidi="fa-IR"/>
        </w:rPr>
        <w:t>.</w:t>
      </w:r>
      <w:bookmarkStart w:id="15" w:name="pg2479_11450"/>
    </w:p>
    <w:p>
      <w:pPr>
        <w:pStyle w:val="Heading2"/>
        <w:numPr>
          <w:ilvl w:val="1"/>
          <w:numId w:val="1"/>
        </w:numPr>
        <w:rPr/>
      </w:pPr>
      <w:bookmarkStart w:id="16" w:name="__RefHeading___Toc3731801_3804643083"/>
      <w:bookmarkStart w:id="17" w:name="_Toc6"/>
      <w:bookmarkEnd w:id="15"/>
      <w:bookmarkEnd w:id="16"/>
      <w:r>
        <w:rPr>
          <w:rtl w:val="true"/>
        </w:rPr>
        <w:t>كتاب الطهارة</w:t>
      </w:r>
      <w:bookmarkEnd w:id="17"/>
    </w:p>
    <w:p>
      <w:pPr>
        <w:pStyle w:val="Heading3"/>
        <w:numPr>
          <w:ilvl w:val="2"/>
          <w:numId w:val="1"/>
        </w:numPr>
        <w:rPr/>
      </w:pPr>
      <w:bookmarkStart w:id="18" w:name="__RefHeading___Toc3731803_3804643083"/>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و النزاهة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شرعاً لكونها حقيقة في المبيح من إزالة الحدث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طهور مشروط بالنيّة، على وجه له صلاحيّة التأثير في إباحة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اشتراك الثلاثة </w:t>
      </w:r>
      <w:r>
        <w:rPr>
          <w:rStyle w:val="FootnoteAnchor"/>
          <w:rtl w:val="true"/>
        </w:rPr>
        <w:footnoteReference w:id="3"/>
      </w:r>
      <w:r>
        <w:rPr>
          <w:rFonts w:ascii="Amiri" w:hAnsi="Amiri" w:eastAsia="Amiri" w:cs="Amiri"/>
          <w:color w:val="111111"/>
          <w:sz w:val="28"/>
          <w:sz w:val="28"/>
          <w:szCs w:val="28"/>
          <w:rtl w:val="true"/>
          <w:lang w:bidi="ar-SA"/>
        </w:rPr>
        <w:t xml:space="preserve">في الحدّ يثبت التواطؤ أو التشكيك، فالقول بالاشتراك </w:t>
      </w:r>
      <w:r>
        <w:rPr>
          <w:rStyle w:val="FootnoteAnchor"/>
          <w:rtl w:val="true"/>
        </w:rPr>
        <w:footnoteReference w:id="4"/>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تعريفات أُخر </w:t>
      </w:r>
      <w:r>
        <w:rPr>
          <w:rStyle w:val="FootnoteAnchor"/>
          <w:rtl w:val="true"/>
        </w:rPr>
        <w:footnoteReference w:id="5"/>
      </w:r>
      <w:r>
        <w:rPr>
          <w:rFonts w:ascii="Amiri" w:hAnsi="Amiri" w:eastAsia="Amiri" w:cs="Amiri"/>
          <w:color w:val="111111"/>
          <w:sz w:val="28"/>
          <w:sz w:val="28"/>
          <w:szCs w:val="28"/>
          <w:rtl w:val="true"/>
          <w:lang w:bidi="ar-SA"/>
        </w:rPr>
        <w:t xml:space="preserve">لا تخلو عن انتقاض في الطرد أو العكس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0" w:name="pg2479_11452"/>
    </w:p>
    <w:p>
      <w:pPr>
        <w:pStyle w:val="Heading3"/>
        <w:numPr>
          <w:ilvl w:val="2"/>
          <w:numId w:val="1"/>
        </w:numPr>
        <w:rPr/>
      </w:pPr>
      <w:bookmarkStart w:id="21" w:name="__RefHeading___Toc3731805_3804643083"/>
      <w:bookmarkStart w:id="22" w:name="_Toc8"/>
      <w:bookmarkEnd w:id="20"/>
      <w:bookmarkEnd w:id="21"/>
      <w:r>
        <w:rPr>
          <w:rtl w:val="true"/>
        </w:rPr>
        <w:t>باب المياه</w:t>
      </w:r>
      <w:bookmarkEnd w:id="22"/>
    </w:p>
    <w:p>
      <w:pPr>
        <w:pStyle w:val="Heading4"/>
        <w:numPr>
          <w:ilvl w:val="3"/>
          <w:numId w:val="1"/>
        </w:numPr>
        <w:rPr/>
      </w:pPr>
      <w:bookmarkStart w:id="23" w:name="__RefHeading___Toc3731807_3804643083"/>
      <w:bookmarkStart w:id="24" w:name="_Toc9"/>
      <w:bookmarkEnd w:id="23"/>
      <w:r>
        <w:rPr>
          <w:rtl w:val="true"/>
        </w:rPr>
        <w:t>بحث المطلق</w:t>
      </w:r>
      <w:bookmarkEnd w:id="24"/>
    </w:p>
    <w:p>
      <w:pPr>
        <w:pStyle w:val="Heading5"/>
        <w:numPr>
          <w:ilvl w:val="4"/>
          <w:numId w:val="1"/>
        </w:numPr>
        <w:rPr/>
      </w:pPr>
      <w:bookmarkStart w:id="25" w:name="__RefHeading___Toc3731809_380464308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 هو ما صحّ إطلاق الاسم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كلّه طاهر و مطهّر بالكتاب و السنّة </w:t>
      </w:r>
      <w:r>
        <w:rPr>
          <w:rStyle w:val="FootnoteAnchor"/>
          <w:rtl w:val="true"/>
        </w:rPr>
        <w:footnoteReference w:id="7"/>
      </w:r>
      <w:r>
        <w:rPr>
          <w:rFonts w:ascii="Amiri" w:hAnsi="Amiri" w:eastAsia="Amiri" w:cs="Amiri"/>
          <w:color w:val="111111"/>
          <w:sz w:val="28"/>
          <w:sz w:val="28"/>
          <w:szCs w:val="28"/>
          <w:rtl w:val="true"/>
          <w:lang w:bidi="ar-SA"/>
        </w:rPr>
        <w:t xml:space="preserve">و الإجماع، و منه ماء البحر، فيتناوله الثلاثة، مضافاً إلى النصوص الخاصّة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بعض العامّة </w:t>
      </w:r>
      <w:r>
        <w:rPr>
          <w:rStyle w:val="FootnoteAnchor"/>
          <w:rtl w:val="true"/>
        </w:rPr>
        <w:footnoteReference w:id="9"/>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بقاء الاسم لا يخرج عن وصفيته بتغيّره، أو عن ظاهر الإجماع، و إطلاق الأدلّة، و قضيّة إلقاء التمر في القِرَب </w:t>
      </w:r>
      <w:r>
        <w:rPr>
          <w:rStyle w:val="FootnoteAnchor"/>
          <w:rtl w:val="true"/>
        </w:rPr>
        <w:footnoteReference w:id="10"/>
      </w:r>
      <w:r>
        <w:rPr>
          <w:rFonts w:ascii="Amiri" w:hAnsi="Amiri" w:eastAsia="Amiri" w:cs="Amiri"/>
          <w:color w:val="111111"/>
          <w:sz w:val="28"/>
          <w:sz w:val="28"/>
          <w:szCs w:val="28"/>
          <w:rtl w:val="true"/>
          <w:lang w:bidi="ar-SA"/>
        </w:rPr>
        <w:t>، و مسافرتهم بالأسقية الآدميّة المدبوغة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الصدوق ممّا غيّر لونه بالتمر </w:t>
      </w:r>
      <w:r>
        <w:rPr>
          <w:rStyle w:val="FootnoteAnchor"/>
          <w:rtl w:val="true"/>
        </w:rPr>
        <w:footnoteReference w:id="11"/>
      </w:r>
      <w:r>
        <w:rPr>
          <w:rFonts w:ascii="Amiri" w:hAnsi="Amiri" w:eastAsia="Amiri" w:cs="Amiri"/>
          <w:color w:val="111111"/>
          <w:sz w:val="28"/>
          <w:sz w:val="28"/>
          <w:szCs w:val="28"/>
          <w:rtl w:val="true"/>
          <w:lang w:bidi="ar-SA"/>
        </w:rPr>
        <w:t>محمول على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التطهير منه اختياراً؛ للحسن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7" w:name="pg2479_11453"/>
    </w:p>
    <w:p>
      <w:pPr>
        <w:pStyle w:val="Heading5"/>
        <w:numPr>
          <w:ilvl w:val="4"/>
          <w:numId w:val="1"/>
        </w:numPr>
        <w:rPr/>
      </w:pPr>
      <w:bookmarkStart w:id="28" w:name="__RefHeading___Toc3731811_3804643083"/>
      <w:bookmarkStart w:id="29" w:name="_Toc11"/>
      <w:bookmarkEnd w:id="27"/>
      <w:bookmarkEnd w:id="28"/>
      <w:r>
        <w:rPr>
          <w:rtl w:val="true"/>
        </w:rPr>
        <w:t xml:space="preserve">فصل </w:t>
      </w:r>
      <w:r>
        <w:rPr>
          <w:rtl w:val="true"/>
        </w:rPr>
        <w:t>[</w:t>
      </w:r>
      <w:r>
        <w:rPr>
          <w:rtl w:val="true"/>
        </w:rPr>
        <w:t>الماء الجاري</w:t>
      </w:r>
      <w:r>
        <w:rPr>
          <w:rtl w:val="true"/>
        </w:rPr>
        <w:t>]</w:t>
      </w:r>
      <w:bookmarkEnd w:id="29"/>
    </w:p>
    <w:p>
      <w:pPr>
        <w:pStyle w:val="Heading6"/>
        <w:numPr>
          <w:ilvl w:val="5"/>
          <w:numId w:val="1"/>
        </w:numPr>
        <w:rPr/>
      </w:pPr>
      <w:bookmarkStart w:id="30" w:name="__RefHeading___Toc3731813_3804643083"/>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المناط في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النبع المستلزم للمادّة، و لو بالنزّ أو الرشح، بشرط الجري على الأرض، و به يخرج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دوامه، بالإجماع و العرف و إيجابه التحكّم أو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يعلم انقطاعه بعد حين لا يخرج عن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يجري على الأرض إن انفصل عن المادّة خرج عنه، فكأنّ اشتراط الشهيد دوامه </w:t>
      </w:r>
      <w:r>
        <w:rPr>
          <w:rStyle w:val="FootnoteAnchor"/>
          <w:rtl w:val="true"/>
        </w:rPr>
        <w:footnoteReference w:id="13"/>
      </w:r>
      <w:r>
        <w:rPr>
          <w:rFonts w:ascii="IRNazanin" w:hAnsi="IRNazanin" w:eastAsia="IRNazanin"/>
          <w:color w:val="111111"/>
          <w:sz w:val="28"/>
          <w:sz w:val="28"/>
          <w:szCs w:val="28"/>
          <w:rtl w:val="true"/>
          <w:lang w:bidi="fa-IR"/>
        </w:rPr>
        <w:t>لإخراجه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تغيّره بالنجس ينجّسه بالإجماع و المستفيضة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مجرّد ملاقاته له لا ينجّسه مع الكرّية إجماعاً، و بدونها عند المعظم؛ لتكرّر نقل الإجماع </w:t>
      </w:r>
      <w:r>
        <w:rPr>
          <w:rStyle w:val="FootnoteAnchor"/>
          <w:rtl w:val="true"/>
        </w:rPr>
        <w:footnoteReference w:id="15"/>
      </w:r>
      <w:r>
        <w:rPr>
          <w:rFonts w:ascii="Amiri" w:hAnsi="Amiri" w:eastAsia="Amiri" w:cs="Amiri"/>
          <w:color w:val="111111"/>
          <w:sz w:val="28"/>
          <w:sz w:val="28"/>
          <w:szCs w:val="28"/>
          <w:rtl w:val="true"/>
          <w:lang w:bidi="ar-SA"/>
        </w:rPr>
        <w:t xml:space="preserve">، و أصالة الطهارتين، و استفاضة النصوص بطهارة كلّه ما لم يعلم قذارته </w:t>
      </w:r>
      <w:r>
        <w:rPr>
          <w:rStyle w:val="FootnoteAnchor"/>
          <w:rtl w:val="true"/>
        </w:rPr>
        <w:footnoteReference w:id="16"/>
      </w:r>
      <w:r>
        <w:rPr>
          <w:rFonts w:ascii="Amiri" w:hAnsi="Amiri" w:eastAsia="Amiri" w:cs="Amiri"/>
          <w:color w:val="111111"/>
          <w:sz w:val="28"/>
          <w:sz w:val="28"/>
          <w:szCs w:val="28"/>
          <w:rtl w:val="true"/>
          <w:lang w:bidi="ar-SA"/>
        </w:rPr>
        <w:t xml:space="preserve">، و بعدم تنجّس مطلقه بالملاقاة مطلقاً أو ما لم يتغيّر، و قليله و ماء الغيث و ذي المادّة منه ما لم يتغيّر، خلافاً للفاضل </w:t>
      </w:r>
      <w:r>
        <w:rPr>
          <w:rStyle w:val="FootnoteAnchor"/>
          <w:rtl w:val="true"/>
        </w:rPr>
        <w:footnoteReference w:id="17"/>
      </w:r>
      <w:r>
        <w:rPr>
          <w:rFonts w:ascii="Amiri" w:hAnsi="Amiri" w:eastAsia="Amiri" w:cs="Amiri"/>
          <w:color w:val="111111"/>
          <w:sz w:val="28"/>
          <w:sz w:val="28"/>
          <w:szCs w:val="28"/>
          <w:rtl w:val="true"/>
          <w:lang w:bidi="ar-SA"/>
        </w:rPr>
        <w:t xml:space="preserve">لمفهوم المستفيضة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بتخصيصه بالأقوىٰ و إطلاقات تنجّس القليل بالملاقاة، و دفع بظهورها في الراكد</w:t>
      </w:r>
      <w:r>
        <w:rPr>
          <w:rFonts w:eastAsia="Amiri" w:cs="Amiri" w:ascii="Amiri" w:hAnsi="Amiri"/>
          <w:color w:val="111111"/>
          <w:sz w:val="28"/>
          <w:szCs w:val="28"/>
          <w:rtl w:val="true"/>
          <w:lang w:bidi="ar-SA"/>
        </w:rPr>
        <w:t>.</w:t>
      </w:r>
      <w:bookmarkStart w:id="32" w:name="pg2479_11454"/>
    </w:p>
    <w:p>
      <w:pPr>
        <w:pStyle w:val="BookText"/>
        <w:rPr/>
      </w:pPr>
      <w:bookmarkEnd w:id="32"/>
      <w:r>
        <w:rPr>
          <w:rFonts w:ascii="Amiri" w:hAnsi="Amiri" w:eastAsia="Amiri" w:cs="Amiri"/>
          <w:color w:val="111111"/>
          <w:sz w:val="28"/>
          <w:sz w:val="28"/>
          <w:szCs w:val="28"/>
          <w:rtl w:val="true"/>
          <w:lang w:bidi="ar-SA"/>
        </w:rPr>
        <w:t xml:space="preserve">ثمّ المنجّس من التغيّر بالإجماع و النصوص </w:t>
      </w:r>
      <w:r>
        <w:rPr>
          <w:rStyle w:val="FootnoteAnchor"/>
          <w:rtl w:val="true"/>
        </w:rPr>
        <w:footnoteReference w:id="19"/>
      </w:r>
      <w:r>
        <w:rPr>
          <w:rFonts w:ascii="Amiri" w:hAnsi="Amiri" w:eastAsia="Amiri" w:cs="Amiri"/>
          <w:color w:val="111111"/>
          <w:sz w:val="28"/>
          <w:sz w:val="28"/>
          <w:szCs w:val="28"/>
          <w:rtl w:val="true"/>
          <w:lang w:bidi="ar-SA"/>
        </w:rPr>
        <w:t>هو ما كان في أحد الثلاثة، دون غيرها من الأوصاف، وفاقاً، و بالملاقاة بالنجس دون المتنجّس و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للكل في الثاني؛ للأصل، و الاستصحاب، و إيماء النصوص </w:t>
      </w:r>
      <w:r>
        <w:rPr>
          <w:rStyle w:val="FootnoteAnchor"/>
          <w:rtl w:val="true"/>
        </w:rPr>
        <w:footnoteReference w:id="20"/>
      </w:r>
      <w:r>
        <w:rPr>
          <w:rFonts w:ascii="Amiri" w:hAnsi="Amiri" w:eastAsia="Amiri" w:cs="Amiri"/>
          <w:color w:val="111111"/>
          <w:sz w:val="28"/>
          <w:sz w:val="28"/>
          <w:szCs w:val="28"/>
          <w:rtl w:val="true"/>
          <w:lang w:bidi="ar-SA"/>
        </w:rPr>
        <w:t>إليه، فيتعيّن حمل المطلقات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للمعظم في الأوّل؛ لما ذكر مع أظهريّة الدلالة،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لعموم النبوي </w:t>
      </w:r>
      <w:r>
        <w:rPr>
          <w:rStyle w:val="FootnoteAnchor"/>
          <w:rtl w:val="true"/>
        </w:rPr>
        <w:footnoteReference w:id="23"/>
      </w:r>
      <w:r>
        <w:rPr>
          <w:rFonts w:ascii="Amiri" w:hAnsi="Amiri" w:eastAsia="Amiri" w:cs="Amiri"/>
          <w:color w:val="111111"/>
          <w:sz w:val="28"/>
          <w:sz w:val="28"/>
          <w:szCs w:val="28"/>
          <w:rtl w:val="true"/>
          <w:lang w:bidi="ar-SA"/>
        </w:rPr>
        <w:t>، و استصحاب نجاسة المتنجّس، و لا يخفى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عندي الثاني إن قطع باستقلال ما تضمّنه من النجس بالتأثير؛ لوجود العلّة، و عدم مدخليّة الانفراد، و إلّا فالأوّل؛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المغيِّر لم ينجس إجماعاً؛ للأصل، و عموم الأدلّة</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3731815_3804643083"/>
      <w:bookmarkStart w:id="34" w:name="_Toc13"/>
      <w:bookmarkEnd w:id="33"/>
      <w:r>
        <w:rPr>
          <w:rtl w:val="true"/>
        </w:rPr>
        <w:t xml:space="preserve">فصل </w:t>
      </w:r>
      <w:r>
        <w:rPr>
          <w:rtl w:val="true"/>
        </w:rPr>
        <w:t>[</w:t>
      </w:r>
      <w:r>
        <w:rPr>
          <w:rtl w:val="true"/>
        </w:rPr>
        <w:t>التغيّر المعتبر في الماء الجاري</w:t>
      </w:r>
      <w:r>
        <w:rPr>
          <w:rtl w:val="true"/>
        </w:rPr>
        <w:t>]</w:t>
      </w:r>
      <w:bookmarkEnd w:id="34"/>
    </w:p>
    <w:p>
      <w:pPr>
        <w:pStyle w:val="Heading6"/>
        <w:numPr>
          <w:ilvl w:val="5"/>
          <w:numId w:val="1"/>
        </w:numPr>
        <w:rPr/>
      </w:pPr>
      <w:bookmarkStart w:id="35" w:name="__RefHeading___Toc3731817_3804643083"/>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المعتبر في التغيّر الحسّي، فلا يقدّر عند فقد الأوصاف وفاقاً للمشهور؛ للأصل، و الاستصحاب، و ظهوره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خلافاً للفاضل و ولده </w:t>
      </w:r>
      <w:r>
        <w:rPr>
          <w:rStyle w:val="FootnoteAnchor"/>
          <w:rtl w:val="true"/>
        </w:rPr>
        <w:footnoteReference w:id="24"/>
      </w:r>
      <w:r>
        <w:rPr>
          <w:rFonts w:ascii="Amiri" w:hAnsi="Amiri" w:eastAsia="Amiri" w:cs="Amiri"/>
          <w:color w:val="111111"/>
          <w:sz w:val="28"/>
          <w:sz w:val="28"/>
          <w:szCs w:val="28"/>
          <w:rtl w:val="true"/>
          <w:lang w:bidi="ar-SA"/>
        </w:rPr>
        <w:t>لدورانه معها، فيقدّر إذا فقدت، و هو مصادرة،</w:t>
      </w:r>
      <w:bookmarkStart w:id="37" w:name="pg2479_11455"/>
    </w:p>
    <w:p>
      <w:pPr>
        <w:pStyle w:val="BookText"/>
        <w:rPr/>
      </w:pPr>
      <w:bookmarkEnd w:id="37"/>
      <w:r>
        <w:rPr>
          <w:rFonts w:ascii="Amiri" w:hAnsi="Amiri" w:eastAsia="Amiri" w:cs="Amiri"/>
          <w:color w:val="111111"/>
          <w:sz w:val="28"/>
          <w:sz w:val="28"/>
          <w:szCs w:val="28"/>
          <w:rtl w:val="true"/>
          <w:lang w:bidi="ar-SA"/>
        </w:rPr>
        <w:t>و بالحمل على المضاف، و هو قياس باطل، و بوجوه ضعيفة أُخر لا فائدة في ذكرها</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3731819_3804643083"/>
      <w:bookmarkStart w:id="39" w:name="_Toc15"/>
      <w:bookmarkEnd w:id="38"/>
      <w:r>
        <w:rPr>
          <w:rtl w:val="true"/>
        </w:rPr>
        <w:t>فصل</w:t>
      </w:r>
      <w:bookmarkEnd w:id="39"/>
    </w:p>
    <w:p>
      <w:pPr>
        <w:pStyle w:val="BookText"/>
        <w:rPr/>
      </w:pPr>
      <w:r>
        <w:rPr>
          <w:rFonts w:ascii="Amiri" w:hAnsi="Amiri" w:eastAsia="Amiri" w:cs="Amiri"/>
          <w:color w:val="111111"/>
          <w:sz w:val="28"/>
          <w:sz w:val="28"/>
          <w:szCs w:val="28"/>
          <w:rtl w:val="true"/>
          <w:lang w:bidi="ar-SA"/>
        </w:rPr>
        <w:t>لو تغيّر بعضه، فنجاسة المتغيّر منه كطهارة ما فوقه، مجمع عليه، و عموم الأدلّة يرشد إليه، و ما تحته مع القلّة و قطعه العمود كالأوّل؛ لانفصاله بالنجس، فهو كقليل لاقاه، و مع الكثرة أو عدمه كالثاني؛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يختلف الحكم باختلاف السطوح؛ إذ الحقّ تقوّي الأعلى بالأسفل في الجاري، بل الواقف، فلا يشترط استوائها أو علوّ المطهّر؛ لعموم الأدلّة،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الاشتراط يلزم تنجّس المنحدر تحت المتغيّر مع القطع و إن كثر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اشتراط الكرّية يلزم ذلك مع عدمه أيضاً إن لم يكن ما فوقه كرّاً، فيتنجّس الأنهار العظيمة بمجرّد ملاقاة نجاسة أعاليها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الشك في الاستيعاب لا عبرة به؛ للأصل، و عموم أدلّة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المتغيّر منه يطهر بمطهّر الواقف أو زوال التغيّر عند التدافع، على اشتراط الممازجة في تطهير النجس، و بدونه على ما نختاره من كفاية الاتّصال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النهر يطهّر بعضه بعضه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731821_3804643083"/>
      <w:bookmarkStart w:id="41" w:name="_Toc16"/>
      <w:bookmarkEnd w:id="40"/>
      <w:r>
        <w:rPr>
          <w:rtl w:val="true"/>
        </w:rPr>
        <w:t xml:space="preserve">فصل </w:t>
      </w:r>
      <w:r>
        <w:rPr>
          <w:rtl w:val="true"/>
        </w:rPr>
        <w:t>[</w:t>
      </w:r>
      <w:r>
        <w:rPr>
          <w:rtl w:val="true"/>
        </w:rPr>
        <w:t>ماء الحمّام</w:t>
      </w:r>
      <w:r>
        <w:rPr>
          <w:rtl w:val="true"/>
        </w:rPr>
        <w:t>]</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الحمّام بلا مادّة كالراكد وفاقاً، و وجهه ظاهر، و معها إن كان المجموع</w:t>
      </w:r>
    </w:p>
    <w:p>
      <w:pPr>
        <w:pStyle w:val="BookText"/>
        <w:rPr/>
      </w:pPr>
      <w:r>
        <w:rPr>
          <w:rFonts w:ascii="Amiri" w:hAnsi="Amiri" w:eastAsia="Amiri" w:cs="Amiri"/>
          <w:color w:val="111111"/>
          <w:sz w:val="28"/>
          <w:sz w:val="28"/>
          <w:szCs w:val="28"/>
          <w:rtl w:val="true"/>
          <w:lang w:bidi="ar-SA"/>
        </w:rPr>
        <w:t xml:space="preserve">قليلًا فكالقليل عند المعظم؛ لإطلاق انفعاله، خلافاً للمحقّق </w:t>
      </w:r>
      <w:r>
        <w:rPr>
          <w:rStyle w:val="FootnoteAnchor"/>
          <w:rtl w:val="true"/>
        </w:rPr>
        <w:footnoteReference w:id="26"/>
      </w:r>
      <w:r>
        <w:rPr>
          <w:rFonts w:ascii="Amiri" w:hAnsi="Amiri" w:eastAsia="Amiri" w:cs="Amiri"/>
          <w:color w:val="111111"/>
          <w:sz w:val="28"/>
          <w:sz w:val="28"/>
          <w:szCs w:val="28"/>
          <w:rtl w:val="true"/>
          <w:lang w:bidi="ar-SA"/>
        </w:rPr>
        <w:t xml:space="preserve">لإطلاق المستفيضة </w:t>
      </w:r>
      <w:r>
        <w:rPr>
          <w:rStyle w:val="FootnoteAnchor"/>
          <w:rtl w:val="true"/>
        </w:rPr>
        <w:footnoteReference w:id="27"/>
      </w:r>
      <w:r>
        <w:rPr>
          <w:rFonts w:ascii="Amiri" w:hAnsi="Amiri" w:eastAsia="Amiri" w:cs="Amiri"/>
          <w:color w:val="111111"/>
          <w:sz w:val="28"/>
          <w:sz w:val="28"/>
          <w:szCs w:val="28"/>
          <w:rtl w:val="true"/>
          <w:lang w:bidi="ar-SA"/>
        </w:rPr>
        <w:t>، و قيّد بالأوّل دون العكس؛ لكونه أقوى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ففي عدم الانفعال كالكثير؛ لإطلاقات المطلق و المقيّد، خلافاً للأكثر؛ لوجوه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التطهير بعد تنجّسه كالقليل إجماعاً؛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كثرت المادّة وحدها فكالجاري،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الزيادة للتطهير بعد التنجّس باطل، و دليله 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المنفعل منه يطهر باتّصاله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الممازجة، وفاقاً للثانيين </w:t>
      </w:r>
      <w:r>
        <w:rPr>
          <w:rStyle w:val="FootnoteAnchor"/>
          <w:rtl w:val="true"/>
        </w:rPr>
        <w:footnoteReference w:id="28"/>
      </w:r>
      <w:r>
        <w:rPr>
          <w:rFonts w:ascii="IRNazanin" w:hAnsi="IRNazanin" w:eastAsia="IRNazanin"/>
          <w:color w:val="111111"/>
          <w:sz w:val="28"/>
          <w:sz w:val="28"/>
          <w:szCs w:val="28"/>
          <w:rtl w:val="true"/>
          <w:lang w:bidi="fa-IR"/>
        </w:rPr>
        <w:t xml:space="preserve">، و خلافاً للفاضل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للدفع، فيكفي للرفع؛ لاشتراك العلّة، و هي صدق الوحدة، و استحالة المداخلة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الممازجة الحقيقيّة ممتنعة، و العرفيّة لا حجّة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إيجابه المزج في البعض فانّ تطهّر النجس بالطاهر؛ لصدق الممازجة، و عمومي الطهوريّة، و عدم انفعال الكر، تطهّر الكلّ؛ إذ ما يطهر بالمزج بالطاهر يمتزج ببعض النجس فيسري الممازجة في الجميع، و إلا فإمّا ينجس الطاهر به، أو يبقى كلّ على حكمه، و كلاهما باطل بالإجماع، و العمومين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امتيازهما بدون المزج، فيختصّ كلّ منهما بحكمه </w:t>
      </w:r>
      <w:r>
        <w:rPr>
          <w:rStyle w:val="FootnoteAnchor"/>
          <w:rtl w:val="true"/>
        </w:rPr>
        <w:footnoteReference w:id="30"/>
      </w:r>
      <w:r>
        <w:rPr>
          <w:rFonts w:ascii="Amiri" w:hAnsi="Amiri" w:eastAsia="Amiri" w:cs="Amiri"/>
          <w:color w:val="111111"/>
          <w:sz w:val="28"/>
          <w:sz w:val="28"/>
          <w:szCs w:val="28"/>
          <w:rtl w:val="true"/>
          <w:lang w:bidi="ar-SA"/>
        </w:rPr>
        <w:t>، و هو مصادرة، و بقياسه على الجاري في الاشتراط</w:t>
      </w:r>
      <w:r>
        <w:rPr>
          <w:rFonts w:eastAsia="Amiri" w:cs="Amiri" w:ascii="Amiri" w:hAnsi="Amiri"/>
          <w:color w:val="111111"/>
          <w:sz w:val="28"/>
          <w:szCs w:val="28"/>
          <w:rtl w:val="true"/>
          <w:lang w:bidi="ar-SA"/>
        </w:rPr>
        <w:t>.</w:t>
      </w:r>
      <w:bookmarkStart w:id="42" w:name="pg2479_11457"/>
    </w:p>
    <w:p>
      <w:pPr>
        <w:pStyle w:val="BookText"/>
        <w:rPr/>
      </w:pPr>
      <w:bookmarkEnd w:id="42"/>
      <w:r>
        <w:rPr>
          <w:rFonts w:ascii="Amiri" w:hAnsi="Amiri" w:eastAsia="Amiri" w:cs="Amiri"/>
          <w:color w:val="111111"/>
          <w:sz w:val="28"/>
          <w:sz w:val="28"/>
          <w:szCs w:val="28"/>
          <w:rtl w:val="true"/>
          <w:lang w:bidi="ar-SA"/>
        </w:rPr>
        <w:t xml:space="preserve">و ردّ بمنعه فيه أيضاً؛ لكفاية الاتّصال في كلّ ماء، و قد اكتفىٰ به في الغديرين المتّصلين بساقية </w:t>
      </w:r>
      <w:r>
        <w:rPr>
          <w:rStyle w:val="FootnoteAnchor"/>
          <w:rtl w:val="true"/>
        </w:rPr>
        <w:footnoteReference w:id="31"/>
      </w:r>
      <w:r>
        <w:rPr>
          <w:rFonts w:ascii="Amiri" w:hAnsi="Amiri" w:eastAsia="Amiri" w:cs="Amiri"/>
          <w:color w:val="111111"/>
          <w:sz w:val="28"/>
          <w:sz w:val="28"/>
          <w:szCs w:val="28"/>
          <w:rtl w:val="true"/>
          <w:lang w:bidi="ar-SA"/>
        </w:rPr>
        <w:t>كاكتفاء الأكثر فيهما بكونه المجموع؛ لعدم الانفعال، دون ماء الحمّام، مع أنّ حكمه أخفّ، فيلزمهما بيان الفارق، و العرف باستواء السطوح فيهما دونه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علوّ المادّة أو استواؤها كاستواء سطوحها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بطهرها غير لازم للحكمين، فيوجبهما مع التسفّل و الاختلاف، و عدم العلم بنجاستها؛ لعموم الأدلّة، و الشكّ في كثرتها عند وقوع النجاسة، يبنىٰ على الطهارة مع سبقها إجماعاً؛ للاستصحابين، و الأصلين، و بدونه على الأقوىٰ؛ لاستصحاب الطهارة و أصالتها، خلافاً للأكثر؛ لأصالة العدم، و ردّ بعدم التقاوم، و لو وقعت فيما كثر تدريجاً بني على الطهر أيضاً؛ لما مرّ، خلافاً لبعضهم </w:t>
      </w:r>
      <w:r>
        <w:rPr>
          <w:rStyle w:val="FootnoteAnchor"/>
          <w:rtl w:val="true"/>
        </w:rPr>
        <w:footnoteReference w:id="32"/>
      </w:r>
      <w:r>
        <w:rPr>
          <w:rFonts w:ascii="Amiri" w:hAnsi="Amiri" w:eastAsia="Amiri" w:cs="Amiri"/>
          <w:color w:val="111111"/>
          <w:sz w:val="28"/>
          <w:sz w:val="28"/>
          <w:szCs w:val="28"/>
          <w:rtl w:val="true"/>
          <w:lang w:bidi="ar-SA"/>
        </w:rPr>
        <w:t>لأصالة العدم و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 بفقد المقاومة، و الثاني بالمعارضة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كثرتها بالاعتبار أو العدلين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بالواحد رابعها بذي اليد مع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خبرا أحد المتعلّقين فيكفي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شهادة لخصوص الآخر فيلزم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إيماؤها إلى اشتراط العدالة، و لعلّه الأرجح، كما لا يخفى وجهه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731823_3804643083"/>
      <w:bookmarkStart w:id="44" w:name="_Toc17"/>
      <w:bookmarkEnd w:id="43"/>
      <w:r>
        <w:rPr>
          <w:rtl w:val="true"/>
        </w:rPr>
        <w:t xml:space="preserve">فصل </w:t>
      </w:r>
      <w:r>
        <w:rPr>
          <w:rtl w:val="true"/>
        </w:rPr>
        <w:t>[</w:t>
      </w:r>
      <w:r>
        <w:rPr>
          <w:rtl w:val="true"/>
        </w:rPr>
        <w:t>ماء المطر</w:t>
      </w:r>
      <w:r>
        <w:rPr>
          <w:rtl w:val="true"/>
        </w:rPr>
        <w:t>]</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الغيث بلا تقاطر كالواقف، و معه كالجاري في حكمية؛ للآيتين </w:t>
      </w:r>
      <w:r>
        <w:rPr>
          <w:rStyle w:val="FootnoteAnchor"/>
          <w:rtl w:val="true"/>
        </w:rPr>
        <w:footnoteReference w:id="33"/>
      </w:r>
      <w:bookmarkStart w:id="45" w:name="pg2479_11458"/>
    </w:p>
    <w:p>
      <w:pPr>
        <w:pStyle w:val="BookText"/>
        <w:rPr/>
      </w:pPr>
      <w:bookmarkEnd w:id="45"/>
      <w:r>
        <w:rPr>
          <w:rFonts w:ascii="Amiri" w:hAnsi="Amiri" w:eastAsia="Amiri" w:cs="Amiri"/>
          <w:color w:val="111111"/>
          <w:sz w:val="28"/>
          <w:sz w:val="28"/>
          <w:szCs w:val="28"/>
          <w:rtl w:val="true"/>
          <w:lang w:bidi="ar-SA"/>
        </w:rPr>
        <w:t xml:space="preserve">و المستفيضة </w:t>
      </w:r>
      <w:r>
        <w:rPr>
          <w:rStyle w:val="FootnoteAnchor"/>
          <w:rtl w:val="true"/>
        </w:rPr>
        <w:footnoteReference w:id="34"/>
      </w:r>
      <w:r>
        <w:rPr>
          <w:rFonts w:ascii="Amiri" w:hAnsi="Amiri" w:eastAsia="Amiri" w:cs="Amiri"/>
          <w:color w:val="111111"/>
          <w:sz w:val="28"/>
          <w:sz w:val="28"/>
          <w:szCs w:val="28"/>
          <w:rtl w:val="true"/>
          <w:lang w:bidi="ar-SA"/>
        </w:rPr>
        <w:t xml:space="preserve">، و لا يشترط جريه من الميزاب، وفاقاً للمعظم؛ لإطلاقها، 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لظاهر الصحيح و الحسن و الخبر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اعتبار التقاطر مع إطلاق الماء أو المطر في النصوص </w:t>
      </w:r>
      <w:r>
        <w:rPr>
          <w:rStyle w:val="FootnoteAnchor"/>
          <w:rtl w:val="true"/>
        </w:rPr>
        <w:footnoteReference w:id="37"/>
      </w:r>
      <w:r>
        <w:rPr>
          <w:rFonts w:ascii="Amiri" w:hAnsi="Amiri" w:eastAsia="Amiri" w:cs="Amiri"/>
          <w:color w:val="111111"/>
          <w:sz w:val="28"/>
          <w:sz w:val="28"/>
          <w:szCs w:val="28"/>
          <w:rtl w:val="true"/>
          <w:lang w:bidi="ar-SA"/>
        </w:rPr>
        <w:t>لانصرافه إلى المتعارف، و هو المتقاطر المنبئ عن التواتر، و لذا لا يكفي وصول مثل القطرة للتطهير، و المكتفي به يلزمه جعل غير المتقاطر كالجاري مطلقاً، و 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الأدلّة يوجب تقوّي القليل بالمتقاطر، فيصير معه كالجاري في الحكمين</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3731825_3804643083"/>
      <w:bookmarkStart w:id="47" w:name="_Toc18"/>
      <w:bookmarkEnd w:id="46"/>
      <w:r>
        <w:rPr>
          <w:rtl w:val="true"/>
        </w:rPr>
        <w:t xml:space="preserve">فصل </w:t>
      </w:r>
      <w:r>
        <w:rPr>
          <w:rtl w:val="true"/>
        </w:rPr>
        <w:t>[</w:t>
      </w:r>
      <w:r>
        <w:rPr>
          <w:rtl w:val="true"/>
        </w:rPr>
        <w:t>الماء الراكد</w:t>
      </w:r>
      <w:r>
        <w:rPr>
          <w:rtl w:val="true"/>
        </w:rPr>
        <w:t>]</w:t>
      </w:r>
      <w:bookmarkEnd w:id="47"/>
    </w:p>
    <w:p>
      <w:pPr>
        <w:pStyle w:val="Heading6"/>
        <w:numPr>
          <w:ilvl w:val="5"/>
          <w:numId w:val="1"/>
        </w:numPr>
        <w:rPr/>
      </w:pPr>
      <w:bookmarkStart w:id="48" w:name="__RefHeading___Toc3731827_3804643083"/>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الراكد إمّا كرّ أو أقلّ، و تنجّس الثاني مع التغيّر بالملاقاة مجمع عليه، و النصوص به مستفيضة </w:t>
      </w:r>
      <w:r>
        <w:rPr>
          <w:rStyle w:val="FootnoteAnchor"/>
          <w:rtl w:val="true"/>
        </w:rPr>
        <w:footnoteReference w:id="38"/>
      </w:r>
      <w:r>
        <w:rPr>
          <w:rFonts w:ascii="Amiri" w:hAnsi="Amiri" w:eastAsia="Amiri" w:cs="Amiri"/>
          <w:color w:val="111111"/>
          <w:sz w:val="28"/>
          <w:sz w:val="28"/>
          <w:szCs w:val="28"/>
          <w:rtl w:val="true"/>
          <w:lang w:bidi="ar-SA"/>
        </w:rPr>
        <w:t xml:space="preserve">، و بدونه حقّ مشهور، خلافاً للعماني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الشيخ </w:t>
      </w:r>
      <w:r>
        <w:rPr>
          <w:rStyle w:val="FootnoteAnchor"/>
          <w:rtl w:val="true"/>
        </w:rPr>
        <w:footnoteReference w:id="40"/>
      </w:r>
      <w:r>
        <w:rPr>
          <w:rFonts w:ascii="IRNazanin" w:hAnsi="IRNazanin" w:eastAsia="IRNazanin"/>
          <w:color w:val="111111"/>
          <w:sz w:val="28"/>
          <w:sz w:val="28"/>
          <w:szCs w:val="28"/>
          <w:rtl w:val="true"/>
          <w:lang w:bidi="fa-IR"/>
        </w:rPr>
        <w:t xml:space="preserve">، بل الصدوق </w:t>
      </w:r>
      <w:r>
        <w:rPr>
          <w:rStyle w:val="FootnoteAnchor"/>
          <w:rtl w:val="true"/>
        </w:rPr>
        <w:footnoteReference w:id="41"/>
      </w:r>
      <w:r>
        <w:rPr>
          <w:rFonts w:ascii="Amiri" w:hAnsi="Amiri" w:eastAsia="Amiri" w:cs="Amiri"/>
          <w:color w:val="111111"/>
          <w:sz w:val="28"/>
          <w:sz w:val="28"/>
          <w:szCs w:val="28"/>
          <w:rtl w:val="true"/>
          <w:lang w:bidi="ar-SA"/>
        </w:rPr>
        <w:t>، و تواتر ما ورد في موارد</w:t>
      </w:r>
      <w:bookmarkStart w:id="50" w:name="pg2479_11459"/>
    </w:p>
    <w:p>
      <w:pPr>
        <w:pStyle w:val="BookText"/>
        <w:rPr/>
      </w:pPr>
      <w:bookmarkEnd w:id="50"/>
      <w:r>
        <w:rPr>
          <w:rFonts w:ascii="Amiri" w:hAnsi="Amiri" w:eastAsia="Amiri" w:cs="Amiri"/>
          <w:color w:val="111111"/>
          <w:sz w:val="28"/>
          <w:sz w:val="28"/>
          <w:szCs w:val="28"/>
          <w:rtl w:val="true"/>
          <w:lang w:bidi="ar-SA"/>
        </w:rPr>
        <w:t xml:space="preserve">مختلفة من المنجّسات </w:t>
      </w:r>
      <w:r>
        <w:rPr>
          <w:rStyle w:val="FootnoteAnchor"/>
          <w:rtl w:val="true"/>
        </w:rPr>
        <w:footnoteReference w:id="42"/>
      </w:r>
      <w:r>
        <w:rPr>
          <w:rFonts w:ascii="Amiri" w:hAnsi="Amiri" w:eastAsia="Amiri" w:cs="Amiri"/>
          <w:color w:val="111111"/>
          <w:sz w:val="28"/>
          <w:sz w:val="28"/>
          <w:szCs w:val="28"/>
          <w:rtl w:val="true"/>
          <w:lang w:bidi="ar-SA"/>
        </w:rPr>
        <w:t>منطوقاً و مفهوماً، و حملها على الندب أو التغيّر مع مخالفته الظاهر لا يتأتّىٰ في البعض، و يعضده شرع الكرّية؛ إذ لولاه للغى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 لاستحباب التنزّه عن الأقلّ و لذا اختلفت مقدّراته من النصوص </w:t>
      </w:r>
      <w:r>
        <w:rPr>
          <w:rStyle w:val="FootnoteAnchor"/>
          <w:rtl w:val="true"/>
        </w:rPr>
        <w:footnoteReference w:id="43"/>
      </w:r>
      <w:r>
        <w:rPr>
          <w:rFonts w:ascii="IRNazanin" w:hAnsi="IRNazanin" w:eastAsia="IRNazanin"/>
          <w:color w:val="111111"/>
          <w:sz w:val="28"/>
          <w:sz w:val="28"/>
          <w:szCs w:val="28"/>
          <w:rtl w:val="true"/>
          <w:lang w:bidi="fa-IR"/>
        </w:rPr>
        <w:t>، فاسد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و استصحابها، و دفعهما ممّا مرّ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الطهارة ما لم يعلم التغيّر أو القذارة، و أُجيب بالتخصيص و حصول العلم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المستفيضة الواردة في موارد مختلفة، و هي بين مجمل، و غير صريح، و قابل للتخصيص بالمتغيّر أو الكثير، و ظاهر في صورة وروده على النجاسة، فلا تنهض حجّة مثبتة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الدلالة، فالترجيح للمنجّس؛ لقوّته بالأكثريّة و الأصحّية، و الاعتضاد بالإجماع المحكي </w:t>
      </w:r>
      <w:r>
        <w:rPr>
          <w:rStyle w:val="FootnoteAnchor"/>
          <w:rtl w:val="true"/>
        </w:rPr>
        <w:footnoteReference w:id="44"/>
      </w:r>
      <w:r>
        <w:rPr>
          <w:rFonts w:ascii="Amiri" w:hAnsi="Amiri" w:eastAsia="Amiri" w:cs="Amiri"/>
          <w:color w:val="111111"/>
          <w:sz w:val="28"/>
          <w:sz w:val="28"/>
          <w:szCs w:val="28"/>
          <w:rtl w:val="true"/>
          <w:lang w:bidi="ar-SA"/>
        </w:rPr>
        <w:t>، بل المحقَّق عند المحقِّق؛ إذ مخالف واحد معروف غير قادح</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3731829_3804643083"/>
      <w:bookmarkStart w:id="52" w:name="_Toc20"/>
      <w:bookmarkEnd w:id="51"/>
      <w:r>
        <w:rPr>
          <w:rtl w:val="true"/>
        </w:rPr>
        <w:t>فروع</w:t>
      </w:r>
      <w:r>
        <w:rPr>
          <w:rtl w:val="true"/>
        </w:rPr>
        <w:t>:</w:t>
      </w:r>
      <w:bookmarkEnd w:id="52"/>
    </w:p>
    <w:p>
      <w:pPr>
        <w:pStyle w:val="Heading6"/>
        <w:numPr>
          <w:ilvl w:val="5"/>
          <w:numId w:val="1"/>
        </w:numPr>
        <w:rPr/>
      </w:pPr>
      <w:bookmarkStart w:id="53" w:name="__RefHeading___Toc3731831_3804643083"/>
      <w:bookmarkStart w:id="54" w:name="_Toc21"/>
      <w:bookmarkEnd w:id="53"/>
      <w:r>
        <w:rPr>
          <w:rtl w:val="true"/>
        </w:rPr>
        <w:t>الأوّل</w:t>
      </w:r>
      <w:r>
        <w:rPr>
          <w:rtl w:val="true"/>
        </w:rPr>
        <w:t>:</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المتنجّس كالنجس منجّس؛ لظاهر الوفاق و المستفيضة </w:t>
      </w:r>
      <w:r>
        <w:rPr>
          <w:rStyle w:val="FootnoteAnchor"/>
          <w:rtl w:val="true"/>
        </w:rPr>
        <w:footnoteReference w:id="45"/>
      </w:r>
      <w:r>
        <w:rPr>
          <w:rFonts w:ascii="Amiri" w:hAnsi="Amiri" w:eastAsia="Amiri" w:cs="Amiri"/>
          <w:color w:val="111111"/>
          <w:sz w:val="28"/>
          <w:sz w:val="28"/>
          <w:szCs w:val="28"/>
          <w:rtl w:val="true"/>
          <w:lang w:bidi="ar-SA"/>
        </w:rPr>
        <w:t>الواردة في موارد</w:t>
      </w:r>
      <w:bookmarkStart w:id="55" w:name="pg2479_11460"/>
    </w:p>
    <w:p>
      <w:pPr>
        <w:pStyle w:val="BookText"/>
        <w:rPr/>
      </w:pPr>
      <w:bookmarkEnd w:id="55"/>
      <w:r>
        <w:rPr>
          <w:rFonts w:ascii="Amiri" w:hAnsi="Amiri" w:eastAsia="Amiri" w:cs="Amiri"/>
          <w:color w:val="111111"/>
          <w:sz w:val="28"/>
          <w:sz w:val="28"/>
          <w:szCs w:val="28"/>
          <w:rtl w:val="true"/>
          <w:lang w:bidi="ar-SA"/>
        </w:rPr>
        <w:t xml:space="preserve">مختلفة، و خلاف بعض الثالثة </w:t>
      </w:r>
      <w:r>
        <w:rPr>
          <w:rStyle w:val="FootnoteAnchor"/>
          <w:rtl w:val="true"/>
        </w:rPr>
        <w:footnoteReference w:id="46"/>
      </w:r>
      <w:r>
        <w:rPr>
          <w:rFonts w:ascii="Amiri" w:hAnsi="Amiri" w:eastAsia="Amiri" w:cs="Amiri"/>
          <w:color w:val="111111"/>
          <w:sz w:val="28"/>
          <w:sz w:val="28"/>
          <w:szCs w:val="28"/>
          <w:rtl w:val="true"/>
          <w:lang w:bidi="ar-SA"/>
        </w:rPr>
        <w:t>لا عبرة به، و ما احتجّ به لا دلالة له</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731833_3804643083"/>
      <w:bookmarkStart w:id="57" w:name="_Toc22"/>
      <w:bookmarkEnd w:id="56"/>
      <w:r>
        <w:rPr>
          <w:rtl w:val="true"/>
        </w:rPr>
        <w:t>الثاني</w:t>
      </w:r>
      <w:r>
        <w:rPr>
          <w:rtl w:val="true"/>
        </w:rPr>
        <w:t>:</w:t>
      </w:r>
      <w:bookmarkEnd w:id="57"/>
    </w:p>
    <w:p>
      <w:pPr>
        <w:pStyle w:val="BookText"/>
        <w:rPr/>
      </w:pPr>
      <w:r>
        <w:rPr>
          <w:rFonts w:ascii="Amiri" w:hAnsi="Amiri" w:eastAsia="Amiri" w:cs="Amiri"/>
          <w:color w:val="111111"/>
          <w:sz w:val="28"/>
          <w:sz w:val="28"/>
          <w:szCs w:val="28"/>
          <w:rtl w:val="true"/>
          <w:lang w:bidi="ar-SA"/>
        </w:rPr>
        <w:t>الحقّ تنجّس القليل بما لا يدركه الطرف من النجاسة، وفاقاً للمعظم؛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خاصّة </w:t>
      </w:r>
      <w:r>
        <w:rPr>
          <w:rStyle w:val="FootnoteAnchor"/>
          <w:rtl w:val="true"/>
        </w:rPr>
        <w:footnoteReference w:id="48"/>
      </w:r>
      <w:r>
        <w:rPr>
          <w:rFonts w:ascii="Amiri" w:hAnsi="Amiri" w:eastAsia="Amiri" w:cs="Amiri"/>
          <w:color w:val="111111"/>
          <w:sz w:val="28"/>
          <w:sz w:val="28"/>
          <w:szCs w:val="28"/>
          <w:rtl w:val="true"/>
          <w:lang w:bidi="ar-SA"/>
        </w:rPr>
        <w:t xml:space="preserve">لظاهر الصحيح </w:t>
      </w:r>
      <w:r>
        <w:rPr>
          <w:rStyle w:val="FootnoteAnchor"/>
          <w:rtl w:val="true"/>
        </w:rPr>
        <w:footnoteReference w:id="49"/>
      </w:r>
      <w:r>
        <w:rPr>
          <w:rFonts w:ascii="Amiri" w:hAnsi="Amiri" w:eastAsia="Amiri" w:cs="Amiri"/>
          <w:color w:val="111111"/>
          <w:sz w:val="28"/>
          <w:sz w:val="28"/>
          <w:szCs w:val="28"/>
          <w:rtl w:val="true"/>
          <w:lang w:bidi="ar-SA"/>
        </w:rPr>
        <w:t>، و ردّ بمنع الدلالة و اختصاصه بالرعاف، فالتعدية قياس باطل</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3731835_3804643083"/>
      <w:bookmarkStart w:id="59" w:name="_Toc23"/>
      <w:bookmarkEnd w:id="58"/>
      <w:r>
        <w:rPr>
          <w:rtl w:val="true"/>
        </w:rPr>
        <w:t>الثالث</w:t>
      </w:r>
      <w:r>
        <w:rPr>
          <w:rtl w:val="true"/>
        </w:rPr>
        <w:t>:</w:t>
      </w:r>
      <w:bookmarkEnd w:id="59"/>
    </w:p>
    <w:p>
      <w:pPr>
        <w:pStyle w:val="BookText"/>
        <w:rPr/>
      </w:pPr>
      <w:r>
        <w:rPr>
          <w:rFonts w:ascii="Amiri" w:hAnsi="Amiri" w:eastAsia="Amiri" w:cs="Amiri"/>
          <w:color w:val="111111"/>
          <w:sz w:val="28"/>
          <w:sz w:val="28"/>
          <w:szCs w:val="28"/>
          <w:rtl w:val="true"/>
          <w:lang w:bidi="ar-SA"/>
        </w:rPr>
        <w:t>لو طارت ذبابة من نجاسة إلى يابس لم ينجس، إلّا مع القطع بالإصابة أو بقائها رطبة؛ للأصل،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مائع كذلك، إلّا أنّه ينجس مع بقائها مطلقاً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731837_3804643083"/>
      <w:bookmarkStart w:id="61" w:name="_Toc24"/>
      <w:bookmarkEnd w:id="60"/>
      <w:r>
        <w:rPr>
          <w:rtl w:val="true"/>
        </w:rPr>
        <w:t xml:space="preserve">فصل </w:t>
      </w:r>
      <w:r>
        <w:rPr>
          <w:rtl w:val="true"/>
        </w:rPr>
        <w:t>[</w:t>
      </w:r>
      <w:r>
        <w:rPr>
          <w:rtl w:val="true"/>
        </w:rPr>
        <w:t>تطهير القليل</w:t>
      </w:r>
      <w:r>
        <w:rPr>
          <w:rtl w:val="true"/>
        </w:rPr>
        <w:t>]</w:t>
      </w:r>
      <w:bookmarkEnd w:id="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يطهر القليل النجس باتّصاله بالجاري، أو الكرّ الواقف أو الملقى و لو لم يمتزجا، وفاقاً للثانيين،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 خلافاً للمحقّق و الشهيد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الوحدة فيطهر؛ لعموم الأدلّة، و كفايته في الدفع فيكفي للرفع، و كفاية الإلقاء دفعة بالإجماع، مع انتفاء الممازجة الحقيقية، و لا حجّة على اعتبار العرفيّة، مع أنّها بالسراية حاصلة؛ لعموم الطهوريّة و عدم تنجّس الكثرة، و التفرقة بين أنحاء الحصول باطلة، و استصحاب النجاسة معارض بأصالة الطهارة، فيبقىٰ أدلّتنا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كفاية مطلق الاتّصال و لو بعلوّ النجس؛ لصدق الوحدة و الإلغاء و لو تدريجاً بشرط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الدفعة وفاقاً للشهيدين </w:t>
      </w:r>
      <w:r>
        <w:rPr>
          <w:rStyle w:val="FootnoteAnchor"/>
          <w:rtl w:val="true"/>
        </w:rPr>
        <w:footnoteReference w:id="52"/>
      </w:r>
      <w:r>
        <w:rPr>
          <w:rFonts w:ascii="Amiri" w:hAnsi="Amiri" w:eastAsia="Amiri" w:cs="Amiri"/>
          <w:color w:val="111111"/>
          <w:sz w:val="28"/>
          <w:sz w:val="28"/>
          <w:szCs w:val="28"/>
          <w:rtl w:val="true"/>
          <w:lang w:bidi="ar-SA"/>
        </w:rPr>
        <w:t>لصدق الوحدة، و تعذّر الحقيقة، و عدم دليل على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ورود النصّ بها غير ثابتة، و فتوى الأكثر بها غير 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ينجس أوّله بالاتّصال، فينقص الباقي عن الكرّ، فلا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يطهر به النجس؛ للعمومين، فالكرّية وقت الاتّصال للتطهير كافية، و النقصان بعده لا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في تطهير المياه، فيقتصر فيه على مورد الوفاق، و هو الدفعة و الممازجة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دلالة العمومين على كفاية الاتّصال و لو بنحو الميزاب و الفوّارة، أو بالنبع من تحته مطلقاً،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لا عدمها كذلك كالفاضلين </w:t>
      </w:r>
      <w:r>
        <w:rPr>
          <w:rStyle w:val="FootnoteAnchor"/>
          <w:rtl w:val="true"/>
        </w:rPr>
        <w:footnoteReference w:id="54"/>
      </w:r>
      <w:r>
        <w:rPr>
          <w:rFonts w:ascii="Amiri" w:hAnsi="Amiri" w:eastAsia="Amiri" w:cs="Amiri"/>
          <w:color w:val="111111"/>
          <w:sz w:val="28"/>
          <w:sz w:val="28"/>
          <w:szCs w:val="28"/>
          <w:rtl w:val="true"/>
          <w:lang w:bidi="ar-SA"/>
        </w:rPr>
        <w:t>لاشتراط علوّ المطهّر للمنع، و لا إن كان النبع تدريجاً</w:t>
      </w:r>
      <w:bookmarkStart w:id="62" w:name="pg2479_11462"/>
    </w:p>
    <w:p>
      <w:pPr>
        <w:pStyle w:val="BookText"/>
        <w:rPr/>
      </w:pPr>
      <w:bookmarkEnd w:id="62"/>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أو رشحاً كالكركي </w:t>
      </w:r>
      <w:r>
        <w:rPr>
          <w:rStyle w:val="FootnoteAnchor"/>
          <w:rtl w:val="true"/>
        </w:rPr>
        <w:footnoteReference w:id="56"/>
      </w:r>
      <w:r>
        <w:rPr>
          <w:rFonts w:ascii="Amiri" w:hAnsi="Amiri" w:eastAsia="Amiri" w:cs="Amiri"/>
          <w:color w:val="111111"/>
          <w:sz w:val="28"/>
          <w:sz w:val="28"/>
          <w:szCs w:val="28"/>
          <w:rtl w:val="true"/>
          <w:lang w:bidi="ar-SA"/>
        </w:rPr>
        <w:t>لاشتراط الغلبة مع علوّ النجس لعدم المستند؛ إذ مقتضى الأدلّة اشتراط الاتّصال فإن حصل حصل الطهر، و إلّا لم يحصل،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المتغيّر منه برفعه ممّا لا يغيّره من كرّ متّصل،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يطهر بإتمامه كرّاً؛ للاستصحاب، و عموم تنجّس القليل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نجاسته فالحكم أظهر؛ إذ تطهّر نجسين بالانضمام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مطلقاً، و لابن حمزة لو تمّم بالطاهر </w:t>
      </w:r>
      <w:r>
        <w:rPr>
          <w:rStyle w:val="FootnoteAnchor"/>
          <w:rtl w:val="true"/>
        </w:rPr>
        <w:footnoteReference w:id="57"/>
      </w:r>
      <w:r>
        <w:rPr>
          <w:rFonts w:ascii="Amiri" w:hAnsi="Amiri" w:eastAsia="Amiri" w:cs="Amiri"/>
          <w:color w:val="111111"/>
          <w:sz w:val="28"/>
          <w:sz w:val="28"/>
          <w:szCs w:val="28"/>
          <w:rtl w:val="true"/>
          <w:lang w:bidi="ar-SA"/>
        </w:rPr>
        <w:t xml:space="preserve">للأصل، و النبوي </w:t>
      </w:r>
      <w:r>
        <w:rPr>
          <w:rStyle w:val="FootnoteAnchor"/>
          <w:rtl w:val="true"/>
        </w:rPr>
        <w:footnoteReference w:id="58"/>
      </w:r>
      <w:r>
        <w:rPr>
          <w:rFonts w:ascii="Amiri" w:hAnsi="Amiri" w:eastAsia="Amiri" w:cs="Amiri"/>
          <w:color w:val="111111"/>
          <w:sz w:val="28"/>
          <w:sz w:val="28"/>
          <w:szCs w:val="28"/>
          <w:rtl w:val="true"/>
          <w:lang w:bidi="ar-SA"/>
        </w:rPr>
        <w:t xml:space="preserve">، و دعوى الإجماع من الحلّي </w:t>
      </w:r>
      <w:r>
        <w:rPr>
          <w:rStyle w:val="FootnoteAnchor"/>
          <w:rtl w:val="true"/>
        </w:rPr>
        <w:footnoteReference w:id="59"/>
      </w:r>
      <w:r>
        <w:rPr>
          <w:rFonts w:ascii="Amiri" w:hAnsi="Amiri" w:eastAsia="Amiri" w:cs="Amiri"/>
          <w:color w:val="111111"/>
          <w:sz w:val="28"/>
          <w:sz w:val="28"/>
          <w:szCs w:val="28"/>
          <w:rtl w:val="true"/>
          <w:lang w:bidi="ar-SA"/>
        </w:rPr>
        <w:t>، و استهلاك النجاسة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مندفع بما مرّ، و الخبر مرسل لا دلالة له، و نقل الإجماع لا يقاوم، و الاستهلاك مع سبق النجاسة على البلوغ ممنوع</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731839_3804643083"/>
      <w:bookmarkStart w:id="64" w:name="_Toc25"/>
      <w:bookmarkEnd w:id="63"/>
      <w:r>
        <w:rPr>
          <w:rtl w:val="true"/>
        </w:rPr>
        <w:t xml:space="preserve">فصل </w:t>
      </w:r>
      <w:r>
        <w:rPr>
          <w:rtl w:val="true"/>
        </w:rPr>
        <w:t>[</w:t>
      </w:r>
      <w:r>
        <w:rPr>
          <w:rtl w:val="true"/>
        </w:rPr>
        <w:t>مقدار الكرّ</w:t>
      </w:r>
      <w:r>
        <w:rPr>
          <w:rtl w:val="true"/>
        </w:rPr>
        <w:t>]</w:t>
      </w:r>
      <w:bookmarkEnd w:id="64"/>
    </w:p>
    <w:p>
      <w:pPr>
        <w:pStyle w:val="Heading6"/>
        <w:numPr>
          <w:ilvl w:val="5"/>
          <w:numId w:val="1"/>
        </w:numPr>
        <w:rPr/>
      </w:pPr>
      <w:bookmarkStart w:id="65" w:name="__RefHeading___Toc3731841_3804643083"/>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الكرّ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مائتا رطل إجماعاً؛ للمرسل </w:t>
      </w:r>
      <w:r>
        <w:rPr>
          <w:rStyle w:val="FootnoteAnchor"/>
          <w:rtl w:val="true"/>
        </w:rPr>
        <w:footnoteReference w:id="60"/>
      </w:r>
      <w:r>
        <w:rPr>
          <w:rFonts w:ascii="Amiri" w:hAnsi="Amiri" w:eastAsia="Amiri" w:cs="Amiri"/>
          <w:color w:val="111111"/>
          <w:sz w:val="28"/>
          <w:sz w:val="28"/>
          <w:szCs w:val="28"/>
          <w:rtl w:val="true"/>
          <w:lang w:bidi="ar-SA"/>
        </w:rPr>
        <w:t>، و ما يخالفه مؤوّل إلى ما يرجع إليه جمعاً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الرطل هو العراقي دون المدني الزائد عليه بنصفه، وفاقاً لغير الصدوق 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الاستصحاب، و العمومات، و حصول التوافق بين الأخبار </w:t>
      </w:r>
      <w:r>
        <w:rPr>
          <w:rStyle w:val="FootnoteAnchor"/>
          <w:rtl w:val="true"/>
        </w:rPr>
        <w:footnoteReference w:id="61"/>
      </w:r>
      <w:r>
        <w:rPr>
          <w:rFonts w:ascii="Amiri" w:hAnsi="Amiri" w:eastAsia="Amiri" w:cs="Amiri"/>
          <w:color w:val="111111"/>
          <w:sz w:val="28"/>
          <w:sz w:val="28"/>
          <w:szCs w:val="28"/>
          <w:rtl w:val="true"/>
          <w:lang w:bidi="ar-SA"/>
        </w:rPr>
        <w:t>و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أحد العرفين مع التعارض بلا قرينة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مع عدم حجيّته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عدم الانفعال بالكثرة معارض باشتراط الانفعال بالقلّة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عدمها على بعض الفروض معارض بأصالة بقائها على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العراقي مائة و ثلاثون درهماً عند المعظم؛ للمكاتبة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الآخر </w:t>
      </w:r>
      <w:r>
        <w:rPr>
          <w:rStyle w:val="FootnoteAnchor"/>
          <w:rtl w:val="true"/>
        </w:rPr>
        <w:footnoteReference w:id="63"/>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تكسيره سبعة و عشرين شبراً، وفاقاً للقمّيين و الثانيين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اثنين و أربعين و سبعة أثمان كالأكثر، أو مائة كالإسكافي </w:t>
      </w:r>
      <w:r>
        <w:rPr>
          <w:rStyle w:val="FootnoteAnchor"/>
          <w:rtl w:val="true"/>
        </w:rPr>
        <w:footnoteReference w:id="65"/>
      </w:r>
      <w:r>
        <w:rPr>
          <w:rFonts w:ascii="Amiri" w:hAnsi="Amiri" w:eastAsia="Amiri" w:cs="Amiri"/>
          <w:color w:val="111111"/>
          <w:sz w:val="28"/>
          <w:sz w:val="28"/>
          <w:szCs w:val="28"/>
          <w:rtl w:val="true"/>
          <w:lang w:bidi="ar-SA"/>
        </w:rPr>
        <w:t xml:space="preserve">، أو أبعاده عشرة و نصفاً كالراوندي </w:t>
      </w:r>
      <w:r>
        <w:rPr>
          <w:rStyle w:val="FootnoteAnchor"/>
          <w:rtl w:val="true"/>
        </w:rPr>
        <w:footnoteReference w:id="66"/>
      </w:r>
      <w:r>
        <w:rPr>
          <w:rFonts w:ascii="Amiri" w:hAnsi="Amiri" w:eastAsia="Amiri" w:cs="Amiri"/>
          <w:color w:val="111111"/>
          <w:sz w:val="28"/>
          <w:sz w:val="28"/>
          <w:szCs w:val="28"/>
          <w:rtl w:val="true"/>
          <w:lang w:bidi="ar-SA"/>
        </w:rPr>
        <w:t xml:space="preserve">، أو لا يتحرّك جنباه إن طرح فيه حجر كالشلمغاني </w:t>
      </w:r>
      <w:r>
        <w:rPr>
          <w:rStyle w:val="FootnoteAnchor"/>
          <w:rtl w:val="true"/>
        </w:rPr>
        <w:footnoteReference w:id="67"/>
      </w:r>
      <w:r>
        <w:rPr>
          <w:rFonts w:ascii="Amiri" w:hAnsi="Amiri" w:eastAsia="Amiri" w:cs="Amiri"/>
          <w:color w:val="111111"/>
          <w:sz w:val="28"/>
          <w:sz w:val="28"/>
          <w:szCs w:val="28"/>
          <w:rtl w:val="true"/>
          <w:lang w:bidi="ar-SA"/>
        </w:rPr>
        <w:t xml:space="preserve">، أو الاكتفاء بكلّ واحد كابن طاوس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69"/>
      </w:r>
      <w:r>
        <w:rPr>
          <w:rFonts w:ascii="Amiri" w:hAnsi="Amiri" w:eastAsia="Amiri" w:cs="Amiri"/>
          <w:color w:val="111111"/>
          <w:sz w:val="28"/>
          <w:sz w:val="28"/>
          <w:szCs w:val="28"/>
          <w:rtl w:val="true"/>
          <w:lang w:bidi="ar-SA"/>
        </w:rPr>
        <w:t xml:space="preserve">، و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أصالة الطهارة و استصحابها؛ لكونه أقلّ ما قيل، و أقربيّته إلى التقدير بالوزن، و تأتّي الجمع بحمل</w:t>
      </w:r>
      <w:bookmarkStart w:id="67" w:name="pg2479_11464"/>
    </w:p>
    <w:p>
      <w:pPr>
        <w:pStyle w:val="BookText"/>
        <w:rPr/>
      </w:pPr>
      <w:bookmarkEnd w:id="67"/>
      <w:r>
        <w:rPr>
          <w:rFonts w:ascii="Amiri" w:hAnsi="Amiri" w:eastAsia="Amiri" w:cs="Amiri"/>
          <w:color w:val="111111"/>
          <w:sz w:val="28"/>
          <w:sz w:val="28"/>
          <w:szCs w:val="28"/>
          <w:rtl w:val="true"/>
          <w:lang w:bidi="ar-SA"/>
        </w:rPr>
        <w:t xml:space="preserve">الأخبار المخالفة </w:t>
      </w:r>
      <w:r>
        <w:rPr>
          <w:rStyle w:val="FootnoteAnchor"/>
          <w:rtl w:val="true"/>
        </w:rPr>
        <w:footnoteReference w:id="71"/>
      </w:r>
      <w:r>
        <w:rPr>
          <w:rFonts w:ascii="Amiri" w:hAnsi="Amiri" w:eastAsia="Amiri" w:cs="Amiri"/>
          <w:color w:val="111111"/>
          <w:sz w:val="28"/>
          <w:sz w:val="28"/>
          <w:szCs w:val="28"/>
          <w:rtl w:val="true"/>
          <w:lang w:bidi="ar-SA"/>
        </w:rPr>
        <w:t>على الندب و مراتبه، و على الأقوال الأُخر يلزم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2"/>
      </w:r>
      <w:r>
        <w:rPr>
          <w:rFonts w:ascii="Amiri" w:hAnsi="Amiri" w:eastAsia="Amiri" w:cs="Amiri"/>
          <w:color w:val="111111"/>
          <w:sz w:val="28"/>
          <w:sz w:val="28"/>
          <w:szCs w:val="28"/>
          <w:rtl w:val="true"/>
          <w:lang w:bidi="ar-SA"/>
        </w:rPr>
        <w:t>، و ردّ بالضعف 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البواقي بين راجع إلى المختار و ما لا مستند له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731843_3804643083"/>
      <w:bookmarkStart w:id="69" w:name="_Toc27"/>
      <w:bookmarkEnd w:id="68"/>
      <w:r>
        <w:rPr>
          <w:rtl w:val="true"/>
        </w:rPr>
        <w:t xml:space="preserve">فصل </w:t>
      </w:r>
      <w:r>
        <w:rPr>
          <w:rtl w:val="true"/>
        </w:rPr>
        <w:t>[</w:t>
      </w:r>
      <w:r>
        <w:rPr>
          <w:rtl w:val="true"/>
        </w:rPr>
        <w:t>تنجّس الكثير بالتغيّر</w:t>
      </w:r>
      <w:r>
        <w:rPr>
          <w:rtl w:val="true"/>
        </w:rPr>
        <w:t>]</w:t>
      </w:r>
      <w:bookmarkEnd w:id="69"/>
    </w:p>
    <w:p>
      <w:pPr>
        <w:pStyle w:val="BookText"/>
        <w:rPr/>
      </w:pPr>
      <w:r>
        <w:rPr>
          <w:rFonts w:ascii="Amiri" w:hAnsi="Amiri" w:eastAsia="Amiri" w:cs="Amiri"/>
          <w:color w:val="111111"/>
          <w:sz w:val="28"/>
          <w:sz w:val="28"/>
          <w:szCs w:val="28"/>
          <w:rtl w:val="true"/>
          <w:lang w:bidi="ar-SA"/>
        </w:rPr>
        <w:t xml:space="preserve">تنجّس الكثير بالتغيّر بالنجس كعدمه بدونه مجمع عليه، و النصوص به مستفيضة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 المفيد و الديلمي </w:t>
      </w:r>
      <w:r>
        <w:rPr>
          <w:rStyle w:val="FootnoteAnchor"/>
          <w:rtl w:val="true"/>
        </w:rPr>
        <w:footnoteReference w:id="74"/>
      </w:r>
      <w:r>
        <w:rPr>
          <w:rFonts w:ascii="Amiri" w:hAnsi="Amiri" w:eastAsia="Amiri" w:cs="Amiri"/>
          <w:color w:val="111111"/>
          <w:sz w:val="28"/>
          <w:sz w:val="28"/>
          <w:szCs w:val="28"/>
          <w:rtl w:val="true"/>
          <w:lang w:bidi="ar-SA"/>
        </w:rPr>
        <w:t>في الثاني في مياه الحياض و الأواني غير صريح؛ لإمكان حمل الكثرة في كلامهما على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الصراحة فلا عبرة به؛ لاندفاعه بالعام و الخاص المعتضدين بالأصل و الشهرة، و مجرّد بعض العمومات لا يقاومها، و ما فيه من قرب الحمل و التخصيص يوهنه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طهره بما مرّ، لا بزواله بنفسه أو التصفيق و مثله، وفاقاً للمعظم؛ للاستصحاب و إطلاق الخبر </w:t>
      </w:r>
      <w:r>
        <w:rPr>
          <w:rStyle w:val="FootnoteAnchor"/>
          <w:rtl w:val="true"/>
        </w:rPr>
        <w:footnoteReference w:id="76"/>
      </w:r>
      <w:r>
        <w:rPr>
          <w:rFonts w:ascii="IRNazanin" w:hAnsi="IRNazanin" w:eastAsia="IRNazanin"/>
          <w:color w:val="111111"/>
          <w:sz w:val="28"/>
          <w:sz w:val="28"/>
          <w:szCs w:val="28"/>
          <w:rtl w:val="true"/>
          <w:lang w:bidi="fa-IR"/>
        </w:rPr>
        <w:t xml:space="preserve">، و خلافاً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للأصل، و بزوال العلّة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70" w:name="pg2479_11465"/>
    </w:p>
    <w:p>
      <w:pPr>
        <w:pStyle w:val="BookText"/>
        <w:rPr/>
      </w:pPr>
      <w:bookmarkEnd w:id="70"/>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مندفع بما مرّ و العلّة أمارة لا باعثة، و لو سلّم فعلّة الحدوث لا البقاء، و لو سلّم منعنا حصول المعتبر من الزوال </w:t>
      </w:r>
      <w:r>
        <w:rPr>
          <w:rStyle w:val="FootnoteAnchor"/>
          <w:rtl w:val="true"/>
        </w:rPr>
        <w:footnoteReference w:id="79"/>
      </w:r>
      <w:r>
        <w:rPr>
          <w:rFonts w:ascii="Amiri" w:hAnsi="Amiri" w:eastAsia="Amiri" w:cs="Amiri"/>
          <w:color w:val="111111"/>
          <w:sz w:val="28"/>
          <w:sz w:val="28"/>
          <w:szCs w:val="28"/>
          <w:rtl w:val="true"/>
          <w:lang w:bidi="ar-SA"/>
        </w:rPr>
        <w:t>فإنه على وجوه، و العبرة بالحقيقي منها، و هو ما كان بالوجه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التمسّك بخبر البلوغ </w:t>
      </w:r>
      <w:r>
        <w:rPr>
          <w:rStyle w:val="FootnoteAnchor"/>
          <w:rtl w:val="true"/>
        </w:rPr>
        <w:footnoteReference w:id="80"/>
      </w:r>
      <w:r>
        <w:rPr>
          <w:rFonts w:ascii="Amiri" w:hAnsi="Amiri" w:eastAsia="Amiri" w:cs="Amiri"/>
          <w:color w:val="111111"/>
          <w:sz w:val="28"/>
          <w:sz w:val="28"/>
          <w:szCs w:val="28"/>
          <w:rtl w:val="true"/>
          <w:lang w:bidi="ar-SA"/>
        </w:rPr>
        <w:t>بعد تسليم التنجّس بالتغيّر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استناد التغيّر إلى النجاسة لا ينجّس؛ للأصل و الاستصحاب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الظن به؛ لما ذكر، و إطلاق حجيّة الظن ضعيف؛ إذا الظواهر تعطي عدم اعتباره مطلقاً </w:t>
      </w:r>
      <w:r>
        <w:rPr>
          <w:rStyle w:val="FootnoteAnchor"/>
          <w:rtl w:val="true"/>
        </w:rPr>
        <w:footnoteReference w:id="81"/>
      </w:r>
      <w:r>
        <w:rPr>
          <w:rFonts w:ascii="Amiri" w:hAnsi="Amiri" w:eastAsia="Amiri" w:cs="Amiri"/>
          <w:color w:val="111111"/>
          <w:sz w:val="28"/>
          <w:sz w:val="28"/>
          <w:szCs w:val="28"/>
          <w:rtl w:val="true"/>
          <w:lang w:bidi="ar-SA"/>
        </w:rPr>
        <w:t>، خرج ما خرج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الأكثر صدق الوحدة مع الاتّصال و لو بثقبة ضيّقة و اختلاف السطوح، فيصدق الكرّ على مثله و يقتضي حكمية؛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الممازجة كالفاضلين و الشهيد </w:t>
      </w:r>
      <w:r>
        <w:rPr>
          <w:rStyle w:val="FootnoteAnchor"/>
          <w:rtl w:val="true"/>
        </w:rPr>
        <w:footnoteReference w:id="82"/>
      </w:r>
      <w:r>
        <w:rPr>
          <w:rFonts w:ascii="Amiri" w:hAnsi="Amiri" w:eastAsia="Amiri" w:cs="Amiri"/>
          <w:color w:val="111111"/>
          <w:sz w:val="28"/>
          <w:sz w:val="28"/>
          <w:szCs w:val="28"/>
          <w:rtl w:val="true"/>
          <w:lang w:bidi="ar-SA"/>
        </w:rPr>
        <w:t xml:space="preserve">، أو الاستواء أو علوّ المطهّر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أو الأوّل فقط كبعض الثالثة </w:t>
      </w:r>
      <w:r>
        <w:rPr>
          <w:rStyle w:val="FootnoteAnchor"/>
          <w:rtl w:val="true"/>
        </w:rPr>
        <w:footnoteReference w:id="84"/>
      </w:r>
      <w:r>
        <w:rPr>
          <w:rFonts w:ascii="IRNazanin" w:hAnsi="IRNazanin" w:eastAsia="IRNazanin"/>
          <w:color w:val="111111"/>
          <w:sz w:val="28"/>
          <w:sz w:val="28"/>
          <w:szCs w:val="28"/>
          <w:rtl w:val="true"/>
          <w:lang w:bidi="fa-IR"/>
        </w:rPr>
        <w:t>قد علم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طريق تطهير المتغيّر منه مع حكم تغيّر البعض بقطعه العمود و بدونه يظهر ممّا مرّ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731845_3804643083"/>
      <w:bookmarkStart w:id="72" w:name="_Toc28"/>
      <w:bookmarkEnd w:id="71"/>
      <w:r>
        <w:rPr>
          <w:rtl w:val="true"/>
        </w:rPr>
        <w:t xml:space="preserve">فصل </w:t>
      </w:r>
      <w:r>
        <w:rPr>
          <w:rtl w:val="true"/>
        </w:rPr>
        <w:t>[</w:t>
      </w:r>
      <w:r>
        <w:rPr>
          <w:rtl w:val="true"/>
        </w:rPr>
        <w:t>ماء البئر</w:t>
      </w:r>
      <w:r>
        <w:rPr>
          <w:rtl w:val="true"/>
        </w:rPr>
        <w:t>]</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البئر مجمع ماء نابع لا يتعدّاها غالباً، و لا يخرج عن مسمّاها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تنجّس مائها مع التغيّر مجمع عليه، و العمومات ترشد إليه </w:t>
      </w:r>
      <w:r>
        <w:rPr>
          <w:rStyle w:val="FootnoteAnchor"/>
          <w:rtl w:val="true"/>
        </w:rPr>
        <w:footnoteReference w:id="85"/>
      </w:r>
      <w:r>
        <w:rPr>
          <w:rFonts w:ascii="Amiri" w:hAnsi="Amiri" w:eastAsia="Amiri" w:cs="Amiri"/>
          <w:color w:val="111111"/>
          <w:sz w:val="28"/>
          <w:sz w:val="28"/>
          <w:szCs w:val="28"/>
          <w:rtl w:val="true"/>
          <w:lang w:bidi="ar-SA"/>
        </w:rPr>
        <w:t xml:space="preserve">، و بدونه محلّ نزاع، و الحقّ عدمه مطلقاً مع استحباب النزح، وفاقاً للحسن و ابني الجهم و الغضائري </w:t>
      </w:r>
      <w:r>
        <w:rPr>
          <w:rStyle w:val="FootnoteAnchor"/>
          <w:rtl w:val="true"/>
        </w:rPr>
        <w:footnoteReference w:id="86"/>
      </w:r>
      <w:r>
        <w:rPr>
          <w:rFonts w:ascii="Amiri" w:hAnsi="Amiri" w:eastAsia="Amiri" w:cs="Amiri"/>
          <w:color w:val="111111"/>
          <w:sz w:val="28"/>
          <w:sz w:val="28"/>
          <w:szCs w:val="28"/>
          <w:rtl w:val="true"/>
          <w:lang w:bidi="ar-SA"/>
        </w:rPr>
        <w:t xml:space="preserve">و الفاضل و ولده و الكركي </w:t>
      </w:r>
      <w:r>
        <w:rPr>
          <w:rStyle w:val="FootnoteAnchor"/>
          <w:rtl w:val="true"/>
        </w:rPr>
        <w:footnoteReference w:id="87"/>
      </w:r>
      <w:r>
        <w:rPr>
          <w:rFonts w:ascii="Amiri" w:hAnsi="Amiri" w:eastAsia="Amiri" w:cs="Amiri"/>
          <w:color w:val="111111"/>
          <w:sz w:val="28"/>
          <w:sz w:val="28"/>
          <w:szCs w:val="28"/>
          <w:rtl w:val="true"/>
          <w:lang w:bidi="ar-SA"/>
        </w:rPr>
        <w:t>، و عليه جلّ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وجوبه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لا مع كريّته كالبصروي </w:t>
      </w:r>
      <w:r>
        <w:rPr>
          <w:rStyle w:val="FootnoteAnchor"/>
          <w:rtl w:val="true"/>
        </w:rPr>
        <w:footnoteReference w:id="89"/>
      </w:r>
      <w:r>
        <w:rPr>
          <w:rFonts w:ascii="Amiri" w:hAnsi="Amiri" w:eastAsia="Amiri" w:cs="Amiri"/>
          <w:color w:val="111111"/>
          <w:sz w:val="28"/>
          <w:sz w:val="28"/>
          <w:szCs w:val="28"/>
          <w:rtl w:val="true"/>
          <w:lang w:bidi="ar-SA"/>
        </w:rPr>
        <w:t xml:space="preserve">، و لا نجاسته مطلقاً كالمرتضىٰ </w:t>
      </w:r>
      <w:r>
        <w:rPr>
          <w:rStyle w:val="FootnoteAnchor"/>
          <w:rtl w:val="true"/>
        </w:rPr>
        <w:footnoteReference w:id="90"/>
      </w:r>
      <w:r>
        <w:rPr>
          <w:rFonts w:ascii="Amiri" w:hAnsi="Amiri" w:eastAsia="Amiri" w:cs="Amiri"/>
          <w:color w:val="111111"/>
          <w:sz w:val="28"/>
          <w:sz w:val="28"/>
          <w:szCs w:val="28"/>
          <w:rtl w:val="true"/>
          <w:lang w:bidi="ar-SA"/>
        </w:rPr>
        <w:t xml:space="preserve">، و أكثر الثانية، و الشيخ في كتب الفروع الأوّل و الثالث </w:t>
      </w:r>
      <w:r>
        <w:rPr>
          <w:rStyle w:val="FootnoteAnchor"/>
          <w:rtl w:val="true"/>
        </w:rPr>
        <w:footnoteReference w:id="91"/>
      </w:r>
      <w:r>
        <w:rPr>
          <w:rFonts w:ascii="Amiri" w:hAnsi="Amiri" w:eastAsia="Amiri" w:cs="Amiri"/>
          <w:color w:val="111111"/>
          <w:sz w:val="28"/>
          <w:sz w:val="28"/>
          <w:szCs w:val="28"/>
          <w:rtl w:val="true"/>
          <w:lang w:bidi="ar-SA"/>
        </w:rPr>
        <w:t>، و في التهذيبين كلام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العمومات خصوص ما قرب التواتر من الصحاح و غيرها </w:t>
      </w:r>
      <w:r>
        <w:rPr>
          <w:rStyle w:val="FootnoteAnchor"/>
          <w:rtl w:val="true"/>
        </w:rPr>
        <w:footnoteReference w:id="92"/>
      </w:r>
      <w:r>
        <w:rPr>
          <w:rFonts w:ascii="Amiri" w:hAnsi="Amiri" w:eastAsia="Amiri" w:cs="Amiri"/>
          <w:color w:val="111111"/>
          <w:sz w:val="28"/>
          <w:sz w:val="28"/>
          <w:szCs w:val="28"/>
          <w:rtl w:val="true"/>
          <w:lang w:bidi="ar-SA"/>
        </w:rPr>
        <w:t>، و أُيّد بإيجاب التنجّس ترجيح المرجوح، و التنجّس بغير منجّس و التطهير بغير مطهّر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النزح بحملها على الندب؛ للأصل، و المعارض، و ما فيها من شدّة التعارض </w:t>
      </w:r>
      <w:r>
        <w:rPr>
          <w:rStyle w:val="FootnoteAnchor"/>
          <w:rtl w:val="true"/>
        </w:rPr>
        <w:footnoteReference w:id="93"/>
      </w:r>
      <w:r>
        <w:rPr>
          <w:rFonts w:ascii="IRNazanin" w:hAnsi="IRNazanin" w:eastAsia="IRNazanin"/>
          <w:color w:val="111111"/>
          <w:sz w:val="28"/>
          <w:sz w:val="28"/>
          <w:szCs w:val="28"/>
          <w:rtl w:val="true"/>
          <w:lang w:bidi="fa-IR"/>
        </w:rPr>
        <w:t xml:space="preserve">، و إطلاق الدلاء </w:t>
      </w:r>
      <w:r>
        <w:rPr>
          <w:rStyle w:val="FootnoteAnchor"/>
          <w:rtl w:val="true"/>
        </w:rPr>
        <w:footnoteReference w:id="94"/>
      </w:r>
      <w:r>
        <w:rPr>
          <w:rFonts w:ascii="IRNazanin" w:hAnsi="IRNazanin" w:eastAsia="IRNazanin"/>
          <w:color w:val="111111"/>
          <w:sz w:val="28"/>
          <w:sz w:val="28"/>
          <w:szCs w:val="28"/>
          <w:rtl w:val="true"/>
          <w:lang w:bidi="fa-IR"/>
        </w:rPr>
        <w:t xml:space="preserve">، و النزح للطاهر </w:t>
      </w:r>
      <w:r>
        <w:rPr>
          <w:rStyle w:val="FootnoteAnchor"/>
          <w:rtl w:val="true"/>
        </w:rPr>
        <w:footnoteReference w:id="95"/>
      </w:r>
      <w:r>
        <w:rPr>
          <w:rFonts w:ascii="Amiri" w:hAnsi="Amiri" w:eastAsia="Amiri" w:cs="Amiri"/>
          <w:color w:val="111111"/>
          <w:sz w:val="28"/>
          <w:sz w:val="28"/>
          <w:szCs w:val="28"/>
          <w:rtl w:val="true"/>
          <w:lang w:bidi="ar-SA"/>
        </w:rPr>
        <w:t xml:space="preserve">، و التخيير بين عددين </w:t>
      </w:r>
      <w:r>
        <w:rPr>
          <w:rStyle w:val="FootnoteAnchor"/>
          <w:rtl w:val="true"/>
        </w:rPr>
        <w:footnoteReference w:id="96"/>
      </w:r>
      <w:r>
        <w:rPr>
          <w:rFonts w:ascii="Amiri" w:hAnsi="Amiri" w:eastAsia="Amiri" w:cs="Amiri"/>
          <w:color w:val="111111"/>
          <w:sz w:val="28"/>
          <w:sz w:val="28"/>
          <w:szCs w:val="28"/>
          <w:rtl w:val="true"/>
          <w:lang w:bidi="ar-SA"/>
        </w:rPr>
        <w:t xml:space="preserve">، و جمع المتخالفات، و تفريق المتماثلات </w:t>
      </w:r>
      <w:r>
        <w:rPr>
          <w:rStyle w:val="FootnoteAnchor"/>
          <w:rtl w:val="true"/>
        </w:rPr>
        <w:footnoteReference w:id="97"/>
      </w:r>
      <w:r>
        <w:rPr>
          <w:rFonts w:ascii="Amiri" w:hAnsi="Amiri" w:eastAsia="Amiri" w:cs="Amiri"/>
          <w:color w:val="111111"/>
          <w:sz w:val="28"/>
          <w:sz w:val="28"/>
          <w:szCs w:val="28"/>
          <w:rtl w:val="true"/>
          <w:lang w:bidi="ar-SA"/>
        </w:rPr>
        <w:t>، و بذلك اندفع 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للبصروي على موضع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انفعال القليل، و أُجيب بالمنع، و التخصيص بالأقوىٰ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النزح </w:t>
      </w:r>
      <w:r>
        <w:rPr>
          <w:rStyle w:val="FootnoteAnchor"/>
          <w:rtl w:val="true"/>
        </w:rPr>
        <w:footnoteReference w:id="98"/>
      </w:r>
      <w:r>
        <w:rPr>
          <w:rFonts w:ascii="Amiri" w:hAnsi="Amiri" w:eastAsia="Amiri" w:cs="Amiri"/>
          <w:color w:val="111111"/>
          <w:sz w:val="28"/>
          <w:sz w:val="28"/>
          <w:szCs w:val="28"/>
          <w:rtl w:val="true"/>
          <w:lang w:bidi="ar-SA"/>
        </w:rPr>
        <w:t xml:space="preserve">، و لا يفيد النجاسة، و أدلّة انفعال القليل </w:t>
      </w:r>
      <w:r>
        <w:rPr>
          <w:rStyle w:val="FootnoteAnchor"/>
          <w:rtl w:val="true"/>
        </w:rPr>
        <w:footnoteReference w:id="99"/>
      </w:r>
      <w:r>
        <w:rPr>
          <w:rFonts w:ascii="IRNazanin" w:hAnsi="IRNazanin" w:eastAsia="IRNazanin"/>
          <w:color w:val="111111"/>
          <w:sz w:val="28"/>
          <w:sz w:val="28"/>
          <w:szCs w:val="28"/>
          <w:rtl w:val="true"/>
          <w:lang w:bidi="fa-IR"/>
        </w:rPr>
        <w:t xml:space="preserve">، و لا عموم لها، و ما دلّ على فساد البئر بالوقوع أو تطهّره بالنزح </w:t>
      </w:r>
      <w:r>
        <w:rPr>
          <w:rStyle w:val="FootnoteAnchor"/>
          <w:rtl w:val="true"/>
        </w:rPr>
        <w:footnoteReference w:id="100"/>
      </w:r>
      <w:r>
        <w:rPr>
          <w:rFonts w:ascii="Amiri" w:hAnsi="Amiri" w:eastAsia="Amiri" w:cs="Amiri"/>
          <w:color w:val="111111"/>
          <w:sz w:val="28"/>
          <w:sz w:val="28"/>
          <w:szCs w:val="28"/>
          <w:rtl w:val="true"/>
          <w:lang w:bidi="ar-SA"/>
        </w:rPr>
        <w:t>، و فيه قرينة على إرادة النفرة و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الدلالة فالترجيح لأخبار الطهارة بالكثرة، و الصراحة، و موافقة الأصل، و الاستصحاب، و عموم السنّة و الكتاب، و تأتّي الجمع بحمل ما يخالفها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تأييده بالشهرة و دعوى الإجماع من الحلّي و ابن زهرة </w:t>
      </w:r>
      <w:r>
        <w:rPr>
          <w:rStyle w:val="FootnoteAnchor"/>
          <w:rtl w:val="true"/>
        </w:rPr>
        <w:footnoteReference w:id="101"/>
      </w:r>
      <w:r>
        <w:rPr>
          <w:rFonts w:ascii="Amiri" w:hAnsi="Amiri" w:eastAsia="Amiri" w:cs="Amiri"/>
          <w:color w:val="111111"/>
          <w:sz w:val="28"/>
          <w:sz w:val="28"/>
          <w:szCs w:val="28"/>
          <w:rtl w:val="true"/>
          <w:lang w:bidi="ar-SA"/>
        </w:rPr>
        <w:t>لا يرجّحه، كما لا يخفى وجهه، على أنّ الشهرة مفقودة أو ضعيفة، و النقل من غير ضابط فيما خالف فيه الأجلّة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يطهر المتغيّر منه عندنا بزوال تغيّره بالنزح أو ما مرّ؛ للمستفيضة من الصحاح و غيرها </w:t>
      </w:r>
      <w:r>
        <w:rPr>
          <w:rStyle w:val="FootnoteAnchor"/>
          <w:rtl w:val="true"/>
        </w:rPr>
        <w:footnoteReference w:id="102"/>
      </w:r>
      <w:r>
        <w:rPr>
          <w:rFonts w:ascii="Amiri" w:hAnsi="Amiri" w:eastAsia="Amiri" w:cs="Amiri"/>
          <w:color w:val="111111"/>
          <w:sz w:val="28"/>
          <w:sz w:val="28"/>
          <w:szCs w:val="28"/>
          <w:rtl w:val="true"/>
          <w:lang w:bidi="ar-SA"/>
        </w:rPr>
        <w:t>، و لزوال العلّة، و كونه كالجاري و النزح كالتدافع، و بنفسه أو بالعلاج أيضاً؛ لزوال السبب مع الاتّصال بالمادّة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حجّة لنا لا علينا؛ لجعل الزوال فيها غاية للنزح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للمنجّسين أقوال متكثّرة </w:t>
      </w:r>
      <w:r>
        <w:rPr>
          <w:rStyle w:val="FootnoteAnchor"/>
          <w:rtl w:val="true"/>
        </w:rPr>
        <w:footnoteReference w:id="103"/>
      </w:r>
      <w:r>
        <w:rPr>
          <w:rFonts w:ascii="Amiri" w:hAnsi="Amiri" w:eastAsia="Amiri" w:cs="Amiri"/>
          <w:color w:val="111111"/>
          <w:sz w:val="28"/>
          <w:sz w:val="28"/>
          <w:szCs w:val="28"/>
          <w:rtl w:val="true"/>
          <w:lang w:bidi="ar-SA"/>
        </w:rPr>
        <w:t>لأخبار بين غير ناهض و متعيّن الحمل على الندب أو التخصيص بما يرجع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نذكره من مقادير النزح عندنا على الندب و عندهم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للخمر و موت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الماء، بالإجماعين، و الصحاح المستفيضة </w:t>
      </w:r>
      <w:r>
        <w:rPr>
          <w:rStyle w:val="FootnoteAnchor"/>
          <w:rtl w:val="true"/>
        </w:rPr>
        <w:footnoteReference w:id="104"/>
      </w:r>
      <w:r>
        <w:rPr>
          <w:rFonts w:ascii="Amiri" w:hAnsi="Amiri" w:eastAsia="Amiri" w:cs="Amiri"/>
          <w:color w:val="111111"/>
          <w:sz w:val="28"/>
          <w:sz w:val="28"/>
          <w:szCs w:val="28"/>
          <w:rtl w:val="true"/>
          <w:lang w:bidi="ar-SA"/>
        </w:rPr>
        <w:t xml:space="preserve">، و إطلاقها يشمل القطرة كما عليه المعظم، و الصدوق أوجب لها عشرين دلواً </w:t>
      </w:r>
      <w:r>
        <w:rPr>
          <w:rStyle w:val="FootnoteAnchor"/>
          <w:rtl w:val="true"/>
        </w:rPr>
        <w:footnoteReference w:id="105"/>
      </w:r>
      <w:r>
        <w:rPr>
          <w:rFonts w:ascii="Amiri" w:hAnsi="Amiri" w:eastAsia="Amiri" w:cs="Amiri"/>
          <w:color w:val="111111"/>
          <w:sz w:val="28"/>
          <w:sz w:val="28"/>
          <w:szCs w:val="28"/>
          <w:rtl w:val="true"/>
          <w:lang w:bidi="ar-SA"/>
        </w:rPr>
        <w:t xml:space="preserve">للخبرين </w:t>
      </w:r>
      <w:r>
        <w:rPr>
          <w:rStyle w:val="FootnoteAnchor"/>
          <w:rtl w:val="true"/>
        </w:rPr>
        <w:footnoteReference w:id="106"/>
      </w:r>
      <w:r>
        <w:rPr>
          <w:rFonts w:ascii="Amiri" w:hAnsi="Amiri" w:eastAsia="Amiri" w:cs="Amiri"/>
          <w:color w:val="111111"/>
          <w:sz w:val="28"/>
          <w:sz w:val="28"/>
          <w:szCs w:val="28"/>
          <w:rtl w:val="true"/>
          <w:lang w:bidi="ar-SA"/>
        </w:rPr>
        <w:t>، و فيهما مع الضعف منع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الثور و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كالبعير؛ للصحيح </w:t>
      </w:r>
      <w:r>
        <w:rPr>
          <w:rStyle w:val="FootnoteAnchor"/>
          <w:rtl w:val="true"/>
        </w:rPr>
        <w:footnoteReference w:id="107"/>
      </w:r>
      <w:r>
        <w:rPr>
          <w:rFonts w:ascii="Amiri" w:hAnsi="Amiri" w:eastAsia="Amiri" w:cs="Amiri"/>
          <w:color w:val="111111"/>
          <w:sz w:val="28"/>
          <w:sz w:val="28"/>
          <w:szCs w:val="28"/>
          <w:rtl w:val="true"/>
          <w:lang w:bidi="ar-SA"/>
        </w:rPr>
        <w:t xml:space="preserve">، و نزح الكرّ له كالحلّي </w:t>
      </w:r>
      <w:r>
        <w:rPr>
          <w:rStyle w:val="FootnoteAnchor"/>
          <w:rtl w:val="true"/>
        </w:rPr>
        <w:footnoteReference w:id="108"/>
      </w:r>
      <w:r>
        <w:rPr>
          <w:rFonts w:ascii="Amiri" w:hAnsi="Amiri" w:eastAsia="Amiri" w:cs="Amiri"/>
          <w:color w:val="111111"/>
          <w:sz w:val="28"/>
          <w:sz w:val="28"/>
          <w:szCs w:val="28"/>
          <w:rtl w:val="true"/>
          <w:lang w:bidi="ar-SA"/>
        </w:rPr>
        <w:t xml:space="preserve">، أولها كالأكثر ضعيف، و تعليلهما عليل، و إدخالها فيما لا نصّ فيه كالمحقّق </w:t>
      </w:r>
      <w:r>
        <w:rPr>
          <w:rStyle w:val="FootnoteAnchor"/>
          <w:rtl w:val="true"/>
        </w:rPr>
        <w:footnoteReference w:id="109"/>
      </w:r>
      <w:r>
        <w:rPr>
          <w:rFonts w:ascii="Amiri" w:hAnsi="Amiri" w:eastAsia="Amiri" w:cs="Amiri"/>
          <w:color w:val="111111"/>
          <w:sz w:val="28"/>
          <w:sz w:val="28"/>
          <w:szCs w:val="28"/>
          <w:rtl w:val="true"/>
          <w:lang w:bidi="ar-SA"/>
        </w:rPr>
        <w:t>أضعف؛ إذ الصحيح يشملها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الفقاع و كلّ مسكر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وفاقاً للأكثر؛ لدعوى الإجماع من الحلّي </w:t>
      </w:r>
      <w:r>
        <w:rPr>
          <w:rStyle w:val="FootnoteAnchor"/>
          <w:rtl w:val="true"/>
        </w:rPr>
        <w:footnoteReference w:id="110"/>
      </w:r>
      <w:r>
        <w:rPr>
          <w:rFonts w:ascii="Amiri" w:hAnsi="Amiri" w:eastAsia="Amiri" w:cs="Amiri"/>
          <w:color w:val="111111"/>
          <w:sz w:val="28"/>
          <w:sz w:val="28"/>
          <w:szCs w:val="28"/>
          <w:rtl w:val="true"/>
          <w:lang w:bidi="ar-SA"/>
        </w:rPr>
        <w:t xml:space="preserve">، و إطلاقه عليهما في المستفيضة، و إفادته الشركة في الأحكام الشائعة ظاهرة على أنّ المستفاد من النصوص </w:t>
      </w:r>
      <w:r>
        <w:rPr>
          <w:rStyle w:val="FootnoteAnchor"/>
          <w:rtl w:val="true"/>
        </w:rPr>
        <w:footnoteReference w:id="111"/>
      </w:r>
      <w:r>
        <w:rPr>
          <w:rFonts w:ascii="Amiri" w:hAnsi="Amiri" w:eastAsia="Amiri" w:cs="Amiri"/>
          <w:color w:val="111111"/>
          <w:sz w:val="28"/>
          <w:sz w:val="28"/>
          <w:szCs w:val="28"/>
          <w:rtl w:val="true"/>
          <w:lang w:bidi="ar-SA"/>
        </w:rPr>
        <w:t xml:space="preserve">و اللغة </w:t>
      </w:r>
      <w:r>
        <w:rPr>
          <w:rStyle w:val="FootnoteAnchor"/>
          <w:rtl w:val="true"/>
        </w:rPr>
        <w:footnoteReference w:id="112"/>
      </w:r>
      <w:r>
        <w:rPr>
          <w:rFonts w:ascii="Amiri" w:hAnsi="Amiri" w:eastAsia="Amiri" w:cs="Amiri"/>
          <w:color w:val="111111"/>
          <w:sz w:val="28"/>
          <w:sz w:val="28"/>
          <w:szCs w:val="28"/>
          <w:rtl w:val="true"/>
          <w:lang w:bidi="ar-SA"/>
        </w:rPr>
        <w:t>كونه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المني؛ لنقل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 الاحتجاج بتوقّف القطع بالطهر على نزح الجميع </w:t>
      </w:r>
      <w:r>
        <w:rPr>
          <w:rStyle w:val="FootnoteAnchor"/>
          <w:rtl w:val="true"/>
        </w:rPr>
        <w:footnoteReference w:id="114"/>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السبع </w:t>
      </w:r>
      <w:r>
        <w:rPr>
          <w:rStyle w:val="FootnoteAnchor"/>
          <w:rtl w:val="true"/>
        </w:rPr>
        <w:footnoteReference w:id="115"/>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للبغل 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وفاقاً للمشهور؛ للخبر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نزح الجميع إلحاقاً لهما بالثور </w:t>
      </w:r>
      <w:r>
        <w:rPr>
          <w:rStyle w:val="FootnoteAnchor"/>
          <w:rtl w:val="true"/>
        </w:rPr>
        <w:footnoteReference w:id="117"/>
      </w:r>
      <w:r>
        <w:rPr>
          <w:rFonts w:ascii="Amiri" w:hAnsi="Amiri" w:eastAsia="Amiri" w:cs="Amiri"/>
          <w:color w:val="111111"/>
          <w:sz w:val="28"/>
          <w:sz w:val="28"/>
          <w:szCs w:val="28"/>
          <w:rtl w:val="true"/>
          <w:lang w:bidi="ar-SA"/>
        </w:rPr>
        <w:t xml:space="preserve">، أو الدلاء المقدّرة للدابّة الشاملة لهما </w:t>
      </w:r>
      <w:r>
        <w:rPr>
          <w:rStyle w:val="FootnoteAnchor"/>
          <w:rtl w:val="true"/>
        </w:rPr>
        <w:footnoteReference w:id="118"/>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لورودها في الصحيح و الخبر </w:t>
      </w:r>
      <w:r>
        <w:rPr>
          <w:rStyle w:val="FootnoteAnchor"/>
          <w:rtl w:val="true"/>
        </w:rPr>
        <w:footnoteReference w:id="119"/>
      </w:r>
      <w:r>
        <w:rPr>
          <w:rFonts w:ascii="Amiri" w:hAnsi="Amiri" w:eastAsia="Amiri" w:cs="Amiri"/>
          <w:color w:val="111111"/>
          <w:sz w:val="28"/>
          <w:sz w:val="28"/>
          <w:szCs w:val="28"/>
          <w:rtl w:val="true"/>
          <w:lang w:bidi="ar-SA"/>
        </w:rPr>
        <w:t xml:space="preserve">للدابة الشاملة له بجميع معانيها، بل الظاهرة اختصاصها به؛ إذ إرادة غيره خلاف الإجماع، فإلحاقه بغير المنصوص </w:t>
      </w:r>
      <w:r>
        <w:rPr>
          <w:rStyle w:val="FootnoteAnchor"/>
          <w:rtl w:val="true"/>
        </w:rPr>
        <w:footnoteReference w:id="120"/>
      </w:r>
      <w:r>
        <w:rPr>
          <w:rFonts w:ascii="Amiri" w:hAnsi="Amiri" w:eastAsia="Amiri" w:cs="Amiri"/>
          <w:color w:val="111111"/>
          <w:sz w:val="28"/>
          <w:sz w:val="28"/>
          <w:szCs w:val="28"/>
          <w:rtl w:val="true"/>
          <w:lang w:bidi="ar-SA"/>
        </w:rPr>
        <w:t>غفلة، و للحمار بالمشابهة كالأكثر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لموت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بالإجماع، و الموثّق </w:t>
      </w:r>
      <w:r>
        <w:rPr>
          <w:rStyle w:val="FootnoteAnchor"/>
          <w:rtl w:val="true"/>
        </w:rPr>
        <w:footnoteReference w:id="121"/>
      </w:r>
      <w:r>
        <w:rPr>
          <w:rFonts w:ascii="Amiri" w:hAnsi="Amiri" w:eastAsia="Amiri" w:cs="Amiri"/>
          <w:color w:val="111111"/>
          <w:sz w:val="28"/>
          <w:sz w:val="28"/>
          <w:szCs w:val="28"/>
          <w:rtl w:val="true"/>
          <w:lang w:bidi="ar-SA"/>
        </w:rPr>
        <w:t>، و عمومه يشمل ميّت الكافر كما عليه الأكثر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الحلّي ينزح له الكلّ كحيّه </w:t>
      </w:r>
      <w:r>
        <w:rPr>
          <w:rStyle w:val="FootnoteAnchor"/>
          <w:rtl w:val="true"/>
        </w:rPr>
        <w:footnoteReference w:id="122"/>
      </w:r>
      <w:r>
        <w:rPr>
          <w:rFonts w:ascii="Amiri" w:hAnsi="Amiri" w:eastAsia="Amiri" w:cs="Amiri"/>
          <w:color w:val="111111"/>
          <w:sz w:val="28"/>
          <w:sz w:val="28"/>
          <w:szCs w:val="28"/>
          <w:rtl w:val="true"/>
          <w:lang w:bidi="ar-SA"/>
        </w:rPr>
        <w:t xml:space="preserve">لعدم النصّ و الموت لا تقلّ نجاسته بل يزيدها، و الثانيان </w:t>
      </w:r>
      <w:r>
        <w:rPr>
          <w:rStyle w:val="FootnoteAnchor"/>
          <w:rtl w:val="true"/>
        </w:rPr>
        <w:footnoteReference w:id="123"/>
      </w:r>
      <w:r>
        <w:rPr>
          <w:rFonts w:ascii="Amiri" w:hAnsi="Amiri" w:eastAsia="Amiri" w:cs="Amiri"/>
          <w:color w:val="111111"/>
          <w:sz w:val="28"/>
          <w:sz w:val="28"/>
          <w:szCs w:val="28"/>
          <w:rtl w:val="true"/>
          <w:lang w:bidi="ar-SA"/>
        </w:rPr>
        <w:t>إن وقع ميّتاً فكالأكثر؛ لعموم النصوص، و إن مات فيه</w:t>
      </w:r>
    </w:p>
    <w:p>
      <w:pPr>
        <w:pStyle w:val="BookText"/>
        <w:rPr/>
      </w:pPr>
      <w:r>
        <w:rPr>
          <w:rFonts w:ascii="Amiri" w:hAnsi="Amiri" w:eastAsia="Amiri" w:cs="Amiri"/>
          <w:color w:val="111111"/>
          <w:sz w:val="28"/>
          <w:sz w:val="28"/>
          <w:szCs w:val="28"/>
          <w:rtl w:val="true"/>
          <w:lang w:bidi="ar-SA"/>
        </w:rPr>
        <w:t>فكالحلّي؛ لتأثير السبب و عدم ارتفاعه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النصّ هو الثاني، فيثبت السبعين لموته و إن لاقاه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يمت نزح الكلّ </w:t>
      </w:r>
      <w:r>
        <w:rPr>
          <w:rStyle w:val="FootnoteAnchor"/>
          <w:rtl w:val="true"/>
        </w:rPr>
        <w:footnoteReference w:id="124"/>
      </w:r>
      <w:r>
        <w:rPr>
          <w:rFonts w:ascii="Amiri" w:hAnsi="Amiri" w:eastAsia="Amiri" w:cs="Amiri"/>
          <w:color w:val="111111"/>
          <w:sz w:val="28"/>
          <w:sz w:val="28"/>
          <w:szCs w:val="28"/>
          <w:rtl w:val="true"/>
          <w:lang w:bidi="ar-SA"/>
        </w:rPr>
        <w:t>، فيلزم ثبوت الأخفّ للأشدّ و الأثقل للأضعف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مقادير النزح كثير، و هو آية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نزح لغير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للعذرة الذائبة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عند الأكثر، و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و خمسون أو أربعون عند الصدوق و المحقّق </w:t>
      </w:r>
      <w:r>
        <w:rPr>
          <w:rStyle w:val="FootnoteAnchor"/>
          <w:rtl w:val="true"/>
        </w:rPr>
        <w:footnoteReference w:id="126"/>
      </w:r>
      <w:r>
        <w:rPr>
          <w:rFonts w:ascii="IRNazanin" w:hAnsi="IRNazanin" w:eastAsia="IRNazanin"/>
          <w:color w:val="111111"/>
          <w:sz w:val="28"/>
          <w:sz w:val="28"/>
          <w:szCs w:val="28"/>
          <w:rtl w:val="true"/>
          <w:lang w:bidi="fa-IR"/>
        </w:rPr>
        <w:t xml:space="preserve">للخبر </w:t>
      </w:r>
      <w:r>
        <w:rPr>
          <w:rStyle w:val="FootnoteAnchor"/>
          <w:rtl w:val="true"/>
        </w:rPr>
        <w:footnoteReference w:id="127"/>
      </w:r>
      <w:r>
        <w:rPr>
          <w:rFonts w:ascii="Amiri" w:hAnsi="Amiri" w:eastAsia="Amiri" w:cs="Amiri"/>
          <w:color w:val="111111"/>
          <w:sz w:val="28"/>
          <w:sz w:val="28"/>
          <w:szCs w:val="28"/>
          <w:rtl w:val="true"/>
          <w:lang w:bidi="ar-SA"/>
        </w:rPr>
        <w:t>، و ضعفه مع عدم الانجبار يمنع من العمل، و الاحتجاج به للأوّل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الصحيح </w:t>
      </w:r>
      <w:r>
        <w:rPr>
          <w:rStyle w:val="FootnoteAnchor"/>
          <w:rtl w:val="true"/>
        </w:rPr>
        <w:footnoteReference w:id="128"/>
      </w:r>
      <w:r>
        <w:rPr>
          <w:rFonts w:ascii="Amiri" w:hAnsi="Amiri" w:eastAsia="Amiri" w:cs="Amiri"/>
          <w:color w:val="111111"/>
          <w:sz w:val="28"/>
          <w:sz w:val="28"/>
          <w:szCs w:val="28"/>
          <w:rtl w:val="true"/>
          <w:lang w:bidi="ar-SA"/>
        </w:rPr>
        <w:t>كفاية الدلاء لمطلق العذرة إلّا أنّ الظاهر عدم قائل به، فالظاهر رجحان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إلحاق الرطبة بالذائبة؛ لاشتراكهما في العلّة، و فساده ظاهر، و إطلاق الخبر </w:t>
      </w:r>
      <w:r>
        <w:rPr>
          <w:rStyle w:val="FootnoteAnchor"/>
          <w:rtl w:val="true"/>
        </w:rPr>
        <w:footnoteReference w:id="129"/>
      </w:r>
      <w:r>
        <w:rPr>
          <w:rFonts w:ascii="Amiri" w:hAnsi="Amiri" w:eastAsia="Amiri" w:cs="Amiri"/>
          <w:color w:val="111111"/>
          <w:sz w:val="28"/>
          <w:sz w:val="28"/>
          <w:szCs w:val="28"/>
          <w:rtl w:val="true"/>
          <w:lang w:bidi="ar-SA"/>
        </w:rPr>
        <w:t>يقتضي كفاية العشر لها، إلّا أنّهم خصّصوه باليابسة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فالأمر هيّن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لكثير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إلى أربعين، و لقليله دلاء يسيرة، وفاقاً للصدوق و المحقّق و الشهيد </w:t>
      </w:r>
      <w:r>
        <w:rPr>
          <w:rStyle w:val="FootnoteAnchor"/>
          <w:rtl w:val="true"/>
        </w:rPr>
        <w:footnoteReference w:id="130"/>
      </w:r>
      <w:r>
        <w:rPr>
          <w:rFonts w:ascii="Amiri" w:hAnsi="Amiri" w:eastAsia="Amiri" w:cs="Amiri"/>
          <w:color w:val="111111"/>
          <w:sz w:val="28"/>
          <w:sz w:val="28"/>
          <w:szCs w:val="28"/>
          <w:rtl w:val="true"/>
          <w:lang w:bidi="ar-SA"/>
        </w:rPr>
        <w:t xml:space="preserve">للصحيح و الموثّق و المكاتبة </w:t>
      </w:r>
      <w:r>
        <w:rPr>
          <w:rStyle w:val="FootnoteAnchor"/>
          <w:rtl w:val="true"/>
        </w:rPr>
        <w:footnoteReference w:id="131"/>
      </w:r>
      <w:r>
        <w:rPr>
          <w:rFonts w:ascii="Amiri" w:hAnsi="Amiri" w:eastAsia="Amiri" w:cs="Amiri"/>
          <w:color w:val="111111"/>
          <w:sz w:val="28"/>
          <w:sz w:val="28"/>
          <w:szCs w:val="28"/>
          <w:rtl w:val="true"/>
          <w:lang w:bidi="ar-SA"/>
        </w:rPr>
        <w:t>، لا عشرة و خمسة</w:t>
      </w:r>
    </w:p>
    <w:p>
      <w:pPr>
        <w:pStyle w:val="BookText"/>
        <w:rPr/>
      </w:pPr>
      <w:r>
        <w:rPr>
          <w:rFonts w:ascii="Amiri" w:hAnsi="Amiri" w:eastAsia="Amiri" w:cs="Amiri"/>
          <w:color w:val="111111"/>
          <w:sz w:val="28"/>
          <w:sz w:val="28"/>
          <w:szCs w:val="28"/>
          <w:rtl w:val="true"/>
          <w:lang w:bidi="ar-SA"/>
        </w:rPr>
        <w:t xml:space="preserve">كالمفيد </w:t>
      </w:r>
      <w:r>
        <w:rPr>
          <w:rStyle w:val="FootnoteAnchor"/>
          <w:rtl w:val="true"/>
        </w:rPr>
        <w:footnoteReference w:id="132"/>
      </w:r>
      <w:r>
        <w:rPr>
          <w:rFonts w:ascii="Amiri" w:hAnsi="Amiri" w:eastAsia="Amiri" w:cs="Amiri"/>
          <w:color w:val="111111"/>
          <w:sz w:val="28"/>
          <w:sz w:val="28"/>
          <w:szCs w:val="28"/>
          <w:rtl w:val="true"/>
          <w:lang w:bidi="ar-SA"/>
        </w:rPr>
        <w:t xml:space="preserve">، و لا خمسون و عشرة كالطوسي </w:t>
      </w:r>
      <w:r>
        <w:rPr>
          <w:rStyle w:val="FootnoteAnchor"/>
          <w:rtl w:val="true"/>
        </w:rPr>
        <w:footnoteReference w:id="133"/>
      </w:r>
      <w:r>
        <w:rPr>
          <w:rFonts w:ascii="Amiri" w:hAnsi="Amiri" w:eastAsia="Amiri" w:cs="Amiri"/>
          <w:color w:val="111111"/>
          <w:sz w:val="28"/>
          <w:sz w:val="28"/>
          <w:szCs w:val="28"/>
          <w:rtl w:val="true"/>
          <w:lang w:bidi="ar-SA"/>
        </w:rPr>
        <w:t xml:space="preserve">، و لا واحدة إلى عشرين كالسيّد </w:t>
      </w:r>
      <w:r>
        <w:rPr>
          <w:rStyle w:val="FootnoteAnchor"/>
          <w:rtl w:val="true"/>
        </w:rPr>
        <w:footnoteReference w:id="134"/>
      </w:r>
      <w:r>
        <w:rPr>
          <w:rFonts w:ascii="Amiri" w:hAnsi="Amiri" w:eastAsia="Amiri" w:cs="Amiri"/>
          <w:color w:val="111111"/>
          <w:sz w:val="28"/>
          <w:sz w:val="28"/>
          <w:szCs w:val="28"/>
          <w:rtl w:val="true"/>
          <w:lang w:bidi="ar-SA"/>
        </w:rPr>
        <w:t>لأنّها بين فاقد للمستند، و ذي فاقد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الكثرة أو القلّة العرفيّة الواقعيّة، دون الإضافيّة؛ لظاهر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و إن وردت في دماء خاصّة إلّا أنّ لحوق غير الأربع بها قطعي، و في لحوقها بها أو بغير المنصوص أو نزح الكلّ لها أقوال، و لعلّ الثابت هو الوسط، إلّا أنّ الظاهر عندنا الأوّل؛ للأولويّة، و عندهم الأخير؛ لنقل الإجماع مع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للكلب و الخنزير و الثعلبين و الأرنب و الشاة 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عند الأكثر؛ لأخبار </w:t>
      </w:r>
      <w:r>
        <w:rPr>
          <w:rStyle w:val="FootnoteAnchor"/>
          <w:rtl w:val="true"/>
        </w:rPr>
        <w:footnoteReference w:id="135"/>
      </w:r>
      <w:r>
        <w:rPr>
          <w:rFonts w:ascii="Amiri" w:hAnsi="Amiri" w:eastAsia="Amiri" w:cs="Amiri"/>
          <w:color w:val="111111"/>
          <w:sz w:val="28"/>
          <w:sz w:val="28"/>
          <w:szCs w:val="28"/>
          <w:rtl w:val="true"/>
          <w:lang w:bidi="ar-SA"/>
        </w:rPr>
        <w:t xml:space="preserve">لا دلالة لها، و للصدوق في بعضها قول آخر </w:t>
      </w:r>
      <w:r>
        <w:rPr>
          <w:rStyle w:val="FootnoteAnchor"/>
          <w:rtl w:val="true"/>
        </w:rPr>
        <w:footnoteReference w:id="136"/>
      </w:r>
      <w:r>
        <w:rPr>
          <w:rFonts w:ascii="Amiri" w:hAnsi="Amiri" w:eastAsia="Amiri" w:cs="Amiri"/>
          <w:color w:val="111111"/>
          <w:sz w:val="28"/>
          <w:sz w:val="28"/>
          <w:szCs w:val="28"/>
          <w:rtl w:val="true"/>
          <w:lang w:bidi="ar-SA"/>
        </w:rPr>
        <w:t>، و النصوص فيها متعارضة بحيث لا يمكن الجمع إلّا على المختار، فهو من الشواهد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عند الأكثر؛ للخبر </w:t>
      </w:r>
      <w:r>
        <w:rPr>
          <w:rStyle w:val="FootnoteAnchor"/>
          <w:rtl w:val="true"/>
        </w:rPr>
        <w:footnoteReference w:id="13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الجميع لصبّه و دلاء لتقاطره </w:t>
      </w:r>
      <w:r>
        <w:rPr>
          <w:rStyle w:val="FootnoteAnchor"/>
          <w:rtl w:val="true"/>
        </w:rPr>
        <w:footnoteReference w:id="138"/>
      </w:r>
      <w:r>
        <w:rPr>
          <w:rFonts w:ascii="Amiri" w:hAnsi="Amiri" w:eastAsia="Amiri" w:cs="Amiri"/>
          <w:color w:val="111111"/>
          <w:sz w:val="28"/>
          <w:sz w:val="28"/>
          <w:szCs w:val="28"/>
          <w:rtl w:val="true"/>
          <w:lang w:bidi="ar-SA"/>
        </w:rPr>
        <w:t xml:space="preserve">للصحيحين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عندنا هيّن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بول المسلم و الكافر؛ لإطلاق الخبر، و في إلحاق بول المرأة به أو بغير المنصوص أو نزح الثلاثين له مطلقاً أو لكثيره و الدلاء ليسيره أقوال للحلّي</w:t>
      </w:r>
    </w:p>
    <w:p>
      <w:pPr>
        <w:pStyle w:val="BookText"/>
        <w:rPr/>
      </w:pPr>
      <w:r>
        <w:rPr>
          <w:rFonts w:ascii="Amiri" w:hAnsi="Amiri" w:eastAsia="Amiri" w:cs="Amiri"/>
          <w:color w:val="111111"/>
          <w:sz w:val="28"/>
          <w:sz w:val="28"/>
          <w:szCs w:val="28"/>
          <w:rtl w:val="true"/>
          <w:lang w:bidi="ar-SA"/>
        </w:rPr>
        <w:t xml:space="preserve">و الأكثر و المحقّق و بعض من تأخّر </w:t>
      </w:r>
      <w:r>
        <w:rPr>
          <w:rStyle w:val="FootnoteAnchor"/>
          <w:rtl w:val="true"/>
        </w:rPr>
        <w:footnoteReference w:id="140"/>
      </w:r>
      <w:r>
        <w:rPr>
          <w:rFonts w:ascii="Amiri" w:hAnsi="Amiri" w:eastAsia="Amiri" w:cs="Amiri"/>
          <w:color w:val="111111"/>
          <w:sz w:val="28"/>
          <w:sz w:val="28"/>
          <w:szCs w:val="28"/>
          <w:rtl w:val="true"/>
          <w:lang w:bidi="ar-SA"/>
        </w:rPr>
        <w:t>، و مستند الكلّ ضعيف، و على المختار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لماء المطر المخالط للبول و العذرة و 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في المشهور؛ للخبر </w:t>
      </w:r>
      <w:r>
        <w:rPr>
          <w:rStyle w:val="FootnoteAnchor"/>
          <w:rtl w:val="true"/>
        </w:rPr>
        <w:footnoteReference w:id="141"/>
      </w:r>
      <w:r>
        <w:rPr>
          <w:rFonts w:ascii="Amiri" w:hAnsi="Amiri" w:eastAsia="Amiri" w:cs="Amiri"/>
          <w:color w:val="111111"/>
          <w:sz w:val="28"/>
          <w:sz w:val="28"/>
          <w:szCs w:val="28"/>
          <w:rtl w:val="true"/>
          <w:lang w:bidi="ar-SA"/>
        </w:rPr>
        <w:t>، و أكثرية التقدير لكلّ واحد لا ينافيه؛ إذ حكم البئر على الجمع و التفريق، على أنّ التخفيف بالمخالطة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اختصاص الحكم بالمورد، فينتفي بالتبدّل أو النقص و الزيادة، و في التعدية إلى سائر المياه احتمال؛ لعدم تعقّل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عند الأكثر؛ للمعتبرة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للصحيح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للصحيحين و الخبر </w:t>
      </w:r>
      <w:r>
        <w:rPr>
          <w:rStyle w:val="FootnoteAnchor"/>
          <w:rtl w:val="true"/>
        </w:rPr>
        <w:footnoteReference w:id="146"/>
      </w:r>
      <w:r>
        <w:rPr>
          <w:rFonts w:ascii="Amiri" w:hAnsi="Amiri" w:eastAsia="Amiri" w:cs="Amiri"/>
          <w:color w:val="111111"/>
          <w:sz w:val="28"/>
          <w:sz w:val="28"/>
          <w:szCs w:val="28"/>
          <w:rtl w:val="true"/>
          <w:lang w:bidi="ar-SA"/>
        </w:rPr>
        <w:t>، بحمل الدلاء فيها على المتيقّن، و لكلّ في الجمع و الترجيح تمحّلات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المختار لا إشكال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عند الأكثر؛ للصحيح </w:t>
      </w:r>
      <w:r>
        <w:rPr>
          <w:rStyle w:val="FootnoteAnchor"/>
          <w:rtl w:val="true"/>
        </w:rPr>
        <w:footnoteReference w:id="147"/>
      </w:r>
      <w:r>
        <w:rPr>
          <w:rFonts w:ascii="IRNazanin" w:hAnsi="IRNazanin" w:eastAsia="IRNazanin"/>
          <w:color w:val="111111"/>
          <w:sz w:val="28"/>
          <w:sz w:val="28"/>
          <w:szCs w:val="28"/>
          <w:rtl w:val="true"/>
          <w:lang w:bidi="fa-IR"/>
        </w:rPr>
        <w:t xml:space="preserve">، و خمس أو ثلاث عند بعضهم </w:t>
      </w:r>
      <w:r>
        <w:rPr>
          <w:rStyle w:val="FootnoteAnchor"/>
          <w:rtl w:val="true"/>
        </w:rPr>
        <w:footnoteReference w:id="148"/>
      </w:r>
      <w:r>
        <w:rPr>
          <w:rFonts w:ascii="Amiri" w:hAnsi="Amiri" w:eastAsia="Amiri" w:cs="Amiri"/>
          <w:color w:val="111111"/>
          <w:sz w:val="28"/>
          <w:sz w:val="28"/>
          <w:szCs w:val="28"/>
          <w:rtl w:val="true"/>
          <w:lang w:bidi="ar-SA"/>
        </w:rPr>
        <w:t xml:space="preserve">للصحيحين </w:t>
      </w:r>
      <w:r>
        <w:rPr>
          <w:rStyle w:val="FootnoteAnchor"/>
          <w:rtl w:val="true"/>
        </w:rPr>
        <w:footnoteReference w:id="149"/>
      </w:r>
      <w:r>
        <w:rPr>
          <w:rFonts w:ascii="Amiri" w:hAnsi="Amiri" w:eastAsia="Amiri" w:cs="Amiri"/>
          <w:color w:val="111111"/>
          <w:sz w:val="28"/>
          <w:sz w:val="28"/>
          <w:szCs w:val="28"/>
          <w:rtl w:val="true"/>
          <w:lang w:bidi="ar-SA"/>
        </w:rPr>
        <w:t xml:space="preserve">، و في دلالتهما نظر، و أربعون عند الحلّي </w:t>
      </w:r>
      <w:r>
        <w:rPr>
          <w:rStyle w:val="FootnoteAnchor"/>
          <w:rtl w:val="true"/>
        </w:rPr>
        <w:footnoteReference w:id="150"/>
      </w:r>
      <w:r>
        <w:rPr>
          <w:rFonts w:ascii="Amiri" w:hAnsi="Amiri" w:eastAsia="Amiri" w:cs="Amiri"/>
          <w:color w:val="111111"/>
          <w:sz w:val="28"/>
          <w:sz w:val="28"/>
          <w:szCs w:val="28"/>
          <w:rtl w:val="true"/>
          <w:lang w:bidi="ar-SA"/>
        </w:rPr>
        <w:t>لكونه ممّا لا</w:t>
      </w:r>
    </w:p>
    <w:p>
      <w:pPr>
        <w:pStyle w:val="BookText"/>
        <w:rPr/>
      </w:pPr>
      <w:r>
        <w:rPr>
          <w:rFonts w:ascii="Amiri" w:hAnsi="Amiri" w:eastAsia="Amiri" w:cs="Amiri"/>
          <w:color w:val="111111"/>
          <w:sz w:val="28"/>
          <w:sz w:val="28"/>
          <w:szCs w:val="28"/>
          <w:rtl w:val="true"/>
          <w:lang w:bidi="ar-SA"/>
        </w:rPr>
        <w:t>نصّ فيه على أصله، و ضعفه ظاهر، مع أنّه ينزح له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 المغتذي سبع في المشهور؛ للرضوي </w:t>
      </w:r>
      <w:r>
        <w:rPr>
          <w:rStyle w:val="FootnoteAnchor"/>
          <w:rtl w:val="true"/>
        </w:rPr>
        <w:footnoteReference w:id="151"/>
      </w:r>
      <w:r>
        <w:rPr>
          <w:rFonts w:ascii="Amiri" w:hAnsi="Amiri" w:eastAsia="Amiri" w:cs="Amiri"/>
          <w:color w:val="111111"/>
          <w:sz w:val="28"/>
          <w:sz w:val="28"/>
          <w:szCs w:val="28"/>
          <w:rtl w:val="true"/>
          <w:lang w:bidi="ar-SA"/>
        </w:rPr>
        <w:t xml:space="preserve">، و إطلاق المرسل المقيّد به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بالثلاث للأوّل </w:t>
      </w:r>
      <w:r>
        <w:rPr>
          <w:rStyle w:val="FootnoteAnchor"/>
          <w:rtl w:val="true"/>
        </w:rPr>
        <w:footnoteReference w:id="153"/>
      </w:r>
      <w:r>
        <w:rPr>
          <w:rFonts w:ascii="Amiri" w:hAnsi="Amiri" w:eastAsia="Amiri" w:cs="Amiri"/>
          <w:color w:val="111111"/>
          <w:sz w:val="28"/>
          <w:sz w:val="28"/>
          <w:szCs w:val="28"/>
          <w:rtl w:val="true"/>
          <w:lang w:bidi="ar-SA"/>
        </w:rPr>
        <w:t xml:space="preserve">للرضوي </w:t>
      </w:r>
      <w:r>
        <w:rPr>
          <w:rStyle w:val="FootnoteAnchor"/>
          <w:rtl w:val="true"/>
        </w:rPr>
        <w:footnoteReference w:id="154"/>
      </w:r>
      <w:r>
        <w:rPr>
          <w:rFonts w:ascii="Amiri" w:hAnsi="Amiri" w:eastAsia="Amiri" w:cs="Amiri"/>
          <w:color w:val="111111"/>
          <w:sz w:val="28"/>
          <w:sz w:val="28"/>
          <w:szCs w:val="28"/>
          <w:rtl w:val="true"/>
          <w:lang w:bidi="ar-SA"/>
        </w:rPr>
        <w:t xml:space="preserve">، و قيل به للثاني </w:t>
      </w:r>
      <w:r>
        <w:rPr>
          <w:rStyle w:val="FootnoteAnchor"/>
          <w:rtl w:val="true"/>
        </w:rPr>
        <w:footnoteReference w:id="155"/>
      </w:r>
      <w:r>
        <w:rPr>
          <w:rFonts w:ascii="Amiri" w:hAnsi="Amiri" w:eastAsia="Amiri" w:cs="Amiri"/>
          <w:color w:val="111111"/>
          <w:sz w:val="28"/>
          <w:sz w:val="28"/>
          <w:szCs w:val="28"/>
          <w:rtl w:val="true"/>
          <w:lang w:bidi="ar-SA"/>
        </w:rPr>
        <w:t xml:space="preserve">لظاهر الصحيح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بعدم الانجبار، و الثاني بعدم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للفأرة مع 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بدونه ثلاث عند المعظم؛ جمعاً بين الإطلاقين </w:t>
      </w:r>
      <w:r>
        <w:rPr>
          <w:rStyle w:val="FootnoteAnchor"/>
          <w:rtl w:val="true"/>
        </w:rPr>
        <w:footnoteReference w:id="157"/>
      </w:r>
      <w:r>
        <w:rPr>
          <w:rFonts w:ascii="Amiri" w:hAnsi="Amiri" w:eastAsia="Amiri" w:cs="Amiri"/>
          <w:color w:val="111111"/>
          <w:sz w:val="28"/>
          <w:sz w:val="28"/>
          <w:szCs w:val="28"/>
          <w:rtl w:val="true"/>
          <w:lang w:bidi="ar-SA"/>
        </w:rPr>
        <w:t xml:space="preserve">لشهادة الخبرين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حملوا أخبار الدلاء </w:t>
      </w:r>
      <w:r>
        <w:rPr>
          <w:rStyle w:val="FootnoteAnchor"/>
          <w:rtl w:val="true"/>
        </w:rPr>
        <w:footnoteReference w:id="159"/>
      </w:r>
      <w:r>
        <w:rPr>
          <w:rFonts w:ascii="Amiri" w:hAnsi="Amiri" w:eastAsia="Amiri" w:cs="Amiri"/>
          <w:color w:val="111111"/>
          <w:sz w:val="28"/>
          <w:sz w:val="28"/>
          <w:szCs w:val="28"/>
          <w:rtl w:val="true"/>
          <w:lang w:bidi="ar-SA"/>
        </w:rPr>
        <w:t xml:space="preserve">على أحد الحالين و العددين، و الخمس </w:t>
      </w:r>
      <w:r>
        <w:rPr>
          <w:rStyle w:val="FootnoteAnchor"/>
          <w:rtl w:val="true"/>
        </w:rPr>
        <w:footnoteReference w:id="160"/>
      </w:r>
      <w:r>
        <w:rPr>
          <w:rFonts w:ascii="Amiri" w:hAnsi="Amiri" w:eastAsia="Amiri" w:cs="Amiri"/>
          <w:color w:val="111111"/>
          <w:sz w:val="28"/>
          <w:sz w:val="28"/>
          <w:szCs w:val="28"/>
          <w:rtl w:val="true"/>
          <w:lang w:bidi="ar-SA"/>
        </w:rPr>
        <w:t>على الندب، بعد تقيّدها بعدم 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أقوال أُخر ضعيفة </w:t>
      </w:r>
      <w:r>
        <w:rPr>
          <w:rStyle w:val="FootnoteAnchor"/>
          <w:rtl w:val="true"/>
        </w:rPr>
        <w:footnoteReference w:id="161"/>
      </w:r>
      <w:r>
        <w:rPr>
          <w:rFonts w:ascii="Amiri" w:hAnsi="Amiri" w:eastAsia="Amiri" w:cs="Amiri"/>
          <w:color w:val="111111"/>
          <w:sz w:val="28"/>
          <w:sz w:val="28"/>
          <w:szCs w:val="28"/>
          <w:rtl w:val="true"/>
          <w:lang w:bidi="ar-SA"/>
        </w:rPr>
        <w:t>، و تعليلاتها عليلة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لوقوع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على الأقوىٰ؛ للصحاح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تخصّص الأكثر باغتساله؛ لظاهر الخبر </w:t>
      </w:r>
      <w:r>
        <w:rPr>
          <w:rStyle w:val="FootnoteAnchor"/>
          <w:rtl w:val="true"/>
        </w:rPr>
        <w:footnoteReference w:id="163"/>
      </w:r>
      <w:r>
        <w:rPr>
          <w:rFonts w:ascii="Amiri" w:hAnsi="Amiri" w:eastAsia="Amiri" w:cs="Amiri"/>
          <w:color w:val="111111"/>
          <w:sz w:val="28"/>
          <w:sz w:val="28"/>
          <w:szCs w:val="28"/>
          <w:rtl w:val="true"/>
          <w:lang w:bidi="ar-SA"/>
        </w:rPr>
        <w:t xml:space="preserve">، و الحلّي بارتماسه؛ لنقله الإجماع </w:t>
      </w:r>
      <w:r>
        <w:rPr>
          <w:rStyle w:val="FootnoteAnchor"/>
          <w:rtl w:val="true"/>
        </w:rPr>
        <w:footnoteReference w:id="164"/>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الاغتسال فيها عندنا ظاهرة، و الظاهر صحّته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الاغتسال و عدم باعث للفساد، و مجرّد الأمر بالنزح لا يوجبه، و لا ينافي بقاء الطهوريّة خلافاً للشيخين </w:t>
      </w:r>
      <w:r>
        <w:rPr>
          <w:rStyle w:val="FootnoteAnchor"/>
          <w:rtl w:val="true"/>
        </w:rPr>
        <w:footnoteReference w:id="165"/>
      </w:r>
      <w:r>
        <w:rPr>
          <w:rFonts w:ascii="Amiri" w:hAnsi="Amiri" w:eastAsia="Amiri" w:cs="Amiri"/>
          <w:color w:val="111111"/>
          <w:sz w:val="28"/>
          <w:sz w:val="28"/>
          <w:szCs w:val="28"/>
          <w:rtl w:val="true"/>
          <w:lang w:bidi="ar-SA"/>
        </w:rPr>
        <w:t xml:space="preserve">للنهي عن وقوع الجنب </w:t>
      </w:r>
      <w:r>
        <w:rPr>
          <w:rStyle w:val="FootnoteAnchor"/>
          <w:rtl w:val="true"/>
        </w:rPr>
        <w:footnoteReference w:id="166"/>
      </w:r>
      <w:r>
        <w:rPr>
          <w:rFonts w:ascii="Amiri" w:hAnsi="Amiri" w:eastAsia="Amiri" w:cs="Amiri"/>
          <w:color w:val="111111"/>
          <w:sz w:val="28"/>
          <w:sz w:val="28"/>
          <w:szCs w:val="28"/>
          <w:rtl w:val="true"/>
          <w:lang w:bidi="ar-SA"/>
        </w:rPr>
        <w:t>، و هو غير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لظاهر الوفاق، و صريح الرضوي </w:t>
      </w:r>
      <w:r>
        <w:rPr>
          <w:rStyle w:val="FootnoteAnchor"/>
          <w:rtl w:val="true"/>
        </w:rPr>
        <w:footnoteReference w:id="167"/>
      </w:r>
      <w:r>
        <w:rPr>
          <w:rFonts w:ascii="Amiri" w:hAnsi="Amiri" w:eastAsia="Amiri" w:cs="Amiri"/>
          <w:color w:val="111111"/>
          <w:sz w:val="28"/>
          <w:sz w:val="28"/>
          <w:szCs w:val="28"/>
          <w:rtl w:val="true"/>
          <w:lang w:bidi="ar-SA"/>
        </w:rPr>
        <w:t xml:space="preserve">، و يعضده إطلاق الصحيحين و الخبر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لموت 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عند الأكثر؛ للصحيحين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بكفاية الواحد </w:t>
      </w:r>
      <w:r>
        <w:rPr>
          <w:rStyle w:val="FootnoteAnchor"/>
          <w:rtl w:val="true"/>
        </w:rPr>
        <w:footnoteReference w:id="170"/>
      </w:r>
      <w:r>
        <w:rPr>
          <w:rFonts w:ascii="IRNazanin" w:hAnsi="IRNazanin" w:eastAsia="IRNazanin"/>
          <w:color w:val="111111"/>
          <w:sz w:val="28"/>
          <w:sz w:val="28"/>
          <w:szCs w:val="28"/>
          <w:rtl w:val="true"/>
          <w:lang w:bidi="fa-IR"/>
        </w:rPr>
        <w:t xml:space="preserve">للخبر </w:t>
      </w:r>
      <w:r>
        <w:rPr>
          <w:rStyle w:val="FootnoteAnchor"/>
          <w:rtl w:val="true"/>
        </w:rPr>
        <w:footnoteReference w:id="171"/>
      </w:r>
      <w:r>
        <w:rPr>
          <w:rFonts w:ascii="IRNazanin" w:hAnsi="IRNazanin" w:eastAsia="IRNazanin"/>
          <w:color w:val="111111"/>
          <w:sz w:val="28"/>
          <w:sz w:val="28"/>
          <w:szCs w:val="28"/>
          <w:rtl w:val="true"/>
          <w:lang w:bidi="fa-IR"/>
        </w:rPr>
        <w:t xml:space="preserve">، أو السبع مع التفسّخ و الثلاث بدونه </w:t>
      </w:r>
      <w:r>
        <w:rPr>
          <w:rStyle w:val="FootnoteAnchor"/>
          <w:rtl w:val="true"/>
        </w:rPr>
        <w:footnoteReference w:id="172"/>
      </w:r>
      <w:r>
        <w:rPr>
          <w:rFonts w:ascii="Amiri" w:hAnsi="Amiri" w:eastAsia="Amiri" w:cs="Amiri"/>
          <w:color w:val="111111"/>
          <w:sz w:val="28"/>
          <w:sz w:val="28"/>
          <w:szCs w:val="28"/>
          <w:rtl w:val="true"/>
          <w:lang w:bidi="ar-SA"/>
        </w:rPr>
        <w:t xml:space="preserve">للجمع بين الصحيحين و الخبر </w:t>
      </w:r>
      <w:r>
        <w:rPr>
          <w:rStyle w:val="FootnoteAnchor"/>
          <w:rtl w:val="true"/>
        </w:rPr>
        <w:footnoteReference w:id="173"/>
      </w:r>
      <w:r>
        <w:rPr>
          <w:rFonts w:ascii="Amiri" w:hAnsi="Amiri" w:eastAsia="Amiri" w:cs="Amiri"/>
          <w:color w:val="111111"/>
          <w:sz w:val="28"/>
          <w:sz w:val="28"/>
          <w:szCs w:val="28"/>
          <w:rtl w:val="true"/>
          <w:lang w:bidi="ar-SA"/>
        </w:rPr>
        <w:t xml:space="preserve">، أو عدم النزح؛ لعدم النجاسة </w:t>
      </w:r>
      <w:r>
        <w:rPr>
          <w:rStyle w:val="FootnoteAnchor"/>
          <w:rtl w:val="true"/>
        </w:rPr>
        <w:footnoteReference w:id="174"/>
      </w:r>
      <w:r>
        <w:rPr>
          <w:rFonts w:ascii="Amiri" w:hAnsi="Amiri" w:eastAsia="Amiri" w:cs="Amiri"/>
          <w:color w:val="111111"/>
          <w:sz w:val="28"/>
          <w:sz w:val="28"/>
          <w:szCs w:val="28"/>
          <w:rtl w:val="true"/>
          <w:lang w:bidi="ar-SA"/>
        </w:rPr>
        <w:t>مردود بعدم الدلالة، و فقد المقاومة، و منع العلّيّة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لموت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 المشهور، و لا دلالة له، و الظاهر عدم وجوب شي‌ء، وفاقاً لأوّل الصدوقين و الحلّي </w:t>
      </w:r>
      <w:r>
        <w:rPr>
          <w:rStyle w:val="FootnoteAnchor"/>
          <w:rtl w:val="true"/>
        </w:rPr>
        <w:footnoteReference w:id="175"/>
      </w:r>
      <w:r>
        <w:rPr>
          <w:rFonts w:ascii="Amiri" w:hAnsi="Amiri" w:eastAsia="Amiri" w:cs="Amiri"/>
          <w:color w:val="111111"/>
          <w:sz w:val="28"/>
          <w:sz w:val="28"/>
          <w:szCs w:val="28"/>
          <w:rtl w:val="true"/>
          <w:lang w:bidi="ar-SA"/>
        </w:rPr>
        <w:t xml:space="preserve">و إن استحبّ العشرة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للخبرين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إجماعاً؛ للموثّق </w:t>
      </w:r>
      <w:r>
        <w:rPr>
          <w:rStyle w:val="FootnoteAnchor"/>
          <w:rtl w:val="true"/>
        </w:rPr>
        <w:footnoteReference w:id="178"/>
      </w:r>
      <w:r>
        <w:rPr>
          <w:rFonts w:ascii="Amiri" w:hAnsi="Amiri" w:eastAsia="Amiri" w:cs="Amiri"/>
          <w:color w:val="111111"/>
          <w:sz w:val="28"/>
          <w:sz w:val="28"/>
          <w:szCs w:val="28"/>
          <w:rtl w:val="true"/>
          <w:lang w:bidi="ar-SA"/>
        </w:rPr>
        <w:t>، و به يقيّد بعض المطلقات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نزح لغير المنصوص عندنا،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عندهم ففي عدم النزح، أو نزح الجميع، أو الأربعين، أو الثلاثين، أو المزيل التقديري إن أمكن العلم به و إلّا فالجميع، أو المزيل مع التغيّر، أو الأقل مع التقديري و الثلاثين بدونه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لبعضهم </w:t>
      </w:r>
      <w:r>
        <w:rPr>
          <w:rStyle w:val="FootnoteAnchor"/>
          <w:rtl w:val="true"/>
        </w:rPr>
        <w:footnoteReference w:id="179"/>
      </w:r>
      <w:r>
        <w:rPr>
          <w:rFonts w:ascii="Amiri" w:hAnsi="Amiri" w:eastAsia="Amiri" w:cs="Amiri"/>
          <w:color w:val="111111"/>
          <w:sz w:val="28"/>
          <w:sz w:val="28"/>
          <w:szCs w:val="28"/>
          <w:rtl w:val="true"/>
          <w:lang w:bidi="ar-SA"/>
        </w:rPr>
        <w:t xml:space="preserve">لخبرين </w:t>
      </w:r>
      <w:r>
        <w:rPr>
          <w:rStyle w:val="FootnoteAnchor"/>
          <w:rtl w:val="true"/>
        </w:rPr>
        <w:footnoteReference w:id="180"/>
      </w:r>
      <w:r>
        <w:rPr>
          <w:rFonts w:ascii="Amiri" w:hAnsi="Amiri" w:eastAsia="Amiri" w:cs="Amiri"/>
          <w:color w:val="111111"/>
          <w:sz w:val="28"/>
          <w:sz w:val="28"/>
          <w:szCs w:val="28"/>
          <w:rtl w:val="true"/>
          <w:lang w:bidi="ar-SA"/>
        </w:rPr>
        <w:t>لا يتمّ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للمشهور؛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للفاضل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لمرسل </w:t>
      </w:r>
      <w:r>
        <w:rPr>
          <w:rStyle w:val="FootnoteAnchor"/>
          <w:rtl w:val="true"/>
        </w:rPr>
        <w:footnoteReference w:id="182"/>
      </w:r>
      <w:r>
        <w:rPr>
          <w:rFonts w:ascii="Amiri" w:hAnsi="Amiri" w:eastAsia="Amiri" w:cs="Amiri"/>
          <w:color w:val="111111"/>
          <w:sz w:val="28"/>
          <w:sz w:val="28"/>
          <w:szCs w:val="28"/>
          <w:rtl w:val="true"/>
          <w:lang w:bidi="ar-SA"/>
        </w:rPr>
        <w:t>لا يتحصّل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لابن طاوس </w:t>
      </w:r>
      <w:r>
        <w:rPr>
          <w:rStyle w:val="FootnoteAnchor"/>
          <w:rtl w:val="true"/>
        </w:rPr>
        <w:footnoteReference w:id="183"/>
      </w:r>
      <w:r>
        <w:rPr>
          <w:rFonts w:ascii="IRNazanin" w:hAnsi="IRNazanin" w:eastAsia="IRNazanin"/>
          <w:color w:val="111111"/>
          <w:sz w:val="28"/>
          <w:sz w:val="28"/>
          <w:szCs w:val="28"/>
          <w:rtl w:val="true"/>
          <w:lang w:bidi="fa-IR"/>
        </w:rPr>
        <w:t xml:space="preserve">للخبر </w:t>
      </w:r>
      <w:r>
        <w:rPr>
          <w:rStyle w:val="FootnoteAnchor"/>
          <w:rtl w:val="true"/>
        </w:rPr>
        <w:footnoteReference w:id="184"/>
      </w:r>
      <w:r>
        <w:rPr>
          <w:rFonts w:ascii="Amiri" w:hAnsi="Amiri" w:eastAsia="Amiri" w:cs="Amiri"/>
          <w:color w:val="111111"/>
          <w:sz w:val="28"/>
          <w:sz w:val="28"/>
          <w:szCs w:val="28"/>
          <w:rtl w:val="true"/>
          <w:lang w:bidi="ar-SA"/>
        </w:rPr>
        <w:t>و 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الأخيران لبعض الثالثة </w:t>
      </w:r>
      <w:r>
        <w:rPr>
          <w:rStyle w:val="FootnoteAnchor"/>
          <w:rtl w:val="true"/>
        </w:rPr>
        <w:footnoteReference w:id="185"/>
      </w:r>
      <w:r>
        <w:rPr>
          <w:rFonts w:ascii="Amiri" w:hAnsi="Amiri" w:eastAsia="Amiri" w:cs="Amiri"/>
          <w:color w:val="111111"/>
          <w:sz w:val="28"/>
          <w:sz w:val="28"/>
          <w:szCs w:val="28"/>
          <w:rtl w:val="true"/>
          <w:lang w:bidi="ar-SA"/>
        </w:rPr>
        <w:t>لكفاية المزيل في المتغيّر على الأوّل منهما، و للاستصحاب و أصالة نفي الزائد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على أصلهم خامسها، و إن كان الأحوط ثانيها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تعذّر نزح الكلّ في مورده يوجب التراوح في يوم؛ للموثّق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الرضوي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من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إجزاء الأربعة مجمع عليه، و إطلاق الموثّق كصريح الرضوي يرشد إليه، و الأكثر أصحّ القولين؛ للإطلاق، و صريح الثاني كظاهر الأوّل عدم كفاية الأقلّ، وفاقاً للأكثر، و القول بالإجزاء إن نهض بعملها لاتّحاد الطريق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هنا يوم الأجير دون الصوم؛ للتبادر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مقداره من الليل أو الملفّق؛ لخروجه عن النصّ، و التعدية لاشتراك العلّة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الصغير كالكبير إن عمّهما الاسم، و إلّا اختصّ بمتناوله، و يدخل غيره فيما لا نصّ فيه أو عموم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التسوية كالأكثر، أو إدخال كلّ صغير في العصفور كالصهرشتي </w:t>
      </w:r>
      <w:r>
        <w:rPr>
          <w:rStyle w:val="FootnoteAnchor"/>
          <w:rtl w:val="true"/>
        </w:rPr>
        <w:footnoteReference w:id="188"/>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دلو النزح هو المعدّ، أو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استيفاء العدد لازم، فلا يكفي الوزن؛ لعدم الامتثال، خلافاً للفاضل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لحصول الغرض، و ردّ بإمكان حكمة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دلو و عدد في مزيل التغيّر و نزح الكرّ و الجميع،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تضاعيف النزح بتضاعف النجس،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التضاعف مع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للشهيدين و الكركي </w:t>
      </w:r>
      <w:r>
        <w:rPr>
          <w:rStyle w:val="FootnoteAnchor"/>
          <w:rtl w:val="true"/>
        </w:rPr>
        <w:footnoteReference w:id="190"/>
      </w:r>
      <w:r>
        <w:rPr>
          <w:rFonts w:ascii="Amiri" w:hAnsi="Amiri" w:eastAsia="Amiri" w:cs="Amiri"/>
          <w:color w:val="111111"/>
          <w:sz w:val="28"/>
          <w:sz w:val="28"/>
          <w:szCs w:val="28"/>
          <w:rtl w:val="true"/>
          <w:lang w:bidi="ar-SA"/>
        </w:rPr>
        <w:t>، و هو المختار؛ للاستصحاب و أصالة عدم التداخل في الأسباب؛ إذ توارد العلل علىٰ معلول واحد باطل، فيستقلّ كلّ منهما بالتأثير، و التفرقة بين العقليّة و الشرعيّة باطلة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اختلافهما في التأثير بالذاتيّة و الوضعيّة و الشرعيّة، و إن جاز</w:t>
      </w:r>
    </w:p>
    <w:p>
      <w:pPr>
        <w:pStyle w:val="BookText"/>
        <w:rPr/>
      </w:pPr>
      <w:r>
        <w:rPr>
          <w:rFonts w:ascii="Amiri" w:hAnsi="Amiri" w:eastAsia="Amiri" w:cs="Amiri"/>
          <w:color w:val="111111"/>
          <w:sz w:val="28"/>
          <w:sz w:val="28"/>
          <w:szCs w:val="28"/>
          <w:rtl w:val="true"/>
          <w:lang w:bidi="ar-SA"/>
        </w:rPr>
        <w:t>كونها للتعريف إلّا أنّ الأصل فيها الباعثيّة، و المعرّف لواحد و إن أمكن تعدّده، إلّا أنّ ذلك نادر؛ إذ الغالب تعدّد البواعث مع تعدّد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w:t>
      </w:r>
      <w:r>
        <w:rPr>
          <w:rStyle w:val="FootnoteAnchor"/>
          <w:rtl w:val="true"/>
        </w:rPr>
        <w:footnoteReference w:id="191"/>
      </w:r>
      <w:r>
        <w:rPr>
          <w:rFonts w:ascii="Amiri" w:hAnsi="Amiri" w:eastAsia="Amiri" w:cs="Amiri"/>
          <w:color w:val="111111"/>
          <w:sz w:val="28"/>
          <w:sz w:val="28"/>
          <w:szCs w:val="28"/>
          <w:rtl w:val="true"/>
          <w:lang w:bidi="ar-SA"/>
        </w:rPr>
        <w:t>لحصول الامتثال بالمقدّر أو أكثر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w:t>
      </w:r>
      <w:r>
        <w:rPr>
          <w:rStyle w:val="FootnoteAnchor"/>
          <w:rtl w:val="true"/>
        </w:rPr>
        <w:footnoteReference w:id="192"/>
      </w:r>
      <w:r>
        <w:rPr>
          <w:rFonts w:ascii="Amiri" w:hAnsi="Amiri" w:eastAsia="Amiri" w:cs="Amiri"/>
          <w:color w:val="111111"/>
          <w:sz w:val="28"/>
          <w:sz w:val="28"/>
          <w:szCs w:val="28"/>
          <w:rtl w:val="true"/>
          <w:lang w:bidi="ar-SA"/>
        </w:rPr>
        <w:t>لاعتبار لا يصلح للتفرقة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لحوق الجزء بكلّه لتوقّف القطع بالبراءة عليه، أو بغير المنصوص لتغايرهما، فلا يتناوله دليله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منزوحه أمّا أكثر من مقدّر الكلّ أو أقلّ، فالظاهر على أصلهم الأوّل على الأوّل؛ إذ زيادة الجزء على الكلّ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على الثاني؛ لكفايته مع عدم النص على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فالأمر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إجزاء الواحد بالكلّ كما للكلّ عند الكلّ، و بالنص يوجب أقل الأمرين على الثالث، و يتضاعف الأوّل على الأوّل، و الثاني على الثاني بتضاعف الأجزاء، و لا يخفى بعده، و لجزءين من اثنين ما لكلّ واحد على كل مذهب مرّتين،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الحامل و ذو الرجيع مع انضمام المخارج كغيرهما؛ لعدم الملاقاة، و بدونه يلزم فيهما التضاعف؛ لصدقه، و إطلاق الأدلّة لا يتناولهما؛ لانصرافه إلى الغالب، على أنّ قيد الحيثيّة في إطلاقات النزح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التساقط المعتاد عند الكلّ لا ينجّس و لا يعاد، و غيره عندنا ندباً يكمل أو يعاد، و لهم فيه أقوال، أظهرها ذلك وجوباً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وقعت بعض الدلاء في بئر طاهرة، ففي نزح المقدّر أو بالغير المنصوص</w:t>
      </w:r>
    </w:p>
    <w:p>
      <w:pPr>
        <w:pStyle w:val="BookText"/>
        <w:rPr/>
      </w:pPr>
      <w:r>
        <w:rPr>
          <w:rFonts w:ascii="Amiri" w:hAnsi="Amiri" w:eastAsia="Amiri" w:cs="Amiri"/>
          <w:color w:val="111111"/>
          <w:sz w:val="28"/>
          <w:sz w:val="28"/>
          <w:szCs w:val="28"/>
          <w:rtl w:val="true"/>
          <w:lang w:bidi="ar-SA"/>
        </w:rPr>
        <w:t>أو الأقل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 دليل كلّ مع الترجيح يعلم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نزح لعود الغائر؛ لعدم القطع بالاتّحاد، فيجزئ فيه أصالة الطهارة، دون استصحاب النجاسة، و تنجّسه بالحمأة ليس أولى من تطهّرها به؛ إذ المسلّم على الانفعال ينجس البئر بالواقع لا انفعال النابع من أرضها، و على الانفعال يطهر الآلات و الجدران و مثلهما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سبق الوقوع على الاستعمال رجّح عدمه؛ للأصل، و الاستصحاب، و ظاهر الموثّق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حصول الطهر أو الطيبة بملاقاته أحد الثلاثة؛ لعموم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 </w:t>
      </w:r>
      <w:r>
        <w:rPr>
          <w:rStyle w:val="FootnoteAnchor"/>
          <w:rtl w:val="true"/>
        </w:rPr>
        <w:footnoteReference w:id="195"/>
      </w:r>
      <w:r>
        <w:rPr>
          <w:rFonts w:ascii="Amiri" w:hAnsi="Amiri" w:eastAsia="Amiri" w:cs="Amiri"/>
          <w:color w:val="111111"/>
          <w:sz w:val="28"/>
          <w:sz w:val="28"/>
          <w:szCs w:val="28"/>
          <w:rtl w:val="true"/>
          <w:lang w:bidi="ar-SA"/>
        </w:rPr>
        <w:t xml:space="preserve">مطلقاً لتعليقه على النزح و هو لا يفيد الانحصار، و للشهيد </w:t>
      </w:r>
      <w:r>
        <w:rPr>
          <w:rStyle w:val="FootnoteAnchor"/>
          <w:rtl w:val="true"/>
        </w:rPr>
        <w:footnoteReference w:id="196"/>
      </w:r>
      <w:r>
        <w:rPr>
          <w:rFonts w:ascii="Amiri" w:hAnsi="Amiri" w:eastAsia="Amiri" w:cs="Amiri"/>
          <w:color w:val="111111"/>
          <w:sz w:val="28"/>
          <w:sz w:val="28"/>
          <w:szCs w:val="28"/>
          <w:rtl w:val="true"/>
          <w:lang w:bidi="ar-SA"/>
        </w:rPr>
        <w:t>مع التسنّم؛ لعدم الوحدة، و ردّ بصدقها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يتنجّس بالبالوعة ما لم يتغيّر بها أو يتّصل، بالإجماع و الأصل و الخبر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تباعدهما بخمس أذرع مع الصلابة أو فوقيّة البئر قراراً، و بالسبع بدونهما؛ للجمع بين المرسل و الخبر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التساوي في القرار كالتحتيّة، فالتباعد فيه بالسبع لمفهوم آخر الأوّل و أوّل الآخر، و مفهوم آخره غير مقاوم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بعضهم اعتبر الفوقيّة بالجهة؛ للخبر </w:t>
      </w:r>
      <w:r>
        <w:rPr>
          <w:rStyle w:val="FootnoteAnchor"/>
          <w:rtl w:val="true"/>
        </w:rPr>
        <w:footnoteReference w:id="199"/>
      </w:r>
      <w:r>
        <w:rPr>
          <w:rFonts w:ascii="Amiri" w:hAnsi="Amiri" w:eastAsia="Amiri" w:cs="Amiri"/>
          <w:color w:val="111111"/>
          <w:sz w:val="28"/>
          <w:sz w:val="28"/>
          <w:szCs w:val="28"/>
          <w:rtl w:val="true"/>
          <w:lang w:bidi="ar-SA"/>
        </w:rPr>
        <w:t>، و لا دلالة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الإسكافي في الأوّل على الثاني، و في الثاني على الاثني عشر </w:t>
      </w:r>
      <w:r>
        <w:rPr>
          <w:rStyle w:val="FootnoteAnchor"/>
          <w:rtl w:val="true"/>
        </w:rPr>
        <w:footnoteReference w:id="200"/>
      </w:r>
      <w:r>
        <w:rPr>
          <w:rFonts w:ascii="Amiri" w:hAnsi="Amiri" w:eastAsia="Amiri" w:cs="Amiri"/>
          <w:color w:val="111111"/>
          <w:sz w:val="28"/>
          <w:sz w:val="28"/>
          <w:szCs w:val="28"/>
          <w:rtl w:val="true"/>
          <w:lang w:bidi="ar-SA"/>
        </w:rPr>
        <w:t>، و 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اعتبار الجهة صورة التعارض كالتساوي؛ للزوم التحكّم لولاه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الصور عليه أربع و عشرون، و التباعد في ثمان بسبع، و في البواقي بخمس، و على عدمه ستّ في أربع بخمس، و في صورتين بسبع</w:t>
      </w:r>
      <w:r>
        <w:rPr>
          <w:rFonts w:eastAsia="Amiri" w:cs="Amiri" w:ascii="Amiri" w:hAnsi="Amiri"/>
          <w:color w:val="111111"/>
          <w:sz w:val="28"/>
          <w:szCs w:val="28"/>
          <w:rtl w:val="true"/>
          <w:lang w:bidi="ar-SA"/>
        </w:rPr>
        <w:t>.</w:t>
      </w:r>
      <w:bookmarkStart w:id="73" w:name="pg2479_11480"/>
    </w:p>
    <w:p>
      <w:pPr>
        <w:pStyle w:val="Heading4"/>
        <w:numPr>
          <w:ilvl w:val="3"/>
          <w:numId w:val="1"/>
        </w:numPr>
        <w:rPr/>
      </w:pPr>
      <w:bookmarkStart w:id="74" w:name="__RefHeading___Toc3731847_3804643083"/>
      <w:bookmarkStart w:id="75" w:name="_Toc29"/>
      <w:bookmarkEnd w:id="73"/>
      <w:bookmarkEnd w:id="74"/>
      <w:r>
        <w:rPr>
          <w:rtl w:val="true"/>
        </w:rPr>
        <w:t>بحث المضاف</w:t>
      </w:r>
      <w:bookmarkEnd w:id="75"/>
    </w:p>
    <w:p>
      <w:pPr>
        <w:pStyle w:val="Heading5"/>
        <w:numPr>
          <w:ilvl w:val="4"/>
          <w:numId w:val="1"/>
        </w:numPr>
        <w:rPr/>
      </w:pPr>
      <w:bookmarkStart w:id="76" w:name="__RefHeading___Toc3731849_3804643083"/>
      <w:bookmarkStart w:id="77" w:name="_Toc30"/>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 هو ما يلزم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طهره، كتنجّسه بالملاقاة و إن كثر،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اختلاف السطوح يتنجّس الأسفل بالأعلى، دون العكس؛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إلّا أن يثبت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طهره باختلاطه بالجاري أو الكثير، أو مطلقاً إذا صار مطلقاً بلا تغيّر، أو الأعمّ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و الشيخ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الكثرة كالجريان لعدم الانفعال ما لم يتغيّر بالنجس، دون المتنجّس، فالمضاف المتنجّس لا ينجّسه، و إن غيّره أو استهلكه فهو يطهّره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بتوقّفه على بقاء الإطلاق، و الطهر يتوقّف على الامتزاج المقتضي لإضافة المطلق، أو انفعاله الموجب لتنجّسه، فلا يطهر بمجرّد الاتّصال قبلهما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الطهارة يعارضه استصحاب النجاسة، و أصالتها بالاستهلاك مندفعة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المتنجّس كالنجس في التنجيس، فينجس الكثير مع التغيّر لا بدونه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بالمنع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78" w:name="pg2479_11481"/>
    </w:p>
    <w:p>
      <w:pPr>
        <w:pStyle w:val="BookText"/>
        <w:rPr/>
      </w:pPr>
      <w:bookmarkEnd w:id="78"/>
      <w:r>
        <w:rPr>
          <w:rFonts w:ascii="Amiri" w:hAnsi="Amiri" w:eastAsia="Amiri" w:cs="Amiri"/>
          <w:color w:val="111111"/>
          <w:sz w:val="28"/>
          <w:sz w:val="28"/>
          <w:szCs w:val="28"/>
          <w:rtl w:val="true"/>
          <w:lang w:bidi="ar-SA"/>
        </w:rPr>
        <w:t>و للثالث 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اشتراط طهره بالشيوع المتوقّف على الإطلاق، و معه يطهر و إن بقي التغيّر؛ لكونه من المتنجّس، فلا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على طهر المطلق في كفاية الاتّصال باطل</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731851_3804643083"/>
      <w:bookmarkStart w:id="80" w:name="_Toc31"/>
      <w:bookmarkEnd w:id="79"/>
      <w:r>
        <w:rPr>
          <w:rtl w:val="true"/>
        </w:rPr>
        <w:t xml:space="preserve">فصل </w:t>
      </w:r>
      <w:r>
        <w:rPr>
          <w:rtl w:val="true"/>
        </w:rPr>
        <w:t>[</w:t>
      </w:r>
      <w:r>
        <w:rPr>
          <w:rtl w:val="true"/>
        </w:rPr>
        <w:t>عدم مطهّرية المضاف</w:t>
      </w:r>
      <w:r>
        <w:rPr>
          <w:rtl w:val="true"/>
        </w:rPr>
        <w:t>]</w:t>
      </w:r>
      <w:bookmarkEnd w:id="80"/>
    </w:p>
    <w:p>
      <w:pPr>
        <w:pStyle w:val="BookText"/>
        <w:rPr/>
      </w:pPr>
      <w:r>
        <w:rPr>
          <w:rFonts w:ascii="Amiri" w:hAnsi="Amiri" w:eastAsia="Amiri" w:cs="Amiri"/>
          <w:color w:val="111111"/>
          <w:sz w:val="28"/>
          <w:sz w:val="28"/>
          <w:szCs w:val="28"/>
          <w:rtl w:val="true"/>
          <w:lang w:bidi="ar-SA"/>
        </w:rPr>
        <w:t xml:space="preserve">المضاف لا يرفع الحدث؛ للاستصحاب، و تكرّر نقل الإجماع، و ظاهر الآية </w:t>
      </w:r>
      <w:r>
        <w:rPr>
          <w:rStyle w:val="FootnoteAnchor"/>
          <w:rtl w:val="true"/>
        </w:rPr>
        <w:footnoteReference w:id="205"/>
      </w:r>
      <w:r>
        <w:rPr>
          <w:rFonts w:ascii="Amiri" w:hAnsi="Amiri" w:eastAsia="Amiri" w:cs="Amiri"/>
          <w:color w:val="111111"/>
          <w:sz w:val="28"/>
          <w:sz w:val="28"/>
          <w:szCs w:val="28"/>
          <w:rtl w:val="true"/>
          <w:lang w:bidi="ar-SA"/>
        </w:rPr>
        <w:t xml:space="preserve">، و المستفيضة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للصدوق في ماء الورد </w:t>
      </w:r>
      <w:r>
        <w:rPr>
          <w:rStyle w:val="FootnoteAnchor"/>
          <w:rtl w:val="true"/>
        </w:rPr>
        <w:footnoteReference w:id="207"/>
      </w:r>
      <w:r>
        <w:rPr>
          <w:rFonts w:ascii="IRNazanin" w:hAnsi="IRNazanin" w:eastAsia="IRNazanin"/>
          <w:color w:val="111111"/>
          <w:sz w:val="28"/>
          <w:sz w:val="28"/>
          <w:szCs w:val="28"/>
          <w:rtl w:val="true"/>
          <w:lang w:bidi="fa-IR"/>
        </w:rPr>
        <w:t xml:space="preserve">للخبر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بالضعف و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الخبث؛ لأصالة البقاء، و أوامر غسله بالماء و تنجّسه به، فلا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للمفيد </w:t>
      </w:r>
      <w:r>
        <w:rPr>
          <w:rStyle w:val="FootnoteAnchor"/>
          <w:rtl w:val="true"/>
        </w:rPr>
        <w:footnoteReference w:id="209"/>
      </w:r>
      <w:r>
        <w:rPr>
          <w:rFonts w:ascii="Amiri" w:hAnsi="Amiri" w:eastAsia="Amiri" w:cs="Amiri"/>
          <w:color w:val="111111"/>
          <w:sz w:val="28"/>
          <w:sz w:val="28"/>
          <w:szCs w:val="28"/>
          <w:rtl w:val="true"/>
          <w:lang w:bidi="ar-SA"/>
        </w:rPr>
        <w:t xml:space="preserve">و السيّد؛ لنقله الإجماع </w:t>
      </w:r>
      <w:r>
        <w:rPr>
          <w:rStyle w:val="FootnoteAnchor"/>
          <w:rtl w:val="true"/>
        </w:rPr>
        <w:footnoteReference w:id="210"/>
      </w:r>
      <w:r>
        <w:rPr>
          <w:rFonts w:ascii="Amiri" w:hAnsi="Amiri" w:eastAsia="Amiri" w:cs="Amiri"/>
          <w:color w:val="111111"/>
          <w:sz w:val="28"/>
          <w:sz w:val="28"/>
          <w:szCs w:val="28"/>
          <w:rtl w:val="true"/>
          <w:lang w:bidi="ar-SA"/>
        </w:rPr>
        <w:t xml:space="preserve">، و دلالة الصحيح و الخبر </w:t>
      </w:r>
      <w:r>
        <w:rPr>
          <w:rStyle w:val="FootnoteAnchor"/>
          <w:rtl w:val="true"/>
        </w:rPr>
        <w:footnoteReference w:id="211"/>
      </w:r>
      <w:r>
        <w:rPr>
          <w:rFonts w:ascii="Amiri" w:hAnsi="Amiri" w:eastAsia="Amiri" w:cs="Amiri"/>
          <w:color w:val="111111"/>
          <w:sz w:val="28"/>
          <w:sz w:val="28"/>
          <w:szCs w:val="28"/>
          <w:rtl w:val="true"/>
          <w:lang w:bidi="ar-SA"/>
        </w:rPr>
        <w:t>على تطهّر البول و الدم بالمسح و 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غير مقاوم، و الثاني مع عدم الدلالة على المطلوب متروك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 بمطلق وافقه في الوصف، اعتبر الاسم؛ لإناطة الحكم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تعرّفه بالعرف أو الأكثريّة أو تقدير الوصف،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للأكثر، و الشيخ،</w:t>
      </w:r>
    </w:p>
    <w:p>
      <w:pPr>
        <w:pStyle w:val="BookText"/>
        <w:rPr/>
      </w:pPr>
      <w:r>
        <w:rPr>
          <w:rFonts w:ascii="IRNazanin" w:hAnsi="IRNazanin" w:eastAsia="IRNazanin"/>
          <w:color w:val="111111"/>
          <w:sz w:val="28"/>
          <w:sz w:val="28"/>
          <w:szCs w:val="28"/>
          <w:rtl w:val="true"/>
          <w:lang w:bidi="fa-IR"/>
        </w:rPr>
        <w:t xml:space="preserve">و الفاضل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الأوّل؛ إذ الحكم في مثله للعرف، فلو أمكن المزج و التطهير جاز وفاقاً، و وجب على الأصحّ، لصدق الوجدان؛ إذ المزج وسيلة إلى الموجود كالحفر، لا إيجاد كالاكتساب، فهو مقدّمة للمطلق لا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أخذاً بالنقيض، و دفعه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المطلق به أو بالمستعمل في الأكبر، فإن فقد غيرهما وجب التطهّر بهما؛ للإجماع، و 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جاز؛ لصدق الامتثال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لتمكّنه من الجزم في النيّة فلا يكفي التردّد، و ردّ بمنع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انقلب أحدهما وجب التيمّم؛ لظهور الأدلّة في استعمال ما يعلم إطلاقه لا ما لا يقطع بإضافته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التطهّر بالآخر معه كالأكثر، أخذاً بوجوب المقدّمة؛ لعدم واجب حتّى يجب التوسّل إليه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الاشتباه يحصل بالتباسهما بعد اليقين، لا بالشكّ أوّلًا؛ لأصالة العدم و الطهوريّة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التميّز كالإضافة بعدلين؛ لعموم الاعتبار، لا بواحد لكونه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كونها في أحكام العبادة كالرواية </w:t>
      </w:r>
      <w:r>
        <w:rPr>
          <w:rStyle w:val="FootnoteAnchor"/>
          <w:rtl w:val="true"/>
        </w:rPr>
        <w:footnoteReference w:id="215"/>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bookmarkStart w:id="81" w:name="pg2479_11483"/>
    </w:p>
    <w:p>
      <w:pPr>
        <w:pStyle w:val="Heading4"/>
        <w:numPr>
          <w:ilvl w:val="3"/>
          <w:numId w:val="1"/>
        </w:numPr>
        <w:rPr/>
      </w:pPr>
      <w:bookmarkStart w:id="82" w:name="__RefHeading___Toc3731853_3804643083"/>
      <w:bookmarkStart w:id="83" w:name="_Toc32"/>
      <w:bookmarkEnd w:id="81"/>
      <w:bookmarkEnd w:id="82"/>
      <w:r>
        <w:rPr>
          <w:rtl w:val="true"/>
        </w:rPr>
        <w:t>بحث السؤر</w:t>
      </w:r>
      <w:bookmarkEnd w:id="83"/>
    </w:p>
    <w:p>
      <w:pPr>
        <w:pStyle w:val="Heading5"/>
        <w:numPr>
          <w:ilvl w:val="4"/>
          <w:numId w:val="1"/>
        </w:numPr>
        <w:rPr/>
      </w:pPr>
      <w:bookmarkStart w:id="84" w:name="__RefHeading___Toc3731855_3804643083"/>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 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قليل باشره جسم حيوان، لا مجرّد فمه، كما يشهد به التتبّع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سؤر النجس نجس، 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الطاهر طاهر، وفاقاً للأكثر؛ لأصالة البراءة و الإباحتين و الطهارتين، و المستفيضة من الصحاح و غيرها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للسيّد في سؤر الجلّال </w:t>
      </w:r>
      <w:r>
        <w:rPr>
          <w:rStyle w:val="FootnoteAnchor"/>
          <w:rtl w:val="true"/>
        </w:rPr>
        <w:footnoteReference w:id="2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آكل الجيف من الطير </w:t>
      </w:r>
      <w:r>
        <w:rPr>
          <w:rStyle w:val="FootnoteAnchor"/>
          <w:rtl w:val="true"/>
        </w:rPr>
        <w:footnoteReference w:id="2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يؤكل سوى الطير و السنور </w:t>
      </w:r>
      <w:r>
        <w:rPr>
          <w:rStyle w:val="FootnoteAnchor"/>
          <w:rtl w:val="true"/>
        </w:rPr>
        <w:footnoteReference w:id="2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سوى الفأرة و الصقر و البازي </w:t>
      </w:r>
      <w:r>
        <w:rPr>
          <w:rStyle w:val="FootnoteAnchor"/>
          <w:rtl w:val="true"/>
        </w:rPr>
        <w:footnoteReference w:id="2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الإنسي منه سوى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لعابهما من النجس فينجس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للبواقي فيما به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الصحيح و الموثّق </w:t>
      </w:r>
      <w:r>
        <w:rPr>
          <w:rStyle w:val="FootnoteAnchor"/>
          <w:rtl w:val="true"/>
        </w:rPr>
        <w:footnoteReference w:id="223"/>
      </w:r>
      <w:r>
        <w:rPr>
          <w:rFonts w:ascii="Amiri" w:hAnsi="Amiri" w:eastAsia="Amiri" w:cs="Amiri"/>
          <w:color w:val="111111"/>
          <w:sz w:val="28"/>
          <w:sz w:val="28"/>
          <w:szCs w:val="28"/>
          <w:rtl w:val="true"/>
          <w:lang w:bidi="ar-SA"/>
        </w:rPr>
        <w:t>و لا دلالة له و لا مقاومة، و النصوص حجّة على الكلّ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تطهّر ما نجس من الحيوان بزوال العين مطلقاً، أو مع الغيبة المحتملة</w:t>
      </w:r>
    </w:p>
    <w:p>
      <w:pPr>
        <w:pStyle w:val="BookText"/>
        <w:rPr/>
      </w:pPr>
      <w:r>
        <w:rPr>
          <w:rFonts w:ascii="Amiri" w:hAnsi="Amiri" w:eastAsia="Amiri" w:cs="Amiri"/>
          <w:color w:val="111111"/>
          <w:sz w:val="28"/>
          <w:sz w:val="28"/>
          <w:szCs w:val="28"/>
          <w:rtl w:val="true"/>
          <w:lang w:bidi="ar-SA"/>
        </w:rPr>
        <w:t>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للأوّل 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و عدم فائدة فيها مع القطع بعدم اشتراط التطهير الشرعي، و نقل الوفاق في الهرّة مع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 و عورض باستصحاب طهر الملاقي، فيسلم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الآدمي بالثاني </w:t>
      </w:r>
      <w:r>
        <w:rPr>
          <w:rStyle w:val="FootnoteAnchor"/>
          <w:rtl w:val="true"/>
        </w:rPr>
        <w:footnoteReference w:id="225"/>
      </w:r>
      <w:r>
        <w:rPr>
          <w:rFonts w:ascii="IRNazanin" w:hAnsi="IRNazanin" w:eastAsia="IRNazanin"/>
          <w:color w:val="111111"/>
          <w:sz w:val="28"/>
          <w:sz w:val="28"/>
          <w:szCs w:val="28"/>
          <w:rtl w:val="true"/>
          <w:lang w:bidi="fa-IR"/>
        </w:rPr>
        <w:t xml:space="preserve">أو بالعلم أو الظنّ </w:t>
      </w:r>
      <w:r>
        <w:rPr>
          <w:rStyle w:val="FootnoteAnchor"/>
          <w:rtl w:val="true"/>
        </w:rPr>
        <w:footnoteReference w:id="226"/>
      </w:r>
      <w:r>
        <w:rPr>
          <w:rFonts w:ascii="Amiri" w:hAnsi="Amiri" w:eastAsia="Amiri" w:cs="Amiri"/>
          <w:color w:val="111111"/>
          <w:sz w:val="28"/>
          <w:sz w:val="28"/>
          <w:szCs w:val="28"/>
          <w:rtl w:val="true"/>
          <w:lang w:bidi="ar-SA"/>
        </w:rPr>
        <w:t xml:space="preserve">، أو تلبّسه بمشروط بالطهارة مطلقاً </w:t>
      </w:r>
      <w:r>
        <w:rPr>
          <w:rStyle w:val="FootnoteAnchor"/>
          <w:rtl w:val="true"/>
        </w:rPr>
        <w:footnoteReference w:id="227"/>
      </w:r>
      <w:r>
        <w:rPr>
          <w:rFonts w:ascii="Amiri" w:hAnsi="Amiri" w:eastAsia="Amiri" w:cs="Amiri"/>
          <w:color w:val="111111"/>
          <w:sz w:val="28"/>
          <w:sz w:val="28"/>
          <w:szCs w:val="28"/>
          <w:rtl w:val="true"/>
          <w:lang w:bidi="ar-SA"/>
        </w:rPr>
        <w:t xml:space="preserve">، أو مع علمه بالنجاسة و أهليّته للإزالة </w:t>
      </w:r>
      <w:r>
        <w:rPr>
          <w:rStyle w:val="FootnoteAnchor"/>
          <w:rtl w:val="true"/>
        </w:rPr>
        <w:footnoteReference w:id="228"/>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أرجحها الأوّل، و أشهرها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الإطلاقات، و إجماعهم على جواز الاقتداء و المباشرة مطلقاً مع القطع بسبق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 إلى القطع بالمزيل، و هو عند كلّ واحد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بما مرّ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الخلاف في الحكم يطهّر ظاهر الحيوان دون باطنه و غيره من الأرض و النبات؛ لإجماعهم على كفاية الزوال في الأوّل، و في النصوص </w:t>
      </w:r>
      <w:r>
        <w:rPr>
          <w:rStyle w:val="FootnoteAnchor"/>
          <w:rtl w:val="true"/>
        </w:rPr>
        <w:footnoteReference w:id="229"/>
      </w:r>
      <w:r>
        <w:rPr>
          <w:rFonts w:ascii="Amiri" w:hAnsi="Amiri" w:eastAsia="Amiri" w:cs="Amiri"/>
          <w:color w:val="111111"/>
          <w:sz w:val="28"/>
          <w:sz w:val="28"/>
          <w:szCs w:val="28"/>
          <w:rtl w:val="true"/>
          <w:lang w:bidi="ar-SA"/>
        </w:rPr>
        <w:t>أيضاً دلالة عليه، و وجوب تحصيل المعتبر من الظنّ أو العلم في الثاني، و الاستصحاب يرشد إليه</w:t>
      </w:r>
      <w:r>
        <w:rPr>
          <w:rFonts w:eastAsia="Amiri" w:cs="Amiri" w:ascii="Amiri" w:hAnsi="Amiri"/>
          <w:color w:val="111111"/>
          <w:sz w:val="28"/>
          <w:szCs w:val="28"/>
          <w:rtl w:val="true"/>
          <w:lang w:bidi="ar-SA"/>
        </w:rPr>
        <w:t>.</w:t>
      </w:r>
      <w:bookmarkStart w:id="86" w:name="pg2479_11485"/>
    </w:p>
    <w:p>
      <w:pPr>
        <w:pStyle w:val="Heading5"/>
        <w:numPr>
          <w:ilvl w:val="4"/>
          <w:numId w:val="1"/>
        </w:numPr>
        <w:rPr/>
      </w:pPr>
      <w:bookmarkStart w:id="87" w:name="__RefHeading___Toc3731857_3804643083"/>
      <w:bookmarkStart w:id="88" w:name="_Toc34"/>
      <w:bookmarkEnd w:id="86"/>
      <w:bookmarkEnd w:id="87"/>
      <w:r>
        <w:rPr>
          <w:rtl w:val="true"/>
        </w:rPr>
        <w:t xml:space="preserve">فصل </w:t>
      </w:r>
      <w:r>
        <w:rPr>
          <w:rtl w:val="true"/>
        </w:rPr>
        <w:t>[</w:t>
      </w:r>
      <w:r>
        <w:rPr>
          <w:rtl w:val="true"/>
        </w:rPr>
        <w:t>الأسآر المكروهة</w:t>
      </w:r>
      <w:r>
        <w:rPr>
          <w:rtl w:val="true"/>
        </w:rPr>
        <w:t>]</w:t>
      </w:r>
      <w:bookmarkEnd w:id="88"/>
    </w:p>
    <w:p>
      <w:pPr>
        <w:pStyle w:val="BookText"/>
        <w:rPr/>
      </w:pP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سؤر الخيل و البغل و الحمار؛ لظاهر الوفاق، و المضمر </w:t>
      </w:r>
      <w:r>
        <w:rPr>
          <w:rStyle w:val="FootnoteAnchor"/>
          <w:rtl w:val="true"/>
        </w:rPr>
        <w:footnoteReference w:id="230"/>
      </w:r>
      <w:r>
        <w:rPr>
          <w:rFonts w:ascii="Amiri" w:hAnsi="Amiri" w:eastAsia="Amiri" w:cs="Amiri"/>
          <w:color w:val="111111"/>
          <w:sz w:val="28"/>
          <w:sz w:val="28"/>
          <w:szCs w:val="28"/>
          <w:rtl w:val="true"/>
          <w:lang w:bidi="ar-SA"/>
        </w:rPr>
        <w:t>، و قضيّة التسامح و الانجبار يصحّح العمل به، و مجوّزات استعماله لا تنافي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الجلّال و آكل الجيف؛ للاحتياط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الحائض المتّهمة في الوضوء؛ وفاقاً لأكثر الثالثة، لا مطلقاً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إذ الجمع بين النصوص يرجّح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سؤر المتّهمة </w:t>
      </w:r>
      <w:r>
        <w:rPr>
          <w:rStyle w:val="FootnoteAnchor"/>
          <w:rtl w:val="true"/>
        </w:rPr>
        <w:footnoteReference w:id="232"/>
      </w:r>
      <w:r>
        <w:rPr>
          <w:rFonts w:ascii="Amiri" w:hAnsi="Amiri" w:eastAsia="Amiri" w:cs="Amiri"/>
          <w:color w:val="111111"/>
          <w:sz w:val="28"/>
          <w:sz w:val="28"/>
          <w:szCs w:val="28"/>
          <w:rtl w:val="true"/>
          <w:lang w:bidi="ar-SA"/>
        </w:rPr>
        <w:t>، و كأنّه لمجرّد جمع لا عبرة به لا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التعدية إلى كلّ متّهم؛ للأصل، خلافاً للشهيدين </w:t>
      </w:r>
      <w:r>
        <w:rPr>
          <w:rStyle w:val="FootnoteAnchor"/>
          <w:rtl w:val="true"/>
        </w:rPr>
        <w:footnoteReference w:id="233"/>
      </w:r>
      <w:r>
        <w:rPr>
          <w:rFonts w:ascii="Amiri" w:hAnsi="Amiri" w:eastAsia="Amiri" w:cs="Amiri"/>
          <w:color w:val="111111"/>
          <w:sz w:val="28"/>
          <w:sz w:val="28"/>
          <w:szCs w:val="28"/>
          <w:rtl w:val="true"/>
          <w:lang w:bidi="ar-SA"/>
        </w:rPr>
        <w:t>لقياس لا عبرة به عندنا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لا يؤكل؛ لصريح المرسل </w:t>
      </w:r>
      <w:r>
        <w:rPr>
          <w:rStyle w:val="FootnoteAnchor"/>
          <w:rtl w:val="true"/>
        </w:rPr>
        <w:footnoteReference w:id="234"/>
      </w:r>
      <w:r>
        <w:rPr>
          <w:rFonts w:ascii="IRNazanin" w:hAnsi="IRNazanin" w:eastAsia="IRNazanin"/>
          <w:color w:val="111111"/>
          <w:sz w:val="28"/>
          <w:sz w:val="28"/>
          <w:szCs w:val="28"/>
          <w:rtl w:val="true"/>
          <w:lang w:bidi="fa-IR"/>
        </w:rPr>
        <w:t xml:space="preserve">، و ظاهر الخبر و المضمر </w:t>
      </w:r>
      <w:r>
        <w:rPr>
          <w:rStyle w:val="FootnoteAnchor"/>
          <w:rtl w:val="true"/>
        </w:rPr>
        <w:footnoteReference w:id="235"/>
      </w:r>
      <w:r>
        <w:rPr>
          <w:rFonts w:ascii="Amiri" w:hAnsi="Amiri" w:eastAsia="Amiri" w:cs="Amiri"/>
          <w:color w:val="111111"/>
          <w:sz w:val="28"/>
          <w:sz w:val="28"/>
          <w:szCs w:val="28"/>
          <w:rtl w:val="true"/>
          <w:lang w:bidi="ar-SA"/>
        </w:rPr>
        <w:t xml:space="preserve">، إلّا السنّور؛ لظاهر المستفيضة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الفأرة، على المشهور؛ لكونها ممّا لا يؤكل، 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للموثّق </w:t>
      </w:r>
      <w:r>
        <w:rPr>
          <w:rStyle w:val="FootnoteAnchor"/>
          <w:rtl w:val="true"/>
        </w:rPr>
        <w:footnoteReference w:id="238"/>
      </w:r>
      <w:r>
        <w:rPr>
          <w:rFonts w:ascii="Amiri" w:hAnsi="Amiri" w:eastAsia="Amiri" w:cs="Amiri"/>
          <w:color w:val="111111"/>
          <w:sz w:val="28"/>
          <w:sz w:val="28"/>
          <w:szCs w:val="28"/>
          <w:rtl w:val="true"/>
          <w:lang w:bidi="ar-SA"/>
        </w:rPr>
        <w:t>، و لا دلالة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يعمّ ما وقعت فيه عند الأكثر؛ لثبوت إباحته بأُصول ثلاثة، بل بعمومات و خصوص المستفيضة </w:t>
      </w:r>
      <w:r>
        <w:rPr>
          <w:rStyle w:val="FootnoteAnchor"/>
          <w:rtl w:val="true"/>
        </w:rPr>
        <w:footnoteReference w:id="239"/>
      </w:r>
      <w:r>
        <w:rPr>
          <w:rFonts w:ascii="Amiri" w:hAnsi="Amiri" w:eastAsia="Amiri" w:cs="Amiri"/>
          <w:color w:val="111111"/>
          <w:sz w:val="28"/>
          <w:sz w:val="28"/>
          <w:szCs w:val="28"/>
          <w:rtl w:val="true"/>
          <w:lang w:bidi="ar-SA"/>
        </w:rPr>
        <w:t>، و كراهته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الصدوق و الشيخان </w:t>
      </w:r>
      <w:r>
        <w:rPr>
          <w:rStyle w:val="FootnoteAnchor"/>
          <w:rtl w:val="true"/>
        </w:rPr>
        <w:footnoteReference w:id="240"/>
      </w:r>
      <w:r>
        <w:rPr>
          <w:rFonts w:ascii="Amiri" w:hAnsi="Amiri" w:eastAsia="Amiri" w:cs="Amiri"/>
          <w:color w:val="111111"/>
          <w:sz w:val="28"/>
          <w:sz w:val="28"/>
          <w:szCs w:val="28"/>
          <w:rtl w:val="true"/>
          <w:lang w:bidi="ar-SA"/>
        </w:rPr>
        <w:t xml:space="preserve">إراقته؛ للمعتبرة </w:t>
      </w:r>
      <w:r>
        <w:rPr>
          <w:rStyle w:val="FootnoteAnchor"/>
          <w:rtl w:val="true"/>
        </w:rPr>
        <w:footnoteReference w:id="241"/>
      </w:r>
      <w:r>
        <w:rPr>
          <w:rFonts w:ascii="Amiri" w:hAnsi="Amiri" w:eastAsia="Amiri" w:cs="Amiri"/>
          <w:color w:val="111111"/>
          <w:sz w:val="28"/>
          <w:sz w:val="28"/>
          <w:szCs w:val="28"/>
          <w:rtl w:val="true"/>
          <w:lang w:bidi="ar-SA"/>
        </w:rPr>
        <w:t>، و أُجيب بحملها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الوزغة؛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كسابقه في خلاف الشيخين، باستدلاله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الحيّة، وفاقاً للمعظم؛ للعموم المذكور، و خصوص الخبر </w:t>
      </w:r>
      <w:r>
        <w:rPr>
          <w:rStyle w:val="FootnoteAnchor"/>
          <w:rtl w:val="true"/>
        </w:rPr>
        <w:footnoteReference w:id="242"/>
      </w:r>
      <w:r>
        <w:rPr>
          <w:rFonts w:ascii="IRNazanin" w:hAnsi="IRNazanin" w:eastAsia="IRNazanin"/>
          <w:color w:val="111111"/>
          <w:sz w:val="28"/>
          <w:sz w:val="28"/>
          <w:szCs w:val="28"/>
          <w:rtl w:val="true"/>
          <w:lang w:bidi="fa-IR"/>
        </w:rPr>
        <w:t xml:space="preserve">، و خلافاً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لخبر </w:t>
      </w:r>
      <w:r>
        <w:rPr>
          <w:rStyle w:val="FootnoteAnchor"/>
          <w:rtl w:val="true"/>
        </w:rPr>
        <w:footnoteReference w:id="244"/>
      </w:r>
      <w:r>
        <w:rPr>
          <w:rFonts w:ascii="Amiri" w:hAnsi="Amiri" w:eastAsia="Amiri" w:cs="Amiri"/>
          <w:color w:val="111111"/>
          <w:sz w:val="28"/>
          <w:sz w:val="28"/>
          <w:szCs w:val="28"/>
          <w:rtl w:val="true"/>
          <w:lang w:bidi="ar-SA"/>
        </w:rPr>
        <w:t>لا صراحة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ظنّ المنع للسمّية، و هو ضعيف، و الأُصول و العمومات و خصوص الصحيح و الخبر </w:t>
      </w:r>
      <w:r>
        <w:rPr>
          <w:rStyle w:val="FootnoteAnchor"/>
          <w:rtl w:val="true"/>
        </w:rPr>
        <w:footnoteReference w:id="245"/>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العقرب، على الأصحّ؛ لثبوت الطهارة بالأُصول و العمومات و خصوص الحسن </w:t>
      </w:r>
      <w:r>
        <w:rPr>
          <w:rStyle w:val="FootnoteAnchor"/>
          <w:rtl w:val="true"/>
        </w:rPr>
        <w:footnoteReference w:id="246"/>
      </w:r>
      <w:r>
        <w:rPr>
          <w:rFonts w:ascii="Amiri" w:hAnsi="Amiri" w:eastAsia="Amiri" w:cs="Amiri"/>
          <w:color w:val="111111"/>
          <w:sz w:val="28"/>
          <w:sz w:val="28"/>
          <w:szCs w:val="28"/>
          <w:rtl w:val="true"/>
          <w:lang w:bidi="ar-SA"/>
        </w:rPr>
        <w:t>، و الكراهة بما 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تقييد الكراهة بما لاقاه ميّتاً كالأكثر، أو التنجيس مطلقاً كالقاضي </w:t>
      </w:r>
      <w:r>
        <w:rPr>
          <w:rStyle w:val="FootnoteAnchor"/>
          <w:rtl w:val="true"/>
        </w:rPr>
        <w:footnoteReference w:id="247"/>
      </w: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 xml:space="preserve">مقيّداً كالطوسي </w:t>
      </w:r>
      <w:r>
        <w:rPr>
          <w:rStyle w:val="FootnoteAnchor"/>
          <w:rtl w:val="true"/>
        </w:rPr>
        <w:footnoteReference w:id="248"/>
      </w:r>
      <w:r>
        <w:rPr>
          <w:rFonts w:ascii="Amiri" w:hAnsi="Amiri" w:eastAsia="Amiri" w:cs="Amiri"/>
          <w:color w:val="111111"/>
          <w:sz w:val="28"/>
          <w:sz w:val="28"/>
          <w:szCs w:val="28"/>
          <w:rtl w:val="true"/>
          <w:lang w:bidi="ar-SA"/>
        </w:rPr>
        <w:t xml:space="preserve">ضعيف؛ إذ الأوّل لا حجّة له، و للثاني إطلاق الموثّقين </w:t>
      </w:r>
      <w:r>
        <w:rPr>
          <w:rStyle w:val="FootnoteAnchor"/>
          <w:rtl w:val="true"/>
        </w:rPr>
        <w:footnoteReference w:id="249"/>
      </w:r>
      <w:r>
        <w:rPr>
          <w:rFonts w:ascii="Amiri" w:hAnsi="Amiri" w:eastAsia="Amiri" w:cs="Amiri"/>
          <w:color w:val="111111"/>
          <w:sz w:val="28"/>
          <w:sz w:val="28"/>
          <w:szCs w:val="28"/>
          <w:rtl w:val="true"/>
          <w:lang w:bidi="ar-SA"/>
        </w:rPr>
        <w:t>، و حملهما على الكراهة متعيّن، و هما حجّة الثالث بعد التقييد،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الثعلبين، وفاقاً للمشهور؛ لثبوت الطهارة بالأُصول و إطلاق المستفيضة من الصحاح و غيرها </w:t>
      </w:r>
      <w:r>
        <w:rPr>
          <w:rStyle w:val="FootnoteAnchor"/>
          <w:rtl w:val="true"/>
        </w:rPr>
        <w:footnoteReference w:id="250"/>
      </w:r>
      <w:r>
        <w:rPr>
          <w:rFonts w:ascii="Amiri" w:hAnsi="Amiri" w:eastAsia="Amiri" w:cs="Amiri"/>
          <w:color w:val="111111"/>
          <w:sz w:val="28"/>
          <w:sz w:val="28"/>
          <w:szCs w:val="28"/>
          <w:rtl w:val="true"/>
          <w:lang w:bidi="ar-SA"/>
        </w:rPr>
        <w:t xml:space="preserve">، و الكراهة بالمرسل </w:t>
      </w:r>
      <w:r>
        <w:rPr>
          <w:rStyle w:val="FootnoteAnchor"/>
          <w:rtl w:val="true"/>
        </w:rPr>
        <w:footnoteReference w:id="251"/>
      </w:r>
      <w:r>
        <w:rPr>
          <w:rFonts w:ascii="Amiri" w:hAnsi="Amiri" w:eastAsia="Amiri" w:cs="Amiri"/>
          <w:color w:val="111111"/>
          <w:sz w:val="28"/>
          <w:sz w:val="28"/>
          <w:szCs w:val="28"/>
          <w:rtl w:val="true"/>
          <w:lang w:bidi="ar-SA"/>
        </w:rPr>
        <w:t>و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نجّسهما جماعة؛ للمرسل </w:t>
      </w:r>
      <w:r>
        <w:rPr>
          <w:rStyle w:val="FootnoteAnchor"/>
          <w:rtl w:val="true"/>
        </w:rPr>
        <w:footnoteReference w:id="252"/>
      </w:r>
      <w:r>
        <w:rPr>
          <w:rFonts w:ascii="Amiri" w:hAnsi="Amiri" w:eastAsia="Amiri" w:cs="Amiri"/>
          <w:color w:val="111111"/>
          <w:sz w:val="28"/>
          <w:sz w:val="28"/>
          <w:szCs w:val="28"/>
          <w:rtl w:val="true"/>
          <w:lang w:bidi="ar-SA"/>
        </w:rPr>
        <w:t xml:space="preserve">، و حمله على الندب لازم،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هو غير مقاوم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المسوخ، ما عدا الخنزير، على المشهور؛ لثبوت الطهر بالأصل في المستفيضة في البعض </w:t>
      </w:r>
      <w:r>
        <w:rPr>
          <w:rStyle w:val="FootnoteAnchor"/>
          <w:rtl w:val="true"/>
        </w:rPr>
        <w:footnoteReference w:id="254"/>
      </w:r>
      <w:r>
        <w:rPr>
          <w:rFonts w:ascii="Amiri" w:hAnsi="Amiri" w:eastAsia="Amiri" w:cs="Amiri"/>
          <w:color w:val="111111"/>
          <w:sz w:val="28"/>
          <w:sz w:val="28"/>
          <w:szCs w:val="28"/>
          <w:rtl w:val="true"/>
          <w:lang w:bidi="ar-SA"/>
        </w:rPr>
        <w:t>مع عدم الفصل، و الكراهة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نجّسهما جماعة لخبر لا دلالة له </w:t>
      </w:r>
      <w:r>
        <w:rPr>
          <w:rStyle w:val="FootnoteAnchor"/>
          <w:rtl w:val="true"/>
        </w:rPr>
        <w:footnoteReference w:id="255"/>
      </w:r>
      <w:r>
        <w:rPr>
          <w:rFonts w:ascii="Amiri" w:hAnsi="Amiri" w:eastAsia="Amiri" w:cs="Amiri"/>
          <w:color w:val="111111"/>
          <w:sz w:val="28"/>
          <w:sz w:val="28"/>
          <w:szCs w:val="28"/>
          <w:rtl w:val="true"/>
          <w:lang w:bidi="ar-SA"/>
        </w:rPr>
        <w:t>، و قيل بنجاسة لعابها، و لا حجّة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الزنا، وفاقاً للمعظم؛ لثبوت إسلامه و طهره بالأصل و ظاهر النبوي </w:t>
      </w:r>
      <w:r>
        <w:rPr>
          <w:rStyle w:val="FootnoteAnchor"/>
          <w:rtl w:val="true"/>
        </w:rPr>
        <w:footnoteReference w:id="256"/>
      </w:r>
      <w:r>
        <w:rPr>
          <w:rFonts w:ascii="Amiri" w:hAnsi="Amiri" w:eastAsia="Amiri" w:cs="Amiri"/>
          <w:color w:val="111111"/>
          <w:sz w:val="28"/>
          <w:sz w:val="28"/>
          <w:szCs w:val="28"/>
          <w:rtl w:val="true"/>
          <w:lang w:bidi="ar-SA"/>
        </w:rPr>
        <w:t xml:space="preserve">، و انتفاء التلازم بين نقيضهما، و التكوّن من الزنا، خلافاً للسيّد و الحلّي </w:t>
      </w:r>
      <w:r>
        <w:rPr>
          <w:rStyle w:val="FootnoteAnchor"/>
          <w:rtl w:val="true"/>
        </w:rPr>
        <w:footnoteReference w:id="257"/>
      </w:r>
      <w:r>
        <w:rPr>
          <w:rFonts w:ascii="Amiri" w:hAnsi="Amiri" w:eastAsia="Amiri" w:cs="Amiri"/>
          <w:color w:val="111111"/>
          <w:sz w:val="28"/>
          <w:sz w:val="28"/>
          <w:szCs w:val="28"/>
          <w:rtl w:val="true"/>
          <w:lang w:bidi="ar-SA"/>
        </w:rPr>
        <w:t xml:space="preserve">لأخبار ضعيفة </w:t>
      </w:r>
      <w:r>
        <w:rPr>
          <w:rStyle w:val="FootnoteAnchor"/>
          <w:rtl w:val="true"/>
        </w:rPr>
        <w:footnoteReference w:id="258"/>
      </w:r>
      <w:r>
        <w:rPr>
          <w:rFonts w:ascii="Amiri" w:hAnsi="Amiri" w:eastAsia="Amiri" w:cs="Amiri"/>
          <w:color w:val="111111"/>
          <w:sz w:val="28"/>
          <w:sz w:val="28"/>
          <w:szCs w:val="28"/>
          <w:rtl w:val="true"/>
          <w:lang w:bidi="ar-SA"/>
        </w:rPr>
        <w:t>لا تثبت أزيد من كراهة سؤره، و هي حجّتنا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كراهة في سؤر الدجاج؛ للأصل، و ظاهر المعتبرة و غيرها </w:t>
      </w:r>
      <w:r>
        <w:rPr>
          <w:rStyle w:val="FootnoteAnchor"/>
          <w:rtl w:val="true"/>
        </w:rPr>
        <w:footnoteReference w:id="259"/>
      </w:r>
      <w:r>
        <w:rPr>
          <w:rFonts w:ascii="Amiri" w:hAnsi="Amiri" w:eastAsia="Amiri" w:cs="Amiri"/>
          <w:color w:val="111111"/>
          <w:sz w:val="28"/>
          <w:sz w:val="28"/>
          <w:szCs w:val="28"/>
          <w:rtl w:val="true"/>
          <w:lang w:bidi="ar-SA"/>
        </w:rPr>
        <w:t xml:space="preserve">، خلافاً لبعضهم مطلقاً </w:t>
      </w:r>
      <w:r>
        <w:rPr>
          <w:rStyle w:val="FootnoteAnchor"/>
          <w:rtl w:val="true"/>
        </w:rPr>
        <w:footnoteReference w:id="2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المهملة </w:t>
      </w:r>
      <w:r>
        <w:rPr>
          <w:rStyle w:val="FootnoteAnchor"/>
          <w:rtl w:val="true"/>
        </w:rPr>
        <w:footnoteReference w:id="261"/>
      </w:r>
      <w:r>
        <w:rPr>
          <w:rFonts w:ascii="Amiri" w:hAnsi="Amiri" w:eastAsia="Amiri" w:cs="Amiri"/>
          <w:color w:val="111111"/>
          <w:sz w:val="28"/>
          <w:sz w:val="28"/>
          <w:szCs w:val="28"/>
          <w:rtl w:val="true"/>
          <w:lang w:bidi="ar-SA"/>
        </w:rPr>
        <w:t>لعلّة 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فضل وضوء المرأة؛ للأصل، و الإجماعين، و صريح العلوي </w:t>
      </w:r>
      <w:r>
        <w:rPr>
          <w:rStyle w:val="FootnoteAnchor"/>
          <w:rtl w:val="true"/>
        </w:rPr>
        <w:footnoteReference w:id="262"/>
      </w:r>
      <w:r>
        <w:rPr>
          <w:rFonts w:ascii="Amiri" w:hAnsi="Amiri" w:eastAsia="Amiri" w:cs="Amiri"/>
          <w:color w:val="111111"/>
          <w:sz w:val="28"/>
          <w:sz w:val="28"/>
          <w:szCs w:val="28"/>
          <w:rtl w:val="true"/>
          <w:lang w:bidi="ar-SA"/>
        </w:rPr>
        <w:t xml:space="preserve">بل غسلها؛ لقضيّة اغتساله صلّى اللّٰه عليه و سلّم مع زوجته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فتوى الفاضل </w:t>
      </w:r>
      <w:r>
        <w:rPr>
          <w:rStyle w:val="FootnoteAnchor"/>
          <w:rtl w:val="true"/>
        </w:rPr>
        <w:footnoteReference w:id="264"/>
      </w:r>
      <w:r>
        <w:rPr>
          <w:rFonts w:ascii="Amiri" w:hAnsi="Amiri" w:eastAsia="Amiri" w:cs="Amiri"/>
          <w:color w:val="111111"/>
          <w:sz w:val="28"/>
          <w:sz w:val="28"/>
          <w:szCs w:val="28"/>
          <w:rtl w:val="true"/>
          <w:lang w:bidi="ar-SA"/>
        </w:rPr>
        <w:t xml:space="preserve">و بعض الثالثة </w:t>
      </w:r>
      <w:r>
        <w:rPr>
          <w:rStyle w:val="FootnoteAnchor"/>
          <w:rtl w:val="true"/>
        </w:rPr>
        <w:footnoteReference w:id="265"/>
      </w:r>
      <w:r>
        <w:rPr>
          <w:rFonts w:ascii="Amiri" w:hAnsi="Amiri" w:eastAsia="Amiri" w:cs="Amiri"/>
          <w:color w:val="111111"/>
          <w:sz w:val="28"/>
          <w:sz w:val="28"/>
          <w:szCs w:val="28"/>
          <w:rtl w:val="true"/>
          <w:lang w:bidi="ar-SA"/>
        </w:rPr>
        <w:t>بحرمة الاغتسال منه 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ميتة ما لا نفس له طاهرة بالأصل، و الإجماع، و المستفيضة </w:t>
      </w:r>
      <w:r>
        <w:rPr>
          <w:rStyle w:val="FootnoteAnchor"/>
          <w:rtl w:val="true"/>
        </w:rPr>
        <w:footnoteReference w:id="266"/>
      </w:r>
      <w:r>
        <w:rPr>
          <w:rFonts w:ascii="Amiri" w:hAnsi="Amiri" w:eastAsia="Amiri" w:cs="Amiri"/>
          <w:color w:val="111111"/>
          <w:sz w:val="28"/>
          <w:sz w:val="28"/>
          <w:szCs w:val="28"/>
          <w:rtl w:val="true"/>
          <w:lang w:bidi="ar-SA"/>
        </w:rPr>
        <w:t>، فلا يكره سؤره إلّا ما خرج بالدليل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وقع صيد ضرب في الماء، فإن قتله الجرح فهما على الحلّ و الطهارة بالأصل و الإجماع، و إلّا فعلى الحظر و النجاسة؛ للاستصحاب و الصحيح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89" w:name="pg2479_11489"/>
    </w:p>
    <w:p>
      <w:pPr>
        <w:pStyle w:val="Heading4"/>
        <w:numPr>
          <w:ilvl w:val="3"/>
          <w:numId w:val="1"/>
        </w:numPr>
        <w:rPr/>
      </w:pPr>
      <w:bookmarkStart w:id="90" w:name="__RefHeading___Toc3731859_3804643083"/>
      <w:bookmarkStart w:id="91" w:name="_Toc35"/>
      <w:bookmarkEnd w:id="89"/>
      <w:bookmarkEnd w:id="90"/>
      <w:r>
        <w:rPr>
          <w:rtl w:val="true"/>
        </w:rPr>
        <w:t>بحث حكم الماء النجس و المشتبه</w:t>
      </w:r>
      <w:bookmarkEnd w:id="91"/>
    </w:p>
    <w:p>
      <w:pPr>
        <w:pStyle w:val="Heading5"/>
        <w:numPr>
          <w:ilvl w:val="4"/>
          <w:numId w:val="1"/>
        </w:numPr>
        <w:rPr/>
      </w:pPr>
      <w:bookmarkStart w:id="92" w:name="__RefHeading___Toc3731861_3804643083"/>
      <w:bookmarkStart w:id="93" w:name="_Toc36"/>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حرمة شرب النجس اختياراً كجوازه ضرورةً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يحصل به الطهر إجماعاً؛ لظاهر المستفيضة، و المتطهِّر به آثم إن اعتقد الشرعيّة،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التأثيم كالكركي </w:t>
      </w:r>
      <w:r>
        <w:rPr>
          <w:rStyle w:val="FootnoteAnchor"/>
          <w:rtl w:val="true"/>
        </w:rPr>
        <w:footnoteReference w:id="268"/>
      </w:r>
      <w:r>
        <w:rPr>
          <w:rFonts w:ascii="Amiri" w:hAnsi="Amiri" w:eastAsia="Amiri" w:cs="Amiri"/>
          <w:color w:val="111111"/>
          <w:sz w:val="28"/>
          <w:sz w:val="28"/>
          <w:szCs w:val="28"/>
          <w:rtl w:val="true"/>
          <w:lang w:bidi="ar-SA"/>
        </w:rPr>
        <w:t xml:space="preserve">أو عدمه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ضعيف، و تعليلهما عليل</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731863_3804643083"/>
      <w:bookmarkStart w:id="95" w:name="_Toc37"/>
      <w:bookmarkEnd w:id="94"/>
      <w:r>
        <w:rPr>
          <w:rtl w:val="true"/>
        </w:rPr>
        <w:t xml:space="preserve">فصل </w:t>
      </w:r>
      <w:r>
        <w:rPr>
          <w:rtl w:val="true"/>
        </w:rPr>
        <w:t>[</w:t>
      </w:r>
      <w:r>
        <w:rPr>
          <w:rtl w:val="true"/>
        </w:rPr>
        <w:t>حكم الإناءين المشتبهين</w:t>
      </w:r>
      <w:r>
        <w:rPr>
          <w:rtl w:val="true"/>
        </w:rPr>
        <w:t>]</w:t>
      </w:r>
      <w:bookmarkEnd w:id="95"/>
    </w:p>
    <w:p>
      <w:pPr>
        <w:pStyle w:val="BookText"/>
        <w:rPr/>
      </w:pPr>
      <w:r>
        <w:rPr>
          <w:rFonts w:ascii="Amiri" w:hAnsi="Amiri" w:eastAsia="Amiri" w:cs="Amiri"/>
          <w:color w:val="111111"/>
          <w:sz w:val="28"/>
          <w:sz w:val="28"/>
          <w:szCs w:val="28"/>
          <w:rtl w:val="true"/>
          <w:lang w:bidi="ar-SA"/>
        </w:rPr>
        <w:t xml:space="preserve">يجب اجتناب المشتبهين بالإجماعين، و الموثّقين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عليه بتوقّف ترك المنهي أو فعل الواجب عليه ضعيف، كما قرّرناه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الأدلّة كمقتضى الأصل اختصاص الحكم بالإنائين، فلا ينسحب إلى الزائد و مثل الغديرين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للشيخين و الفاضلين </w:t>
      </w:r>
      <w:r>
        <w:rPr>
          <w:rStyle w:val="FootnoteAnchor"/>
          <w:rtl w:val="true"/>
        </w:rPr>
        <w:footnoteReference w:id="272"/>
      </w:r>
      <w:r>
        <w:rPr>
          <w:rFonts w:ascii="Amiri" w:hAnsi="Amiri" w:eastAsia="Amiri" w:cs="Amiri"/>
          <w:color w:val="111111"/>
          <w:sz w:val="28"/>
          <w:sz w:val="28"/>
          <w:szCs w:val="28"/>
          <w:rtl w:val="true"/>
          <w:lang w:bidi="ar-SA"/>
        </w:rPr>
        <w:t>لنفي الفارق، و ردّ</w:t>
      </w:r>
    </w:p>
    <w:p>
      <w:pPr>
        <w:pStyle w:val="BookText"/>
        <w:rPr/>
      </w:pPr>
      <w:r>
        <w:rPr>
          <w:rFonts w:ascii="Amiri" w:hAnsi="Amiri" w:eastAsia="Amiri" w:cs="Amiri"/>
          <w:color w:val="111111"/>
          <w:sz w:val="28"/>
          <w:sz w:val="28"/>
          <w:szCs w:val="28"/>
          <w:rtl w:val="true"/>
          <w:lang w:bidi="ar-SA"/>
        </w:rPr>
        <w:t>بعدم القطع به فلا يكون من القياس المعتبر كالقطعي و الحملي أو الحجّة من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التفرقة بين الشبهتين عندي باطلة، و تناول الإجماع لموضع النزاع غير ظاهر، فإن ثبت فهو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المشتبه بالمشتبه كالطاهر لا النجس؛ لما مرّ، فلا عبرة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الشكّ في وقوع النجاسة أو نجاسة الواقع لا يوجب التنجّس؛ للأصل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المشتبه كالنجس في عدم التطهير لا في تنجيسه الملاقي، وفاقاً للثانيين </w:t>
      </w:r>
      <w:r>
        <w:rPr>
          <w:rStyle w:val="FootnoteAnchor"/>
          <w:rtl w:val="true"/>
        </w:rPr>
        <w:footnoteReference w:id="274"/>
      </w:r>
      <w:r>
        <w:rPr>
          <w:rFonts w:ascii="Amiri" w:hAnsi="Amiri" w:eastAsia="Amiri" w:cs="Amiri"/>
          <w:color w:val="111111"/>
          <w:sz w:val="28"/>
          <w:sz w:val="28"/>
          <w:szCs w:val="28"/>
          <w:rtl w:val="true"/>
          <w:lang w:bidi="ar-SA"/>
        </w:rPr>
        <w:t xml:space="preserve">و بعض الثالثة </w:t>
      </w:r>
      <w:r>
        <w:rPr>
          <w:rStyle w:val="FootnoteAnchor"/>
          <w:rtl w:val="true"/>
        </w:rPr>
        <w:footnoteReference w:id="275"/>
      </w:r>
      <w:r>
        <w:rPr>
          <w:rFonts w:ascii="Amiri" w:hAnsi="Amiri" w:eastAsia="Amiri" w:cs="Amiri"/>
          <w:color w:val="111111"/>
          <w:sz w:val="28"/>
          <w:sz w:val="28"/>
          <w:szCs w:val="28"/>
          <w:rtl w:val="true"/>
          <w:lang w:bidi="ar-SA"/>
        </w:rPr>
        <w:t>للأصل، و الاستصحاب، و عدم تناول الأدلّة له، و دعوىٰ كونه كالنجس مطلقاً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لحجّة ضعفها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إحراق المشتبه عند الأكثر؛ لعدم قرينة على النجس في الاحتراز، مع إمكان النفع منه بوجوه، خلافاً لظاهر الشيخين مطلقاً </w:t>
      </w:r>
      <w:r>
        <w:rPr>
          <w:rStyle w:val="FootnoteAnchor"/>
          <w:rtl w:val="true"/>
        </w:rPr>
        <w:footnoteReference w:id="277"/>
      </w:r>
      <w:r>
        <w:rPr>
          <w:rFonts w:ascii="Amiri" w:hAnsi="Amiri" w:eastAsia="Amiri" w:cs="Amiri"/>
          <w:color w:val="111111"/>
          <w:sz w:val="28"/>
          <w:sz w:val="28"/>
          <w:szCs w:val="28"/>
          <w:rtl w:val="true"/>
          <w:lang w:bidi="ar-SA"/>
        </w:rPr>
        <w:t>لظاهر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يفهم منه منع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للصدوقين لو أراد التيمّم </w:t>
      </w:r>
      <w:r>
        <w:rPr>
          <w:rStyle w:val="FootnoteAnchor"/>
          <w:rtl w:val="true"/>
        </w:rPr>
        <w:footnoteReference w:id="278"/>
      </w:r>
      <w:r>
        <w:rPr>
          <w:rFonts w:ascii="IRNazanin" w:hAnsi="IRNazanin" w:eastAsia="IRNazanin"/>
          <w:color w:val="111111"/>
          <w:sz w:val="28"/>
          <w:sz w:val="28"/>
          <w:szCs w:val="28"/>
          <w:rtl w:val="true"/>
          <w:lang w:bidi="fa-IR"/>
        </w:rPr>
        <w:t>لصدق الوجدان قبله، و ردّ بالمنع مع المنع منه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ضرورة العطش تبيح شربه وفاقاً، و خوفه يوجب حفظه</w:t>
      </w:r>
      <w:r>
        <w:rPr>
          <w:rFonts w:eastAsia="Amiri" w:cs="Amiri" w:ascii="Amiri" w:hAnsi="Amiri"/>
          <w:color w:val="111111"/>
          <w:sz w:val="28"/>
          <w:szCs w:val="28"/>
          <w:rtl w:val="true"/>
          <w:lang w:bidi="ar-SA"/>
        </w:rPr>
        <w:t>.</w:t>
      </w:r>
      <w:bookmarkStart w:id="96" w:name="pg2479_11491"/>
    </w:p>
    <w:p>
      <w:pPr>
        <w:pStyle w:val="Heading5"/>
        <w:numPr>
          <w:ilvl w:val="4"/>
          <w:numId w:val="1"/>
        </w:numPr>
        <w:rPr/>
      </w:pPr>
      <w:bookmarkStart w:id="97" w:name="__RefHeading___Toc3731865_3804643083"/>
      <w:bookmarkStart w:id="98" w:name="_Toc38"/>
      <w:bookmarkEnd w:id="96"/>
      <w:bookmarkEnd w:id="97"/>
      <w:r>
        <w:rPr>
          <w:rtl w:val="true"/>
        </w:rPr>
        <w:t xml:space="preserve">فصل </w:t>
      </w:r>
      <w:r>
        <w:rPr>
          <w:rtl w:val="true"/>
        </w:rPr>
        <w:t>[</w:t>
      </w:r>
      <w:r>
        <w:rPr>
          <w:rtl w:val="true"/>
        </w:rPr>
        <w:t>كيفيّة ثبوت النجاسة</w:t>
      </w:r>
      <w:r>
        <w:rPr>
          <w:rtl w:val="true"/>
        </w:rPr>
        <w:t>]</w:t>
      </w:r>
      <w:bookmarkEnd w:id="98"/>
    </w:p>
    <w:p>
      <w:pPr>
        <w:pStyle w:val="BookText"/>
        <w:rPr/>
      </w:pPr>
      <w:r>
        <w:rPr>
          <w:rFonts w:ascii="Amiri" w:hAnsi="Amiri" w:eastAsia="Amiri" w:cs="Amiri"/>
          <w:color w:val="111111"/>
          <w:sz w:val="28"/>
          <w:sz w:val="28"/>
          <w:szCs w:val="28"/>
          <w:rtl w:val="true"/>
          <w:lang w:bidi="ar-SA"/>
        </w:rPr>
        <w:t xml:space="preserve">ظنّ النجاسة كاليقين إن استند إلى العدلين؛ وفاقاً للأكثر أو المالك أيضاً،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و الحقّ تقييد الأوّل بتبيين السبب أو العلم بالوفاق و الثاني بالإخبار قبل الاستعمال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إلى واحد أيضاً كبعضهم </w:t>
      </w:r>
      <w:r>
        <w:rPr>
          <w:rStyle w:val="FootnoteAnchor"/>
          <w:rtl w:val="true"/>
        </w:rPr>
        <w:footnoteReference w:id="281"/>
      </w:r>
      <w:r>
        <w:rPr>
          <w:rFonts w:ascii="Amiri" w:hAnsi="Amiri" w:eastAsia="Amiri" w:cs="Amiri"/>
          <w:color w:val="111111"/>
          <w:sz w:val="28"/>
          <w:sz w:val="28"/>
          <w:szCs w:val="28"/>
          <w:rtl w:val="true"/>
          <w:lang w:bidi="ar-SA"/>
        </w:rPr>
        <w:t xml:space="preserve">، و لا مطلقاً كالحلبي </w:t>
      </w:r>
      <w:r>
        <w:rPr>
          <w:rStyle w:val="FootnoteAnchor"/>
          <w:rtl w:val="true"/>
        </w:rPr>
        <w:footnoteReference w:id="282"/>
      </w:r>
      <w:r>
        <w:rPr>
          <w:rFonts w:ascii="Amiri" w:hAnsi="Amiri" w:eastAsia="Amiri" w:cs="Amiri"/>
          <w:color w:val="111111"/>
          <w:sz w:val="28"/>
          <w:sz w:val="28"/>
          <w:szCs w:val="28"/>
          <w:rtl w:val="true"/>
          <w:lang w:bidi="ar-SA"/>
        </w:rPr>
        <w:t xml:space="preserve">، و لا عدم اعتباره مطلقاً كالقاضي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أوّل جزئي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الاعتبار، و خصوصه في نجاسة الماء المبيح، و منع العموم يدفعه التصفّح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المستفيضة، و على التقييد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الاختلاف في المنجّس،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المالكيّة بالاستعمال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النهي عن العمل بالظن، و الأمر بالإراقة نظراً إلى ترك الاستفصال خرج ما خرج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الشهادة في متعلّق العبادة كالرواية،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و وجوب تقديم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بعض الظن لا كلّه، و المقدّم أرجح الدليلين لا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الطهر بالأُصول، فلا يترك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ظاهر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الإخبار بالطهارة إن لم يسبقه العلم بالنجاسة فحكمه ظاهر، و إلّا فقبوله</w:t>
      </w:r>
    </w:p>
    <w:p>
      <w:pPr>
        <w:pStyle w:val="BookText"/>
        <w:rPr/>
      </w:pPr>
      <w:r>
        <w:rPr>
          <w:rFonts w:ascii="Amiri" w:hAnsi="Amiri" w:eastAsia="Amiri" w:cs="Amiri"/>
          <w:color w:val="111111"/>
          <w:sz w:val="28"/>
          <w:sz w:val="28"/>
          <w:szCs w:val="28"/>
          <w:rtl w:val="true"/>
          <w:lang w:bidi="ar-SA"/>
        </w:rPr>
        <w:t>من العدلين و المالك ممّا لا ريب فيه، و من الواحد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قبوله مع الاطمئنان؛ لاعتضاده بالأصل و بما مرّ، و إن كان العقل يأبىٰ عن التفرقة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البيّنتين في عروض النجاسة و عدمه في وقت معيّن يوجب التساقط و الرجوع إلى أصالة الطهارة، وفاقاً للشيخ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الثالثة </w:t>
      </w:r>
      <w:r>
        <w:rPr>
          <w:rStyle w:val="FootnoteAnchor"/>
          <w:rtl w:val="true"/>
        </w:rPr>
        <w:footnoteReference w:id="284"/>
      </w:r>
      <w:r>
        <w:rPr>
          <w:rFonts w:ascii="IRNazanin" w:hAnsi="IRNazanin" w:eastAsia="IRNazanin"/>
          <w:color w:val="111111"/>
          <w:sz w:val="28"/>
          <w:sz w:val="28"/>
          <w:szCs w:val="28"/>
          <w:rtl w:val="true"/>
          <w:lang w:bidi="fa-IR"/>
        </w:rPr>
        <w:t>لأنّه مقتضى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فقد الترجيح لا يرجّح الطهارة كما قيل لاعتضاد بيّنتها بالأصل </w:t>
      </w:r>
      <w:r>
        <w:rPr>
          <w:rStyle w:val="FootnoteAnchor"/>
          <w:rtl w:val="true"/>
        </w:rPr>
        <w:footnoteReference w:id="285"/>
      </w:r>
      <w:r>
        <w:rPr>
          <w:rFonts w:ascii="Amiri" w:hAnsi="Amiri" w:eastAsia="Amiri" w:cs="Amiri"/>
          <w:color w:val="111111"/>
          <w:sz w:val="28"/>
          <w:sz w:val="28"/>
          <w:szCs w:val="28"/>
          <w:rtl w:val="true"/>
          <w:lang w:bidi="ar-SA"/>
        </w:rPr>
        <w:t>إذ لم يعهد جعله مرجّحاً للبيّنة، و إرجاعه إلى المختار لتوافقهما في الحكم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النجاسة كالحلّي </w:t>
      </w:r>
      <w:r>
        <w:rPr>
          <w:rStyle w:val="FootnoteAnchor"/>
          <w:rtl w:val="true"/>
        </w:rPr>
        <w:footnoteReference w:id="286"/>
      </w:r>
      <w:r>
        <w:rPr>
          <w:rFonts w:ascii="Amiri" w:hAnsi="Amiri" w:eastAsia="Amiri" w:cs="Amiri"/>
          <w:color w:val="111111"/>
          <w:sz w:val="28"/>
          <w:sz w:val="28"/>
          <w:szCs w:val="28"/>
          <w:rtl w:val="true"/>
          <w:lang w:bidi="ar-SA"/>
        </w:rPr>
        <w:t>إذ بيّنتها ناقلة مثبتة، و هي أولى من الأُخرى الباقية المقرّرة؛ لمنع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إلحاقه بالمشتبه كالفاضل و ولده و العاملي </w:t>
      </w:r>
      <w:r>
        <w:rPr>
          <w:rStyle w:val="FootnoteAnchor"/>
          <w:rtl w:val="true"/>
        </w:rPr>
        <w:footnoteReference w:id="287"/>
      </w:r>
      <w:r>
        <w:rPr>
          <w:rFonts w:ascii="Amiri" w:hAnsi="Amiri" w:eastAsia="Amiri" w:cs="Amiri"/>
          <w:color w:val="111111"/>
          <w:sz w:val="28"/>
          <w:sz w:val="28"/>
          <w:szCs w:val="28"/>
          <w:rtl w:val="true"/>
          <w:lang w:bidi="ar-SA"/>
        </w:rPr>
        <w:t>للاشتباه؛ إذ لزوم التساقط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النجس من الإناءين يوجب تنجّسهما إن أمكن الجمع، و إلّا فكالمشتبه وفاقاً للأكثر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سقوطهما و بقاء أصل الطهر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كالأكثر و في الثاني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فيهما كالأكثر و أُخرى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 في الأوّل كالأكثر و في الثاني اختار القرعة أوّلًا و ما</w:t>
      </w:r>
    </w:p>
    <w:p>
      <w:pPr>
        <w:pStyle w:val="BookText"/>
        <w:rPr/>
      </w:pPr>
      <w:r>
        <w:rPr>
          <w:rFonts w:ascii="Amiri" w:hAnsi="Amiri" w:eastAsia="Amiri" w:cs="Amiri"/>
          <w:color w:val="111111"/>
          <w:sz w:val="28"/>
          <w:sz w:val="28"/>
          <w:szCs w:val="28"/>
          <w:rtl w:val="true"/>
          <w:lang w:bidi="ar-SA"/>
        </w:rPr>
        <w:t xml:space="preserve">للخلاف ثانياً و ما للأكثر في الأوّل ثالثاً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 عدم المانع، و على الثاني وفاق البيّنتين على نجاسة أحدهما و اختلافهما في التعيين، فاللازم لنا الحكم بالأوّل و التوقّف في الثاني، و هو معنىٰ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الدليل علىٰ قبول أحدهما أو كليهما، فيجب طرحهما و إبقاء الماء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الاطراح للتعارض، و هو في التعيين لا في 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به الوفاق ما لنا، و فيما به الخلاف 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ظهر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كالأكثر ما لهم، و إن كان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ما لنا، و على الثاني إن كان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و إن كان كالأكثر في الأوّل فيضمن كلّ منهما الإثبات و النفي، و الأوّل مقدّم فيؤخذ به و يطرح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التقدّم، و إن بنى على القرعة فلا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تقديم أرجح البيّنتين عدالة أو دلالة، كما في اختلاف المالك و العدلين مع قوّة الظنّ بصدقه؛ إذ التسوية بين الراجح و المرجوح كترجيح أحد المتساويتين،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انسحاب الحكم إلى المشتبه بالمغصوب إشكال؛ إذ الأصل إباحة كلّ شي‌ء حتّى يقطع بخلافه، و استثناء الشبهة في المحصور لا دليل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الاحتجاج بتوقّف الواجب أو يقين البراءة عن يقين الشغل عليه قد ظهر ضعفه، و باتّحاد الطريق أو تنقيح المناط كما ترى</w:t>
      </w:r>
      <w:r>
        <w:rPr>
          <w:rFonts w:eastAsia="Amiri" w:cs="Amiri" w:ascii="Amiri" w:hAnsi="Amiri"/>
          <w:color w:val="111111"/>
          <w:sz w:val="28"/>
          <w:szCs w:val="28"/>
          <w:rtl w:val="true"/>
          <w:lang w:bidi="ar-SA"/>
        </w:rPr>
        <w:t>.</w:t>
      </w:r>
      <w:bookmarkStart w:id="99" w:name="pg2479_11494"/>
    </w:p>
    <w:p>
      <w:pPr>
        <w:pStyle w:val="Heading4"/>
        <w:numPr>
          <w:ilvl w:val="3"/>
          <w:numId w:val="1"/>
        </w:numPr>
        <w:rPr/>
      </w:pPr>
      <w:bookmarkStart w:id="100" w:name="__RefHeading___Toc3731867_3804643083"/>
      <w:bookmarkStart w:id="101" w:name="_Toc39"/>
      <w:bookmarkEnd w:id="99"/>
      <w:bookmarkEnd w:id="100"/>
      <w:r>
        <w:rPr>
          <w:rtl w:val="true"/>
        </w:rPr>
        <w:t>بحث المستعمل</w:t>
      </w:r>
      <w:bookmarkEnd w:id="101"/>
    </w:p>
    <w:p>
      <w:pPr>
        <w:pStyle w:val="Heading5"/>
        <w:numPr>
          <w:ilvl w:val="4"/>
          <w:numId w:val="1"/>
        </w:numPr>
        <w:rPr/>
      </w:pPr>
      <w:bookmarkStart w:id="102" w:name="__RefHeading___Toc3731869_3804643083"/>
      <w:bookmarkStart w:id="103" w:name="_Toc40"/>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غسالة الخبث غير الاستنجاء إن تغيّرت نجسة بالإجماع، و إلّا ففي طهرها، أو نجاستها مطلقاً، أو طهرها مع الطهوريّة و نجاستها بدونها، أو كونها كالمحلّ قبلها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للمرتضى </w:t>
      </w:r>
      <w:r>
        <w:rPr>
          <w:rStyle w:val="FootnoteAnchor"/>
          <w:rtl w:val="true"/>
        </w:rPr>
        <w:footnoteReference w:id="292"/>
      </w:r>
      <w:r>
        <w:rPr>
          <w:rFonts w:ascii="Amiri" w:hAnsi="Amiri" w:eastAsia="Amiri" w:cs="Amiri"/>
          <w:color w:val="111111"/>
          <w:sz w:val="28"/>
          <w:sz w:val="28"/>
          <w:szCs w:val="28"/>
          <w:rtl w:val="true"/>
          <w:lang w:bidi="ar-SA"/>
        </w:rPr>
        <w:t xml:space="preserve">و جلّ الاولى و الثالثة، و إليه يرجع قول الصدوق بأنّها كرافع الأكبر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للفاضلين </w:t>
      </w:r>
      <w:r>
        <w:rPr>
          <w:rStyle w:val="FootnoteAnchor"/>
          <w:rtl w:val="true"/>
        </w:rPr>
        <w:footnoteReference w:id="294"/>
      </w:r>
      <w:r>
        <w:rPr>
          <w:rFonts w:ascii="Amiri" w:hAnsi="Amiri" w:eastAsia="Amiri" w:cs="Amiri"/>
          <w:color w:val="111111"/>
          <w:sz w:val="28"/>
          <w:sz w:val="28"/>
          <w:szCs w:val="28"/>
          <w:rtl w:val="true"/>
          <w:lang w:bidi="ar-SA"/>
        </w:rPr>
        <w:t>و أكثر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الثياب </w:t>
      </w:r>
      <w:r>
        <w:rPr>
          <w:rStyle w:val="FootnoteAnchor"/>
          <w:rtl w:val="true"/>
        </w:rPr>
        <w:footnoteReference w:id="295"/>
      </w:r>
      <w:r>
        <w:rPr>
          <w:rFonts w:ascii="Amiri" w:hAnsi="Amiri" w:eastAsia="Amiri" w:cs="Amiri"/>
          <w:color w:val="111111"/>
          <w:sz w:val="28"/>
          <w:sz w:val="28"/>
          <w:szCs w:val="28"/>
          <w:rtl w:val="true"/>
          <w:lang w:bidi="ar-SA"/>
        </w:rPr>
        <w:t xml:space="preserve">، و في الأواني اختار الأوّل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مبنى الأوّل على كون مطلقها كالمحلّ بعد الغسل،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كلّ غسلة كالمحلّ بعدها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الكونين مع تبديل البعد بالقبل، أو على الأوّل مع تبديل الغسل أيضاً بالأخيرة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هذه الثلاثة فيما عدا الأخيرة، أو على الثاني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 و الثالث يتّحدان على الأخير مطلقاً، و على الأخير للأوّل و الثاني للثالث على بعض الوجوه، و الثاني على الثالث يتّحد مع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الثالث مع كون غير الأخيرة كالمحلّ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الاستصحاب طهر المتّصل فيطهر المنفصل؛ إذ اختلاف أجزاء ماء واحد في الطهارة و النجاسة غير معقول، و التفرقة بالعفو مجازفة، و استحالة التطهّر بالنجس، و عدم طهر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عموم تنجيس النجس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معارض بمنع عموم انفعال القليل، فإن تساقطا بقيت لنا الأُصول سالمة، و إن خصّص أحدهما بالآخر فيخصّص الثاني بالأوّل؛ لاعتضاده بها، و تنجّسه بعد الانفصال لا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الأدلّة تختصّ بالأخيرة المطهّرة؛ إذ غيرها لانفصاله عن النجس نجس، و هو الحجّة للجزء الثاني، مضافاً إلى عموم تنجّس القليل، و خصوص المضمر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شمولهما للأخيرة غير ضائر؛ لخروجها بالمعارض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كفاية المرّة في غسل ما أصابه النجسة كون الأصل في كلّ غسل كفاية الإزالة و لو بالمرّة، فالتعدّد تعبّد يختصّ بمورده، و الغسالة مغايرة لمحلّه، فلا يلحقها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للفاضلين ما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إن اختصّ لم يعمّ، و إن عمّ فليخصّ؛ للتعارض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للخلاف على ما به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ضعيفة</w:t>
      </w:r>
      <w:r>
        <w:rPr>
          <w:rFonts w:eastAsia="Amiri" w:cs="Amiri" w:ascii="Amiri" w:hAnsi="Amiri"/>
          <w:color w:val="111111"/>
          <w:sz w:val="28"/>
          <w:szCs w:val="28"/>
          <w:rtl w:val="true"/>
          <w:lang w:bidi="ar-SA"/>
        </w:rPr>
        <w:t>.</w:t>
      </w:r>
      <w:bookmarkStart w:id="104" w:name="pg2479_11496"/>
    </w:p>
    <w:p>
      <w:pPr>
        <w:pStyle w:val="Heading5"/>
        <w:numPr>
          <w:ilvl w:val="4"/>
          <w:numId w:val="1"/>
        </w:numPr>
        <w:rPr/>
      </w:pPr>
      <w:bookmarkStart w:id="105" w:name="__RefHeading___Toc3731871_3804643083"/>
      <w:bookmarkStart w:id="106" w:name="_Toc41"/>
      <w:bookmarkEnd w:id="104"/>
      <w:bookmarkEnd w:id="105"/>
      <w:r>
        <w:rPr>
          <w:rtl w:val="true"/>
        </w:rPr>
        <w:t xml:space="preserve">فصل </w:t>
      </w:r>
      <w:r>
        <w:rPr>
          <w:rtl w:val="true"/>
        </w:rPr>
        <w:t>[</w:t>
      </w:r>
      <w:r>
        <w:rPr>
          <w:rtl w:val="true"/>
        </w:rPr>
        <w:t>ماء الاستنجاء</w:t>
      </w:r>
      <w:r>
        <w:rPr>
          <w:rtl w:val="true"/>
        </w:rPr>
        <w:t>]</w:t>
      </w:r>
      <w:bookmarkEnd w:id="106"/>
    </w:p>
    <w:p>
      <w:pPr>
        <w:pStyle w:val="BookText"/>
        <w:rPr/>
      </w:pPr>
      <w:r>
        <w:rPr>
          <w:rFonts w:ascii="Amiri" w:hAnsi="Amiri" w:eastAsia="Amiri" w:cs="Amiri"/>
          <w:color w:val="111111"/>
          <w:sz w:val="28"/>
          <w:sz w:val="28"/>
          <w:szCs w:val="28"/>
          <w:rtl w:val="true"/>
          <w:lang w:bidi="ar-SA"/>
        </w:rPr>
        <w:t xml:space="preserve">المستعمل في الاستنجاء لا ينجس بشروط محرّرة؛ للأصل، و الإجماع، و المعتبرة </w:t>
      </w:r>
      <w:r>
        <w:rPr>
          <w:rStyle w:val="FootnoteAnchor"/>
          <w:rtl w:val="true"/>
        </w:rPr>
        <w:footnoteReference w:id="299"/>
      </w:r>
      <w:r>
        <w:rPr>
          <w:rFonts w:ascii="Amiri" w:hAnsi="Amiri" w:eastAsia="Amiri" w:cs="Amiri"/>
          <w:color w:val="111111"/>
          <w:sz w:val="28"/>
          <w:sz w:val="28"/>
          <w:szCs w:val="28"/>
          <w:rtl w:val="true"/>
          <w:lang w:bidi="ar-SA"/>
        </w:rPr>
        <w:t xml:space="preserve">، و بها يخصّص عموم المضمر </w:t>
      </w:r>
      <w:r>
        <w:rPr>
          <w:rStyle w:val="FootnoteAnchor"/>
          <w:rtl w:val="true"/>
        </w:rPr>
        <w:footnoteReference w:id="300"/>
      </w:r>
      <w:r>
        <w:rPr>
          <w:rFonts w:ascii="Amiri" w:hAnsi="Amiri" w:eastAsia="Amiri" w:cs="Amiri"/>
          <w:color w:val="111111"/>
          <w:sz w:val="28"/>
          <w:sz w:val="28"/>
          <w:szCs w:val="28"/>
          <w:rtl w:val="true"/>
          <w:lang w:bidi="ar-SA"/>
        </w:rPr>
        <w:t xml:space="preserve">و أخبار انفعال القليل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لطهره وفاقاً للأكثر؛ لتبادره من عدم التنجيس </w:t>
      </w:r>
      <w:r>
        <w:rPr>
          <w:rStyle w:val="FootnoteAnchor"/>
          <w:rtl w:val="true"/>
        </w:rPr>
        <w:footnoteReference w:id="302"/>
      </w:r>
      <w:r>
        <w:rPr>
          <w:rFonts w:ascii="Amiri" w:hAnsi="Amiri" w:eastAsia="Amiri" w:cs="Amiri"/>
          <w:color w:val="111111"/>
          <w:sz w:val="28"/>
          <w:sz w:val="28"/>
          <w:szCs w:val="28"/>
          <w:rtl w:val="true"/>
          <w:lang w:bidi="ar-SA"/>
        </w:rPr>
        <w:t xml:space="preserve">و جواز مباشرته، لا للعفو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لعموم تنجّس القليل و اختصاص الخارج بالمتيقّن، و هو مورد النصّ دون غيره كالطهوريّة و جواز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فائدة الخلاف؛ إذ ظاهر النصوص ارتفاع أحكام النجس بأسرها فيثبت طهره، بل طهوريّته إلّا ما أخرجه الإجماع كرفعه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تغيّره بالنجاسة؛ للإجماع،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المخصّصة </w:t>
      </w:r>
      <w:r>
        <w:rPr>
          <w:rStyle w:val="FootnoteAnchor"/>
          <w:rtl w:val="true"/>
        </w:rPr>
        <w:footnoteReference w:id="304"/>
      </w:r>
      <w:r>
        <w:rPr>
          <w:rFonts w:ascii="Amiri" w:hAnsi="Amiri" w:eastAsia="Amiri" w:cs="Amiri"/>
          <w:color w:val="111111"/>
          <w:sz w:val="28"/>
          <w:sz w:val="28"/>
          <w:szCs w:val="28"/>
          <w:rtl w:val="true"/>
          <w:lang w:bidi="ar-SA"/>
        </w:rPr>
        <w:t>غير مقاومة، فيختصّ بغير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اختلاطه بنجاسة خارجة مطلقاً، بالإجماع؛ للعمومات، و انصراف الإطلاق إلى المعهود، و عدم صدق الاستنجاء على إزالتها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داخلة غير مماثلة على الأصحّ؛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انفكاكه عنها غالباً فلا يخرج عن الإطلاق ممنوعة</w:t>
      </w:r>
      <w:r>
        <w:rPr>
          <w:rFonts w:eastAsia="Amiri" w:cs="Amiri" w:ascii="Amiri" w:hAnsi="Amiri"/>
          <w:color w:val="111111"/>
          <w:sz w:val="28"/>
          <w:szCs w:val="28"/>
          <w:rtl w:val="true"/>
          <w:lang w:bidi="ar-SA"/>
        </w:rPr>
        <w:t>.</w:t>
      </w:r>
      <w:bookmarkStart w:id="107" w:name="pg2479_11497"/>
    </w:p>
    <w:p>
      <w:pPr>
        <w:pStyle w:val="BookText"/>
        <w:rPr/>
      </w:pPr>
      <w:bookmarkEnd w:id="107"/>
      <w:r>
        <w:rPr>
          <w:rFonts w:ascii="Amiri" w:hAnsi="Amiri" w:eastAsia="Amiri" w:cs="Amiri"/>
          <w:color w:val="111111"/>
          <w:sz w:val="28"/>
          <w:sz w:val="28"/>
          <w:szCs w:val="28"/>
          <w:rtl w:val="true"/>
          <w:lang w:bidi="ar-SA"/>
        </w:rPr>
        <w:t>و عدم كون الخارج غير الأخبثين؛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تميّز الأجزاء، على الأصحّ؛ لكونها كالخارجة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بالشكّ في حصول المنجّس؛ للأصل و الظاهر، و لا يعارضه أصالة تنجّس كلّ قليل بالملاقاة إلّا ما قطع بخروجه؛ لقطعيّة خروج ماء الاستنجاء، فلا عبرة بالشكّ بعده، و لا بالشكّ بين المخرجين و لا بين الطبيعي و غيره مع انسداده؛ لصدق الاستنجاء، و لا بين المتعدّي و غيره لذلك إلّا مع التفاحش الرافع لصدقه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731873_3804643083"/>
      <w:bookmarkStart w:id="109" w:name="_Toc42"/>
      <w:bookmarkEnd w:id="108"/>
      <w:r>
        <w:rPr>
          <w:rtl w:val="true"/>
        </w:rPr>
        <w:t xml:space="preserve">فصل </w:t>
      </w:r>
      <w:r>
        <w:rPr>
          <w:rtl w:val="true"/>
        </w:rPr>
        <w:t>[</w:t>
      </w:r>
      <w:r>
        <w:rPr>
          <w:rtl w:val="true"/>
        </w:rPr>
        <w:t>الماء المستعمل</w:t>
      </w:r>
      <w:r>
        <w:rPr>
          <w:rtl w:val="true"/>
        </w:rPr>
        <w:t>]</w:t>
      </w:r>
      <w:bookmarkEnd w:id="109"/>
    </w:p>
    <w:p>
      <w:pPr>
        <w:pStyle w:val="BookText"/>
        <w:rPr/>
      </w:pPr>
      <w:r>
        <w:rPr>
          <w:rFonts w:ascii="Amiri" w:hAnsi="Amiri" w:eastAsia="Amiri" w:cs="Amiri"/>
          <w:color w:val="111111"/>
          <w:sz w:val="28"/>
          <w:sz w:val="28"/>
          <w:szCs w:val="28"/>
          <w:rtl w:val="true"/>
          <w:lang w:bidi="ar-SA"/>
        </w:rPr>
        <w:t xml:space="preserve">المستعمل في الحدث الأصغر طاهر مطهّر بالأصل و الإجماع و المستفيضة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الأكبر طاهر كذلك، و رافع للخبث أيضاً؛ للأصل، و الاستصحاب، و صدق الإطلاق، و دعوى الفاضل و ولده الوفاق </w:t>
      </w:r>
      <w:r>
        <w:rPr>
          <w:rStyle w:val="FootnoteAnchor"/>
          <w:rtl w:val="true"/>
        </w:rPr>
        <w:footnoteReference w:id="306"/>
      </w:r>
      <w:r>
        <w:rPr>
          <w:rFonts w:ascii="Amiri" w:hAnsi="Amiri" w:eastAsia="Amiri" w:cs="Amiri"/>
          <w:color w:val="111111"/>
          <w:sz w:val="28"/>
          <w:sz w:val="28"/>
          <w:szCs w:val="28"/>
          <w:rtl w:val="true"/>
          <w:lang w:bidi="ar-SA"/>
        </w:rPr>
        <w:t>، و يؤكّدها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الخلاف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غير قادح، و الظاهر كونه للعامّة أو حدوثه بعدهما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الحدث، وفاقاً لمعظم القدماء؛ لظاهر المستفيضة </w:t>
      </w:r>
      <w:r>
        <w:rPr>
          <w:rStyle w:val="FootnoteAnchor"/>
          <w:rtl w:val="true"/>
        </w:rPr>
        <w:footnoteReference w:id="308"/>
      </w:r>
      <w:r>
        <w:rPr>
          <w:rFonts w:ascii="Amiri" w:hAnsi="Amiri" w:eastAsia="Amiri" w:cs="Amiri"/>
          <w:color w:val="111111"/>
          <w:sz w:val="28"/>
          <w:sz w:val="28"/>
          <w:szCs w:val="28"/>
          <w:rtl w:val="true"/>
          <w:lang w:bidi="ar-SA"/>
        </w:rPr>
        <w:t>، و استصحاب الحدث، و افتقار تيقّن الشغل إلى تيقّن البراءة</w:t>
      </w:r>
      <w:r>
        <w:rPr>
          <w:rFonts w:eastAsia="Amiri" w:cs="Amiri" w:ascii="Amiri" w:hAnsi="Amiri"/>
          <w:color w:val="111111"/>
          <w:sz w:val="28"/>
          <w:szCs w:val="28"/>
          <w:rtl w:val="true"/>
          <w:lang w:bidi="ar-SA"/>
        </w:rPr>
        <w:t>.</w:t>
      </w:r>
      <w:bookmarkStart w:id="110" w:name="pg2479_11498"/>
    </w:p>
    <w:p>
      <w:pPr>
        <w:pStyle w:val="BookText"/>
        <w:rPr/>
      </w:pPr>
      <w:bookmarkEnd w:id="110"/>
      <w:r>
        <w:rPr>
          <w:rFonts w:ascii="Amiri" w:hAnsi="Amiri" w:eastAsia="Amiri" w:cs="Amiri"/>
          <w:color w:val="111111"/>
          <w:sz w:val="28"/>
          <w:sz w:val="28"/>
          <w:szCs w:val="28"/>
          <w:rtl w:val="true"/>
          <w:lang w:bidi="ar-SA"/>
        </w:rPr>
        <w:t xml:space="preserve">و خلافاً لأكثر المتأخّرين؛ لظاهر الصحيح </w:t>
      </w:r>
      <w:r>
        <w:rPr>
          <w:rStyle w:val="FootnoteAnchor"/>
          <w:rtl w:val="true"/>
        </w:rPr>
        <w:footnoteReference w:id="309"/>
      </w:r>
      <w:r>
        <w:rPr>
          <w:rFonts w:ascii="Amiri" w:hAnsi="Amiri" w:eastAsia="Amiri" w:cs="Amiri"/>
          <w:color w:val="111111"/>
          <w:sz w:val="28"/>
          <w:sz w:val="28"/>
          <w:szCs w:val="28"/>
          <w:rtl w:val="true"/>
          <w:lang w:bidi="ar-SA"/>
        </w:rPr>
        <w:t>، و عموم الطهوريّة و الاستعمال و استصحابهما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بمنع الدلالة و متروكيّة الظاهر، و البواقي بالتخصّص و الاندفاع لمعارض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الاحتجاج بمجوّز الغسل بما اغتسل منه الجنب من ماء الحمّام ساقط؛ لظهوره في المتعارف بينهم، و هو ذو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المشكوك مع وجوب الغسل له كالمتيقّن في حكم الغسالة،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الفاضل </w:t>
      </w:r>
      <w:r>
        <w:rPr>
          <w:rStyle w:val="FootnoteAnchor"/>
          <w:rtl w:val="true"/>
        </w:rPr>
        <w:footnoteReference w:id="310"/>
      </w:r>
      <w:r>
        <w:rPr>
          <w:rFonts w:ascii="Amiri" w:hAnsi="Amiri" w:eastAsia="Amiri" w:cs="Amiri"/>
          <w:color w:val="111111"/>
          <w:sz w:val="28"/>
          <w:sz w:val="28"/>
          <w:szCs w:val="28"/>
          <w:rtl w:val="true"/>
          <w:lang w:bidi="ar-SA"/>
        </w:rPr>
        <w:t>لا وجه له، و الأكثر يعمّ السنّة، و اقتصار بعضهم على مجرّد الجنابة للتمثيل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المستعمل في الغسل المستحبّ مطهّر بالإجماع، و الأصل، و العمومات، و استحبّ المفيد اجتنابه </w:t>
      </w:r>
      <w:r>
        <w:rPr>
          <w:rStyle w:val="FootnoteAnchor"/>
          <w:rtl w:val="true"/>
        </w:rPr>
        <w:footnoteReference w:id="311"/>
      </w:r>
      <w:r>
        <w:rPr>
          <w:rFonts w:ascii="IRNazanin" w:hAnsi="IRNazanin" w:eastAsia="IRNazanin"/>
          <w:color w:val="111111"/>
          <w:sz w:val="28"/>
          <w:sz w:val="28"/>
          <w:szCs w:val="28"/>
          <w:rtl w:val="true"/>
          <w:lang w:bidi="fa-IR"/>
        </w:rPr>
        <w:t xml:space="preserve">للخبر </w:t>
      </w:r>
      <w:r>
        <w:rPr>
          <w:rStyle w:val="FootnoteAnchor"/>
          <w:rtl w:val="true"/>
        </w:rPr>
        <w:footnoteReference w:id="312"/>
      </w:r>
      <w:r>
        <w:rPr>
          <w:rFonts w:ascii="Amiri" w:hAnsi="Amiri" w:eastAsia="Amiri" w:cs="Amiri"/>
          <w:color w:val="111111"/>
          <w:sz w:val="28"/>
          <w:sz w:val="28"/>
          <w:szCs w:val="28"/>
          <w:rtl w:val="true"/>
          <w:lang w:bidi="ar-SA"/>
        </w:rPr>
        <w:t>، و لا دلالة له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731875_3804643083"/>
      <w:bookmarkStart w:id="112" w:name="_Toc43"/>
      <w:bookmarkEnd w:id="111"/>
      <w:r>
        <w:rPr>
          <w:rtl w:val="true"/>
        </w:rPr>
        <w:t xml:space="preserve">فصل </w:t>
      </w:r>
      <w:r>
        <w:rPr>
          <w:rtl w:val="true"/>
        </w:rPr>
        <w:t>[</w:t>
      </w:r>
      <w:r>
        <w:rPr>
          <w:rtl w:val="true"/>
        </w:rPr>
        <w:t>ماء غسالة الحمّام</w:t>
      </w:r>
      <w:r>
        <w:rPr>
          <w:rtl w:val="true"/>
        </w:rPr>
        <w:t>]</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غسالة الحمّام إن اتّضح حالها فحكمها واضح، و إلّا فالأقوىٰ طهره،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الثانيين و بعض الثالثة </w:t>
      </w:r>
      <w:r>
        <w:rPr>
          <w:rStyle w:val="FootnoteAnchor"/>
          <w:rtl w:val="true"/>
        </w:rPr>
        <w:footnoteReference w:id="313"/>
      </w:r>
      <w:r>
        <w:rPr>
          <w:rFonts w:ascii="IRNazanin" w:hAnsi="IRNazanin" w:eastAsia="IRNazanin"/>
          <w:color w:val="111111"/>
          <w:sz w:val="28"/>
          <w:sz w:val="28"/>
          <w:szCs w:val="28"/>
          <w:rtl w:val="true"/>
          <w:lang w:bidi="fa-IR"/>
        </w:rPr>
        <w:t xml:space="preserve">للأصل و الصحاح و المرسل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خلافاً لظاهر الأكثر؛ للظاهر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المقاومة</w:t>
      </w:r>
      <w:r>
        <w:rPr>
          <w:rFonts w:eastAsia="Amiri" w:cs="Amiri" w:ascii="Amiri" w:hAnsi="Amiri"/>
          <w:color w:val="111111"/>
          <w:sz w:val="28"/>
          <w:szCs w:val="28"/>
          <w:rtl w:val="true"/>
          <w:lang w:bidi="ar-SA"/>
        </w:rPr>
        <w:t>.</w:t>
      </w:r>
      <w:bookmarkStart w:id="113" w:name="pg2479_11500"/>
    </w:p>
    <w:p>
      <w:pPr>
        <w:pStyle w:val="Heading4"/>
        <w:numPr>
          <w:ilvl w:val="3"/>
          <w:numId w:val="1"/>
        </w:numPr>
        <w:rPr/>
      </w:pPr>
      <w:bookmarkStart w:id="114" w:name="__RefHeading___Toc3731877_3804643083"/>
      <w:bookmarkStart w:id="115" w:name="_Toc44"/>
      <w:bookmarkEnd w:id="113"/>
      <w:bookmarkEnd w:id="114"/>
      <w:r>
        <w:rPr>
          <w:rtl w:val="true"/>
        </w:rPr>
        <w:t>بحث المتفرّقات</w:t>
      </w:r>
      <w:bookmarkEnd w:id="115"/>
    </w:p>
    <w:p>
      <w:pPr>
        <w:pStyle w:val="Heading5"/>
        <w:numPr>
          <w:ilvl w:val="4"/>
          <w:numId w:val="1"/>
        </w:numPr>
        <w:rPr/>
      </w:pPr>
      <w:bookmarkStart w:id="116" w:name="__RefHeading___Toc3731879_3804643083"/>
      <w:bookmarkStart w:id="117" w:name="_Toc45"/>
      <w:bookmarkEnd w:id="116"/>
      <w:r>
        <w:rPr>
          <w:rtl w:val="true"/>
        </w:rPr>
        <w:t xml:space="preserve">فصل </w:t>
      </w:r>
      <w:r>
        <w:rPr>
          <w:rtl w:val="true"/>
        </w:rPr>
        <w:t>[</w:t>
      </w:r>
      <w:r>
        <w:rPr>
          <w:rtl w:val="true"/>
        </w:rPr>
        <w:t>الماء المشمّس</w:t>
      </w:r>
      <w:r>
        <w:rPr>
          <w:rtl w:val="true"/>
        </w:rPr>
        <w:t>]</w:t>
      </w:r>
      <w:bookmarkEnd w:id="117"/>
    </w:p>
    <w:p>
      <w:pPr>
        <w:pStyle w:val="BookText"/>
        <w:rPr/>
      </w:pPr>
      <w:r>
        <w:rPr>
          <w:rFonts w:ascii="Amiri" w:hAnsi="Amiri" w:eastAsia="Amiri" w:cs="Amiri"/>
          <w:color w:val="111111"/>
          <w:sz w:val="28"/>
          <w:sz w:val="28"/>
          <w:szCs w:val="28"/>
          <w:rtl w:val="true"/>
          <w:lang w:bidi="ar-SA"/>
        </w:rPr>
        <w:t xml:space="preserve">يكره الطهارة بالمشمّس بالإجماعين، و الخبرين </w:t>
      </w:r>
      <w:r>
        <w:rPr>
          <w:rStyle w:val="FootnoteAnchor"/>
          <w:rtl w:val="true"/>
        </w:rPr>
        <w:footnoteReference w:id="316"/>
      </w:r>
      <w:r>
        <w:rPr>
          <w:rFonts w:ascii="Amiri" w:hAnsi="Amiri" w:eastAsia="Amiri" w:cs="Amiri"/>
          <w:color w:val="111111"/>
          <w:sz w:val="28"/>
          <w:sz w:val="28"/>
          <w:szCs w:val="28"/>
          <w:rtl w:val="true"/>
          <w:lang w:bidi="ar-SA"/>
        </w:rPr>
        <w:t xml:space="preserve">، و لا فرق بين الأواني المنطبعة و الخزفيّة </w:t>
      </w:r>
      <w:r>
        <w:rPr>
          <w:rStyle w:val="FootnoteAnchor"/>
          <w:rtl w:val="true"/>
        </w:rPr>
        <w:footnoteReference w:id="317"/>
      </w:r>
      <w:r>
        <w:rPr>
          <w:rFonts w:ascii="Amiri" w:hAnsi="Amiri" w:eastAsia="Amiri" w:cs="Amiri"/>
          <w:color w:val="111111"/>
          <w:sz w:val="28"/>
          <w:sz w:val="28"/>
          <w:szCs w:val="28"/>
          <w:rtl w:val="true"/>
          <w:lang w:bidi="ar-SA"/>
        </w:rPr>
        <w:t>، و الموضع الحار و البارد، و الماء الكثير و القليل، و التسخين و التسخّن بالإشراق و القرب؛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بقاء السخونة؛ للاستصحاب، و عدم اشتراطه في صدق المتسخّن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الخبرين يفيد كراهة استعماله، فاقتصارهم على مجرّد الطهارة للتمثيل، و لو أُريد الحصر اندفع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الأكثر على انتفاء الكراهة إن تعيّن استعماله، حذراً عن اجتماع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النهي للإرشاد، فلا اجتماع، و لو سلّم فهي بمعنى المرجوحيّة الإضافيّة، فلا يجتمعان على واحد بالشخص</w:t>
      </w:r>
      <w:r>
        <w:rPr>
          <w:rFonts w:eastAsia="Amiri" w:cs="Amiri" w:ascii="Amiri" w:hAnsi="Amiri"/>
          <w:color w:val="111111"/>
          <w:sz w:val="28"/>
          <w:szCs w:val="28"/>
          <w:rtl w:val="true"/>
          <w:lang w:bidi="ar-SA"/>
        </w:rPr>
        <w:t>.</w:t>
      </w:r>
      <w:bookmarkStart w:id="118" w:name="pg2479_11501"/>
    </w:p>
    <w:p>
      <w:pPr>
        <w:pStyle w:val="Heading5"/>
        <w:numPr>
          <w:ilvl w:val="4"/>
          <w:numId w:val="1"/>
        </w:numPr>
        <w:rPr/>
      </w:pPr>
      <w:bookmarkStart w:id="119" w:name="__RefHeading___Toc3731881_3804643083"/>
      <w:bookmarkStart w:id="120" w:name="_Toc46"/>
      <w:bookmarkEnd w:id="118"/>
      <w:bookmarkEnd w:id="119"/>
      <w:r>
        <w:rPr>
          <w:rtl w:val="true"/>
        </w:rPr>
        <w:t xml:space="preserve">فصل </w:t>
      </w:r>
      <w:r>
        <w:rPr>
          <w:rtl w:val="true"/>
        </w:rPr>
        <w:t>[</w:t>
      </w:r>
      <w:r>
        <w:rPr>
          <w:rtl w:val="true"/>
        </w:rPr>
        <w:t>الماء المسخّن بالنار</w:t>
      </w:r>
      <w:r>
        <w:rPr>
          <w:rtl w:val="true"/>
        </w:rPr>
        <w:t>]</w:t>
      </w:r>
      <w:bookmarkEnd w:id="120"/>
    </w:p>
    <w:p>
      <w:pPr>
        <w:pStyle w:val="BookText"/>
        <w:rPr/>
      </w:pPr>
      <w:r>
        <w:rPr>
          <w:rFonts w:ascii="Amiri" w:hAnsi="Amiri" w:eastAsia="Amiri" w:cs="Amiri"/>
          <w:color w:val="111111"/>
          <w:sz w:val="28"/>
          <w:sz w:val="28"/>
          <w:szCs w:val="28"/>
          <w:rtl w:val="true"/>
          <w:lang w:bidi="ar-SA"/>
        </w:rPr>
        <w:t xml:space="preserve">المسخّن بالنار كالمشمّس في غسل الأموات دون غيره، بالإجماع و المستفيضة </w:t>
      </w:r>
      <w:r>
        <w:rPr>
          <w:rStyle w:val="FootnoteAnchor"/>
          <w:rtl w:val="true"/>
        </w:rPr>
        <w:footnoteReference w:id="318"/>
      </w:r>
      <w:r>
        <w:rPr>
          <w:rFonts w:ascii="Amiri" w:hAnsi="Amiri" w:eastAsia="Amiri" w:cs="Amiri"/>
          <w:color w:val="111111"/>
          <w:sz w:val="28"/>
          <w:sz w:val="28"/>
          <w:szCs w:val="28"/>
          <w:rtl w:val="true"/>
          <w:lang w:bidi="ar-SA"/>
        </w:rPr>
        <w:t>، إلّا مع المضرّ من البرد أو السخونة فينعكس الحكم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731883_3804643083"/>
      <w:bookmarkStart w:id="122" w:name="_Toc47"/>
      <w:bookmarkEnd w:id="121"/>
      <w:r>
        <w:rPr>
          <w:rtl w:val="true"/>
        </w:rPr>
        <w:t xml:space="preserve">فصل </w:t>
      </w:r>
      <w:r>
        <w:rPr>
          <w:rtl w:val="true"/>
        </w:rPr>
        <w:t>[</w:t>
      </w:r>
      <w:r>
        <w:rPr>
          <w:rtl w:val="true"/>
        </w:rPr>
        <w:t>ماء الحمات</w:t>
      </w:r>
      <w:r>
        <w:rPr>
          <w:rtl w:val="true"/>
        </w:rPr>
        <w:t>]</w:t>
      </w:r>
      <w:bookmarkEnd w:id="122"/>
    </w:p>
    <w:p>
      <w:pPr>
        <w:pStyle w:val="BookText"/>
        <w:rPr/>
      </w:pPr>
      <w:r>
        <w:rPr>
          <w:rFonts w:ascii="Amiri" w:hAnsi="Amiri" w:eastAsia="Amiri" w:cs="Amiri"/>
          <w:color w:val="111111"/>
          <w:sz w:val="28"/>
          <w:sz w:val="28"/>
          <w:szCs w:val="28"/>
          <w:rtl w:val="true"/>
          <w:lang w:bidi="ar-SA"/>
        </w:rPr>
        <w:t>لا يكره استعمال ماء الحمات؛ للأصل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الإسكافي </w:t>
      </w:r>
      <w:r>
        <w:rPr>
          <w:rStyle w:val="FootnoteAnchor"/>
          <w:rtl w:val="true"/>
        </w:rPr>
        <w:footnoteReference w:id="319"/>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التداوي بها؛ للنهي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الغصبيّة تمنع رفع الحدث؛ للنهي المفسد، إلّا مع الجهل أو النسيان؛ لعموم رفع الخطأ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الخبث و إن حرم؛ لعدم كونه عبادة، فلا يقتضي النهي فيه الفساد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يحصل الغصب بغصبيّة الموضع دون الآلة، و وجهه ظاهر</w:t>
      </w:r>
      <w:r>
        <w:rPr>
          <w:rFonts w:eastAsia="Amiri" w:cs="Amiri" w:ascii="Amiri" w:hAnsi="Amiri"/>
          <w:color w:val="111111"/>
          <w:sz w:val="28"/>
          <w:szCs w:val="28"/>
          <w:rtl w:val="true"/>
          <w:lang w:bidi="ar-SA"/>
        </w:rPr>
        <w:t>.</w:t>
      </w:r>
      <w:bookmarkStart w:id="123" w:name="pg2479_11502"/>
    </w:p>
    <w:p>
      <w:pPr>
        <w:pStyle w:val="Heading3"/>
        <w:numPr>
          <w:ilvl w:val="2"/>
          <w:numId w:val="1"/>
        </w:numPr>
        <w:rPr/>
      </w:pPr>
      <w:bookmarkStart w:id="124" w:name="__RefHeading___Toc3731885_3804643083"/>
      <w:bookmarkStart w:id="125" w:name="_Toc48"/>
      <w:bookmarkEnd w:id="123"/>
      <w:bookmarkEnd w:id="124"/>
      <w:r>
        <w:rPr>
          <w:rtl w:val="true"/>
        </w:rPr>
        <w:t>باب النجاسات و أحكامها</w:t>
      </w:r>
      <w:bookmarkEnd w:id="125"/>
    </w:p>
    <w:p>
      <w:pPr>
        <w:pStyle w:val="Heading4"/>
        <w:numPr>
          <w:ilvl w:val="3"/>
          <w:numId w:val="1"/>
        </w:numPr>
        <w:rPr/>
      </w:pPr>
      <w:bookmarkStart w:id="126" w:name="__RefHeading___Toc3731887_3804643083"/>
      <w:bookmarkStart w:id="127" w:name="_Toc49"/>
      <w:bookmarkEnd w:id="126"/>
      <w:r>
        <w:rPr>
          <w:rtl w:val="true"/>
        </w:rPr>
        <w:t>بحث أقسامها</w:t>
      </w:r>
      <w:bookmarkEnd w:id="127"/>
    </w:p>
    <w:p>
      <w:pPr>
        <w:pStyle w:val="Heading5"/>
        <w:numPr>
          <w:ilvl w:val="4"/>
          <w:numId w:val="1"/>
        </w:numPr>
        <w:rPr/>
      </w:pPr>
      <w:bookmarkStart w:id="128" w:name="__RefHeading___Toc3731889_3804643083"/>
      <w:bookmarkStart w:id="129" w:name="_Toc50"/>
      <w:bookmarkEnd w:id="128"/>
      <w:r>
        <w:rPr>
          <w:rtl w:val="true"/>
        </w:rPr>
        <w:t xml:space="preserve">فصل </w:t>
      </w:r>
      <w:r>
        <w:rPr>
          <w:rtl w:val="true"/>
        </w:rPr>
        <w:t>[</w:t>
      </w:r>
      <w:r>
        <w:rPr>
          <w:rtl w:val="true"/>
        </w:rPr>
        <w:t>حكم الأخبثين</w:t>
      </w:r>
      <w:r>
        <w:rPr>
          <w:rtl w:val="true"/>
        </w:rPr>
        <w:t>]</w:t>
      </w:r>
      <w:bookmarkEnd w:id="129"/>
    </w:p>
    <w:p>
      <w:pPr>
        <w:pStyle w:val="Heading6"/>
        <w:numPr>
          <w:ilvl w:val="5"/>
          <w:numId w:val="1"/>
        </w:numPr>
        <w:rPr/>
      </w:pPr>
      <w:bookmarkStart w:id="130" w:name="__RefHeading___Toc3731891_3804643083"/>
      <w:bookmarkStart w:id="131" w:name="_Toc51"/>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نجاسة الأخبثين لذي النفس غير الرضيع و الطير ممّا لا يؤكل لحمه موضع الوفاق، و النصوص به مستفيضة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للرضيع كالمجمع عليه؛ لتكرّر النقل، و العمومات، و خصوص الحسن و الرضوي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الإسكافي لا عبرة به </w:t>
      </w:r>
      <w:r>
        <w:rPr>
          <w:rStyle w:val="FootnoteAnchor"/>
          <w:rtl w:val="true"/>
        </w:rPr>
        <w:footnoteReference w:id="324"/>
      </w:r>
      <w:r>
        <w:rPr>
          <w:rFonts w:ascii="IRNazanin" w:hAnsi="IRNazanin" w:eastAsia="IRNazanin"/>
          <w:color w:val="111111"/>
          <w:sz w:val="28"/>
          <w:sz w:val="28"/>
          <w:szCs w:val="28"/>
          <w:rtl w:val="true"/>
          <w:lang w:bidi="fa-IR"/>
        </w:rPr>
        <w:t xml:space="preserve">، و مستنده </w:t>
      </w:r>
      <w:r>
        <w:rPr>
          <w:rStyle w:val="FootnoteAnchor"/>
          <w:rtl w:val="true"/>
        </w:rPr>
        <w:footnoteReference w:id="325"/>
      </w:r>
      <w:r>
        <w:rPr>
          <w:rFonts w:ascii="Amiri" w:hAnsi="Amiri" w:eastAsia="Amiri" w:cs="Amiri"/>
          <w:color w:val="111111"/>
          <w:sz w:val="28"/>
          <w:sz w:val="28"/>
          <w:szCs w:val="28"/>
          <w:rtl w:val="true"/>
          <w:lang w:bidi="ar-SA"/>
        </w:rPr>
        <w:t>غير ناهض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للطير حقّ مشهور؛ للعمومات منطوقاً و مفهوماً، خلافاً للصدوق و العماني </w:t>
      </w:r>
      <w:r>
        <w:rPr>
          <w:rStyle w:val="FootnoteAnchor"/>
          <w:rtl w:val="true"/>
        </w:rPr>
        <w:footnoteReference w:id="326"/>
      </w:r>
      <w:r>
        <w:rPr>
          <w:rFonts w:ascii="Amiri" w:hAnsi="Amiri" w:eastAsia="Amiri" w:cs="Amiri"/>
          <w:color w:val="111111"/>
          <w:sz w:val="28"/>
          <w:sz w:val="28"/>
          <w:szCs w:val="28"/>
          <w:rtl w:val="true"/>
          <w:lang w:bidi="ar-SA"/>
        </w:rPr>
        <w:t xml:space="preserve">مطلقاً؛ لعموم الصحيح و الحسن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عمومان تعارضا من وجه</w:t>
      </w:r>
    </w:p>
    <w:p>
      <w:pPr>
        <w:pStyle w:val="BookText"/>
        <w:rPr/>
      </w:pPr>
      <w:r>
        <w:rPr>
          <w:rFonts w:ascii="Amiri" w:hAnsi="Amiri" w:eastAsia="Amiri" w:cs="Amiri"/>
          <w:color w:val="111111"/>
          <w:sz w:val="28"/>
          <w:sz w:val="28"/>
          <w:szCs w:val="28"/>
          <w:rtl w:val="true"/>
          <w:lang w:bidi="ar-SA"/>
        </w:rPr>
        <w:t>فيخصّص الثاني بالأوّل؛ لكونه أقوى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للمبسوط </w:t>
      </w:r>
      <w:r>
        <w:rPr>
          <w:rStyle w:val="FootnoteAnchor"/>
          <w:rtl w:val="true"/>
        </w:rPr>
        <w:footnoteReference w:id="328"/>
      </w:r>
      <w:r>
        <w:rPr>
          <w:rFonts w:ascii="IRNazanin" w:hAnsi="IRNazanin" w:eastAsia="IRNazanin"/>
          <w:color w:val="111111"/>
          <w:sz w:val="28"/>
          <w:sz w:val="28"/>
          <w:szCs w:val="28"/>
          <w:rtl w:val="true"/>
          <w:lang w:bidi="fa-IR"/>
        </w:rPr>
        <w:t xml:space="preserve">لعمومهما </w:t>
      </w:r>
      <w:r>
        <w:rPr>
          <w:rStyle w:val="FootnoteAnchor"/>
          <w:rtl w:val="true"/>
        </w:rPr>
        <w:footnoteReference w:id="329"/>
      </w:r>
      <w:r>
        <w:rPr>
          <w:rFonts w:ascii="IRNazanin" w:hAnsi="IRNazanin" w:eastAsia="IRNazanin"/>
          <w:color w:val="111111"/>
          <w:sz w:val="28"/>
          <w:sz w:val="28"/>
          <w:szCs w:val="28"/>
          <w:rtl w:val="true"/>
          <w:lang w:bidi="fa-IR"/>
        </w:rPr>
        <w:t xml:space="preserve">و خصوص الخبر </w:t>
      </w:r>
      <w:r>
        <w:rPr>
          <w:rStyle w:val="FootnoteAnchor"/>
          <w:rtl w:val="true"/>
        </w:rPr>
        <w:footnoteReference w:id="330"/>
      </w:r>
      <w:r>
        <w:rPr>
          <w:rFonts w:ascii="IRNazanin" w:hAnsi="IRNazanin" w:eastAsia="IRNazanin"/>
          <w:color w:val="111111"/>
          <w:sz w:val="28"/>
          <w:sz w:val="28"/>
          <w:szCs w:val="28"/>
          <w:rtl w:val="true"/>
          <w:lang w:bidi="fa-IR"/>
        </w:rPr>
        <w:t>، و جوابه قد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المحرّم أكله بالعرض كالمحرّم بالذات في الحكم؛ للإجماعين، و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المختلط بالخرء من الحبوب مع الصلابة طاهر، و بدونها نجس،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طهر الفضلتين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له موضع القطع، و يساعده الأصل، و نفي الحرج، و إطلاق الأدلّة ينصرف إلى الأفراد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للمأكول غير الدجاجة، و للدواب الثلاث مجمع عليه، و النصوص به مستفيضة </w:t>
      </w:r>
      <w:r>
        <w:rPr>
          <w:rStyle w:val="FootnoteAnchor"/>
          <w:rtl w:val="true"/>
        </w:rPr>
        <w:footnoteReference w:id="332"/>
      </w:r>
      <w:r>
        <w:rPr>
          <w:rFonts w:ascii="Amiri" w:hAnsi="Amiri" w:eastAsia="Amiri" w:cs="Amiri"/>
          <w:color w:val="111111"/>
          <w:sz w:val="28"/>
          <w:sz w:val="28"/>
          <w:szCs w:val="28"/>
          <w:rtl w:val="true"/>
          <w:lang w:bidi="ar-SA"/>
        </w:rPr>
        <w:t>، و العمومات بها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لهما حقّ مشهور، خلافاً للشيخين في الأوّل </w:t>
      </w:r>
      <w:r>
        <w:rPr>
          <w:rStyle w:val="FootnoteAnchor"/>
          <w:rtl w:val="true"/>
        </w:rPr>
        <w:footnoteReference w:id="333"/>
      </w:r>
      <w:r>
        <w:rPr>
          <w:rFonts w:ascii="Amiri" w:hAnsi="Amiri" w:eastAsia="Amiri" w:cs="Amiri"/>
          <w:color w:val="111111"/>
          <w:sz w:val="28"/>
          <w:sz w:val="28"/>
          <w:szCs w:val="28"/>
          <w:rtl w:val="true"/>
          <w:lang w:bidi="ar-SA"/>
        </w:rPr>
        <w:t xml:space="preserve">، و للإسكافي في الثاني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العمومات </w:t>
      </w:r>
      <w:r>
        <w:rPr>
          <w:rStyle w:val="FootnoteAnchor"/>
          <w:rtl w:val="true"/>
        </w:rPr>
        <w:footnoteReference w:id="335"/>
      </w:r>
      <w:r>
        <w:rPr>
          <w:rFonts w:ascii="IRNazanin" w:hAnsi="IRNazanin" w:eastAsia="IRNazanin"/>
          <w:color w:val="111111"/>
          <w:sz w:val="28"/>
          <w:sz w:val="28"/>
          <w:szCs w:val="28"/>
          <w:rtl w:val="true"/>
          <w:lang w:bidi="fa-IR"/>
        </w:rPr>
        <w:t xml:space="preserve">، و خصوص الخبر </w:t>
      </w:r>
      <w:r>
        <w:rPr>
          <w:rStyle w:val="FootnoteAnchor"/>
          <w:rtl w:val="true"/>
        </w:rPr>
        <w:footnoteReference w:id="336"/>
      </w:r>
      <w:r>
        <w:rPr>
          <w:rFonts w:ascii="Amiri" w:hAnsi="Amiri" w:eastAsia="Amiri" w:cs="Amiri"/>
          <w:color w:val="111111"/>
          <w:sz w:val="28"/>
          <w:sz w:val="28"/>
          <w:szCs w:val="28"/>
          <w:rtl w:val="true"/>
          <w:lang w:bidi="ar-SA"/>
        </w:rPr>
        <w:t xml:space="preserve">، و يعضدها الشهرة القريبة من الإجماع؛ إذ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الأكثر </w:t>
      </w:r>
      <w:r>
        <w:rPr>
          <w:rStyle w:val="FootnoteAnchor"/>
          <w:rtl w:val="true"/>
        </w:rPr>
        <w:footnoteReference w:id="337"/>
      </w:r>
      <w:r>
        <w:rPr>
          <w:rFonts w:ascii="Amiri" w:hAnsi="Amiri" w:eastAsia="Amiri" w:cs="Amiri"/>
          <w:color w:val="111111"/>
          <w:sz w:val="28"/>
          <w:sz w:val="28"/>
          <w:szCs w:val="28"/>
          <w:rtl w:val="true"/>
          <w:lang w:bidi="ar-SA"/>
        </w:rPr>
        <w:t>، فينحصر المخالفة بالمفيد</w:t>
      </w:r>
      <w:r>
        <w:rPr>
          <w:rFonts w:eastAsia="Amiri" w:cs="Amiri" w:ascii="Amiri" w:hAnsi="Amiri"/>
          <w:color w:val="111111"/>
          <w:sz w:val="28"/>
          <w:szCs w:val="28"/>
          <w:rtl w:val="true"/>
          <w:lang w:bidi="ar-SA"/>
        </w:rPr>
        <w:t>.</w:t>
      </w:r>
      <w:bookmarkStart w:id="132" w:name="pg2479_11504"/>
    </w:p>
    <w:p>
      <w:pPr>
        <w:pStyle w:val="BookText"/>
        <w:rPr/>
      </w:pPr>
      <w:bookmarkEnd w:id="132"/>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بالضعف و الشذوذ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 العمومات خصوص المستفيضة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الإطلاقات، و ظاهر المستفيضة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بالتقييد و الحمل على التقيّة أو الكراهة، كما عليه المعظم، و يشعر به بعضه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بهما يوجب تقديم المرجوح بوجوه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731893_3804643083"/>
      <w:bookmarkStart w:id="134" w:name="_Toc52"/>
      <w:bookmarkEnd w:id="133"/>
      <w:r>
        <w:rPr>
          <w:rtl w:val="true"/>
        </w:rPr>
        <w:t>[</w:t>
      </w:r>
      <w:r>
        <w:rPr>
          <w:rtl w:val="true"/>
        </w:rPr>
        <w:t>حكم القي‌ء</w:t>
      </w:r>
      <w:r>
        <w:rPr>
          <w:rtl w:val="true"/>
        </w:rPr>
        <w:t>]</w:t>
      </w:r>
      <w:bookmarkEnd w:id="134"/>
    </w:p>
    <w:p>
      <w:pPr>
        <w:pStyle w:val="BookText"/>
        <w:rPr/>
      </w:pPr>
      <w:r>
        <w:rPr>
          <w:rFonts w:ascii="Amiri" w:hAnsi="Amiri" w:eastAsia="Amiri" w:cs="Amiri"/>
          <w:color w:val="111111"/>
          <w:sz w:val="28"/>
          <w:sz w:val="28"/>
          <w:szCs w:val="28"/>
          <w:rtl w:val="true"/>
          <w:lang w:bidi="ar-SA"/>
        </w:rPr>
        <w:t xml:space="preserve">و القي‌ء طاهر؛ للأصل و ظاهر الوفاق و الموثّقين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بعضهم غير ثابتة، و لو ثبتت فغير قادحة، و حجّة إلحاقه بالغائط باطلة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731895_3804643083"/>
      <w:bookmarkStart w:id="136" w:name="_Toc53"/>
      <w:bookmarkEnd w:id="135"/>
      <w:r>
        <w:rPr>
          <w:rtl w:val="true"/>
        </w:rPr>
        <w:t xml:space="preserve">فصل </w:t>
      </w:r>
      <w:r>
        <w:rPr>
          <w:rtl w:val="true"/>
        </w:rPr>
        <w:t>[</w:t>
      </w:r>
      <w:r>
        <w:rPr>
          <w:rtl w:val="true"/>
        </w:rPr>
        <w:t>حكم المني</w:t>
      </w:r>
      <w:r>
        <w:rPr>
          <w:rtl w:val="true"/>
        </w:rPr>
        <w:t>]</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المني لكلّ ذي نفس نجس بالإجماعين، و النصوص المنجّسة </w:t>
      </w:r>
      <w:r>
        <w:rPr>
          <w:rStyle w:val="FootnoteAnchor"/>
          <w:rtl w:val="true"/>
        </w:rPr>
        <w:footnoteReference w:id="343"/>
      </w:r>
      <w:r>
        <w:rPr>
          <w:rFonts w:ascii="Amiri" w:hAnsi="Amiri" w:eastAsia="Amiri" w:cs="Amiri"/>
          <w:color w:val="111111"/>
          <w:sz w:val="28"/>
          <w:sz w:val="28"/>
          <w:szCs w:val="28"/>
          <w:rtl w:val="true"/>
          <w:lang w:bidi="ar-SA"/>
        </w:rPr>
        <w:t xml:space="preserve">ظاهرة في مني الإنسان، فالمناط في التعميم الإجماع، و ما دلّ على طهره </w:t>
      </w:r>
      <w:r>
        <w:rPr>
          <w:rStyle w:val="FootnoteAnchor"/>
          <w:rtl w:val="true"/>
        </w:rPr>
        <w:footnoteReference w:id="344"/>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bookmarkStart w:id="137" w:name="pg2479_11505"/>
    </w:p>
    <w:p>
      <w:pPr>
        <w:pStyle w:val="BookText"/>
        <w:rPr/>
      </w:pPr>
      <w:bookmarkEnd w:id="137"/>
      <w:r>
        <w:rPr>
          <w:rFonts w:ascii="Amiri" w:hAnsi="Amiri" w:eastAsia="Amiri" w:cs="Amiri"/>
          <w:color w:val="111111"/>
          <w:sz w:val="28"/>
          <w:sz w:val="28"/>
          <w:szCs w:val="28"/>
          <w:rtl w:val="true"/>
          <w:lang w:bidi="ar-SA"/>
        </w:rPr>
        <w:t xml:space="preserve">و لغيره طاهر بالأصل، و نفي الحرج، و عدم تناول المنجّس له، فتردّد الفاضلين </w:t>
      </w:r>
      <w:r>
        <w:rPr>
          <w:rStyle w:val="FootnoteAnchor"/>
          <w:rtl w:val="true"/>
        </w:rPr>
        <w:footnoteReference w:id="345"/>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المذي و الودي طاهران بالأصل، و الإجماع، و المستفيضة من الصحاح و غيرها </w:t>
      </w:r>
      <w:r>
        <w:rPr>
          <w:rStyle w:val="FootnoteAnchor"/>
          <w:rtl w:val="true"/>
        </w:rPr>
        <w:footnoteReference w:id="346"/>
      </w:r>
      <w:r>
        <w:rPr>
          <w:rFonts w:ascii="Amiri" w:hAnsi="Amiri" w:eastAsia="Amiri" w:cs="Amiri"/>
          <w:color w:val="111111"/>
          <w:sz w:val="28"/>
          <w:sz w:val="28"/>
          <w:szCs w:val="28"/>
          <w:rtl w:val="true"/>
          <w:lang w:bidi="ar-SA"/>
        </w:rPr>
        <w:t xml:space="preserve">، و مخالفة الإسكافي </w:t>
      </w:r>
      <w:r>
        <w:rPr>
          <w:rStyle w:val="FootnoteAnchor"/>
          <w:rtl w:val="true"/>
        </w:rPr>
        <w:footnoteReference w:id="347"/>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يخرج من البلّة الخالصة طاهر بالأصل، و الإجماع، و ظاهر الصحيح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3731897_3804643083"/>
      <w:bookmarkStart w:id="139" w:name="_Toc54"/>
      <w:bookmarkEnd w:id="138"/>
      <w:r>
        <w:rPr>
          <w:rtl w:val="true"/>
        </w:rPr>
        <w:t xml:space="preserve">فصل </w:t>
      </w:r>
      <w:r>
        <w:rPr>
          <w:rtl w:val="true"/>
        </w:rPr>
        <w:t>[</w:t>
      </w:r>
      <w:r>
        <w:rPr>
          <w:rtl w:val="true"/>
        </w:rPr>
        <w:t>حكم الدم</w:t>
      </w:r>
      <w:r>
        <w:rPr>
          <w:rtl w:val="true"/>
        </w:rPr>
        <w:t>]</w:t>
      </w:r>
      <w:bookmarkEnd w:id="139"/>
    </w:p>
    <w:p>
      <w:pPr>
        <w:pStyle w:val="BookText"/>
        <w:rPr/>
      </w:pPr>
      <w:r>
        <w:rPr>
          <w:rFonts w:ascii="Amiri" w:hAnsi="Amiri" w:eastAsia="Amiri" w:cs="Amiri"/>
          <w:color w:val="111111"/>
          <w:sz w:val="28"/>
          <w:sz w:val="28"/>
          <w:szCs w:val="28"/>
          <w:rtl w:val="true"/>
          <w:lang w:bidi="ar-SA"/>
        </w:rPr>
        <w:t>الدم إمّا مسفوح أو غير مسفوح من ذي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المتخلّف، إمّا متخلّف </w:t>
      </w:r>
      <w:r>
        <w:rPr>
          <w:rStyle w:val="FootnoteAnchor"/>
          <w:rtl w:val="true"/>
        </w:rPr>
        <w:footnoteReference w:id="349"/>
      </w:r>
      <w:r>
        <w:rPr>
          <w:rFonts w:ascii="Amiri" w:hAnsi="Amiri" w:eastAsia="Amiri" w:cs="Amiri"/>
          <w:color w:val="111111"/>
          <w:sz w:val="28"/>
          <w:sz w:val="28"/>
          <w:szCs w:val="28"/>
          <w:rtl w:val="true"/>
          <w:lang w:bidi="ar-SA"/>
        </w:rPr>
        <w:t xml:space="preserve">في غير المأكول فنجس بالإجماعين، و المستفيضة </w:t>
      </w:r>
      <w:r>
        <w:rPr>
          <w:rStyle w:val="FootnoteAnchor"/>
          <w:rtl w:val="true"/>
        </w:rPr>
        <w:footnoteReference w:id="350"/>
      </w:r>
      <w:r>
        <w:rPr>
          <w:rFonts w:ascii="Amiri" w:hAnsi="Amiri" w:eastAsia="Amiri" w:cs="Amiri"/>
          <w:color w:val="111111"/>
          <w:sz w:val="28"/>
          <w:sz w:val="28"/>
          <w:szCs w:val="28"/>
          <w:rtl w:val="true"/>
          <w:lang w:bidi="ar-SA"/>
        </w:rPr>
        <w:t xml:space="preserve">، و ظاهر الآية في الأوّل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الإسكافي في نجاسة ما دون الدرهم </w:t>
      </w:r>
      <w:r>
        <w:rPr>
          <w:rStyle w:val="FootnoteAnchor"/>
          <w:rtl w:val="true"/>
        </w:rPr>
        <w:footnoteReference w:id="352"/>
      </w:r>
      <w:r>
        <w:rPr>
          <w:rFonts w:ascii="Amiri" w:hAnsi="Amiri" w:eastAsia="Amiri" w:cs="Amiri"/>
          <w:color w:val="111111"/>
          <w:sz w:val="28"/>
          <w:sz w:val="28"/>
          <w:szCs w:val="28"/>
          <w:rtl w:val="true"/>
          <w:lang w:bidi="ar-SA"/>
        </w:rPr>
        <w:t xml:space="preserve">، و الصدوق فيما دون الحمّصة </w:t>
      </w:r>
      <w:r>
        <w:rPr>
          <w:rStyle w:val="FootnoteAnchor"/>
          <w:rtl w:val="true"/>
        </w:rPr>
        <w:footnoteReference w:id="353"/>
      </w:r>
      <w:r>
        <w:rPr>
          <w:rFonts w:ascii="Amiri" w:hAnsi="Amiri" w:eastAsia="Amiri" w:cs="Amiri"/>
          <w:color w:val="111111"/>
          <w:sz w:val="28"/>
          <w:sz w:val="28"/>
          <w:szCs w:val="28"/>
          <w:rtl w:val="true"/>
          <w:lang w:bidi="ar-SA"/>
        </w:rPr>
        <w:t>لا عبرة به، و مستندهما لا حجّية فيه و لا دلالة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متخلّف في المأكول أو ممّا لا نفس له فطاهر بالأصل، و الإجماع، و بعض</w:t>
      </w:r>
      <w:bookmarkStart w:id="140" w:name="pg2479_11506"/>
    </w:p>
    <w:p>
      <w:pPr>
        <w:pStyle w:val="BookText"/>
        <w:rPr/>
      </w:pPr>
      <w:bookmarkEnd w:id="140"/>
      <w:r>
        <w:rPr>
          <w:rFonts w:ascii="Amiri" w:hAnsi="Amiri" w:eastAsia="Amiri" w:cs="Amiri"/>
          <w:color w:val="111111"/>
          <w:sz w:val="28"/>
          <w:sz w:val="28"/>
          <w:szCs w:val="28"/>
          <w:rtl w:val="true"/>
          <w:lang w:bidi="ar-SA"/>
        </w:rPr>
        <w:t xml:space="preserve">الآيات </w:t>
      </w:r>
      <w:r>
        <w:rPr>
          <w:rStyle w:val="FootnoteAnchor"/>
          <w:rtl w:val="true"/>
        </w:rPr>
        <w:footnoteReference w:id="354"/>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pStyle w:val="BookText"/>
        <w:rPr/>
      </w:pPr>
      <w:r>
        <w:rPr>
          <w:rStyle w:val="FootnoteAnchor"/>
          <w:rtl w:val="true"/>
        </w:rPr>
        <w:footnoteReference w:id="355"/>
      </w:r>
      <w:r>
        <w:rPr>
          <w:rFonts w:ascii="Amiri" w:hAnsi="Amiri" w:eastAsia="Amiri" w:cs="Amiri"/>
          <w:color w:val="111111"/>
          <w:sz w:val="28"/>
          <w:sz w:val="28"/>
          <w:szCs w:val="28"/>
          <w:rtl w:val="true"/>
          <w:lang w:bidi="ar-SA"/>
        </w:rPr>
        <w:t xml:space="preserve">، و خصوص المستفيضة في الثاني </w:t>
      </w:r>
      <w:r>
        <w:rPr>
          <w:rStyle w:val="FootnoteAnchor"/>
          <w:rtl w:val="true"/>
        </w:rPr>
        <w:footnoteReference w:id="356"/>
      </w:r>
      <w:r>
        <w:rPr>
          <w:rFonts w:ascii="Amiri" w:hAnsi="Amiri" w:eastAsia="Amiri" w:cs="Amiri"/>
          <w:color w:val="111111"/>
          <w:sz w:val="28"/>
          <w:sz w:val="28"/>
          <w:szCs w:val="28"/>
          <w:rtl w:val="true"/>
          <w:lang w:bidi="ar-SA"/>
        </w:rPr>
        <w:t>، و بها يخصّص عموم أدلّة النجاسة فيما سلّم له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 جرح، فلا خلاف في نجاسته و العفو عنه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علقة النطفة نجسة؛ لصدق الدم، و 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به يندفع الأصل، و يخصّص 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الأكثر نجاسة علقة البيضة؛ لصدق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فرد نادر فلا يتناوله إطلاقه، فمقتضى الأصل و مفهوم الآية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حرمته لخباثته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فأرة المسك مع انفصالها عن الظبية في حياتها أو بعد التذكية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موتها أصح القولين؛ لدعوىٰ الإجماع من الفاضل و الشهيد </w:t>
      </w:r>
      <w:r>
        <w:rPr>
          <w:rStyle w:val="FootnoteAnchor"/>
          <w:rtl w:val="true"/>
        </w:rPr>
        <w:footnoteReference w:id="358"/>
      </w:r>
      <w:r>
        <w:rPr>
          <w:rFonts w:ascii="Amiri" w:hAnsi="Amiri" w:eastAsia="Amiri" w:cs="Amiri"/>
          <w:color w:val="111111"/>
          <w:sz w:val="28"/>
          <w:sz w:val="28"/>
          <w:szCs w:val="28"/>
          <w:rtl w:val="true"/>
          <w:lang w:bidi="ar-SA"/>
        </w:rPr>
        <w:t>، و إطلاق أدلّة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المسك دماً و الفأرة جزء ممنوع، و المكاتبة </w:t>
      </w:r>
      <w:r>
        <w:rPr>
          <w:rStyle w:val="FootnoteAnchor"/>
          <w:rtl w:val="true"/>
        </w:rPr>
        <w:footnoteReference w:id="359"/>
      </w:r>
      <w:r>
        <w:rPr>
          <w:rFonts w:ascii="Amiri" w:hAnsi="Amiri" w:eastAsia="Amiri" w:cs="Amiri"/>
          <w:color w:val="111111"/>
          <w:sz w:val="28"/>
          <w:sz w:val="28"/>
          <w:szCs w:val="28"/>
          <w:rtl w:val="true"/>
          <w:lang w:bidi="ar-SA"/>
        </w:rPr>
        <w:t>غير 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دم فالأصل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القيح عندنا طاهر إن خلي عن الدم</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731899_3804643083"/>
      <w:bookmarkStart w:id="142" w:name="_Toc55"/>
      <w:bookmarkEnd w:id="141"/>
      <w:r>
        <w:rPr>
          <w:rtl w:val="true"/>
        </w:rPr>
        <w:t xml:space="preserve">فصل </w:t>
      </w:r>
      <w:r>
        <w:rPr>
          <w:rtl w:val="true"/>
        </w:rPr>
        <w:t>[</w:t>
      </w:r>
      <w:r>
        <w:rPr>
          <w:rtl w:val="true"/>
        </w:rPr>
        <w:t>حكم الميتة</w:t>
      </w:r>
      <w:r>
        <w:rPr>
          <w:rtl w:val="true"/>
        </w:rPr>
        <w:t>]</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ميتة ذي النفس نجسة بالإجماعين، و المستفيضة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نجاستها عينيّة، أي</w:t>
      </w:r>
    </w:p>
    <w:p>
      <w:pPr>
        <w:pStyle w:val="BookText"/>
        <w:rPr/>
      </w:pPr>
      <w:r>
        <w:rPr>
          <w:rFonts w:ascii="Amiri" w:hAnsi="Amiri" w:eastAsia="Amiri" w:cs="Amiri"/>
          <w:color w:val="111111"/>
          <w:sz w:val="28"/>
          <w:sz w:val="28"/>
          <w:szCs w:val="28"/>
          <w:rtl w:val="true"/>
          <w:lang w:bidi="ar-SA"/>
        </w:rPr>
        <w:t xml:space="preserve">تتعدّى مع الرطوبة دون اليبوسة؛ لنقل الإجماع، و الجمع بين الإطلاقين، و خصوص الخبر </w:t>
      </w:r>
      <w:r>
        <w:rPr>
          <w:rStyle w:val="FootnoteAnchor"/>
          <w:rtl w:val="true"/>
        </w:rPr>
        <w:footnoteReference w:id="361"/>
      </w:r>
      <w:r>
        <w:rPr>
          <w:rFonts w:ascii="Amiri" w:hAnsi="Amiri" w:eastAsia="Amiri" w:cs="Amiri"/>
          <w:color w:val="111111"/>
          <w:sz w:val="28"/>
          <w:sz w:val="28"/>
          <w:szCs w:val="28"/>
          <w:rtl w:val="true"/>
          <w:lang w:bidi="ar-SA"/>
        </w:rPr>
        <w:t>، و وجوب الغسل بمسّ الآدميّ مع اليبوسة كالاستثناء لأدلّة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المرتضى بحكميّة نجاسته </w:t>
      </w:r>
      <w:r>
        <w:rPr>
          <w:rStyle w:val="FootnoteAnchor"/>
          <w:rtl w:val="true"/>
        </w:rPr>
        <w:footnoteReference w:id="362"/>
      </w:r>
      <w:r>
        <w:rPr>
          <w:rFonts w:ascii="Amiri" w:hAnsi="Amiri" w:eastAsia="Amiri" w:cs="Amiri"/>
          <w:color w:val="111111"/>
          <w:sz w:val="28"/>
          <w:sz w:val="28"/>
          <w:szCs w:val="28"/>
          <w:rtl w:val="true"/>
          <w:lang w:bidi="ar-SA"/>
        </w:rPr>
        <w:t>، أي عدم تعديتها و لو بالرطوبة مع توقّف رفعها على النيّة ضعيف، و ما ذكرناه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للعينيّة و الحكميّة معان أُخر، و الأشهر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فمطلق الميتة كغيره من الأعيان النجسة في تنجيس الملاقي مع الرطوبة لا بدونها؛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أقوال أُخر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أجزاؤها و ما قطع من الحيّ و منه المشيمة نجسة بالإجماع، و المستفيضة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الجزء بين متّصلة و منفصله، و كبيره و صغيره، و في المنقطع بين حيّه و ميّته إذا حلّ فيه الحياة؛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طهارة مثل البثور و الأجزاء الجلديّة اتّصلت أو انفصلت؛ للأصل، و نفي الحرج، و ظاهر الصحيح </w:t>
      </w:r>
      <w:r>
        <w:rPr>
          <w:rStyle w:val="FootnoteAnchor"/>
          <w:rtl w:val="true"/>
        </w:rPr>
        <w:footnoteReference w:id="364"/>
      </w:r>
      <w:r>
        <w:rPr>
          <w:rFonts w:ascii="Amiri" w:hAnsi="Amiri" w:eastAsia="Amiri" w:cs="Amiri"/>
          <w:color w:val="111111"/>
          <w:sz w:val="28"/>
          <w:sz w:val="28"/>
          <w:szCs w:val="28"/>
          <w:rtl w:val="true"/>
          <w:lang w:bidi="ar-SA"/>
        </w:rPr>
        <w:t>، و يعضده عمل المسلمين في الأعصار بلا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أدلّة النجاسة لا يتناوله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طهر ميّت المعصوم و الشهيد كالمغسول بعد الموت أو قبله مجمع عليه، و النصوص </w:t>
      </w:r>
      <w:r>
        <w:rPr>
          <w:rStyle w:val="FootnoteAnchor"/>
          <w:rtl w:val="true"/>
        </w:rPr>
        <w:footnoteReference w:id="365"/>
      </w:r>
      <w:r>
        <w:rPr>
          <w:rFonts w:ascii="Amiri" w:hAnsi="Amiri" w:eastAsia="Amiri" w:cs="Amiri"/>
          <w:color w:val="111111"/>
          <w:sz w:val="28"/>
          <w:sz w:val="28"/>
          <w:szCs w:val="28"/>
          <w:rtl w:val="true"/>
          <w:lang w:bidi="ar-SA"/>
        </w:rPr>
        <w:t>بالأوّل 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البواقي بعدم غسل لمسّها،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يبرد أشهر القولين؛ لبقاء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بنجاسته </w:t>
      </w:r>
      <w:r>
        <w:rPr>
          <w:rStyle w:val="FootnoteAnchor"/>
          <w:rtl w:val="true"/>
        </w:rPr>
        <w:footnoteReference w:id="366"/>
      </w:r>
      <w:r>
        <w:rPr>
          <w:rFonts w:ascii="Amiri" w:hAnsi="Amiri" w:eastAsia="Amiri" w:cs="Amiri"/>
          <w:color w:val="111111"/>
          <w:sz w:val="28"/>
          <w:sz w:val="28"/>
          <w:szCs w:val="28"/>
          <w:rtl w:val="true"/>
          <w:lang w:bidi="ar-SA"/>
        </w:rPr>
        <w:t xml:space="preserve">للعمومات، و خصوص التوقيعين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ميتة ما لا نفس له طاهرة؛ للأصل، و الإجماع، و المستفيضة </w:t>
      </w:r>
      <w:r>
        <w:rPr>
          <w:rStyle w:val="FootnoteAnchor"/>
          <w:rtl w:val="true"/>
        </w:rPr>
        <w:footnoteReference w:id="368"/>
      </w:r>
      <w:r>
        <w:rPr>
          <w:rFonts w:ascii="Amiri" w:hAnsi="Amiri" w:eastAsia="Amiri" w:cs="Amiri"/>
          <w:color w:val="111111"/>
          <w:sz w:val="28"/>
          <w:sz w:val="28"/>
          <w:szCs w:val="28"/>
          <w:rtl w:val="true"/>
          <w:lang w:bidi="ar-SA"/>
        </w:rPr>
        <w:t>، و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لا تحلّه الحياة منها و هو الصوف و الشعر و الريش و الوبر و الإنفحة و البيض و العظم و القرن و السن و الحافر و الظفر و الظلف طاهر بالأصل، و الإجماع، و استفاضة النصوص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الأكثر عدم الفرق فيها بين المأخوذ من المحلّل و المأكول و غيرهما؛ لإطلاق الأدلّة، فتنجيس الفاضل بيض الجلّال و ما لا يؤكل </w:t>
      </w:r>
      <w:r>
        <w:rPr>
          <w:rStyle w:val="FootnoteAnchor"/>
          <w:rtl w:val="true"/>
        </w:rPr>
        <w:footnoteReference w:id="370"/>
      </w:r>
      <w:r>
        <w:rPr>
          <w:rFonts w:ascii="Amiri" w:hAnsi="Amiri" w:eastAsia="Amiri" w:cs="Amiri"/>
          <w:color w:val="111111"/>
          <w:sz w:val="28"/>
          <w:sz w:val="28"/>
          <w:szCs w:val="28"/>
          <w:rtl w:val="true"/>
          <w:lang w:bidi="ar-SA"/>
        </w:rPr>
        <w:t xml:space="preserve">، كتردّد بعضهم في إنفحة غير المحلّلة </w:t>
      </w:r>
      <w:r>
        <w:rPr>
          <w:rStyle w:val="FootnoteAnchor"/>
          <w:rtl w:val="true"/>
        </w:rPr>
        <w:footnoteReference w:id="371"/>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الأكثر على طهر الأربعة الأُول و لو قُلعت مع غسل موضعه، و الشيخ خصّصه بالجزّ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عموم أخبار النجاسة، فما الوجه لترجيح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اعتضاده بالأصل و الشهرة مع عدم شمول الميتة 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بالإجمال، و معارضته بالحسن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143" w:name="pg2479_11509"/>
    </w:p>
    <w:p>
      <w:pPr>
        <w:pStyle w:val="BookText"/>
        <w:rPr/>
      </w:pPr>
      <w:bookmarkEnd w:id="143"/>
      <w:r>
        <w:rPr>
          <w:rFonts w:ascii="Amiri" w:hAnsi="Amiri" w:eastAsia="Amiri" w:cs="Amiri"/>
          <w:color w:val="111111"/>
          <w:sz w:val="28"/>
          <w:sz w:val="28"/>
          <w:szCs w:val="28"/>
          <w:rtl w:val="true"/>
          <w:lang w:bidi="ar-SA"/>
        </w:rPr>
        <w:t xml:space="preserve">و يشترط طهر البيضة باكتساء الجلد الغليظ؛ لظاهر الوفاق، و الموثّق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غسل ظاهرها لملاقاته النجس بالرطوبة، و إطلاق الأخبار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طهارة لبنها، وفاقاً لأكثر الاولىٰ و الثالثة؛ للأصل و المعتبرة </w:t>
      </w:r>
      <w:r>
        <w:rPr>
          <w:rStyle w:val="FootnoteAnchor"/>
          <w:rtl w:val="true"/>
        </w:rPr>
        <w:footnoteReference w:id="376"/>
      </w:r>
      <w:r>
        <w:rPr>
          <w:rFonts w:ascii="Amiri" w:hAnsi="Amiri" w:eastAsia="Amiri" w:cs="Amiri"/>
          <w:color w:val="111111"/>
          <w:sz w:val="28"/>
          <w:sz w:val="28"/>
          <w:szCs w:val="28"/>
          <w:rtl w:val="true"/>
          <w:lang w:bidi="ar-SA"/>
        </w:rPr>
        <w:t xml:space="preserve">، و 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لمعظم الثانية؛ للخبر </w:t>
      </w:r>
      <w:r>
        <w:rPr>
          <w:rStyle w:val="FootnoteAnchor"/>
          <w:rtl w:val="true"/>
        </w:rPr>
        <w:footnoteReference w:id="378"/>
      </w:r>
      <w:r>
        <w:rPr>
          <w:rFonts w:ascii="Amiri" w:hAnsi="Amiri" w:eastAsia="Amiri" w:cs="Amiri"/>
          <w:color w:val="111111"/>
          <w:sz w:val="28"/>
          <w:sz w:val="28"/>
          <w:szCs w:val="28"/>
          <w:rtl w:val="true"/>
          <w:lang w:bidi="ar-SA"/>
        </w:rPr>
        <w:t xml:space="preserve">،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كونه مائعاً لاقى النجس، و تنجّسه بأصالة الميتة بعد الحلب فكذا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بالضعف، و الثاني بالمعارضة بالأقوىٰ، و الثالث بتخصيصه لما مرّ، و الرابع بأنّه قياس باطل</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731901_3804643083"/>
      <w:bookmarkStart w:id="145" w:name="_Toc56"/>
      <w:bookmarkEnd w:id="144"/>
      <w:r>
        <w:rPr>
          <w:rtl w:val="true"/>
        </w:rPr>
        <w:t xml:space="preserve">فصل </w:t>
      </w:r>
      <w:r>
        <w:rPr>
          <w:rtl w:val="true"/>
        </w:rPr>
        <w:t>[</w:t>
      </w:r>
      <w:r>
        <w:rPr>
          <w:rtl w:val="true"/>
        </w:rPr>
        <w:t>نجاسة الكلب و الخنزير</w:t>
      </w:r>
      <w:r>
        <w:rPr>
          <w:rtl w:val="true"/>
        </w:rPr>
        <w:t>]</w:t>
      </w:r>
      <w:bookmarkEnd w:id="1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نجاسة الكلب و الخنزير، و النصوص به مصرّحة </w:t>
      </w:r>
      <w:r>
        <w:rPr>
          <w:rStyle w:val="FootnoteAnchor"/>
          <w:rtl w:val="true"/>
        </w:rPr>
        <w:footnoteReference w:id="380"/>
      </w:r>
      <w:r>
        <w:rPr>
          <w:rFonts w:ascii="Amiri" w:hAnsi="Amiri" w:eastAsia="Amiri" w:cs="Amiri"/>
          <w:color w:val="111111"/>
          <w:sz w:val="28"/>
          <w:sz w:val="28"/>
          <w:szCs w:val="28"/>
          <w:rtl w:val="true"/>
          <w:lang w:bidi="ar-SA"/>
        </w:rPr>
        <w:t>، و حكاية الإجماع عليه 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الظواهر المطهّرة لهما </w:t>
      </w:r>
      <w:r>
        <w:rPr>
          <w:rStyle w:val="FootnoteAnchor"/>
          <w:rtl w:val="true"/>
        </w:rPr>
        <w:footnoteReference w:id="381"/>
      </w:r>
      <w:r>
        <w:rPr>
          <w:rFonts w:ascii="Amiri" w:hAnsi="Amiri" w:eastAsia="Amiri" w:cs="Amiri"/>
          <w:color w:val="111111"/>
          <w:sz w:val="28"/>
          <w:sz w:val="28"/>
          <w:szCs w:val="28"/>
          <w:rtl w:val="true"/>
          <w:lang w:bidi="ar-SA"/>
        </w:rPr>
        <w:t>مؤوّلة، و فتوى الصدوق</w:t>
      </w:r>
    </w:p>
    <w:p>
      <w:pPr>
        <w:pStyle w:val="BookText"/>
        <w:rPr/>
      </w:pPr>
      <w:r>
        <w:rPr>
          <w:rFonts w:ascii="Amiri" w:hAnsi="Amiri" w:eastAsia="Amiri" w:cs="Amiri"/>
          <w:color w:val="111111"/>
          <w:sz w:val="28"/>
          <w:sz w:val="28"/>
          <w:szCs w:val="28"/>
          <w:rtl w:val="true"/>
          <w:lang w:bidi="ar-SA"/>
        </w:rPr>
        <w:t xml:space="preserve">برشّ ما أصابه كلب الصيد بالرطوبة </w:t>
      </w:r>
      <w:r>
        <w:rPr>
          <w:rStyle w:val="FootnoteAnchor"/>
          <w:rtl w:val="true"/>
        </w:rPr>
        <w:footnoteReference w:id="382"/>
      </w:r>
      <w:r>
        <w:rPr>
          <w:rFonts w:ascii="Amiri" w:hAnsi="Amiri" w:eastAsia="Amiri" w:cs="Amiri"/>
          <w:color w:val="111111"/>
          <w:sz w:val="28"/>
          <w:sz w:val="28"/>
          <w:szCs w:val="28"/>
          <w:rtl w:val="true"/>
          <w:lang w:bidi="ar-SA"/>
        </w:rPr>
        <w:t xml:space="preserve">و الشيخ بطهارة موضع عضّه منه </w:t>
      </w:r>
      <w:r>
        <w:rPr>
          <w:rStyle w:val="FootnoteAnchor"/>
          <w:rtl w:val="true"/>
        </w:rPr>
        <w:footnoteReference w:id="383"/>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المتولّد منهما إن وافق أحدهما في الاسم فنجس إجماعاً؛ لصدق الاسم، و إلّا فطاهر؛ للأصل، و عدم مقتضي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بها؛ لنجاسة أصلية </w:t>
      </w:r>
      <w:r>
        <w:rPr>
          <w:rStyle w:val="FootnoteAnchor"/>
          <w:rtl w:val="true"/>
        </w:rPr>
        <w:footnoteReference w:id="384"/>
      </w:r>
      <w:r>
        <w:rPr>
          <w:rFonts w:ascii="IRNazanin" w:hAnsi="IRNazanin" w:eastAsia="IRNazanin"/>
          <w:color w:val="111111"/>
          <w:sz w:val="28"/>
          <w:sz w:val="28"/>
          <w:szCs w:val="28"/>
          <w:rtl w:val="true"/>
          <w:lang w:bidi="fa-IR"/>
        </w:rPr>
        <w:t>، و 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أحدهما و طاهر يتبع الاسم، و إن انتفى فطاهر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طهارة المائيّين، وفاقاً للمعظم؛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للحلّي </w:t>
      </w:r>
      <w:r>
        <w:rPr>
          <w:rStyle w:val="FootnoteAnchor"/>
          <w:rtl w:val="true"/>
        </w:rPr>
        <w:footnoteReference w:id="385"/>
      </w:r>
      <w:r>
        <w:rPr>
          <w:rFonts w:ascii="Amiri" w:hAnsi="Amiri" w:eastAsia="Amiri" w:cs="Amiri"/>
          <w:color w:val="111111"/>
          <w:sz w:val="28"/>
          <w:sz w:val="28"/>
          <w:szCs w:val="28"/>
          <w:rtl w:val="true"/>
          <w:lang w:bidi="ar-SA"/>
        </w:rPr>
        <w:t>لصدق الاسم فيعمّهما أدلّة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على التجوّز، و الإطلاق ينصرف إلى الحقيقة، و إرادتهما في إطلاق واحد مع الجواز فرع القرينة، و القول بالاشتراك بعيد، و مع ثبوته لا يفيد، و دعوى التواطؤ مع الاختلاف في النوعيّة مكابرة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لا تحلّه الحياة منهما و من الكافر نجس وفاقاً للمعظم؛ لاستفاضة الظواهر </w:t>
      </w:r>
      <w:r>
        <w:rPr>
          <w:rStyle w:val="FootnoteAnchor"/>
          <w:rtl w:val="true"/>
        </w:rPr>
        <w:footnoteReference w:id="386"/>
      </w:r>
      <w:r>
        <w:rPr>
          <w:rFonts w:ascii="IRNazanin" w:hAnsi="IRNazanin" w:eastAsia="IRNazanin"/>
          <w:color w:val="111111"/>
          <w:sz w:val="28"/>
          <w:sz w:val="28"/>
          <w:szCs w:val="28"/>
          <w:rtl w:val="true"/>
          <w:lang w:bidi="fa-IR"/>
        </w:rPr>
        <w:t xml:space="preserve">، و خلافاً للمرتضى </w:t>
      </w:r>
      <w:r>
        <w:rPr>
          <w:rStyle w:val="FootnoteAnchor"/>
          <w:rtl w:val="true"/>
        </w:rPr>
        <w:footnoteReference w:id="387"/>
      </w:r>
      <w:r>
        <w:rPr>
          <w:rFonts w:ascii="Amiri" w:hAnsi="Amiri" w:eastAsia="Amiri" w:cs="Amiri"/>
          <w:color w:val="111111"/>
          <w:sz w:val="28"/>
          <w:sz w:val="28"/>
          <w:szCs w:val="28"/>
          <w:rtl w:val="true"/>
          <w:lang w:bidi="ar-SA"/>
        </w:rPr>
        <w:t xml:space="preserve">لظاهر الصحيح و الموثّق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المقاومة و الصراحة في الدلالة</w:t>
      </w:r>
      <w:r>
        <w:rPr>
          <w:rFonts w:eastAsia="Amiri" w:cs="Amiri" w:ascii="Amiri" w:hAnsi="Amiri"/>
          <w:color w:val="111111"/>
          <w:sz w:val="28"/>
          <w:szCs w:val="28"/>
          <w:rtl w:val="true"/>
          <w:lang w:bidi="ar-SA"/>
        </w:rPr>
        <w:t>.</w:t>
      </w:r>
      <w:bookmarkStart w:id="146" w:name="pg2479_11511"/>
    </w:p>
    <w:p>
      <w:pPr>
        <w:pStyle w:val="Heading5"/>
        <w:numPr>
          <w:ilvl w:val="4"/>
          <w:numId w:val="1"/>
        </w:numPr>
        <w:rPr/>
      </w:pPr>
      <w:bookmarkStart w:id="147" w:name="__RefHeading___Toc3731903_3804643083"/>
      <w:bookmarkStart w:id="148" w:name="_Toc57"/>
      <w:bookmarkEnd w:id="146"/>
      <w:bookmarkEnd w:id="147"/>
      <w:r>
        <w:rPr>
          <w:rtl w:val="true"/>
        </w:rPr>
        <w:t xml:space="preserve">فصل </w:t>
      </w:r>
      <w:r>
        <w:rPr>
          <w:rtl w:val="true"/>
        </w:rPr>
        <w:t>[</w:t>
      </w:r>
      <w:r>
        <w:rPr>
          <w:rtl w:val="true"/>
        </w:rPr>
        <w:t>نجاسة الخمر</w:t>
      </w:r>
      <w:r>
        <w:rPr>
          <w:rtl w:val="true"/>
        </w:rPr>
        <w:t>]</w:t>
      </w:r>
      <w:bookmarkEnd w:id="148"/>
    </w:p>
    <w:p>
      <w:pPr>
        <w:pStyle w:val="BookText"/>
        <w:rPr/>
      </w:pPr>
      <w:r>
        <w:rPr>
          <w:rFonts w:ascii="Amiri" w:hAnsi="Amiri" w:eastAsia="Amiri" w:cs="Amiri"/>
          <w:color w:val="111111"/>
          <w:sz w:val="28"/>
          <w:sz w:val="28"/>
          <w:szCs w:val="28"/>
          <w:rtl w:val="true"/>
          <w:lang w:bidi="ar-SA"/>
        </w:rPr>
        <w:t xml:space="preserve">الخمر نجس، وفاقاً للأكثر؛ لظاهر الآية </w:t>
      </w:r>
      <w:r>
        <w:rPr>
          <w:rStyle w:val="FootnoteAnchor"/>
          <w:rtl w:val="true"/>
        </w:rPr>
        <w:footnoteReference w:id="389"/>
      </w:r>
      <w:r>
        <w:rPr>
          <w:rFonts w:ascii="Amiri" w:hAnsi="Amiri" w:eastAsia="Amiri" w:cs="Amiri"/>
          <w:color w:val="111111"/>
          <w:sz w:val="28"/>
          <w:sz w:val="28"/>
          <w:szCs w:val="28"/>
          <w:rtl w:val="true"/>
          <w:lang w:bidi="ar-SA"/>
        </w:rPr>
        <w:t xml:space="preserve">، و صريح المستفيضة من الصحاح و الموثّقات و غيرها </w:t>
      </w:r>
      <w:r>
        <w:rPr>
          <w:rStyle w:val="FootnoteAnchor"/>
          <w:rtl w:val="true"/>
        </w:rPr>
        <w:footnoteReference w:id="390"/>
      </w:r>
      <w:r>
        <w:rPr>
          <w:rFonts w:ascii="Amiri" w:hAnsi="Amiri" w:eastAsia="Amiri" w:cs="Amiri"/>
          <w:color w:val="111111"/>
          <w:sz w:val="28"/>
          <w:sz w:val="28"/>
          <w:szCs w:val="28"/>
          <w:rtl w:val="true"/>
          <w:lang w:bidi="ar-SA"/>
        </w:rPr>
        <w:t>، و دعوىٰ الإجماع من مشاهير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للصدوق و الحسن و الجعفي </w:t>
      </w:r>
      <w:r>
        <w:rPr>
          <w:rStyle w:val="FootnoteAnchor"/>
          <w:rtl w:val="true"/>
        </w:rPr>
        <w:footnoteReference w:id="391"/>
      </w:r>
      <w:r>
        <w:rPr>
          <w:rFonts w:ascii="Amiri" w:hAnsi="Amiri" w:eastAsia="Amiri" w:cs="Amiri"/>
          <w:color w:val="111111"/>
          <w:sz w:val="28"/>
          <w:sz w:val="28"/>
          <w:szCs w:val="28"/>
          <w:rtl w:val="true"/>
          <w:lang w:bidi="ar-SA"/>
        </w:rPr>
        <w:t xml:space="preserve">للمستفيضة </w:t>
      </w:r>
      <w:r>
        <w:rPr>
          <w:rStyle w:val="FootnoteAnchor"/>
          <w:rtl w:val="true"/>
        </w:rPr>
        <w:footnoteReference w:id="392"/>
      </w:r>
      <w:r>
        <w:rPr>
          <w:rFonts w:ascii="Amiri" w:hAnsi="Amiri" w:eastAsia="Amiri" w:cs="Amiri"/>
          <w:color w:val="111111"/>
          <w:sz w:val="28"/>
          <w:sz w:val="28"/>
          <w:szCs w:val="28"/>
          <w:rtl w:val="true"/>
          <w:lang w:bidi="ar-SA"/>
        </w:rPr>
        <w:t>المعتضدة بالأصل و الاستصحاب و عموم طهارة الماء، و حملها على التقيّة ليس أولى من حمل الاولى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بالأولويّة؛ لأرجحيّة الاولى كثرةً و صحّةً و دلالةً، و ما يعضدها أقوى ممّا يعضد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الفقاع و كلّ مسكر كالخمر، بالإجماع، و استفاضة النصوص بكونهما خمراً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المعظم على نجاسة العصير إذا غلى و لم يذهب ثلثاه؛ لظهور الأخبار في كونه خمراً </w:t>
      </w:r>
      <w:r>
        <w:rPr>
          <w:rStyle w:val="FootnoteAnchor"/>
          <w:rtl w:val="true"/>
        </w:rPr>
        <w:footnoteReference w:id="394"/>
      </w:r>
      <w:r>
        <w:rPr>
          <w:rFonts w:ascii="Amiri" w:hAnsi="Amiri" w:eastAsia="Amiri" w:cs="Amiri"/>
          <w:color w:val="111111"/>
          <w:sz w:val="28"/>
          <w:sz w:val="28"/>
          <w:szCs w:val="28"/>
          <w:rtl w:val="true"/>
          <w:lang w:bidi="ar-SA"/>
        </w:rPr>
        <w:t xml:space="preserve">، خلافاً للحسن و العاملي و بعض الثالثة </w:t>
      </w:r>
      <w:r>
        <w:rPr>
          <w:rStyle w:val="FootnoteAnchor"/>
          <w:rtl w:val="true"/>
        </w:rPr>
        <w:footnoteReference w:id="395"/>
      </w:r>
      <w:r>
        <w:rPr>
          <w:rFonts w:ascii="Amiri" w:hAnsi="Amiri" w:eastAsia="Amiri" w:cs="Amiri"/>
          <w:color w:val="111111"/>
          <w:sz w:val="28"/>
          <w:sz w:val="28"/>
          <w:szCs w:val="28"/>
          <w:rtl w:val="true"/>
          <w:lang w:bidi="ar-SA"/>
        </w:rPr>
        <w:t>للأصل و الاستصحاب، و هو اجتهاد في مقابلة النصّ</w:t>
      </w:r>
      <w:r>
        <w:rPr>
          <w:rFonts w:eastAsia="Amiri" w:cs="Amiri" w:ascii="Amiri" w:hAnsi="Amiri"/>
          <w:color w:val="111111"/>
          <w:sz w:val="28"/>
          <w:szCs w:val="28"/>
          <w:rtl w:val="true"/>
          <w:lang w:bidi="ar-SA"/>
        </w:rPr>
        <w:t>.</w:t>
      </w:r>
      <w:bookmarkStart w:id="149" w:name="pg2479_11512"/>
    </w:p>
    <w:p>
      <w:pPr>
        <w:pStyle w:val="BookText"/>
        <w:rPr/>
      </w:pPr>
      <w:bookmarkEnd w:id="149"/>
      <w:r>
        <w:rPr>
          <w:rFonts w:ascii="Amiri" w:hAnsi="Amiri" w:eastAsia="Amiri" w:cs="Amiri"/>
          <w:color w:val="111111"/>
          <w:sz w:val="28"/>
          <w:sz w:val="28"/>
          <w:szCs w:val="28"/>
          <w:rtl w:val="true"/>
          <w:lang w:bidi="ar-SA"/>
        </w:rPr>
        <w:t>و يطهر إجماعاً بانقلابه خلّاً كالخمر؛ لاتّحاد الطريق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بزوال ثلثيه؛ للمستفيضة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يتبعه في الطهر الآلات و المزاول إجماعاً، كما في الخمر و النزح؛ لما مرّ و نفي الحرج، و ما يطرح فيه من الأجسام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انعكس التبعيّة في النجاسة؛ لعدم تعقّل الواسطة، و يعضده إطلاق النصوص، و ما مرّ من الأولويّة أو الاتّحاد، و عدم مصرّح بالخلاف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بين المائع و 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يطهر بصدق الدبسيّة و إن لم يذهب ثلثاه؛ للأصل و عموم طهره و حلّه، و به يخصّص الاستصحاب و عموم حرمته المستلزم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الاستلزام ممنوع، و تعليله بعدم قائل بالفصل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طهر عصير التمر و الزبيب و حلّه؛ للأصل و ظهور المطلق في العنبي، كما يأتي</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731905_3804643083"/>
      <w:bookmarkStart w:id="151" w:name="_Toc58"/>
      <w:bookmarkEnd w:id="150"/>
      <w:r>
        <w:rPr>
          <w:rtl w:val="true"/>
        </w:rPr>
        <w:t xml:space="preserve">فصل </w:t>
      </w:r>
      <w:r>
        <w:rPr>
          <w:rtl w:val="true"/>
        </w:rPr>
        <w:t>[</w:t>
      </w:r>
      <w:r>
        <w:rPr>
          <w:rtl w:val="true"/>
        </w:rPr>
        <w:t>حكم الكافر و توابعه</w:t>
      </w:r>
      <w:r>
        <w:rPr>
          <w:rtl w:val="true"/>
        </w:rPr>
        <w:t>]</w:t>
      </w:r>
      <w:bookmarkEnd w:id="151"/>
    </w:p>
    <w:p>
      <w:pPr>
        <w:pStyle w:val="BookText"/>
        <w:rPr/>
      </w:pPr>
      <w:r>
        <w:rPr>
          <w:rFonts w:ascii="Amiri" w:hAnsi="Amiri" w:eastAsia="Amiri" w:cs="Amiri"/>
          <w:color w:val="111111"/>
          <w:sz w:val="28"/>
          <w:sz w:val="28"/>
          <w:szCs w:val="28"/>
          <w:rtl w:val="true"/>
          <w:lang w:bidi="ar-SA"/>
        </w:rPr>
        <w:t xml:space="preserve">الكافر نجس؛ للآية </w:t>
      </w:r>
      <w:r>
        <w:rPr>
          <w:rStyle w:val="FootnoteAnchor"/>
          <w:rtl w:val="true"/>
        </w:rPr>
        <w:footnoteReference w:id="398"/>
      </w:r>
      <w:r>
        <w:rPr>
          <w:rFonts w:ascii="Amiri" w:hAnsi="Amiri" w:eastAsia="Amiri" w:cs="Amiri"/>
          <w:color w:val="111111"/>
          <w:sz w:val="28"/>
          <w:sz w:val="28"/>
          <w:szCs w:val="28"/>
          <w:rtl w:val="true"/>
          <w:lang w:bidi="ar-SA"/>
        </w:rPr>
        <w:t>و الإجماعين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جحد ضروريّاً للدين بالأصل أو الارتداد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أهل الكتاب، فينجسون وفاقاً للمشهور؛ لما ذكر، و للمستفيضة من</w:t>
      </w:r>
    </w:p>
    <w:p>
      <w:pPr>
        <w:pStyle w:val="BookText"/>
        <w:rPr/>
      </w:pPr>
      <w:r>
        <w:rPr>
          <w:rFonts w:ascii="Amiri" w:hAnsi="Amiri" w:eastAsia="Amiri" w:cs="Amiri"/>
          <w:color w:val="111111"/>
          <w:sz w:val="28"/>
          <w:sz w:val="28"/>
          <w:szCs w:val="28"/>
          <w:rtl w:val="true"/>
          <w:lang w:bidi="ar-SA"/>
        </w:rPr>
        <w:t xml:space="preserve">الصحاح و غيرها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لظاهر الأوّلين و بعض الثالثة </w:t>
      </w:r>
      <w:r>
        <w:rPr>
          <w:rStyle w:val="FootnoteAnchor"/>
          <w:rtl w:val="true"/>
        </w:rPr>
        <w:footnoteReference w:id="400"/>
      </w:r>
      <w:r>
        <w:rPr>
          <w:rFonts w:ascii="Amiri" w:hAnsi="Amiri" w:eastAsia="Amiri" w:cs="Amiri"/>
          <w:color w:val="111111"/>
          <w:sz w:val="28"/>
          <w:sz w:val="28"/>
          <w:szCs w:val="28"/>
          <w:rtl w:val="true"/>
          <w:lang w:bidi="ar-SA"/>
        </w:rPr>
        <w:t xml:space="preserve">للأصل و ظاهر الآية </w:t>
      </w:r>
      <w:r>
        <w:rPr>
          <w:rStyle w:val="FootnoteAnchor"/>
          <w:rtl w:val="true"/>
        </w:rPr>
        <w:footnoteReference w:id="401"/>
      </w:r>
      <w:r>
        <w:rPr>
          <w:rFonts w:ascii="Amiri" w:hAnsi="Amiri" w:eastAsia="Amiri" w:cs="Amiri"/>
          <w:color w:val="111111"/>
          <w:sz w:val="28"/>
          <w:sz w:val="28"/>
          <w:szCs w:val="28"/>
          <w:rtl w:val="true"/>
          <w:lang w:bidi="ar-SA"/>
        </w:rPr>
        <w:t xml:space="preserve">و المستفيضة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مندفع بما مرّ، و الطعام في الآية مخصّص بالحبوب؛ للمعتبرة </w:t>
      </w:r>
      <w:r>
        <w:rPr>
          <w:rStyle w:val="FootnoteAnchor"/>
          <w:rtl w:val="true"/>
        </w:rPr>
        <w:footnoteReference w:id="403"/>
      </w:r>
      <w:r>
        <w:rPr>
          <w:rFonts w:ascii="IRNazanin" w:hAnsi="IRNazanin" w:eastAsia="IRNazanin"/>
          <w:color w:val="111111"/>
          <w:sz w:val="28"/>
          <w:sz w:val="28"/>
          <w:szCs w:val="28"/>
          <w:rtl w:val="true"/>
          <w:lang w:bidi="fa-IR"/>
        </w:rPr>
        <w:t xml:space="preserve">، و الأخبار </w:t>
      </w:r>
      <w:r>
        <w:rPr>
          <w:rStyle w:val="FootnoteAnchor"/>
          <w:rtl w:val="true"/>
        </w:rPr>
        <w:footnoteReference w:id="404"/>
      </w:r>
      <w:r>
        <w:rPr>
          <w:rFonts w:ascii="Amiri" w:hAnsi="Amiri" w:eastAsia="Amiri" w:cs="Amiri"/>
          <w:color w:val="111111"/>
          <w:sz w:val="28"/>
          <w:sz w:val="28"/>
          <w:szCs w:val="28"/>
          <w:rtl w:val="true"/>
          <w:lang w:bidi="ar-SA"/>
        </w:rPr>
        <w:t>مع ضعف الدلالة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المجسّمة نجسة؛ لإنكارهم 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نجّس المجبّرة </w:t>
      </w:r>
      <w:r>
        <w:rPr>
          <w:rStyle w:val="FootnoteAnchor"/>
          <w:rtl w:val="true"/>
        </w:rPr>
        <w:footnoteReference w:id="405"/>
      </w:r>
      <w:r>
        <w:rPr>
          <w:rFonts w:ascii="Amiri" w:hAnsi="Amiri" w:eastAsia="Amiri" w:cs="Amiri"/>
          <w:color w:val="111111"/>
          <w:sz w:val="28"/>
          <w:sz w:val="28"/>
          <w:szCs w:val="28"/>
          <w:rtl w:val="true"/>
          <w:lang w:bidi="ar-SA"/>
        </w:rPr>
        <w:t>لبعض الظواهر، و خروجهم عنه بتعليق الكفر على إرادة اللّٰه، 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طهارة من خالفنا في الإمامة؛ للأصل، و عمل الحجج عليهم السّلام، و عموم طهر الماء و سائر ما يلاقونه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للسيّد و الحلّي </w:t>
      </w:r>
      <w:r>
        <w:rPr>
          <w:rStyle w:val="FootnoteAnchor"/>
          <w:rtl w:val="true"/>
        </w:rPr>
        <w:footnoteReference w:id="406"/>
      </w:r>
      <w:r>
        <w:rPr>
          <w:rFonts w:ascii="IRNazanin" w:hAnsi="IRNazanin" w:eastAsia="IRNazanin"/>
          <w:color w:val="111111"/>
          <w:sz w:val="28"/>
          <w:sz w:val="28"/>
          <w:szCs w:val="28"/>
          <w:rtl w:val="true"/>
          <w:lang w:bidi="fa-IR"/>
        </w:rPr>
        <w:t xml:space="preserve">لبعض الظواهر </w:t>
      </w:r>
      <w:r>
        <w:rPr>
          <w:rStyle w:val="FootnoteAnchor"/>
          <w:rtl w:val="true"/>
        </w:rPr>
        <w:footnoteReference w:id="407"/>
      </w:r>
      <w:r>
        <w:rPr>
          <w:rFonts w:ascii="Amiri" w:hAnsi="Amiri" w:eastAsia="Amiri" w:cs="Amiri"/>
          <w:color w:val="111111"/>
          <w:sz w:val="28"/>
          <w:sz w:val="28"/>
          <w:szCs w:val="28"/>
          <w:rtl w:val="true"/>
          <w:lang w:bidi="ar-SA"/>
        </w:rPr>
        <w:t>و إنكارهم ضرورة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بعدم الصراحة، و الثاني بالمنع، مع أنّه لا يثبت أزيد من الكفر الباطني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منهم تبعيّة الطفل و المجنون للأبوين، فإن ثبت الإجماع و إلّا</w:t>
      </w:r>
      <w:bookmarkStart w:id="152" w:name="pg2479_11514"/>
    </w:p>
    <w:p>
      <w:pPr>
        <w:pStyle w:val="BookText"/>
        <w:rPr/>
      </w:pPr>
      <w:bookmarkEnd w:id="152"/>
      <w:r>
        <w:rPr>
          <w:rFonts w:ascii="Amiri" w:hAnsi="Amiri" w:eastAsia="Amiri" w:cs="Amiri"/>
          <w:color w:val="111111"/>
          <w:sz w:val="28"/>
          <w:sz w:val="28"/>
          <w:szCs w:val="28"/>
          <w:rtl w:val="true"/>
          <w:lang w:bidi="ar-SA"/>
        </w:rPr>
        <w:t>فالحكم مشكل؛ للأصل، و 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تعليله بنجاسة أصليه كالمتولّد من الكلب و الخنزير عليل؛ لظهور الفرق، و الظاهر زوال التبعيّة بسبيه منفرداً؛ للأصل و نقل الإجماع </w:t>
      </w:r>
      <w:r>
        <w:rPr>
          <w:rStyle w:val="FootnoteAnchor"/>
          <w:rtl w:val="true"/>
        </w:rPr>
        <w:footnoteReference w:id="408"/>
      </w:r>
      <w:r>
        <w:rPr>
          <w:rFonts w:ascii="IRNazanin" w:hAnsi="IRNazanin" w:eastAsia="IRNazanin"/>
          <w:color w:val="111111"/>
          <w:sz w:val="28"/>
          <w:sz w:val="28"/>
          <w:szCs w:val="28"/>
          <w:rtl w:val="true"/>
          <w:lang w:bidi="fa-IR"/>
        </w:rPr>
        <w:t>، و بعض العمومات، لا معهما 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المحكوم بكفره و نجاسته خارج عن الإسلام؛ لعدم الواسطة، فعدّهم مثل الغلاة و المجسّمة من فرق الإسلام مسامحة، و مرادهم منه مجرّد إظهار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يد الكافر مع الاشتباه طاهر؛ للأصل و الإجماع و الظواهر</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3731907_3804643083"/>
      <w:bookmarkStart w:id="154" w:name="_Toc59"/>
      <w:bookmarkEnd w:id="153"/>
      <w:r>
        <w:rPr>
          <w:rtl w:val="true"/>
        </w:rPr>
        <w:t>[</w:t>
      </w:r>
      <w:r>
        <w:rPr>
          <w:rtl w:val="true"/>
        </w:rPr>
        <w:t>في أحكام متفرّقة</w:t>
      </w:r>
      <w:r>
        <w:rPr>
          <w:rtl w:val="true"/>
        </w:rPr>
        <w:t>]</w:t>
      </w:r>
      <w:bookmarkEnd w:id="154"/>
    </w:p>
    <w:p>
      <w:pPr>
        <w:pStyle w:val="BookText"/>
        <w:rPr/>
      </w:pPr>
      <w:r>
        <w:rPr>
          <w:rFonts w:ascii="Amiri" w:hAnsi="Amiri" w:eastAsia="Amiri" w:cs="Amiri"/>
          <w:color w:val="111111"/>
          <w:sz w:val="28"/>
          <w:sz w:val="28"/>
          <w:szCs w:val="28"/>
          <w:rtl w:val="true"/>
          <w:lang w:bidi="ar-SA"/>
        </w:rPr>
        <w:t xml:space="preserve">و الحقّ نجاسة عرق الإبل الجلّالة، وفاقاً للصدوق و الشيخين و القاضي </w:t>
      </w:r>
      <w:r>
        <w:rPr>
          <w:rStyle w:val="FootnoteAnchor"/>
          <w:rtl w:val="true"/>
        </w:rPr>
        <w:footnoteReference w:id="409"/>
      </w:r>
      <w:r>
        <w:rPr>
          <w:rFonts w:ascii="Amiri" w:hAnsi="Amiri" w:eastAsia="Amiri" w:cs="Amiri"/>
          <w:color w:val="111111"/>
          <w:sz w:val="28"/>
          <w:sz w:val="28"/>
          <w:szCs w:val="28"/>
          <w:rtl w:val="true"/>
          <w:lang w:bidi="ar-SA"/>
        </w:rPr>
        <w:t xml:space="preserve">للصحيح و الحسن </w:t>
      </w:r>
      <w:r>
        <w:rPr>
          <w:rStyle w:val="FootnoteAnchor"/>
          <w:rtl w:val="true"/>
        </w:rPr>
        <w:footnoteReference w:id="410"/>
      </w:r>
      <w:r>
        <w:rPr>
          <w:rFonts w:ascii="Amiri" w:hAnsi="Amiri" w:eastAsia="Amiri" w:cs="Amiri"/>
          <w:color w:val="111111"/>
          <w:sz w:val="28"/>
          <w:sz w:val="28"/>
          <w:szCs w:val="28"/>
          <w:rtl w:val="true"/>
          <w:lang w:bidi="ar-SA"/>
        </w:rPr>
        <w:t xml:space="preserve">، و دعوى الإجماع من العدلين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للحلبيّين </w:t>
      </w:r>
      <w:r>
        <w:rPr>
          <w:rStyle w:val="FootnoteAnchor"/>
          <w:rtl w:val="true"/>
        </w:rPr>
        <w:footnoteReference w:id="412"/>
      </w:r>
      <w:r>
        <w:rPr>
          <w:rFonts w:ascii="Amiri" w:hAnsi="Amiri" w:eastAsia="Amiri" w:cs="Amiri"/>
          <w:color w:val="111111"/>
          <w:sz w:val="28"/>
          <w:sz w:val="28"/>
          <w:szCs w:val="28"/>
          <w:rtl w:val="true"/>
          <w:lang w:bidi="ar-SA"/>
        </w:rPr>
        <w:t xml:space="preserve">و أكثر المتأخّرين؛ للأصل، و إطلاق الصحيح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مندفع بما مرّ، و الثاني ظاهر في غير الجلّالة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عرق الجنب من الحرام مطلقاً، وفاقاً للصدوقين و الشيخين </w:t>
      </w:r>
      <w:r>
        <w:rPr>
          <w:rStyle w:val="FootnoteAnchor"/>
          <w:rtl w:val="true"/>
        </w:rPr>
        <w:footnoteReference w:id="414"/>
      </w:r>
      <w:r>
        <w:rPr>
          <w:rFonts w:ascii="Amiri" w:hAnsi="Amiri" w:eastAsia="Amiri" w:cs="Amiri"/>
          <w:color w:val="111111"/>
          <w:sz w:val="28"/>
          <w:sz w:val="28"/>
          <w:szCs w:val="28"/>
          <w:rtl w:val="true"/>
          <w:lang w:bidi="ar-SA"/>
        </w:rPr>
        <w:t>و الإسكافي</w:t>
      </w:r>
    </w:p>
    <w:p>
      <w:pPr>
        <w:pStyle w:val="BookText"/>
        <w:rPr/>
      </w:pPr>
      <w:r>
        <w:rPr>
          <w:rFonts w:ascii="Amiri" w:hAnsi="Amiri" w:eastAsia="Amiri" w:cs="Amiri"/>
          <w:color w:val="111111"/>
          <w:sz w:val="28"/>
          <w:sz w:val="28"/>
          <w:szCs w:val="28"/>
          <w:rtl w:val="true"/>
          <w:lang w:bidi="ar-SA"/>
        </w:rPr>
        <w:t xml:space="preserve">و القاضي و بعض الثالثة </w:t>
      </w:r>
      <w:r>
        <w:rPr>
          <w:rStyle w:val="FootnoteAnchor"/>
          <w:rtl w:val="true"/>
        </w:rPr>
        <w:footnoteReference w:id="415"/>
      </w:r>
      <w:r>
        <w:rPr>
          <w:rFonts w:ascii="Amiri" w:hAnsi="Amiri" w:eastAsia="Amiri" w:cs="Amiri"/>
          <w:color w:val="111111"/>
          <w:sz w:val="28"/>
          <w:sz w:val="28"/>
          <w:szCs w:val="28"/>
          <w:rtl w:val="true"/>
          <w:lang w:bidi="ar-SA"/>
        </w:rPr>
        <w:t xml:space="preserve">للمستفيض من النصّ </w:t>
      </w:r>
      <w:r>
        <w:rPr>
          <w:rStyle w:val="FootnoteAnchor"/>
          <w:rtl w:val="true"/>
        </w:rPr>
        <w:footnoteReference w:id="416"/>
      </w:r>
      <w:r>
        <w:rPr>
          <w:rFonts w:ascii="IRNazanin" w:hAnsi="IRNazanin" w:eastAsia="IRNazanin"/>
          <w:color w:val="111111"/>
          <w:sz w:val="28"/>
          <w:sz w:val="28"/>
          <w:szCs w:val="28"/>
          <w:rtl w:val="true"/>
          <w:lang w:bidi="fa-IR"/>
        </w:rPr>
        <w:t xml:space="preserve">، و نقل الإجماع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للحلبيّين </w:t>
      </w:r>
      <w:r>
        <w:rPr>
          <w:rStyle w:val="FootnoteAnchor"/>
          <w:rtl w:val="true"/>
        </w:rPr>
        <w:footnoteReference w:id="418"/>
      </w:r>
      <w:r>
        <w:rPr>
          <w:rFonts w:ascii="Amiri" w:hAnsi="Amiri" w:eastAsia="Amiri" w:cs="Amiri"/>
          <w:color w:val="111111"/>
          <w:sz w:val="28"/>
          <w:sz w:val="28"/>
          <w:szCs w:val="28"/>
          <w:rtl w:val="true"/>
          <w:lang w:bidi="ar-SA"/>
        </w:rPr>
        <w:t xml:space="preserve">و أكثر الثانية؛ للأصل و إطلاق المستفيضة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المكافئ لازم، فكيف بالأقوىٰ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الصبيّة طاهر؛ للأصل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نجّسه الإسكافي </w:t>
      </w:r>
      <w:r>
        <w:rPr>
          <w:rStyle w:val="FootnoteAnchor"/>
          <w:rtl w:val="true"/>
        </w:rPr>
        <w:footnoteReference w:id="420"/>
      </w:r>
      <w:r>
        <w:rPr>
          <w:rFonts w:ascii="IRNazanin" w:hAnsi="IRNazanin" w:eastAsia="IRNazanin"/>
          <w:color w:val="111111"/>
          <w:sz w:val="28"/>
          <w:sz w:val="28"/>
          <w:szCs w:val="28"/>
          <w:rtl w:val="true"/>
          <w:lang w:bidi="fa-IR"/>
        </w:rPr>
        <w:t xml:space="preserve">للخبر </w:t>
      </w:r>
      <w:r>
        <w:rPr>
          <w:rStyle w:val="FootnoteAnchor"/>
          <w:rtl w:val="true"/>
        </w:rPr>
        <w:footnoteReference w:id="421"/>
      </w:r>
      <w:r>
        <w:rPr>
          <w:rFonts w:ascii="Amiri" w:hAnsi="Amiri" w:eastAsia="Amiri" w:cs="Amiri"/>
          <w:color w:val="111111"/>
          <w:sz w:val="28"/>
          <w:sz w:val="28"/>
          <w:szCs w:val="28"/>
          <w:rtl w:val="true"/>
          <w:lang w:bidi="ar-SA"/>
        </w:rPr>
        <w:t>، و أُجيب بحمله على الكراهة؛ لضعفه و 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طهارة الحديد؛ للأصل و الإجماع و الصحيحين </w:t>
      </w:r>
      <w:r>
        <w:rPr>
          <w:rStyle w:val="FootnoteAnchor"/>
          <w:rtl w:val="true"/>
        </w:rPr>
        <w:footnoteReference w:id="422"/>
      </w:r>
      <w:r>
        <w:rPr>
          <w:rFonts w:ascii="Amiri" w:hAnsi="Amiri" w:eastAsia="Amiri" w:cs="Amiri"/>
          <w:color w:val="111111"/>
          <w:sz w:val="28"/>
          <w:sz w:val="28"/>
          <w:szCs w:val="28"/>
          <w:rtl w:val="true"/>
          <w:lang w:bidi="ar-SA"/>
        </w:rPr>
        <w:t xml:space="preserve">، و يستحبّ التنزّه عنه؛ للموثّق </w:t>
      </w:r>
      <w:r>
        <w:rPr>
          <w:rStyle w:val="FootnoteAnchor"/>
          <w:rtl w:val="true"/>
        </w:rPr>
        <w:footnoteReference w:id="423"/>
      </w:r>
      <w:r>
        <w:rPr>
          <w:rFonts w:ascii="Amiri" w:hAnsi="Amiri" w:eastAsia="Amiri" w:cs="Amiri"/>
          <w:color w:val="111111"/>
          <w:sz w:val="28"/>
          <w:sz w:val="28"/>
          <w:szCs w:val="28"/>
          <w:rtl w:val="true"/>
          <w:lang w:bidi="ar-SA"/>
        </w:rPr>
        <w:t xml:space="preserve">و غيره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الجنين إن حلّ فيه الحياة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طين الطريق ما لم يعلم نجاسته؛ للأصل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المطر و مضىٰ عليه ثلاثة أيّام استحبّ التنزّه عنه؛ للمرسل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155" w:name="pg2479_11516"/>
    </w:p>
    <w:p>
      <w:pPr>
        <w:pStyle w:val="Heading4"/>
        <w:numPr>
          <w:ilvl w:val="3"/>
          <w:numId w:val="1"/>
        </w:numPr>
        <w:rPr/>
      </w:pPr>
      <w:bookmarkStart w:id="156" w:name="__RefHeading___Toc3731909_3804643083"/>
      <w:bookmarkStart w:id="157" w:name="_Toc60"/>
      <w:bookmarkEnd w:id="155"/>
      <w:bookmarkEnd w:id="156"/>
      <w:r>
        <w:rPr>
          <w:rtl w:val="true"/>
        </w:rPr>
        <w:t>بحث الاجتناب عنها في الصلاة و غيرها</w:t>
      </w:r>
      <w:bookmarkEnd w:id="157"/>
    </w:p>
    <w:p>
      <w:pPr>
        <w:pStyle w:val="Heading5"/>
        <w:numPr>
          <w:ilvl w:val="4"/>
          <w:numId w:val="1"/>
        </w:numPr>
        <w:rPr/>
      </w:pPr>
      <w:bookmarkStart w:id="158" w:name="__RefHeading___Toc3731911_3804643083"/>
      <w:bookmarkStart w:id="159" w:name="_Toc61"/>
      <w:bookmarkEnd w:id="158"/>
      <w:r>
        <w:rPr>
          <w:rtl w:val="true"/>
        </w:rPr>
        <w:t xml:space="preserve">فصل </w:t>
      </w:r>
      <w:r>
        <w:rPr>
          <w:rtl w:val="true"/>
        </w:rPr>
        <w:t>[</w:t>
      </w:r>
      <w:r>
        <w:rPr>
          <w:rtl w:val="true"/>
        </w:rPr>
        <w:t>موارد وجوب إزالة النجاسة</w:t>
      </w:r>
      <w:r>
        <w:rPr>
          <w:rtl w:val="true"/>
        </w:rPr>
        <w:t>]</w:t>
      </w:r>
      <w:bookmarkEnd w:id="159"/>
    </w:p>
    <w:p>
      <w:pPr>
        <w:pStyle w:val="BookText"/>
        <w:rPr/>
      </w:pPr>
      <w:r>
        <w:rPr>
          <w:rFonts w:ascii="Amiri" w:hAnsi="Amiri" w:eastAsia="Amiri" w:cs="Amiri"/>
          <w:color w:val="111111"/>
          <w:sz w:val="28"/>
          <w:sz w:val="28"/>
          <w:szCs w:val="28"/>
          <w:rtl w:val="true"/>
          <w:lang w:bidi="ar-SA"/>
        </w:rPr>
        <w:t>يجب إزالة كلّ نجاسة عدا ما استثني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الصلاة، بالإجماعين، و المستفيضة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الطواف، عند المعظم؛ للنبويّ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 للمندوب منهما، بل يستحبّ؛ إذ وجوب الشرط بدون المشروط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المصرّح بالوجوب أراد به الشرطي دون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لدخول المساجد، بالإجماع، و قوله تعالىٰ فَلٰا يَقْرَبُوا الْمَسْجِدَ الْحَرٰامَ </w:t>
      </w:r>
      <w:r>
        <w:rPr>
          <w:rStyle w:val="FootnoteAnchor"/>
          <w:rtl w:val="true"/>
        </w:rPr>
        <w:footnoteReference w:id="428"/>
      </w:r>
      <w:r>
        <w:rPr>
          <w:rFonts w:ascii="Amiri" w:hAnsi="Amiri" w:eastAsia="Amiri" w:cs="Amiri"/>
          <w:color w:val="111111"/>
          <w:sz w:val="28"/>
          <w:sz w:val="28"/>
          <w:szCs w:val="28"/>
          <w:rtl w:val="true"/>
          <w:lang w:bidi="ar-SA"/>
        </w:rPr>
        <w:t>، و الترتّب يفيد العلّية، و لا دخل للخصوصيّة، فيثبت العموم بتنقيح المناط، و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الأمر بتعاهد النعل عند دخولها، و جعل المطاهر على أبوابها، و انعقاد الإجماع على منع الكفّار عنها، و ما ورد في منع الصبي و المجنون </w:t>
      </w:r>
      <w:r>
        <w:rPr>
          <w:rStyle w:val="FootnoteAnchor"/>
          <w:rtl w:val="true"/>
        </w:rPr>
        <w:footnoteReference w:id="430"/>
      </w:r>
      <w:r>
        <w:rPr>
          <w:rFonts w:ascii="IRNazanin" w:hAnsi="IRNazanin" w:eastAsia="IRNazanin"/>
          <w:color w:val="111111"/>
          <w:sz w:val="28"/>
          <w:sz w:val="28"/>
          <w:szCs w:val="28"/>
          <w:rtl w:val="true"/>
          <w:lang w:bidi="fa-IR"/>
        </w:rPr>
        <w:t>و الجنب</w:t>
      </w:r>
    </w:p>
    <w:p>
      <w:pPr>
        <w:pStyle w:val="BookText"/>
        <w:rPr/>
      </w:pPr>
      <w:r>
        <w:rPr>
          <w:rFonts w:ascii="IRNazanin" w:hAnsi="IRNazanin" w:eastAsia="IRNazanin"/>
          <w:color w:val="111111"/>
          <w:sz w:val="28"/>
          <w:sz w:val="28"/>
          <w:szCs w:val="28"/>
          <w:rtl w:val="true"/>
          <w:lang w:bidi="fa-IR"/>
        </w:rPr>
        <w:t xml:space="preserve">و الحائض عنها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الآية و الخبر يشمل غير المتعدّية، وفاقاً للحليّين </w:t>
      </w:r>
      <w:r>
        <w:rPr>
          <w:rStyle w:val="FootnoteAnchor"/>
          <w:rtl w:val="true"/>
        </w:rPr>
        <w:footnoteReference w:id="432"/>
      </w:r>
      <w:r>
        <w:rPr>
          <w:rFonts w:ascii="Amiri" w:hAnsi="Amiri" w:eastAsia="Amiri" w:cs="Amiri"/>
          <w:color w:val="111111"/>
          <w:sz w:val="28"/>
          <w:sz w:val="28"/>
          <w:szCs w:val="28"/>
          <w:rtl w:val="true"/>
          <w:lang w:bidi="ar-SA"/>
        </w:rPr>
        <w:t xml:space="preserve">و الأكثر، و يعضده دعوى الإجماع من الحلّي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للشهيدين </w:t>
      </w:r>
      <w:r>
        <w:rPr>
          <w:rStyle w:val="FootnoteAnchor"/>
          <w:rtl w:val="true"/>
        </w:rPr>
        <w:footnoteReference w:id="434"/>
      </w:r>
      <w:r>
        <w:rPr>
          <w:rFonts w:ascii="IRNazanin" w:hAnsi="IRNazanin" w:eastAsia="IRNazanin"/>
          <w:color w:val="111111"/>
          <w:sz w:val="28"/>
          <w:sz w:val="28"/>
          <w:szCs w:val="28"/>
          <w:rtl w:val="true"/>
          <w:lang w:bidi="fa-IR"/>
        </w:rPr>
        <w:t xml:space="preserve">و بعض من تأخّر </w:t>
      </w:r>
      <w:r>
        <w:rPr>
          <w:rStyle w:val="FootnoteAnchor"/>
          <w:rtl w:val="true"/>
        </w:rPr>
        <w:footnoteReference w:id="435"/>
      </w:r>
      <w:r>
        <w:rPr>
          <w:rFonts w:ascii="IRNazanin" w:hAnsi="IRNazanin" w:eastAsia="IRNazanin"/>
          <w:color w:val="111111"/>
          <w:sz w:val="28"/>
          <w:sz w:val="28"/>
          <w:szCs w:val="28"/>
          <w:rtl w:val="true"/>
          <w:lang w:bidi="fa-IR"/>
        </w:rPr>
        <w:t>لوجوه ضعفها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إلحاق المصاحف و الضرائح المعصوميّة بالمساجد في وجوب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قدرتي </w:t>
      </w:r>
      <w:r>
        <w:rPr>
          <w:rStyle w:val="FootnoteAnchor"/>
          <w:rtl w:val="true"/>
        </w:rPr>
        <w:footnoteReference w:id="436"/>
      </w:r>
      <w:r>
        <w:rPr>
          <w:rFonts w:ascii="Amiri" w:hAnsi="Amiri" w:eastAsia="Amiri" w:cs="Amiri"/>
          <w:color w:val="111111"/>
          <w:sz w:val="28"/>
          <w:sz w:val="28"/>
          <w:szCs w:val="28"/>
          <w:rtl w:val="true"/>
          <w:lang w:bidi="ar-SA"/>
        </w:rPr>
        <w:t>كفائي؛ للإجماع، و عموم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أخلّ بالإزالة و صلّى بطلت صلاته مع السعة؛ إذ الأمر بالمضيّق يستلزم النهي عن ضدّه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 الضيق؛ إذ اللازم عند تضيّق المأمور و ضدّه الترجيح أو التخيير، و الصلاة أرجح؛ لكونها أهم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إزالتها عمّا يؤكل و يشرب </w:t>
      </w:r>
      <w:r>
        <w:rPr>
          <w:rStyle w:val="FootnoteAnchor"/>
          <w:rtl w:val="true"/>
        </w:rPr>
        <w:footnoteReference w:id="437"/>
      </w:r>
      <w:r>
        <w:rPr>
          <w:rFonts w:ascii="Amiri" w:hAnsi="Amiri" w:eastAsia="Amiri" w:cs="Amiri"/>
          <w:color w:val="111111"/>
          <w:sz w:val="28"/>
          <w:sz w:val="28"/>
          <w:szCs w:val="28"/>
          <w:rtl w:val="true"/>
          <w:lang w:bidi="ar-SA"/>
        </w:rPr>
        <w:t xml:space="preserve">و يتطهّر به </w:t>
      </w:r>
      <w:r>
        <w:rPr>
          <w:rStyle w:val="FootnoteAnchor"/>
          <w:rtl w:val="true"/>
        </w:rPr>
        <w:footnoteReference w:id="438"/>
      </w:r>
      <w:r>
        <w:rPr>
          <w:rFonts w:ascii="Amiri" w:hAnsi="Amiri" w:eastAsia="Amiri" w:cs="Amiri"/>
          <w:color w:val="111111"/>
          <w:sz w:val="28"/>
          <w:sz w:val="28"/>
          <w:szCs w:val="28"/>
          <w:rtl w:val="true"/>
          <w:lang w:bidi="ar-SA"/>
        </w:rPr>
        <w:t xml:space="preserve">و يسجد عليه بالجبهة، بالنصّ </w:t>
      </w:r>
      <w:r>
        <w:rPr>
          <w:rStyle w:val="FootnoteAnchor"/>
          <w:rtl w:val="true"/>
        </w:rPr>
        <w:footnoteReference w:id="439"/>
      </w:r>
      <w:r>
        <w:rPr>
          <w:rFonts w:ascii="Amiri" w:hAnsi="Amiri" w:eastAsia="Amiri" w:cs="Amiri"/>
          <w:color w:val="111111"/>
          <w:sz w:val="28"/>
          <w:sz w:val="28"/>
          <w:szCs w:val="28"/>
          <w:rtl w:val="true"/>
          <w:lang w:bidi="ar-SA"/>
        </w:rPr>
        <w:t>و الإجماع، لا بغيرها من السبعة و لا عن المصلّي بأسره ما لم يتعدّ، على</w:t>
      </w:r>
      <w:bookmarkStart w:id="160" w:name="pg2479_11518"/>
    </w:p>
    <w:p>
      <w:pPr>
        <w:pStyle w:val="BookText"/>
        <w:rPr/>
      </w:pPr>
      <w:bookmarkEnd w:id="160"/>
      <w:r>
        <w:rPr>
          <w:rFonts w:ascii="Amiri" w:hAnsi="Amiri" w:eastAsia="Amiri" w:cs="Amiri"/>
          <w:color w:val="111111"/>
          <w:sz w:val="28"/>
          <w:sz w:val="28"/>
          <w:szCs w:val="28"/>
          <w:rtl w:val="true"/>
          <w:lang w:bidi="ar-SA"/>
        </w:rPr>
        <w:t>الأصحّ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للحلبي في الأوّل </w:t>
      </w:r>
      <w:r>
        <w:rPr>
          <w:rStyle w:val="FootnoteAnchor"/>
          <w:rtl w:val="true"/>
        </w:rPr>
        <w:footnoteReference w:id="440"/>
      </w:r>
      <w:r>
        <w:rPr>
          <w:rFonts w:ascii="Amiri" w:hAnsi="Amiri" w:eastAsia="Amiri" w:cs="Amiri"/>
          <w:color w:val="111111"/>
          <w:sz w:val="28"/>
          <w:sz w:val="28"/>
          <w:szCs w:val="28"/>
          <w:rtl w:val="true"/>
          <w:lang w:bidi="ar-SA"/>
        </w:rPr>
        <w:t xml:space="preserve">، و للمرتضى في الثاني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قليل كلّ نجس ككثيره في أصل النجاسة، وفاقاً للمعظم؛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للصدوقين فطهّرا ما دون الحمّصة من الدم غير الحيض </w:t>
      </w:r>
      <w:r>
        <w:rPr>
          <w:rStyle w:val="FootnoteAnchor"/>
          <w:rtl w:val="true"/>
        </w:rPr>
        <w:footnoteReference w:id="442"/>
      </w:r>
      <w:r>
        <w:rPr>
          <w:rFonts w:ascii="Amiri" w:hAnsi="Amiri" w:eastAsia="Amiri" w:cs="Amiri"/>
          <w:color w:val="111111"/>
          <w:sz w:val="28"/>
          <w:sz w:val="28"/>
          <w:szCs w:val="28"/>
          <w:rtl w:val="true"/>
          <w:lang w:bidi="ar-SA"/>
        </w:rPr>
        <w:t xml:space="preserve">للخبرين </w:t>
      </w:r>
      <w:r>
        <w:rPr>
          <w:rStyle w:val="FootnoteAnchor"/>
          <w:rtl w:val="true"/>
        </w:rPr>
        <w:footnoteReference w:id="443"/>
      </w:r>
      <w:r>
        <w:rPr>
          <w:rFonts w:ascii="Amiri" w:hAnsi="Amiri" w:eastAsia="Amiri" w:cs="Amiri"/>
          <w:color w:val="111111"/>
          <w:sz w:val="28"/>
          <w:sz w:val="28"/>
          <w:szCs w:val="28"/>
          <w:rtl w:val="true"/>
          <w:lang w:bidi="ar-SA"/>
        </w:rPr>
        <w:t>، و لا يفيدان أزيد من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للسيّد، فطهّر ما يرشّ من البول كرؤوس الإبر </w:t>
      </w:r>
      <w:r>
        <w:rPr>
          <w:rStyle w:val="FootnoteAnchor"/>
          <w:rtl w:val="true"/>
        </w:rPr>
        <w:footnoteReference w:id="444"/>
      </w:r>
      <w:r>
        <w:rPr>
          <w:rFonts w:ascii="Amiri" w:hAnsi="Amiri" w:eastAsia="Amiri" w:cs="Amiri"/>
          <w:color w:val="111111"/>
          <w:sz w:val="28"/>
          <w:sz w:val="28"/>
          <w:szCs w:val="28"/>
          <w:rtl w:val="true"/>
          <w:lang w:bidi="ar-SA"/>
        </w:rPr>
        <w:t xml:space="preserve">للصحيحين </w:t>
      </w:r>
      <w:r>
        <w:rPr>
          <w:rStyle w:val="FootnoteAnchor"/>
          <w:rtl w:val="true"/>
        </w:rPr>
        <w:footnoteReference w:id="445"/>
      </w:r>
      <w:r>
        <w:rPr>
          <w:rFonts w:ascii="Amiri" w:hAnsi="Amiri" w:eastAsia="Amiri" w:cs="Amiri"/>
          <w:color w:val="111111"/>
          <w:sz w:val="28"/>
          <w:sz w:val="28"/>
          <w:szCs w:val="28"/>
          <w:rtl w:val="true"/>
          <w:lang w:bidi="ar-SA"/>
        </w:rPr>
        <w:t xml:space="preserve">، و لا دلالة لهما و لا مقاومة للعمومات، و خصوص المكاتبة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3731913_3804643083"/>
      <w:bookmarkStart w:id="162" w:name="_Toc62"/>
      <w:bookmarkEnd w:id="161"/>
      <w:r>
        <w:rPr>
          <w:rtl w:val="true"/>
        </w:rPr>
        <w:t xml:space="preserve">فصل </w:t>
      </w:r>
      <w:r>
        <w:rPr>
          <w:rtl w:val="true"/>
        </w:rPr>
        <w:t>[</w:t>
      </w:r>
      <w:r>
        <w:rPr>
          <w:rtl w:val="true"/>
        </w:rPr>
        <w:t>في اشتباه النجس بالطاهر</w:t>
      </w:r>
      <w:r>
        <w:rPr>
          <w:rtl w:val="true"/>
        </w:rPr>
        <w:t>]</w:t>
      </w:r>
      <w:bookmarkEnd w:id="162"/>
    </w:p>
    <w:p>
      <w:pPr>
        <w:pStyle w:val="BookText"/>
        <w:rPr/>
      </w:pPr>
      <w:r>
        <w:rPr>
          <w:rFonts w:ascii="Amiri" w:hAnsi="Amiri" w:eastAsia="Amiri" w:cs="Amiri"/>
          <w:color w:val="111111"/>
          <w:sz w:val="28"/>
          <w:sz w:val="28"/>
          <w:szCs w:val="28"/>
          <w:rtl w:val="true"/>
          <w:lang w:bidi="ar-SA"/>
        </w:rPr>
        <w:t>النجس إن علم بعينه غسل، و إن اشتبه فالحقّ جواز الاستعمال ما لم يقطع باستعمال النجس، و اللازم منه اجتناب فرد أو غسله، إلّا فيما ثبت الاجتناب عن الجميع بنصّ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تفرقة الأكثر بين الشبهتين باطلة، و حجّتهم عليها واهية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استثني كالنجس في وجوب الاجتناب مطلقاً؛ للاستصحاب</w:t>
      </w:r>
      <w:r>
        <w:rPr>
          <w:rFonts w:eastAsia="Amiri" w:cs="Amiri" w:ascii="Amiri" w:hAnsi="Amiri"/>
          <w:color w:val="111111"/>
          <w:sz w:val="28"/>
          <w:szCs w:val="28"/>
          <w:rtl w:val="true"/>
          <w:lang w:bidi="ar-SA"/>
        </w:rPr>
        <w:t>.</w:t>
      </w:r>
      <w:bookmarkStart w:id="163" w:name="pg2479_11519"/>
    </w:p>
    <w:p>
      <w:pPr>
        <w:pStyle w:val="Heading5"/>
        <w:numPr>
          <w:ilvl w:val="4"/>
          <w:numId w:val="1"/>
        </w:numPr>
        <w:rPr/>
      </w:pPr>
      <w:bookmarkStart w:id="164" w:name="__RefHeading___Toc3731915_3804643083"/>
      <w:bookmarkStart w:id="165" w:name="_Toc63"/>
      <w:bookmarkEnd w:id="163"/>
      <w:bookmarkEnd w:id="164"/>
      <w:r>
        <w:rPr>
          <w:rtl w:val="true"/>
        </w:rPr>
        <w:t xml:space="preserve">فصل </w:t>
      </w:r>
      <w:r>
        <w:rPr>
          <w:rtl w:val="true"/>
        </w:rPr>
        <w:t>[</w:t>
      </w:r>
      <w:r>
        <w:rPr>
          <w:rtl w:val="true"/>
        </w:rPr>
        <w:t>العفو عن دم الجرح</w:t>
      </w:r>
      <w:r>
        <w:rPr>
          <w:rtl w:val="true"/>
        </w:rPr>
        <w:t>]</w:t>
      </w:r>
      <w:bookmarkEnd w:id="165"/>
    </w:p>
    <w:p>
      <w:pPr>
        <w:pStyle w:val="BookText"/>
        <w:rPr/>
      </w:pPr>
      <w:r>
        <w:rPr>
          <w:rFonts w:ascii="Amiri" w:hAnsi="Amiri" w:eastAsia="Amiri" w:cs="Amiri"/>
          <w:color w:val="111111"/>
          <w:sz w:val="28"/>
          <w:sz w:val="28"/>
          <w:szCs w:val="28"/>
          <w:rtl w:val="true"/>
          <w:lang w:bidi="ar-SA"/>
        </w:rPr>
        <w:t xml:space="preserve">مجمل العفو عن دم الجرح مجمع عليه، و الصحاح و غيرها </w:t>
      </w:r>
      <w:r>
        <w:rPr>
          <w:rStyle w:val="FootnoteAnchor"/>
          <w:rtl w:val="true"/>
        </w:rPr>
        <w:footnoteReference w:id="447"/>
      </w:r>
      <w:r>
        <w:rPr>
          <w:rFonts w:ascii="Amiri" w:hAnsi="Amiri" w:eastAsia="Amiri" w:cs="Amiri"/>
          <w:color w:val="111111"/>
          <w:sz w:val="28"/>
          <w:sz w:val="28"/>
          <w:szCs w:val="28"/>
          <w:rtl w:val="true"/>
          <w:lang w:bidi="ar-SA"/>
        </w:rPr>
        <w:t>به مصرّحة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ثبوته مطلقاً إلى البرء، وفاقاً للصدوق و الثانيين </w:t>
      </w:r>
      <w:r>
        <w:rPr>
          <w:rStyle w:val="FootnoteAnchor"/>
          <w:rtl w:val="true"/>
        </w:rPr>
        <w:footnoteReference w:id="448"/>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مع دوام السيلان،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Style w:val="FootnoteAnchor"/>
          <w:rtl w:val="true"/>
        </w:rPr>
        <w:footnoteReference w:id="449"/>
      </w:r>
      <w:r>
        <w:rPr>
          <w:rFonts w:ascii="Amiri" w:hAnsi="Amiri" w:eastAsia="Amiri" w:cs="Amiri"/>
          <w:color w:val="111111"/>
          <w:sz w:val="28"/>
          <w:sz w:val="28"/>
          <w:szCs w:val="28"/>
          <w:rtl w:val="true"/>
          <w:lang w:bidi="ar-SA"/>
        </w:rPr>
        <w:t xml:space="preserve">و الفاضل في بعض كتبه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معه أو فترات لا تتّسع أداء الفريضة،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مع مشقّة الإزالة،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معها و عدم الانقطاع،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اعتبار لزوم الجرح في العفو كالشيخ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راجع إلى المختار، لا إلى الثاني، فأقوال الفاضل أربعة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الشيخ </w:t>
      </w:r>
      <w:r>
        <w:rPr>
          <w:rStyle w:val="FootnoteAnchor"/>
          <w:rtl w:val="true"/>
        </w:rPr>
        <w:footnoteReference w:id="455"/>
      </w:r>
      <w:r>
        <w:rPr>
          <w:rFonts w:ascii="Amiri" w:hAnsi="Amiri" w:eastAsia="Amiri" w:cs="Amiri"/>
          <w:color w:val="111111"/>
          <w:sz w:val="28"/>
          <w:sz w:val="28"/>
          <w:szCs w:val="28"/>
          <w:rtl w:val="true"/>
          <w:lang w:bidi="ar-SA"/>
        </w:rPr>
        <w:t xml:space="preserve">، و دلالة الأخبار </w:t>
      </w:r>
      <w:r>
        <w:rPr>
          <w:rStyle w:val="FootnoteAnchor"/>
          <w:rtl w:val="true"/>
        </w:rPr>
        <w:footnoteReference w:id="456"/>
      </w:r>
      <w:r>
        <w:rPr>
          <w:rFonts w:ascii="Amiri" w:hAnsi="Amiri" w:eastAsia="Amiri" w:cs="Amiri"/>
          <w:color w:val="111111"/>
          <w:sz w:val="28"/>
          <w:sz w:val="28"/>
          <w:szCs w:val="28"/>
          <w:rtl w:val="true"/>
          <w:lang w:bidi="ar-SA"/>
        </w:rPr>
        <w:t>عموماً أو خصوصاً،</w:t>
      </w:r>
      <w:bookmarkStart w:id="166" w:name="pg2479_11520"/>
    </w:p>
    <w:p>
      <w:pPr>
        <w:pStyle w:val="BookText"/>
        <w:rPr/>
      </w:pPr>
      <w:bookmarkEnd w:id="166"/>
      <w:r>
        <w:rPr>
          <w:rFonts w:ascii="IRNazanin" w:hAnsi="IRNazanin" w:eastAsia="IRNazanin"/>
          <w:color w:val="111111"/>
          <w:sz w:val="28"/>
          <w:sz w:val="28"/>
          <w:szCs w:val="28"/>
          <w:rtl w:val="true"/>
          <w:lang w:bidi="fa-IR"/>
        </w:rPr>
        <w:t>بالمنطوق أو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الرخصة على عذر، و هو عند 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العصب و التجفيف و إبدال الثوب؛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غسله كلّ يوم مرّة؛ للمضمر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تعدّيه عن المحلّ كملاقاته نجاسة أُخرى يرفع الرخصة، و وجهه ظاهر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731917_3804643083"/>
      <w:bookmarkStart w:id="168" w:name="_Toc64"/>
      <w:bookmarkEnd w:id="167"/>
      <w:r>
        <w:rPr>
          <w:rtl w:val="true"/>
        </w:rPr>
        <w:t xml:space="preserve">فصل </w:t>
      </w:r>
      <w:r>
        <w:rPr>
          <w:rtl w:val="true"/>
        </w:rPr>
        <w:t>[</w:t>
      </w:r>
      <w:r>
        <w:rPr>
          <w:rtl w:val="true"/>
        </w:rPr>
        <w:t>العفو عمّا دون الدرهم</w:t>
      </w:r>
      <w:r>
        <w:rPr>
          <w:rtl w:val="true"/>
        </w:rPr>
        <w:t>]</w:t>
      </w:r>
      <w:bookmarkEnd w:id="168"/>
    </w:p>
    <w:p>
      <w:pPr>
        <w:pStyle w:val="BookText"/>
        <w:rPr/>
      </w:pPr>
      <w:r>
        <w:rPr>
          <w:rFonts w:ascii="Amiri" w:hAnsi="Amiri" w:eastAsia="Amiri" w:cs="Amiri"/>
          <w:color w:val="111111"/>
          <w:sz w:val="28"/>
          <w:sz w:val="28"/>
          <w:szCs w:val="28"/>
          <w:rtl w:val="true"/>
          <w:lang w:bidi="ar-SA"/>
        </w:rPr>
        <w:t xml:space="preserve">ما دون الدرهم من الدم معفوّ بالإجماعين، و المستفيضة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مورد النصّ هو الثوب، و ألحقوا به البدن؛ لاشتراكهما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عفو في الزائد عنه إجماعاً؛ للعمومات، و خصوص المستفيضة </w:t>
      </w:r>
      <w:r>
        <w:rPr>
          <w:rStyle w:val="FootnoteAnchor"/>
          <w:rtl w:val="true"/>
        </w:rPr>
        <w:footnoteReference w:id="459"/>
      </w:r>
      <w:r>
        <w:rPr>
          <w:rFonts w:ascii="Amiri" w:hAnsi="Amiri" w:eastAsia="Amiri" w:cs="Amiri"/>
          <w:color w:val="111111"/>
          <w:sz w:val="28"/>
          <w:sz w:val="28"/>
          <w:szCs w:val="28"/>
          <w:rtl w:val="true"/>
          <w:lang w:bidi="ar-SA"/>
        </w:rPr>
        <w:t>، و لا في قدره وفاقاً لغير السيّد و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من العام و الخاصّ</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460"/>
      </w:r>
      <w:r>
        <w:rPr>
          <w:rFonts w:ascii="Amiri" w:hAnsi="Amiri" w:eastAsia="Amiri" w:cs="Amiri"/>
          <w:color w:val="111111"/>
          <w:sz w:val="28"/>
          <w:sz w:val="28"/>
          <w:szCs w:val="28"/>
          <w:rtl w:val="true"/>
          <w:lang w:bidi="ar-SA"/>
        </w:rPr>
        <w:t xml:space="preserve">، و هو مضمر نادر، و أحد مفهومي الخبر </w:t>
      </w:r>
      <w:r>
        <w:rPr>
          <w:rStyle w:val="FootnoteAnchor"/>
          <w:rtl w:val="true"/>
        </w:rPr>
        <w:footnoteReference w:id="461"/>
      </w:r>
      <w:r>
        <w:rPr>
          <w:rFonts w:ascii="IRNazanin" w:hAnsi="IRNazanin" w:eastAsia="IRNazanin"/>
          <w:color w:val="111111"/>
          <w:sz w:val="28"/>
          <w:sz w:val="28"/>
          <w:szCs w:val="28"/>
          <w:rtl w:val="true"/>
          <w:lang w:bidi="fa-IR"/>
        </w:rPr>
        <w:t>، و هو ساقط</w:t>
      </w:r>
    </w:p>
    <w:p>
      <w:pPr>
        <w:pStyle w:val="BookText"/>
        <w:rPr/>
      </w:pPr>
      <w:r>
        <w:rPr>
          <w:rFonts w:ascii="IRNazanin" w:hAnsi="IRNazanin" w:eastAsia="IRNazanin"/>
          <w:color w:val="111111"/>
          <w:sz w:val="28"/>
          <w:sz w:val="28"/>
          <w:szCs w:val="28"/>
          <w:rtl w:val="true"/>
          <w:lang w:bidi="fa-IR"/>
        </w:rPr>
        <w:t xml:space="preserve">بالآخر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المشهور أنّ الدرهم هو الوافي البغلي، و سعته كأخمص الراحة، و وزنه درهم و ثلث، أي ثمانية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تقديره أقوال أُخر </w:t>
      </w:r>
      <w:r>
        <w:rPr>
          <w:rStyle w:val="FootnoteAnchor"/>
          <w:rtl w:val="true"/>
        </w:rPr>
        <w:footnoteReference w:id="463"/>
      </w:r>
      <w:r>
        <w:rPr>
          <w:rFonts w:ascii="Amiri" w:hAnsi="Amiri" w:eastAsia="Amiri" w:cs="Amiri"/>
          <w:color w:val="111111"/>
          <w:sz w:val="28"/>
          <w:sz w:val="28"/>
          <w:szCs w:val="28"/>
          <w:rtl w:val="true"/>
          <w:lang w:bidi="ar-SA"/>
        </w:rPr>
        <w:t>بين مردود و راجع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الجميع في المتفرّق كالاجتماع، 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مع التفاحش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الدرهم في النصوص </w:t>
      </w:r>
      <w:r>
        <w:rPr>
          <w:rStyle w:val="FootnoteAnchor"/>
          <w:rtl w:val="true"/>
        </w:rPr>
        <w:footnoteReference w:id="466"/>
      </w:r>
      <w:r>
        <w:rPr>
          <w:rFonts w:ascii="Amiri" w:hAnsi="Amiri" w:eastAsia="Amiri" w:cs="Amiri"/>
          <w:color w:val="111111"/>
          <w:sz w:val="28"/>
          <w:sz w:val="28"/>
          <w:szCs w:val="28"/>
          <w:rtl w:val="true"/>
          <w:lang w:bidi="ar-SA"/>
        </w:rPr>
        <w:t>، و دعوىٰ انصرافه إلى المجتمع ممنوعة، و عدم تعقّل الفرق، و إيجابه العفو و إن استغرق الثوب و البدن إذا فرض النقص و الفصل بما لا ينقسم حسّا، و البراءة مع القول بعدم العفو عن قدر درهم واحد مجتمع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الأمر بالتطهير، خرج الناقص،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 </w:t>
      </w:r>
      <w:r>
        <w:rPr>
          <w:rStyle w:val="FootnoteAnchor"/>
          <w:rtl w:val="true"/>
        </w:rPr>
        <w:footnoteReference w:id="467"/>
      </w:r>
      <w:r>
        <w:rPr>
          <w:rFonts w:ascii="Amiri" w:hAnsi="Amiri" w:eastAsia="Amiri" w:cs="Amiri"/>
          <w:color w:val="111111"/>
          <w:sz w:val="28"/>
          <w:sz w:val="28"/>
          <w:szCs w:val="28"/>
          <w:rtl w:val="true"/>
          <w:lang w:bidi="ar-SA"/>
        </w:rPr>
        <w:t>، و لا دلالة له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المحلّ بين كونه ثوباً أو ثياباً أو أحدهما مع البدن، فيضمّ بعضها إلى بعض في التقدير؛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زوال العين بغير المطهّر في العفو لا يرفع العفو؛ لعموم الأدلّة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خفّة النجاسة، و ملاقاته لنجاسة أُخرى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لمائع طاهر إن بلغ</w:t>
      </w:r>
    </w:p>
    <w:p>
      <w:pPr>
        <w:pStyle w:val="BookText"/>
        <w:rPr/>
      </w:pPr>
      <w:r>
        <w:rPr>
          <w:rFonts w:ascii="Amiri" w:hAnsi="Amiri" w:eastAsia="Amiri" w:cs="Amiri"/>
          <w:color w:val="111111"/>
          <w:sz w:val="28"/>
          <w:sz w:val="28"/>
          <w:szCs w:val="28"/>
          <w:rtl w:val="true"/>
          <w:lang w:bidi="ar-SA"/>
        </w:rPr>
        <w:t>مجموعها درهماً، و إلّا لم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للأصل و الخفّة و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لزوال العلّة، و ضعفه ظاهر، و عمومات الإزالة، و هي مخصّصة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عفو في دم الحيض؛ للإجماع، و العمومات، و خصوص الخبرين، و النبوي، و الرضوي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اليقين على اليقين، و اشتراط الصلاة بطهر الثوب و الجسد؛ لظاهر الآية </w:t>
      </w:r>
      <w:r>
        <w:rPr>
          <w:rStyle w:val="FootnoteAnchor"/>
          <w:rtl w:val="true"/>
        </w:rPr>
        <w:footnoteReference w:id="471"/>
      </w:r>
      <w:r>
        <w:rPr>
          <w:rFonts w:ascii="Amiri" w:hAnsi="Amiri" w:eastAsia="Amiri" w:cs="Amiri"/>
          <w:color w:val="111111"/>
          <w:sz w:val="28"/>
          <w:sz w:val="28"/>
          <w:szCs w:val="28"/>
          <w:rtl w:val="true"/>
          <w:lang w:bidi="ar-SA"/>
        </w:rPr>
        <w:t>، و الحيض و إن قلّ 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أخويه، وفاقاً للشيخ </w:t>
      </w:r>
      <w:r>
        <w:rPr>
          <w:rStyle w:val="FootnoteAnchor"/>
          <w:rtl w:val="true"/>
        </w:rPr>
        <w:footnoteReference w:id="472"/>
      </w:r>
      <w:r>
        <w:rPr>
          <w:rFonts w:ascii="Amiri" w:hAnsi="Amiri" w:eastAsia="Amiri" w:cs="Amiri"/>
          <w:color w:val="111111"/>
          <w:sz w:val="28"/>
          <w:sz w:val="28"/>
          <w:szCs w:val="28"/>
          <w:rtl w:val="true"/>
          <w:lang w:bidi="ar-SA"/>
        </w:rPr>
        <w:t>و جماعة؛ للعمومات، و التوقّف و الاشتراط المذكورين، و كون النفاس حيضاً محتبساً و الاستحاضة مشتقّة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خلافاً لبعضهم </w:t>
      </w:r>
      <w:r>
        <w:rPr>
          <w:rStyle w:val="FootnoteAnchor"/>
          <w:rtl w:val="true"/>
        </w:rPr>
        <w:footnoteReference w:id="473"/>
      </w:r>
      <w:r>
        <w:rPr>
          <w:rFonts w:ascii="Amiri" w:hAnsi="Amiri" w:eastAsia="Amiri" w:cs="Amiri"/>
          <w:color w:val="111111"/>
          <w:sz w:val="28"/>
          <w:sz w:val="28"/>
          <w:szCs w:val="28"/>
          <w:rtl w:val="true"/>
          <w:lang w:bidi="ar-SA"/>
        </w:rPr>
        <w:t>لعموم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بمنعه أوّلًا، و تخصيصه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دم نجس العين، وفاقاً لجماعة؛ لما مرّ، مع تضاعف نجاسته بملاقاة جسده، فالعفو لو سلّم يتعلّق بالدم من حيث هو، لا من حيث ملاقاته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للحلّي؛ للعموم، و نقله الإجماع </w:t>
      </w:r>
      <w:r>
        <w:rPr>
          <w:rStyle w:val="FootnoteAnchor"/>
          <w:rtl w:val="true"/>
        </w:rPr>
        <w:footnoteReference w:id="474"/>
      </w:r>
      <w:r>
        <w:rPr>
          <w:rFonts w:ascii="IRNazanin" w:hAnsi="IRNazanin" w:eastAsia="IRNazanin"/>
          <w:color w:val="111111"/>
          <w:sz w:val="28"/>
          <w:sz w:val="28"/>
          <w:szCs w:val="28"/>
          <w:rtl w:val="true"/>
          <w:lang w:bidi="fa-IR"/>
        </w:rPr>
        <w:t>، و جوابهما ظاهر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المشتبه بالمعفوّ و غيره معفو؛ إذ الفرد يلحق بالأغلب، و به يترجّح أدلّة العفو على عمومات الإزالة، و توقّف أحد اليقينين على الآخر معارض بالأصل</w:t>
      </w:r>
      <w:r>
        <w:rPr>
          <w:rFonts w:eastAsia="Amiri" w:cs="Amiri" w:ascii="Amiri" w:hAnsi="Amiri"/>
          <w:color w:val="111111"/>
          <w:sz w:val="28"/>
          <w:szCs w:val="28"/>
          <w:rtl w:val="true"/>
          <w:lang w:bidi="ar-SA"/>
        </w:rPr>
        <w:t>.</w:t>
      </w:r>
      <w:bookmarkStart w:id="169" w:name="pg2479_11523"/>
    </w:p>
    <w:p>
      <w:pPr>
        <w:pStyle w:val="Heading5"/>
        <w:numPr>
          <w:ilvl w:val="4"/>
          <w:numId w:val="1"/>
        </w:numPr>
        <w:rPr/>
      </w:pPr>
      <w:bookmarkStart w:id="170" w:name="__RefHeading___Toc3731919_3804643083"/>
      <w:bookmarkStart w:id="171" w:name="_Toc65"/>
      <w:bookmarkEnd w:id="169"/>
      <w:bookmarkEnd w:id="170"/>
      <w:r>
        <w:rPr>
          <w:rtl w:val="true"/>
        </w:rPr>
        <w:t xml:space="preserve">فصل </w:t>
      </w:r>
      <w:r>
        <w:rPr>
          <w:rtl w:val="true"/>
        </w:rPr>
        <w:t>[</w:t>
      </w:r>
      <w:r>
        <w:rPr>
          <w:rtl w:val="true"/>
        </w:rPr>
        <w:t>العفو عن نجاسة ما لا تتم فيه الصلاة</w:t>
      </w:r>
      <w:r>
        <w:rPr>
          <w:rtl w:val="true"/>
        </w:rPr>
        <w:t>]</w:t>
      </w:r>
      <w:bookmarkEnd w:id="171"/>
    </w:p>
    <w:p>
      <w:pPr>
        <w:pStyle w:val="BookText"/>
        <w:rPr/>
      </w:pPr>
      <w:r>
        <w:rPr>
          <w:rFonts w:ascii="Amiri" w:hAnsi="Amiri" w:eastAsia="Amiri" w:cs="Amiri"/>
          <w:color w:val="111111"/>
          <w:sz w:val="28"/>
          <w:sz w:val="28"/>
          <w:szCs w:val="28"/>
          <w:rtl w:val="true"/>
          <w:lang w:bidi="ar-SA"/>
        </w:rPr>
        <w:t xml:space="preserve">لا خلاف في العفو عن نجاسة ما لا يتمّ فيه الصلاة؛ للأصل، و المستفيضة </w:t>
      </w:r>
      <w:r>
        <w:rPr>
          <w:rStyle w:val="FootnoteAnchor"/>
          <w:rtl w:val="true"/>
        </w:rPr>
        <w:footnoteReference w:id="475"/>
      </w:r>
      <w:r>
        <w:rPr>
          <w:rFonts w:ascii="Amiri" w:hAnsi="Amiri" w:eastAsia="Amiri" w:cs="Amiri"/>
          <w:color w:val="111111"/>
          <w:sz w:val="28"/>
          <w:sz w:val="28"/>
          <w:szCs w:val="28"/>
          <w:rtl w:val="true"/>
          <w:lang w:bidi="ar-SA"/>
        </w:rPr>
        <w:t>، و بها تخصّص عمومات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لا يستر العورة من الملابس؛ للتبادر، فغيرها لا يشترط طهره و إن سترها؛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فالمشروط طهره ينحصر بالساتر منها، و منه العمامة، وفاقاً للأكثر؛ لصدق الثوب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للصدوقين </w:t>
      </w:r>
      <w:r>
        <w:rPr>
          <w:rStyle w:val="FootnoteAnchor"/>
          <w:rtl w:val="true"/>
        </w:rPr>
        <w:footnoteReference w:id="476"/>
      </w:r>
      <w:r>
        <w:rPr>
          <w:rFonts w:ascii="Amiri" w:hAnsi="Amiri" w:eastAsia="Amiri" w:cs="Amiri"/>
          <w:color w:val="111111"/>
          <w:sz w:val="28"/>
          <w:sz w:val="28"/>
          <w:szCs w:val="28"/>
          <w:rtl w:val="true"/>
          <w:lang w:bidi="ar-SA"/>
        </w:rPr>
        <w:t xml:space="preserve">للرضوي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حجّيته بدون الانجبار بالعمل، و يمكن حملها فيه على الصغيرة التي لا تستر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بذلك مضافاً إلى الأصل عدم بطلان الصلاة بحمل قارورة فيها نجاسة،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 عليه الكركي </w:t>
      </w:r>
      <w:r>
        <w:rPr>
          <w:rStyle w:val="FootnoteAnchor"/>
          <w:rtl w:val="true"/>
        </w:rPr>
        <w:footnoteReference w:id="479"/>
      </w:r>
      <w:r>
        <w:rPr>
          <w:rFonts w:ascii="Amiri" w:hAnsi="Amiri" w:eastAsia="Amiri" w:cs="Amiri"/>
          <w:color w:val="111111"/>
          <w:sz w:val="28"/>
          <w:sz w:val="28"/>
          <w:szCs w:val="28"/>
          <w:rtl w:val="true"/>
          <w:lang w:bidi="ar-SA"/>
        </w:rPr>
        <w:t>و أكثر الثالثة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و الفاضل </w:t>
      </w:r>
      <w:r>
        <w:rPr>
          <w:rStyle w:val="FootnoteAnchor"/>
          <w:rtl w:val="true"/>
        </w:rPr>
        <w:footnoteReference w:id="480"/>
      </w:r>
      <w:r>
        <w:rPr>
          <w:rFonts w:ascii="Amiri" w:hAnsi="Amiri" w:eastAsia="Amiri" w:cs="Amiri"/>
          <w:color w:val="111111"/>
          <w:sz w:val="28"/>
          <w:sz w:val="28"/>
          <w:szCs w:val="28"/>
          <w:rtl w:val="true"/>
          <w:lang w:bidi="ar-SA"/>
        </w:rPr>
        <w:t xml:space="preserve">لصدق حمل النجاسة، و ضعفه ظاهر، و دعوى الإجماع من الشيخ </w:t>
      </w:r>
      <w:r>
        <w:rPr>
          <w:rStyle w:val="FootnoteAnchor"/>
          <w:rtl w:val="true"/>
        </w:rPr>
        <w:footnoteReference w:id="481"/>
      </w:r>
      <w:r>
        <w:rPr>
          <w:rFonts w:ascii="Amiri" w:hAnsi="Amiri" w:eastAsia="Amiri" w:cs="Amiri"/>
          <w:color w:val="111111"/>
          <w:sz w:val="28"/>
          <w:sz w:val="28"/>
          <w:szCs w:val="28"/>
          <w:rtl w:val="true"/>
          <w:lang w:bidi="ar-SA"/>
        </w:rPr>
        <w:t>، و ردّ بإرادته الشهرة بين العامّة؛ لتصريحه أوّلًا بعدم نصّ فيه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تطهير النعلين؛ للصحيح و الحسن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الشيخين و ابن زهرة </w:t>
      </w:r>
      <w:r>
        <w:rPr>
          <w:rStyle w:val="FootnoteAnchor"/>
          <w:rtl w:val="true"/>
        </w:rPr>
        <w:footnoteReference w:id="483"/>
      </w:r>
      <w:r>
        <w:rPr>
          <w:rFonts w:ascii="Amiri" w:hAnsi="Amiri" w:eastAsia="Amiri" w:cs="Amiri"/>
          <w:color w:val="111111"/>
          <w:sz w:val="28"/>
          <w:sz w:val="28"/>
          <w:szCs w:val="28"/>
          <w:rtl w:val="true"/>
          <w:lang w:bidi="ar-SA"/>
        </w:rPr>
        <w:t>تعميم الحكم في كلّ ما لا يتمّ فيه الصلاة، و لم نقف له على مستند، و القياس على النعل باطل، و دعوى 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أوجب القي‌ء إذا تناول خمراً أو ميتة؛ لتعليل الحرمة بالتغذية و ارتفاعها به </w:t>
      </w:r>
      <w:r>
        <w:rPr>
          <w:rStyle w:val="FootnoteAnchor"/>
          <w:rtl w:val="true"/>
        </w:rPr>
        <w:footnoteReference w:id="484"/>
      </w:r>
      <w:r>
        <w:rPr>
          <w:rFonts w:ascii="Amiri" w:hAnsi="Amiri" w:eastAsia="Amiri" w:cs="Amiri"/>
          <w:color w:val="111111"/>
          <w:sz w:val="28"/>
          <w:sz w:val="28"/>
          <w:szCs w:val="28"/>
          <w:rtl w:val="true"/>
          <w:lang w:bidi="ar-SA"/>
        </w:rPr>
        <w:t xml:space="preserve">، و فرّع عليه بطلان صلاة تاركه مع السعة </w:t>
      </w:r>
      <w:r>
        <w:rPr>
          <w:rStyle w:val="FootnoteAnchor"/>
          <w:rtl w:val="true"/>
        </w:rPr>
        <w:footnoteReference w:id="485"/>
      </w:r>
      <w:r>
        <w:rPr>
          <w:rFonts w:ascii="Amiri" w:hAnsi="Amiri" w:eastAsia="Amiri" w:cs="Amiri"/>
          <w:color w:val="111111"/>
          <w:sz w:val="28"/>
          <w:sz w:val="28"/>
          <w:szCs w:val="28"/>
          <w:rtl w:val="true"/>
          <w:lang w:bidi="ar-SA"/>
        </w:rPr>
        <w:t>إذ الأمر بالشي‌ء يستلزم النهي عن ضدّه الخاصّ، و النهي في العبادة يستلزم الفساد، و لتأتّي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التفريع في أكل كلّ حرام يشكل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 المحتقن تحت الجلد بنفسه أو بالإدخال معفوّ؛ لدخوله في الباطن، و لا عبرة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فإيجاب الشهيد إخراجه مطلقاً </w:t>
      </w:r>
      <w:r>
        <w:rPr>
          <w:rStyle w:val="FootnoteAnchor"/>
          <w:rtl w:val="true"/>
        </w:rPr>
        <w:footnoteReference w:id="486"/>
      </w:r>
      <w:r>
        <w:rPr>
          <w:rFonts w:ascii="Amiri" w:hAnsi="Amiri" w:eastAsia="Amiri" w:cs="Amiri"/>
          <w:color w:val="111111"/>
          <w:sz w:val="28"/>
          <w:sz w:val="28"/>
          <w:szCs w:val="28"/>
          <w:rtl w:val="true"/>
          <w:lang w:bidi="ar-SA"/>
        </w:rPr>
        <w:t xml:space="preserve">و الفاضل على الثاني </w:t>
      </w:r>
      <w:r>
        <w:rPr>
          <w:rStyle w:val="FootnoteAnchor"/>
          <w:rtl w:val="true"/>
        </w:rPr>
        <w:footnoteReference w:id="487"/>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مصاحبة المعفوّ في المسجد مبطلة للاستلزامين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إلصاق الشعر بشعر النجس، كجبر العظم بعظمه، و خيط الجرح بخيط نجس، حرام مبطل، و وجهه ظاهر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بشعر غيره جائز غير مبطل؛ للأصل، و النصّ </w:t>
      </w:r>
      <w:r>
        <w:rPr>
          <w:rStyle w:val="FootnoteAnchor"/>
          <w:rtl w:val="true"/>
        </w:rPr>
        <w:footnoteReference w:id="488"/>
      </w:r>
      <w:r>
        <w:rPr>
          <w:rFonts w:ascii="IRNazanin" w:hAnsi="IRNazanin" w:eastAsia="IRNazanin"/>
          <w:color w:val="111111"/>
          <w:sz w:val="28"/>
          <w:sz w:val="28"/>
          <w:szCs w:val="28"/>
          <w:rtl w:val="true"/>
          <w:lang w:bidi="fa-IR"/>
        </w:rPr>
        <w:t>، و ظاهر الوفاق</w:t>
      </w:r>
      <w:r>
        <w:rPr>
          <w:rFonts w:eastAsia="IRNazanin" w:cs="IRNazanin"/>
          <w:color w:val="111111"/>
          <w:sz w:val="28"/>
          <w:szCs w:val="28"/>
          <w:rtl w:val="true"/>
          <w:lang w:bidi="fa-IR"/>
        </w:rPr>
        <w:t>.</w:t>
      </w:r>
      <w:bookmarkStart w:id="172" w:name="pg2479_11525"/>
    </w:p>
    <w:p>
      <w:pPr>
        <w:pStyle w:val="BookText"/>
        <w:rPr/>
      </w:pPr>
      <w:bookmarkEnd w:id="172"/>
      <w:r>
        <w:rPr>
          <w:rFonts w:ascii="Amiri" w:hAnsi="Amiri" w:eastAsia="Amiri" w:cs="Amiri"/>
          <w:color w:val="111111"/>
          <w:sz w:val="28"/>
          <w:sz w:val="28"/>
          <w:szCs w:val="28"/>
          <w:rtl w:val="true"/>
          <w:lang w:bidi="ar-SA"/>
        </w:rPr>
        <w:t xml:space="preserve">نعم، يكره؛ للخبر و المرسل </w:t>
      </w:r>
      <w:r>
        <w:rPr>
          <w:rStyle w:val="FootnoteAnchor"/>
          <w:rtl w:val="true"/>
        </w:rPr>
        <w:footnoteReference w:id="489"/>
      </w:r>
      <w:r>
        <w:rPr>
          <w:rFonts w:ascii="Amiri" w:hAnsi="Amiri" w:eastAsia="Amiri" w:cs="Amiri"/>
          <w:color w:val="111111"/>
          <w:sz w:val="28"/>
          <w:sz w:val="28"/>
          <w:szCs w:val="28"/>
          <w:rtl w:val="true"/>
          <w:lang w:bidi="ar-SA"/>
        </w:rPr>
        <w:t>، و الظاهر تخصيص الكراهة بشعر غير المأكول؛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النبوي المحرّم العام </w:t>
      </w:r>
      <w:r>
        <w:rPr>
          <w:rStyle w:val="FootnoteAnchor"/>
          <w:rtl w:val="true"/>
        </w:rPr>
        <w:footnoteReference w:id="490"/>
      </w:r>
      <w:r>
        <w:rPr>
          <w:rFonts w:ascii="Amiri" w:hAnsi="Amiri" w:eastAsia="Amiri" w:cs="Amiri"/>
          <w:color w:val="111111"/>
          <w:sz w:val="28"/>
          <w:sz w:val="28"/>
          <w:szCs w:val="28"/>
          <w:rtl w:val="true"/>
          <w:lang w:bidi="ar-SA"/>
        </w:rPr>
        <w:t>عامّي لا عبرة به، و لو صحّ فمخصّص</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731921_3804643083"/>
      <w:bookmarkStart w:id="174" w:name="_Toc66"/>
      <w:bookmarkEnd w:id="173"/>
      <w:r>
        <w:rPr>
          <w:rtl w:val="true"/>
        </w:rPr>
        <w:t xml:space="preserve">فصل </w:t>
      </w:r>
      <w:r>
        <w:rPr>
          <w:rtl w:val="true"/>
        </w:rPr>
        <w:t>[</w:t>
      </w:r>
      <w:r>
        <w:rPr>
          <w:rtl w:val="true"/>
        </w:rPr>
        <w:t>حكم المصلّي مع النجاسة</w:t>
      </w:r>
      <w:r>
        <w:rPr>
          <w:rtl w:val="true"/>
        </w:rPr>
        <w:t>]</w:t>
      </w:r>
      <w:bookmarkEnd w:id="174"/>
    </w:p>
    <w:p>
      <w:pPr>
        <w:pStyle w:val="BookText"/>
        <w:rPr/>
      </w:pPr>
      <w:r>
        <w:rPr>
          <w:rFonts w:ascii="Amiri" w:hAnsi="Amiri" w:eastAsia="Amiri" w:cs="Amiri"/>
          <w:color w:val="111111"/>
          <w:sz w:val="28"/>
          <w:sz w:val="28"/>
          <w:szCs w:val="28"/>
          <w:rtl w:val="true"/>
          <w:lang w:bidi="ar-SA"/>
        </w:rPr>
        <w:t xml:space="preserve">من صلّى مع النجاسة عامداً عالماً، يعيد في الوقت و خارجه بالإجماعين و المستفيضة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الجاهل بالحكم الشرعي كالعالم به غير معذور؛ لتمكّنه من تفصيل ما علمه إجمالًا من شرع الأحكام و تكليفه بها؛ إذ المراد به الجاهل بالفعليّة و التفصيل لا مطلقاً، كالمستضعف؛ فإنّ مثله معذور بالإجماع؛ إذ تكليفه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ناسياً يعيد مطلقاً عند الأكثر؛ للعمومات، و خصوص المستفيضة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يعيد كذلك عند أكثر الثالثة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لمستفيضة اخرىٰ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خارجه عند الفاضل في بعض كتبه </w:t>
      </w:r>
      <w:r>
        <w:rPr>
          <w:rStyle w:val="FootnoteAnchor"/>
          <w:rtl w:val="true"/>
        </w:rPr>
        <w:footnoteReference w:id="495"/>
      </w:r>
      <w:r>
        <w:rPr>
          <w:rFonts w:ascii="Amiri" w:hAnsi="Amiri" w:eastAsia="Amiri" w:cs="Amiri"/>
          <w:color w:val="111111"/>
          <w:sz w:val="28"/>
          <w:sz w:val="28"/>
          <w:szCs w:val="28"/>
          <w:rtl w:val="true"/>
          <w:lang w:bidi="ar-SA"/>
        </w:rPr>
        <w:t xml:space="preserve">للجمع بينهما بحمل الاولى على الوقت و الثانية على خارجه، كما يستفاد من المكاتبة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له الأقوال الثلاثة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عندي أوسطها؛ إذ المكاتبة مضطربة غير ناهضة، و مجرّد الجمع بلا مستند مع تأتّي جمع آخر لا يخفىٰ حاله </w:t>
      </w:r>
      <w:r>
        <w:rPr>
          <w:rStyle w:val="FootnoteAnchor"/>
          <w:rtl w:val="true"/>
        </w:rPr>
        <w:footnoteReference w:id="498"/>
      </w:r>
      <w:r>
        <w:rPr>
          <w:rFonts w:ascii="Amiri" w:hAnsi="Amiri" w:eastAsia="Amiri" w:cs="Amiri"/>
          <w:color w:val="111111"/>
          <w:sz w:val="28"/>
          <w:sz w:val="28"/>
          <w:szCs w:val="28"/>
          <w:rtl w:val="true"/>
          <w:lang w:bidi="ar-SA"/>
        </w:rPr>
        <w:t>، و العمل بالمستفيضة الاولى يوجب طرح الأُخرىٰ، فالأخذ بها و حمل الاولى على الندب و المكاتبة على تأكّده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الأصل، و قوّة التعليل في الصحيح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جاهلًا إن احتمل تأخّرها عن الصلاة لا يعيد مطلقاً، بالأصل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عدم العبرة بالشكّ بعد الفراغ نصّاً </w:t>
      </w:r>
      <w:r>
        <w:rPr>
          <w:rStyle w:val="FootnoteAnchor"/>
          <w:rtl w:val="true"/>
        </w:rPr>
        <w:footnoteReference w:id="500"/>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إلّا لا يعيد في خارج الوقت بالإجماع، و فيه على الأشهر الأقوىٰ؛ لحصول الامتثال، و المستفيضة من الصحاح و غيرها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لظاهر الصحيح، و الخبر، و الرضوي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بحملها على الندب جمعاً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علم بها في أثناء الصلاة و لم يقطع بسبقها على الشروع استمرّ إن أمكنه الإزالة، و إلّا استأنف؛ لظاهر الوفاق، و صريح الصحيحين </w:t>
      </w:r>
      <w:r>
        <w:rPr>
          <w:rStyle w:val="FootnoteAnchor"/>
          <w:rtl w:val="true"/>
        </w:rPr>
        <w:footnoteReference w:id="504"/>
      </w:r>
      <w:r>
        <w:rPr>
          <w:rFonts w:ascii="Amiri" w:hAnsi="Amiri" w:eastAsia="Amiri" w:cs="Amiri"/>
          <w:color w:val="111111"/>
          <w:sz w:val="28"/>
          <w:sz w:val="28"/>
          <w:szCs w:val="28"/>
          <w:rtl w:val="true"/>
          <w:lang w:bidi="ar-SA"/>
        </w:rPr>
        <w:t>، مع الجمع بين مطلقات الإتمام و الإعادة بحمل الاولى على إمكان الإزالة و الثانية على عدمه</w:t>
      </w:r>
      <w:r>
        <w:rPr>
          <w:rFonts w:eastAsia="Amiri" w:cs="Amiri" w:ascii="Amiri" w:hAnsi="Amiri"/>
          <w:color w:val="111111"/>
          <w:sz w:val="28"/>
          <w:szCs w:val="28"/>
          <w:rtl w:val="true"/>
          <w:lang w:bidi="ar-SA"/>
        </w:rPr>
        <w:t>.</w:t>
      </w:r>
      <w:bookmarkStart w:id="175" w:name="pg2479_11527"/>
    </w:p>
    <w:p>
      <w:pPr>
        <w:pStyle w:val="BookText"/>
        <w:rPr/>
      </w:pPr>
      <w:bookmarkEnd w:id="175"/>
      <w:r>
        <w:rPr>
          <w:rFonts w:ascii="Amiri" w:hAnsi="Amiri" w:eastAsia="Amiri" w:cs="Amiri"/>
          <w:color w:val="111111"/>
          <w:sz w:val="28"/>
          <w:sz w:val="28"/>
          <w:szCs w:val="28"/>
          <w:rtl w:val="true"/>
          <w:lang w:bidi="ar-SA"/>
        </w:rPr>
        <w:t>و لو قطع بالسبق ففي كونه كالأوّل؛ للجمع بين مطلقات الإعادة و الإتمام، أو وجوب الاستئناف مطلقاً أخذاً بالأُولى و ردّاً للثانية بعدم الصراحة، أو التخيير؛ للتعارض مع فقد الترجيح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أوسطها الوسط، و إن كان الأوّل أشهر؛ لفقد التكافؤ بين الدليلين المعتبر في الجمع و التخيير نظراً إلى عدم الصراحة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علم بها بعد زوالها استمرّ، 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التضيّق، فالظاهر القضاء؛ لمطلقات الإعادة المثبتة لشرطيّة الإزالة الموجبة له عند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تعليل الإتمام بوجوب الصلاة في وقتها مع الشكّ في الشرطيّة المثبتة للقضاء</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731923_3804643083"/>
      <w:bookmarkStart w:id="177" w:name="_Toc67"/>
      <w:bookmarkEnd w:id="176"/>
      <w:r>
        <w:rPr>
          <w:rtl w:val="true"/>
        </w:rPr>
        <w:t xml:space="preserve">فصل </w:t>
      </w:r>
      <w:r>
        <w:rPr>
          <w:rtl w:val="true"/>
        </w:rPr>
        <w:t>[</w:t>
      </w:r>
      <w:r>
        <w:rPr>
          <w:rtl w:val="true"/>
        </w:rPr>
        <w:t>حكم ذي الثوب النجس</w:t>
      </w:r>
      <w:r>
        <w:rPr>
          <w:rtl w:val="true"/>
        </w:rPr>
        <w:t>]</w:t>
      </w:r>
      <w:bookmarkEnd w:id="177"/>
    </w:p>
    <w:p>
      <w:pPr>
        <w:pStyle w:val="Heading6"/>
        <w:numPr>
          <w:ilvl w:val="5"/>
          <w:numId w:val="1"/>
        </w:numPr>
        <w:rPr/>
      </w:pPr>
      <w:bookmarkStart w:id="178" w:name="__RefHeading___Toc3731925_3804643083"/>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من انحصر ثوبه في نجس، صلّى فيه أو عارياً، 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الثانية على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w:t>
      </w:r>
      <w:r>
        <w:rPr>
          <w:rStyle w:val="FootnoteAnchor"/>
          <w:rtl w:val="true"/>
        </w:rPr>
        <w:footnoteReference w:id="505"/>
      </w:r>
      <w:r>
        <w:rPr>
          <w:rFonts w:ascii="IRNazanin" w:hAnsi="IRNazanin" w:eastAsia="IRNazanin"/>
          <w:color w:val="111111"/>
          <w:sz w:val="28"/>
          <w:sz w:val="28"/>
          <w:szCs w:val="28"/>
          <w:rtl w:val="true"/>
          <w:lang w:bidi="fa-IR"/>
        </w:rPr>
        <w:t xml:space="preserve">و الخبر و المضمر </w:t>
      </w:r>
      <w:r>
        <w:rPr>
          <w:rStyle w:val="FootnoteAnchor"/>
          <w:rtl w:val="true"/>
        </w:rPr>
        <w:footnoteReference w:id="506"/>
      </w:r>
      <w:r>
        <w:rPr>
          <w:rFonts w:ascii="Amiri" w:hAnsi="Amiri" w:eastAsia="Amiri" w:cs="Amiri"/>
          <w:color w:val="111111"/>
          <w:sz w:val="28"/>
          <w:sz w:val="28"/>
          <w:szCs w:val="28"/>
          <w:rtl w:val="true"/>
          <w:lang w:bidi="ar-SA"/>
        </w:rPr>
        <w:t xml:space="preserve">المعتضدين بالشهرة و نقل الإجماع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بهما و طرحها مع كونها أقوى كثرة و صحّة و صراحة خلاف المعهود، و العكس لا قائل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تعذّر الثاني لبرد و غيره تعيّن الأوّل، وفاقاً</w:t>
      </w:r>
      <w:r>
        <w:rPr>
          <w:rFonts w:eastAsia="Amiri" w:cs="Amiri" w:ascii="Amiri" w:hAnsi="Amiri"/>
          <w:color w:val="111111"/>
          <w:sz w:val="28"/>
          <w:szCs w:val="28"/>
          <w:rtl w:val="true"/>
          <w:lang w:bidi="ar-SA"/>
        </w:rPr>
        <w:t>.</w:t>
      </w:r>
      <w:bookmarkStart w:id="180" w:name="pg2479_11528"/>
    </w:p>
    <w:p>
      <w:pPr>
        <w:pStyle w:val="BookText"/>
        <w:rPr/>
      </w:pPr>
      <w:bookmarkEnd w:id="180"/>
      <w:r>
        <w:rPr>
          <w:rFonts w:ascii="Amiri" w:hAnsi="Amiri" w:eastAsia="Amiri" w:cs="Amiri"/>
          <w:color w:val="111111"/>
          <w:sz w:val="28"/>
          <w:sz w:val="28"/>
          <w:szCs w:val="28"/>
          <w:rtl w:val="true"/>
          <w:lang w:bidi="ar-SA"/>
        </w:rPr>
        <w:t xml:space="preserve">و لا تجب الإعادة، وفاقاً للمشهور؛ لحصول الامتثال الموجب للإجزاء، خلافاً لجماعة؛ للموثّق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بحمله على الندب جمعاً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731927_3804643083"/>
      <w:bookmarkStart w:id="182" w:name="_Toc69"/>
      <w:bookmarkEnd w:id="181"/>
      <w:r>
        <w:rPr>
          <w:rtl w:val="true"/>
        </w:rPr>
        <w:t>[</w:t>
      </w:r>
      <w:r>
        <w:rPr>
          <w:rtl w:val="true"/>
        </w:rPr>
        <w:t>المعفوّ من نجاسة البدن</w:t>
      </w:r>
      <w:r>
        <w:rPr>
          <w:rtl w:val="true"/>
        </w:rPr>
        <w:t>]</w:t>
      </w:r>
      <w:bookmarkEnd w:id="182"/>
    </w:p>
    <w:p>
      <w:pPr>
        <w:pStyle w:val="BookText"/>
        <w:rPr/>
      </w:pPr>
      <w:r>
        <w:rPr>
          <w:rFonts w:ascii="Amiri" w:hAnsi="Amiri" w:eastAsia="Amiri" w:cs="Amiri"/>
          <w:color w:val="111111"/>
          <w:sz w:val="28"/>
          <w:sz w:val="28"/>
          <w:szCs w:val="28"/>
          <w:rtl w:val="true"/>
          <w:lang w:bidi="ar-SA"/>
        </w:rPr>
        <w:t xml:space="preserve">و العفو عمّا يتعذّر إزالته عن البدن مجمع عليه، و خصوص النصّ </w:t>
      </w:r>
      <w:r>
        <w:rPr>
          <w:rStyle w:val="FootnoteAnchor"/>
          <w:rtl w:val="true"/>
        </w:rPr>
        <w:footnoteReference w:id="509"/>
      </w:r>
      <w:r>
        <w:rPr>
          <w:rFonts w:ascii="Amiri" w:hAnsi="Amiri" w:eastAsia="Amiri" w:cs="Amiri"/>
          <w:color w:val="111111"/>
          <w:sz w:val="28"/>
          <w:sz w:val="28"/>
          <w:szCs w:val="28"/>
          <w:rtl w:val="true"/>
          <w:lang w:bidi="ar-SA"/>
        </w:rPr>
        <w:t xml:space="preserve">يشير إليه، و أخبار العفو عنه في الثوب </w:t>
      </w:r>
      <w:r>
        <w:rPr>
          <w:rStyle w:val="FootnoteAnchor"/>
          <w:rtl w:val="true"/>
        </w:rPr>
        <w:footnoteReference w:id="510"/>
      </w:r>
      <w:r>
        <w:rPr>
          <w:rFonts w:ascii="Amiri" w:hAnsi="Amiri" w:eastAsia="Amiri" w:cs="Amiri"/>
          <w:color w:val="111111"/>
          <w:sz w:val="28"/>
          <w:sz w:val="28"/>
          <w:szCs w:val="28"/>
          <w:rtl w:val="true"/>
          <w:lang w:bidi="ar-SA"/>
        </w:rPr>
        <w:t>يؤكّده، و إطلاق الأمر بالصلاة يؤيّده، و أدلّة اشتراطها بإزالة الخبث لا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أمكن تقليل </w:t>
      </w:r>
      <w:r>
        <w:rPr>
          <w:rStyle w:val="FootnoteAnchor"/>
          <w:rtl w:val="true"/>
        </w:rPr>
        <w:footnoteReference w:id="511"/>
      </w:r>
      <w:r>
        <w:rPr>
          <w:rFonts w:ascii="Amiri" w:hAnsi="Amiri" w:eastAsia="Amiri" w:cs="Amiri"/>
          <w:color w:val="111111"/>
          <w:sz w:val="28"/>
          <w:sz w:val="28"/>
          <w:szCs w:val="28"/>
          <w:rtl w:val="true"/>
          <w:lang w:bidi="ar-SA"/>
        </w:rPr>
        <w:t>النجاسة مع الوحدة و إزالة بعضها مع التعدّد وجب؛ إذ الضرورة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الوجوب مطلقاً لعدم الفرق أو في المتفرّق دون المجتمع لوجوده، مردود بالتعاكس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مسح المخرج عند تعذّر الإزالة؛ لإطلاق الأدلّة، خلافاً للفاضلين و الشهيد </w:t>
      </w:r>
      <w:r>
        <w:rPr>
          <w:rStyle w:val="FootnoteAnchor"/>
          <w:rtl w:val="true"/>
        </w:rPr>
        <w:footnoteReference w:id="512"/>
      </w:r>
      <w:r>
        <w:rPr>
          <w:rFonts w:ascii="Amiri" w:hAnsi="Amiri" w:eastAsia="Amiri" w:cs="Amiri"/>
          <w:color w:val="111111"/>
          <w:sz w:val="28"/>
          <w:sz w:val="28"/>
          <w:szCs w:val="28"/>
          <w:rtl w:val="true"/>
          <w:lang w:bidi="ar-SA"/>
        </w:rPr>
        <w:t>للأمر به، و لوجوب إزالة العين و الأثر، و سقوط أحدهما بالتعذّر لا يوجب سقوط الآخر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للإرشاد دون الوجوب، و وجوبها حكم واحد مركّب و الأمر بالمركّب أمر بأجزائه على الاجتماع، فلا دليل على بعضها بالانفراد</w:t>
      </w:r>
      <w:r>
        <w:rPr>
          <w:rFonts w:eastAsia="Amiri" w:cs="Amiri" w:ascii="Amiri" w:hAnsi="Amiri"/>
          <w:color w:val="111111"/>
          <w:sz w:val="28"/>
          <w:szCs w:val="28"/>
          <w:rtl w:val="true"/>
          <w:lang w:bidi="ar-SA"/>
        </w:rPr>
        <w:t>.</w:t>
      </w:r>
      <w:bookmarkStart w:id="183" w:name="pg2479_11529"/>
    </w:p>
    <w:p>
      <w:pPr>
        <w:pStyle w:val="Heading5"/>
        <w:numPr>
          <w:ilvl w:val="4"/>
          <w:numId w:val="1"/>
        </w:numPr>
        <w:rPr/>
      </w:pPr>
      <w:bookmarkStart w:id="184" w:name="__RefHeading___Toc3731929_3804643083"/>
      <w:bookmarkStart w:id="185" w:name="_Toc70"/>
      <w:bookmarkEnd w:id="183"/>
      <w:bookmarkEnd w:id="184"/>
      <w:r>
        <w:rPr>
          <w:rtl w:val="true"/>
        </w:rPr>
        <w:t xml:space="preserve">فصل </w:t>
      </w:r>
      <w:r>
        <w:rPr>
          <w:rtl w:val="true"/>
        </w:rPr>
        <w:t>[</w:t>
      </w:r>
      <w:r>
        <w:rPr>
          <w:rtl w:val="true"/>
        </w:rPr>
        <w:t>حكم من اشتبه ثوباه</w:t>
      </w:r>
      <w:r>
        <w:rPr>
          <w:rtl w:val="true"/>
        </w:rPr>
        <w:t>]</w:t>
      </w:r>
      <w:bookmarkEnd w:id="185"/>
    </w:p>
    <w:p>
      <w:pPr>
        <w:pStyle w:val="BookText"/>
        <w:rPr/>
      </w:pPr>
      <w:r>
        <w:rPr>
          <w:rStyle w:val="FootnoteAnchor"/>
          <w:rtl w:val="true"/>
        </w:rPr>
        <w:footnoteReference w:id="513"/>
      </w:r>
      <w:r>
        <w:rPr>
          <w:rFonts w:ascii="Amiri" w:hAnsi="Amiri" w:eastAsia="Amiri" w:cs="Amiri"/>
          <w:color w:val="111111"/>
          <w:sz w:val="28"/>
          <w:sz w:val="28"/>
          <w:szCs w:val="28"/>
          <w:rtl w:val="true"/>
          <w:lang w:bidi="ar-SA"/>
        </w:rPr>
        <w:t>، و صدق التمكّن، و جوازها في متيقّن النجاسة ففي المشتبه أولى، و الوجوب يثبت بالمركّب، و كون المشتبه كالطاهر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كفاية الواحدة في واحد لولا النصّ و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يسقطهما و يصلّي عارياً </w:t>
      </w:r>
      <w:r>
        <w:rPr>
          <w:rStyle w:val="FootnoteAnchor"/>
          <w:rtl w:val="true"/>
        </w:rPr>
        <w:footnoteReference w:id="514"/>
      </w:r>
      <w:r>
        <w:rPr>
          <w:rFonts w:ascii="IRNazanin" w:hAnsi="IRNazanin" w:eastAsia="IRNazanin"/>
          <w:color w:val="111111"/>
          <w:sz w:val="28"/>
          <w:sz w:val="28"/>
          <w:szCs w:val="28"/>
          <w:rtl w:val="true"/>
          <w:lang w:bidi="fa-IR"/>
        </w:rPr>
        <w:t>لوجوب القطع بالطهر و الوجه، و 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وجد متيقّن الطهر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مسلّمة، و التعيّن كما ذكره الفاضل </w:t>
      </w:r>
      <w:r>
        <w:rPr>
          <w:rStyle w:val="FootnoteAnchor"/>
          <w:rtl w:val="true"/>
        </w:rPr>
        <w:footnoteReference w:id="515"/>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وُجد طاهر و متنجّس بالمعفوّ عنه أو متنجّسان بالأقل و الأكثر منه صلّي فيما شاء، و إن كان الأوّلان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أحد المشتبهين صلّى عارياً أو في الآخر؛ لأولويّته من متيقّن النجاسة مع أولويّة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بتعيّن الأوّل ترجيح للمرجوح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له ثياب مشتبهة صلّى فيما زاد على عدد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شقّ ذلك للكثرة صلّى الممكن، و التخيير محتمل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ضيق الوقت يصلّي فيما يسعه، لا عارياً كما قيل </w:t>
      </w:r>
      <w:r>
        <w:rPr>
          <w:rStyle w:val="FootnoteAnchor"/>
          <w:rtl w:val="true"/>
        </w:rPr>
        <w:footnoteReference w:id="516"/>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مراعاة الترتيب مع تعدّد الفرائض و ترتّبها لازم، فيصلّي الاولى في كلّ واحد ثمّ الأُخرىٰ كذلك، أو كلتيهما في أحدهما ثمّ الأُخرى كذلك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وجوب الترتيب و وقوع كلّ صلاة فيهما تعيّن </w:t>
      </w:r>
      <w:r>
        <w:rPr>
          <w:rStyle w:val="FootnoteAnchor"/>
          <w:rtl w:val="true"/>
        </w:rPr>
        <w:footnoteReference w:id="517"/>
      </w:r>
      <w:r>
        <w:rPr>
          <w:rFonts w:ascii="Amiri" w:hAnsi="Amiri" w:eastAsia="Amiri" w:cs="Amiri"/>
          <w:color w:val="111111"/>
          <w:sz w:val="28"/>
          <w:sz w:val="28"/>
          <w:szCs w:val="28"/>
          <w:rtl w:val="true"/>
          <w:lang w:bidi="ar-SA"/>
        </w:rPr>
        <w:t xml:space="preserve">الأوّل، و عدم كفاية الثاني؛ إذ اللازم منه وجوب الترتيب بين القطعيّين، و هو مفقود فيه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الترتيب تحصيله كما لا يخفىٰ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صلّاهما في أحدهما على الترتيب و في الآخر بدونه، أو الاولى في واحد و الأُخرى في الآخر، ثمّ الاولى فيه و الأُخرى في الأوّل لم يصحّ الأُخرىٰ؛ لإمكان طهارة الآخر دون الأوّل، فيعيد الأُخرى في الآخر</w:t>
      </w:r>
      <w:r>
        <w:rPr>
          <w:rFonts w:eastAsia="Amiri" w:cs="Amiri" w:ascii="Amiri" w:hAnsi="Amiri"/>
          <w:color w:val="111111"/>
          <w:sz w:val="28"/>
          <w:szCs w:val="28"/>
          <w:rtl w:val="true"/>
          <w:lang w:bidi="ar-SA"/>
        </w:rPr>
        <w:t>.</w:t>
      </w:r>
      <w:bookmarkStart w:id="186" w:name="pg2479_11531"/>
    </w:p>
    <w:p>
      <w:pPr>
        <w:pStyle w:val="Heading4"/>
        <w:numPr>
          <w:ilvl w:val="3"/>
          <w:numId w:val="1"/>
        </w:numPr>
        <w:rPr/>
      </w:pPr>
      <w:bookmarkStart w:id="187" w:name="__RefHeading___Toc3731931_3804643083"/>
      <w:bookmarkStart w:id="188" w:name="_Toc71"/>
      <w:bookmarkEnd w:id="186"/>
      <w:bookmarkEnd w:id="187"/>
      <w:r>
        <w:rPr>
          <w:rtl w:val="true"/>
        </w:rPr>
        <w:t>بحث كيفيّة الإزالة</w:t>
      </w:r>
      <w:bookmarkEnd w:id="188"/>
    </w:p>
    <w:p>
      <w:pPr>
        <w:pStyle w:val="Heading5"/>
        <w:numPr>
          <w:ilvl w:val="4"/>
          <w:numId w:val="1"/>
        </w:numPr>
        <w:rPr/>
      </w:pPr>
      <w:bookmarkStart w:id="189" w:name="__RefHeading___Toc3731933_3804643083"/>
      <w:bookmarkStart w:id="190" w:name="_Toc72"/>
      <w:bookmarkEnd w:id="189"/>
      <w:r>
        <w:rPr>
          <w:rtl w:val="true"/>
        </w:rPr>
        <w:t xml:space="preserve">فصل </w:t>
      </w:r>
      <w:r>
        <w:rPr>
          <w:rtl w:val="true"/>
        </w:rPr>
        <w:t>[</w:t>
      </w:r>
      <w:r>
        <w:rPr>
          <w:rtl w:val="true"/>
        </w:rPr>
        <w:t>عصر و دلك الثوب المغسول</w:t>
      </w:r>
      <w:r>
        <w:rPr>
          <w:rtl w:val="true"/>
        </w:rPr>
        <w:t>]</w:t>
      </w:r>
      <w:bookmarkEnd w:id="190"/>
    </w:p>
    <w:p>
      <w:pPr>
        <w:pStyle w:val="BookText"/>
        <w:rPr/>
      </w:pPr>
      <w:r>
        <w:rPr>
          <w:rFonts w:ascii="Amiri" w:hAnsi="Amiri" w:eastAsia="Amiri" w:cs="Amiri"/>
          <w:color w:val="111111"/>
          <w:sz w:val="28"/>
          <w:sz w:val="28"/>
          <w:szCs w:val="28"/>
          <w:rtl w:val="true"/>
          <w:lang w:bidi="ar-SA"/>
        </w:rPr>
        <w:t>لا يجب العصر في غسل الثوب و نحوه مع زوال العين بدونه، و إن وجب مرّتين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للمشهور؛ لوجوه ضعيفة، فأوجبوا في المرّة مرّة بعدها، و في المرّتين مرّتين أو مرّة بينهما أو بعدهما، و الأحوط عدم تركه؛ للشهرة القويّة و إن ضعف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في الثاني بين الثلاثة، و إن كان الأوّل أحوط و الثالث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مدرك العصر إمّا جزئيّته للغسل، أو توقّف إخراج الغسالة عليه، و الأوّل بيّن الفساد، و الثاني على ما اخترناه من طهر المطهّرة فقط ساقط؛ إذ الطاهرة لا تفتقر إليه و النجسة تفتقر إلى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على اعتباره اختصاصه بالقليل، فلا حاجة به في الكثير و الجاري، وفاقاً لأكثرهم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فيهما، و للصدوق </w:t>
      </w:r>
      <w:r>
        <w:rPr>
          <w:rStyle w:val="FootnoteAnchor"/>
          <w:rtl w:val="true"/>
        </w:rPr>
        <w:footnoteReference w:id="520"/>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الدلك في الصلاب مع زوال العين بدونه،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 أكثر الثالثة؛ للأصل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للموثّق </w:t>
      </w:r>
      <w:r>
        <w:rPr>
          <w:rStyle w:val="FootnoteAnchor"/>
          <w:rtl w:val="true"/>
        </w:rPr>
        <w:footnoteReference w:id="523"/>
      </w:r>
      <w:r>
        <w:rPr>
          <w:rFonts w:ascii="Amiri" w:hAnsi="Amiri" w:eastAsia="Amiri" w:cs="Amiri"/>
          <w:color w:val="111111"/>
          <w:sz w:val="28"/>
          <w:sz w:val="28"/>
          <w:szCs w:val="28"/>
          <w:rtl w:val="true"/>
          <w:lang w:bidi="ar-SA"/>
        </w:rPr>
        <w:t>، و حمل على الندب أو الاستظهار في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الدقّ و التغميز في مثل البسط على الأصحّ؛ لإطلاق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يكتفى بغسل الظاهر مع عدم النفوذ؛ للصحيح </w:t>
      </w:r>
      <w:r>
        <w:rPr>
          <w:rStyle w:val="FootnoteAnchor"/>
          <w:rtl w:val="true"/>
        </w:rPr>
        <w:footnoteReference w:id="524"/>
      </w:r>
      <w:r>
        <w:rPr>
          <w:rFonts w:ascii="Amiri" w:hAnsi="Amiri" w:eastAsia="Amiri" w:cs="Amiri"/>
          <w:color w:val="111111"/>
          <w:sz w:val="28"/>
          <w:sz w:val="28"/>
          <w:szCs w:val="28"/>
          <w:rtl w:val="true"/>
          <w:lang w:bidi="ar-SA"/>
        </w:rPr>
        <w:t xml:space="preserve">، و الجميع معه؛ لخبرين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لا يقبل العصر و بدله كالخبز و الصابون يطهر ظاهره بالكثير و القليل، و باطنه إن وصل الماء إليه،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التفرقة بينهما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اللازم في الغسل زوال العين، بالإجماع و النصوص </w:t>
      </w:r>
      <w:r>
        <w:rPr>
          <w:rStyle w:val="FootnoteAnchor"/>
          <w:rtl w:val="true"/>
        </w:rPr>
        <w:footnoteReference w:id="526"/>
      </w:r>
      <w:r>
        <w:rPr>
          <w:rFonts w:ascii="Amiri" w:hAnsi="Amiri" w:eastAsia="Amiri" w:cs="Amiri"/>
          <w:color w:val="111111"/>
          <w:sz w:val="28"/>
          <w:sz w:val="28"/>
          <w:szCs w:val="28"/>
          <w:rtl w:val="true"/>
          <w:lang w:bidi="ar-SA"/>
        </w:rPr>
        <w:t xml:space="preserve">، دون الوصف، وفاقاً للمشهور؛ لظاهر المستفيضة، و صدق التسمية،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عدم النجاسة بالعرض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في الطعم،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في اللون؛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ظاهر</w:t>
      </w:r>
      <w:r>
        <w:rPr>
          <w:rFonts w:eastAsia="Amiri" w:cs="Amiri" w:ascii="Amiri" w:hAnsi="Amiri"/>
          <w:color w:val="111111"/>
          <w:sz w:val="28"/>
          <w:szCs w:val="28"/>
          <w:rtl w:val="true"/>
          <w:lang w:bidi="ar-SA"/>
        </w:rPr>
        <w:t>.</w:t>
      </w:r>
      <w:bookmarkStart w:id="191" w:name="pg2479_11533"/>
    </w:p>
    <w:p>
      <w:pPr>
        <w:pStyle w:val="Heading5"/>
        <w:numPr>
          <w:ilvl w:val="4"/>
          <w:numId w:val="1"/>
        </w:numPr>
        <w:rPr/>
      </w:pPr>
      <w:bookmarkStart w:id="192" w:name="__RefHeading___Toc3731935_3804643083"/>
      <w:bookmarkStart w:id="193" w:name="_Toc73"/>
      <w:bookmarkEnd w:id="191"/>
      <w:bookmarkEnd w:id="192"/>
      <w:r>
        <w:rPr>
          <w:rtl w:val="true"/>
        </w:rPr>
        <w:t xml:space="preserve">فصل </w:t>
      </w:r>
      <w:r>
        <w:rPr>
          <w:rtl w:val="true"/>
        </w:rPr>
        <w:t>[</w:t>
      </w:r>
      <w:r>
        <w:rPr>
          <w:rtl w:val="true"/>
        </w:rPr>
        <w:t>تطهير الثوب و البدن من البول</w:t>
      </w:r>
      <w:r>
        <w:rPr>
          <w:rtl w:val="true"/>
        </w:rPr>
        <w:t>]</w:t>
      </w:r>
      <w:bookmarkEnd w:id="193"/>
    </w:p>
    <w:p>
      <w:pPr>
        <w:pStyle w:val="Heading6"/>
        <w:numPr>
          <w:ilvl w:val="5"/>
          <w:numId w:val="1"/>
        </w:numPr>
        <w:rPr/>
      </w:pPr>
      <w:bookmarkStart w:id="194" w:name="__RefHeading___Toc3731937_3804643083"/>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غسل الثوب من البول مرّتان، و لا يكفي المرّة، وفاقاً للمعظم، 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مع الجفاف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 استفاضة الصحاح </w:t>
      </w:r>
      <w:r>
        <w:rPr>
          <w:rStyle w:val="FootnoteAnchor"/>
          <w:rtl w:val="true"/>
        </w:rPr>
        <w:footnoteReference w:id="532"/>
      </w:r>
      <w:r>
        <w:rPr>
          <w:rFonts w:ascii="IRNazanin" w:hAnsi="IRNazanin" w:eastAsia="IRNazanin"/>
          <w:color w:val="111111"/>
          <w:sz w:val="28"/>
          <w:sz w:val="28"/>
          <w:szCs w:val="28"/>
          <w:rtl w:val="true"/>
          <w:lang w:bidi="fa-IR"/>
        </w:rPr>
        <w:t xml:space="preserve">و نقل الوفاق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بالتقييد جمعاً، و هو أولى من حمل المقيّد على الندب؛ لكونه أقوى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المرّتين لإزالة العين و الأثر، و لا عين مع الجفاف، فيكفي المرّة؛ لإطلاقات الغسل و الطهوريّة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بمنع التعليل، ثمّ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البدن كالثوب، وفاقاً للأكثر؛ للاستصحاب، و نقل الإجماع </w:t>
      </w:r>
      <w:r>
        <w:rPr>
          <w:rStyle w:val="FootnoteAnchor"/>
          <w:rtl w:val="true"/>
        </w:rPr>
        <w:footnoteReference w:id="535"/>
      </w:r>
      <w:r>
        <w:rPr>
          <w:rFonts w:ascii="Amiri" w:hAnsi="Amiri" w:eastAsia="Amiri" w:cs="Amiri"/>
          <w:color w:val="111111"/>
          <w:sz w:val="28"/>
          <w:sz w:val="28"/>
          <w:szCs w:val="28"/>
          <w:rtl w:val="true"/>
          <w:lang w:bidi="ar-SA"/>
        </w:rPr>
        <w:t xml:space="preserve">، و الصحيحين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لإطلاقات الغسل </w:t>
      </w:r>
      <w:r>
        <w:rPr>
          <w:rStyle w:val="FootnoteAnchor"/>
          <w:rtl w:val="true"/>
        </w:rPr>
        <w:footnoteReference w:id="538"/>
      </w:r>
      <w:r>
        <w:rPr>
          <w:rFonts w:ascii="IRNazanin" w:hAnsi="IRNazanin" w:eastAsia="IRNazanin"/>
          <w:color w:val="111111"/>
          <w:sz w:val="28"/>
          <w:sz w:val="28"/>
          <w:szCs w:val="28"/>
          <w:rtl w:val="true"/>
          <w:lang w:bidi="fa-IR"/>
        </w:rPr>
        <w:t>و حصول الغرض، و الجواب ظاهر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وجوب التثنية، أو مثلي المتخلّف، أو كفاية المسمّى لمخرج البول أقوال</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 الصدوق </w:t>
      </w:r>
      <w:r>
        <w:rPr>
          <w:rStyle w:val="FootnoteAnchor"/>
          <w:rtl w:val="true"/>
        </w:rPr>
        <w:footnoteReference w:id="539"/>
      </w:r>
      <w:r>
        <w:rPr>
          <w:rFonts w:ascii="Amiri" w:hAnsi="Amiri" w:eastAsia="Amiri" w:cs="Amiri"/>
          <w:color w:val="111111"/>
          <w:sz w:val="28"/>
          <w:sz w:val="28"/>
          <w:szCs w:val="28"/>
          <w:rtl w:val="true"/>
          <w:lang w:bidi="ar-SA"/>
        </w:rPr>
        <w:t xml:space="preserve">، و الشهيدين، و الكركي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للشيخين، و المحقّق، و الديلمي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w:t>
      </w:r>
      <w:r>
        <w:rPr>
          <w:rStyle w:val="FootnoteAnchor"/>
          <w:rtl w:val="true"/>
        </w:rPr>
        <w:footnoteReference w:id="542"/>
      </w:r>
      <w:r>
        <w:rPr>
          <w:rFonts w:ascii="Amiri" w:hAnsi="Amiri" w:eastAsia="Amiri" w:cs="Amiri"/>
          <w:color w:val="111111"/>
          <w:sz w:val="28"/>
          <w:sz w:val="28"/>
          <w:szCs w:val="28"/>
          <w:rtl w:val="true"/>
          <w:lang w:bidi="ar-SA"/>
        </w:rPr>
        <w:t xml:space="preserve">، و الحلّي </w:t>
      </w:r>
      <w:r>
        <w:rPr>
          <w:rStyle w:val="FootnoteAnchor"/>
          <w:rtl w:val="true"/>
        </w:rPr>
        <w:footnoteReference w:id="543"/>
      </w:r>
      <w:r>
        <w:rPr>
          <w:rFonts w:ascii="Amiri" w:hAnsi="Amiri" w:eastAsia="Amiri" w:cs="Amiri"/>
          <w:color w:val="111111"/>
          <w:sz w:val="28"/>
          <w:sz w:val="28"/>
          <w:szCs w:val="28"/>
          <w:rtl w:val="true"/>
          <w:lang w:bidi="ar-SA"/>
        </w:rPr>
        <w:t xml:space="preserve">، و الحلبي </w:t>
      </w:r>
      <w:r>
        <w:rPr>
          <w:rStyle w:val="FootnoteAnchor"/>
          <w:rtl w:val="true"/>
        </w:rPr>
        <w:footnoteReference w:id="544"/>
      </w:r>
      <w:r>
        <w:rPr>
          <w:rFonts w:ascii="Amiri" w:hAnsi="Amiri" w:eastAsia="Amiri" w:cs="Amiri"/>
          <w:color w:val="111111"/>
          <w:sz w:val="28"/>
          <w:sz w:val="28"/>
          <w:szCs w:val="28"/>
          <w:rtl w:val="true"/>
          <w:lang w:bidi="ar-SA"/>
        </w:rPr>
        <w:t>، و عليه أكثر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اختار الثاني تارة، و الثالث اخرىٰ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رجوع الثاني إلى الأوّل، أو الثالث، أو مغايرته لهما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على الثالث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 إطلاق الصحيحين </w:t>
      </w:r>
      <w:r>
        <w:rPr>
          <w:rStyle w:val="FootnoteAnchor"/>
          <w:rtl w:val="true"/>
        </w:rPr>
        <w:footnoteReference w:id="546"/>
      </w:r>
      <w:r>
        <w:rPr>
          <w:rFonts w:ascii="Amiri" w:hAnsi="Amiri" w:eastAsia="Amiri" w:cs="Amiri"/>
          <w:color w:val="111111"/>
          <w:sz w:val="28"/>
          <w:sz w:val="28"/>
          <w:szCs w:val="28"/>
          <w:rtl w:val="true"/>
          <w:lang w:bidi="ar-SA"/>
        </w:rPr>
        <w:t xml:space="preserve">، و خصوص الصحيح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الغسل و هو المختار لكثرتها و اعتضادها بالأصل و الشهرة، و سهولة الجمع بحمل الصحيحين على غير المخرج و الخبر على أقلّ ما يحصل به الغسل أو الكلّ على الندب، و هو لاعتضاده بما ذكر أولى من حمل الإطلاق على المرّتين أو المثلين و حمل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على التعدّد يختصّ بغير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التفرقة بينهما ثابتة بالدلالة و الفتوىٰ و التعسّر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التعدية لاتّحاد الطريق أو تنقيح المناط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القائل بالتثنية يكتفي بالمثل في كلّ مرّة مع فقده ما يعتبر في الغسل، فإنّه لا يحصل بالأقلّ من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رجوع الثاني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الثوب و البدن يكفيه المرّة؛ لإطلاق الأمر بالغسل في الفراش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التعدية بالأولويّة أو المناسبة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المشهور كفايتها في غير البول؛ للأصل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إيجاب المرّتين فيه مطلقاً </w:t>
      </w:r>
      <w:r>
        <w:rPr>
          <w:rStyle w:val="FootnoteAnchor"/>
          <w:rtl w:val="true"/>
        </w:rPr>
        <w:footnoteReference w:id="550"/>
      </w:r>
      <w:r>
        <w:rPr>
          <w:rFonts w:ascii="Amiri" w:hAnsi="Amiri" w:eastAsia="Amiri" w:cs="Amiri"/>
          <w:color w:val="111111"/>
          <w:sz w:val="28"/>
          <w:sz w:val="28"/>
          <w:szCs w:val="28"/>
          <w:rtl w:val="true"/>
          <w:lang w:bidi="ar-SA"/>
        </w:rPr>
        <w:t xml:space="preserve">، أو إذا كان ثخيناً </w:t>
      </w:r>
      <w:r>
        <w:rPr>
          <w:rStyle w:val="FootnoteAnchor"/>
          <w:rtl w:val="true"/>
        </w:rPr>
        <w:footnoteReference w:id="551"/>
      </w:r>
      <w:r>
        <w:rPr>
          <w:rFonts w:ascii="Amiri" w:hAnsi="Amiri" w:eastAsia="Amiri" w:cs="Amiri"/>
          <w:color w:val="111111"/>
          <w:sz w:val="28"/>
          <w:sz w:val="28"/>
          <w:szCs w:val="28"/>
          <w:rtl w:val="true"/>
          <w:lang w:bidi="ar-SA"/>
        </w:rPr>
        <w:t xml:space="preserve">، أو في الثوب و البدن </w:t>
      </w:r>
      <w:r>
        <w:rPr>
          <w:rStyle w:val="FootnoteAnchor"/>
          <w:rtl w:val="true"/>
        </w:rPr>
        <w:footnoteReference w:id="552"/>
      </w:r>
      <w:r>
        <w:rPr>
          <w:rFonts w:ascii="IRNazanin" w:hAnsi="IRNazanin" w:eastAsia="IRNazanin"/>
          <w:color w:val="111111"/>
          <w:sz w:val="28"/>
          <w:sz w:val="28"/>
          <w:szCs w:val="28"/>
          <w:rtl w:val="true"/>
          <w:lang w:bidi="fa-IR"/>
        </w:rPr>
        <w:t xml:space="preserve">، أو الثوب فقط </w:t>
      </w:r>
      <w:r>
        <w:rPr>
          <w:rStyle w:val="FootnoteAnchor"/>
          <w:rtl w:val="true"/>
        </w:rPr>
        <w:footnoteReference w:id="553"/>
      </w:r>
      <w:r>
        <w:rPr>
          <w:rFonts w:ascii="Amiri" w:hAnsi="Amiri" w:eastAsia="Amiri" w:cs="Amiri"/>
          <w:color w:val="111111"/>
          <w:sz w:val="28"/>
          <w:sz w:val="28"/>
          <w:szCs w:val="28"/>
          <w:rtl w:val="true"/>
          <w:lang w:bidi="ar-SA"/>
        </w:rPr>
        <w:t>ضعيف، و تعليله بالأشدّية و الأولويّة، أو المشابهة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 و الفتوى اعتبار التعدّد حسّا؛ لأنّه المتبادر من المرّتين، فالاكتفاء بالتقدير مطلقاً، أو فيما لا يتعدّد، خروج عن مقتضى النصّ، و الأولويّة غير ثابتة؛ إذ العلّة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فالتعدية بكونها أقوى في الفرع باطلة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عدم التعدّد في الكرّ و الجاري؛ للأصل، و عموم الغسل، و خصوص الصحيح و الرضوي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فيهما </w:t>
      </w:r>
      <w:r>
        <w:rPr>
          <w:rStyle w:val="FootnoteAnchor"/>
          <w:rtl w:val="true"/>
        </w:rPr>
        <w:footnoteReference w:id="555"/>
      </w:r>
      <w:r>
        <w:rPr>
          <w:rFonts w:ascii="Amiri" w:hAnsi="Amiri" w:eastAsia="Amiri" w:cs="Amiri"/>
          <w:color w:val="111111"/>
          <w:sz w:val="28"/>
          <w:sz w:val="28"/>
          <w:szCs w:val="28"/>
          <w:rtl w:val="true"/>
          <w:lang w:bidi="ar-SA"/>
        </w:rPr>
        <w:t>لإطلاق التعدّد، و ردّ</w:t>
      </w:r>
      <w:bookmarkStart w:id="196" w:name="pg2479_11536"/>
    </w:p>
    <w:p>
      <w:pPr>
        <w:pStyle w:val="BookText"/>
        <w:rPr/>
      </w:pPr>
      <w:bookmarkEnd w:id="196"/>
      <w:r>
        <w:rPr>
          <w:rFonts w:ascii="Amiri" w:hAnsi="Amiri" w:eastAsia="Amiri" w:cs="Amiri"/>
          <w:color w:val="111111"/>
          <w:sz w:val="28"/>
          <w:sz w:val="28"/>
          <w:szCs w:val="28"/>
          <w:rtl w:val="true"/>
          <w:lang w:bidi="ar-SA"/>
        </w:rPr>
        <w:t xml:space="preserve">بظهوره في القليل، و للصدوق في الأوّل </w:t>
      </w:r>
      <w:r>
        <w:rPr>
          <w:rStyle w:val="FootnoteAnchor"/>
          <w:rtl w:val="true"/>
        </w:rPr>
        <w:footnoteReference w:id="556"/>
      </w:r>
      <w:r>
        <w:rPr>
          <w:rFonts w:ascii="Amiri" w:hAnsi="Amiri" w:eastAsia="Amiri" w:cs="Amiri"/>
          <w:color w:val="111111"/>
          <w:sz w:val="28"/>
          <w:sz w:val="28"/>
          <w:szCs w:val="28"/>
          <w:rtl w:val="true"/>
          <w:lang w:bidi="ar-SA"/>
        </w:rPr>
        <w:t>لحجّة لا تصلح للتعويل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بول الرضيع يكفيه صبّ واحد؛ للأصل و الإجماعين و الحسن و النبوي </w:t>
      </w:r>
      <w:r>
        <w:rPr>
          <w:rStyle w:val="FootnoteAnchor"/>
          <w:rtl w:val="true"/>
        </w:rPr>
        <w:footnoteReference w:id="557"/>
      </w:r>
      <w:r>
        <w:rPr>
          <w:rFonts w:ascii="Amiri" w:hAnsi="Amiri" w:eastAsia="Amiri" w:cs="Amiri"/>
          <w:color w:val="111111"/>
          <w:sz w:val="28"/>
          <w:sz w:val="28"/>
          <w:szCs w:val="28"/>
          <w:rtl w:val="true"/>
          <w:lang w:bidi="ar-SA"/>
        </w:rPr>
        <w:t xml:space="preserve">و العلوي و الرضوي </w:t>
      </w:r>
      <w:r>
        <w:rPr>
          <w:rStyle w:val="FootnoteAnchor"/>
          <w:rtl w:val="true"/>
        </w:rPr>
        <w:footnoteReference w:id="558"/>
      </w:r>
      <w:r>
        <w:rPr>
          <w:rFonts w:ascii="Amiri" w:hAnsi="Amiri" w:eastAsia="Amiri" w:cs="Amiri"/>
          <w:color w:val="111111"/>
          <w:sz w:val="28"/>
          <w:sz w:val="28"/>
          <w:szCs w:val="28"/>
          <w:rtl w:val="true"/>
          <w:lang w:bidi="ar-SA"/>
        </w:rPr>
        <w:t>، و بها يخصّص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الصحيح و المضمر المتضمّنين للعصر و الغسل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بالرضيع من لم يأكل، كما في الأخبار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في الأكل صدقه عرفاً، لا زيادته على اللبن أو مساواته له، أو تجاوز الحولين؛ لعدم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عدم الانسحاب إلى الصبيّة، وفاقاً للمشهور؛ للاستصحاب، و العمومات، و خصوص النبوي و العلوي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للصدوقين </w:t>
      </w:r>
      <w:r>
        <w:rPr>
          <w:rStyle w:val="FootnoteAnchor"/>
          <w:rtl w:val="true"/>
        </w:rPr>
        <w:footnoteReference w:id="561"/>
      </w:r>
      <w:r>
        <w:rPr>
          <w:rFonts w:ascii="Amiri" w:hAnsi="Amiri" w:eastAsia="Amiri" w:cs="Amiri"/>
          <w:color w:val="111111"/>
          <w:sz w:val="28"/>
          <w:sz w:val="28"/>
          <w:szCs w:val="28"/>
          <w:rtl w:val="true"/>
          <w:lang w:bidi="ar-SA"/>
        </w:rPr>
        <w:t xml:space="preserve">لظاهر الحسن و الرضوي </w:t>
      </w:r>
      <w:r>
        <w:rPr>
          <w:rStyle w:val="FootnoteAnchor"/>
          <w:rtl w:val="true"/>
        </w:rPr>
        <w:footnoteReference w:id="562"/>
      </w:r>
      <w:r>
        <w:rPr>
          <w:rFonts w:ascii="Amiri" w:hAnsi="Amiri" w:eastAsia="Amiri" w:cs="Amiri"/>
          <w:color w:val="111111"/>
          <w:sz w:val="28"/>
          <w:sz w:val="28"/>
          <w:szCs w:val="28"/>
          <w:rtl w:val="true"/>
          <w:lang w:bidi="ar-SA"/>
        </w:rPr>
        <w:t>، و لا صراحة فيهما</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3731939_3804643083"/>
      <w:bookmarkStart w:id="198" w:name="_Toc75"/>
      <w:bookmarkEnd w:id="197"/>
      <w:r>
        <w:rPr>
          <w:rtl w:val="true"/>
        </w:rPr>
        <w:t xml:space="preserve">فصل </w:t>
      </w:r>
      <w:r>
        <w:rPr>
          <w:rtl w:val="true"/>
        </w:rPr>
        <w:t>[</w:t>
      </w:r>
      <w:r>
        <w:rPr>
          <w:rtl w:val="true"/>
        </w:rPr>
        <w:t>تطهير ثوب المربّية</w:t>
      </w:r>
      <w:r>
        <w:rPr>
          <w:rtl w:val="true"/>
        </w:rPr>
        <w:t>]</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مربّية الصبي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واحد يكتفى بغسله في كلّ يوم مرّة، وفاقاً للمشهور؛ للخبر </w:t>
      </w:r>
      <w:r>
        <w:rPr>
          <w:rStyle w:val="FootnoteAnchor"/>
          <w:rtl w:val="true"/>
        </w:rPr>
        <w:footnoteReference w:id="563"/>
      </w:r>
      <w:r>
        <w:rPr>
          <w:rFonts w:ascii="Amiri" w:hAnsi="Amiri" w:eastAsia="Amiri" w:cs="Amiri"/>
          <w:color w:val="111111"/>
          <w:sz w:val="28"/>
          <w:sz w:val="28"/>
          <w:szCs w:val="28"/>
          <w:rtl w:val="true"/>
          <w:lang w:bidi="ar-SA"/>
        </w:rPr>
        <w:t>و دفع الحرج، و ضعفه منجبر بالعمل، و به يخصّص عمومات</w:t>
      </w:r>
      <w:bookmarkStart w:id="199" w:name="pg2479_11537"/>
    </w:p>
    <w:p>
      <w:pPr>
        <w:pStyle w:val="BookText"/>
        <w:rPr/>
      </w:pPr>
      <w:bookmarkEnd w:id="199"/>
      <w:r>
        <w:rPr>
          <w:rFonts w:ascii="Amiri" w:hAnsi="Amiri" w:eastAsia="Amiri" w:cs="Amiri"/>
          <w:color w:val="111111"/>
          <w:sz w:val="28"/>
          <w:sz w:val="28"/>
          <w:szCs w:val="28"/>
          <w:rtl w:val="true"/>
          <w:lang w:bidi="ar-SA"/>
        </w:rPr>
        <w:t>الغسل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الوارد فيه المولود، فيشمل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ظهوره في الصبي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كالعلّة يختصّ ببوله، فلا يتعدّى الرخصة إلى غيره، و بالثوب فلا يتعدّى إلى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التعدية إلى المربّي و المولود المتعدّد نظر؛ لخصوص النصّ، و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يشمل الليلة عرفاً، لا وضعاً كما قيل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المتعدّد من الثوب مع الحاجة إليه في وقت واحد كالواحد،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جعل الغسل آخر النهار؛ ليدرك الأربع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لإطلاق الخبر</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731941_3804643083"/>
      <w:bookmarkStart w:id="201" w:name="_Toc76"/>
      <w:bookmarkEnd w:id="200"/>
      <w:r>
        <w:rPr>
          <w:rtl w:val="true"/>
        </w:rPr>
        <w:t>[</w:t>
      </w:r>
      <w:r>
        <w:rPr>
          <w:rtl w:val="true"/>
        </w:rPr>
        <w:t>إزالة النجاسة بالقليل</w:t>
      </w:r>
      <w:r>
        <w:rPr>
          <w:rtl w:val="true"/>
        </w:rPr>
        <w:t>]</w:t>
      </w:r>
      <w:bookmarkEnd w:id="201"/>
    </w:p>
    <w:p>
      <w:pPr>
        <w:pStyle w:val="BookText"/>
        <w:rPr/>
      </w:pPr>
      <w:r>
        <w:rPr>
          <w:rFonts w:ascii="Amiri" w:hAnsi="Amiri" w:eastAsia="Amiri" w:cs="Amiri"/>
          <w:color w:val="111111"/>
          <w:sz w:val="28"/>
          <w:sz w:val="28"/>
          <w:szCs w:val="28"/>
          <w:rtl w:val="true"/>
          <w:lang w:bidi="ar-SA"/>
        </w:rPr>
        <w:t>إزالة النجاسة بالقليل، إنّما هو بوروده عليها دون العكس؛ لإجماعهم عليها مع ما مرّ من أدلّة الانفعال، و لا يلزم منها تنجّسه في الحالين؛ إذ المستفاد منها الاختصاص بالثاني، و لو سلّم العموم فالإجماع خصّصها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طهر مطلق الغسالة أو المطهّرة كما اخترناه أو بتنجّسها بعد الانفصال لا إشكال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يشكل على تنجّسها مطلقاً؛ إذ طهوريّة النجس غير معقولة، و لو أمكنت فلا فرق بين الحالين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الشهيد مع التزامه طهوريّة القليل؛ لقضيّة الإجماع، لم يفرّق بين الحالين في تنجّسه </w:t>
      </w:r>
      <w:r>
        <w:rPr>
          <w:rStyle w:val="FootnoteAnchor"/>
          <w:rtl w:val="true"/>
        </w:rPr>
        <w:footnoteReference w:id="565"/>
      </w:r>
      <w:r>
        <w:rPr>
          <w:rFonts w:ascii="Amiri" w:hAnsi="Amiri" w:eastAsia="Amiri" w:cs="Amiri"/>
          <w:color w:val="111111"/>
          <w:sz w:val="28"/>
          <w:sz w:val="28"/>
          <w:szCs w:val="28"/>
          <w:rtl w:val="true"/>
          <w:lang w:bidi="ar-SA"/>
        </w:rPr>
        <w:t>، معلّلًا بعدم الفارق، و قد عرفت وجوده، و يلزمه طهوريّة النجس مع</w:t>
      </w:r>
      <w:bookmarkStart w:id="202" w:name="pg2479_11538"/>
    </w:p>
    <w:p>
      <w:pPr>
        <w:pStyle w:val="BookText"/>
        <w:rPr/>
      </w:pPr>
      <w:bookmarkEnd w:id="202"/>
      <w:r>
        <w:rPr>
          <w:rFonts w:ascii="Amiri" w:hAnsi="Amiri" w:eastAsia="Amiri" w:cs="Amiri"/>
          <w:color w:val="111111"/>
          <w:sz w:val="28"/>
          <w:sz w:val="28"/>
          <w:szCs w:val="28"/>
          <w:rtl w:val="true"/>
          <w:lang w:bidi="ar-SA"/>
        </w:rPr>
        <w:t>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طهر المركن بالصب تنفي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بصدق الورود، و ثانياً بكفاية أوّله أو عدم ورود النجاسة، و ثالثاً بالتخصّص جمعاً</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31943_3804643083"/>
      <w:bookmarkStart w:id="204" w:name="_Toc77"/>
      <w:bookmarkEnd w:id="203"/>
      <w:r>
        <w:rPr>
          <w:rtl w:val="true"/>
        </w:rPr>
        <w:t xml:space="preserve">فصل </w:t>
      </w:r>
      <w:r>
        <w:rPr>
          <w:rtl w:val="true"/>
        </w:rPr>
        <w:t>[</w:t>
      </w:r>
      <w:r>
        <w:rPr>
          <w:rtl w:val="true"/>
        </w:rPr>
        <w:t>تطهير الأرض و بعض المتنجّسات</w:t>
      </w:r>
      <w:r>
        <w:rPr>
          <w:rtl w:val="true"/>
        </w:rPr>
        <w:t>]</w:t>
      </w:r>
      <w:bookmarkEnd w:id="204"/>
    </w:p>
    <w:p>
      <w:pPr>
        <w:pStyle w:val="BookText"/>
        <w:rPr/>
      </w:pPr>
      <w:r>
        <w:rPr>
          <w:rFonts w:ascii="Amiri" w:hAnsi="Amiri" w:eastAsia="Amiri" w:cs="Amiri"/>
          <w:color w:val="111111"/>
          <w:sz w:val="28"/>
          <w:sz w:val="28"/>
          <w:szCs w:val="28"/>
          <w:rtl w:val="true"/>
          <w:lang w:bidi="ar-SA"/>
        </w:rPr>
        <w:t xml:space="preserve">الظاهر يطهر الأرض بصبّ قاهر، وفاقاً للشيخ و الحلّي و بعض الثالثة </w:t>
      </w:r>
      <w:r>
        <w:rPr>
          <w:rStyle w:val="FootnoteAnchor"/>
          <w:rtl w:val="true"/>
        </w:rPr>
        <w:footnoteReference w:id="566"/>
      </w:r>
      <w:r>
        <w:rPr>
          <w:rFonts w:ascii="Amiri" w:hAnsi="Amiri" w:eastAsia="Amiri" w:cs="Amiri"/>
          <w:color w:val="111111"/>
          <w:sz w:val="28"/>
          <w:sz w:val="28"/>
          <w:szCs w:val="28"/>
          <w:rtl w:val="true"/>
          <w:lang w:bidi="ar-SA"/>
        </w:rPr>
        <w:t xml:space="preserve">، و خلافاً للفاضلين </w:t>
      </w:r>
      <w:r>
        <w:rPr>
          <w:rStyle w:val="FootnoteAnchor"/>
          <w:rtl w:val="true"/>
        </w:rPr>
        <w:footnoteReference w:id="567"/>
      </w:r>
      <w:r>
        <w:rPr>
          <w:rFonts w:ascii="Amiri" w:hAnsi="Amiri" w:eastAsia="Amiri" w:cs="Amiri"/>
          <w:color w:val="111111"/>
          <w:sz w:val="28"/>
          <w:sz w:val="28"/>
          <w:szCs w:val="28"/>
          <w:rtl w:val="true"/>
          <w:lang w:bidi="ar-SA"/>
        </w:rPr>
        <w:t>و أكثر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الغسل، و عموم الطهوريّة، و قضيّة الأعرابي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ظاهر الصحيحين و الخبر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الغسالة، فما لم تنفصل بنفسها أو بالعصر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النجاسة و كون الجفاف كالانفصال بأحد الوجهين، و التفرقة بينهما تحكّم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 مثل النقيع في النجس، و الجلد المدهون به بوضعه في الكثير حتّى يصل الماء إلى 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غسله بالقليل لا يوجب ذلك، و وضعه فيه ينجّسه، و للفاضل قول </w:t>
      </w:r>
      <w:r>
        <w:rPr>
          <w:rStyle w:val="FootnoteAnchor"/>
          <w:rtl w:val="true"/>
        </w:rPr>
        <w:footnoteReference w:id="570"/>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اللحم النجس يطهر بالغسل، وفاقاً للإطلاقات، و خصوص الخبرين </w:t>
      </w:r>
      <w:r>
        <w:rPr>
          <w:rStyle w:val="FootnoteAnchor"/>
          <w:rtl w:val="true"/>
        </w:rPr>
        <w:footnoteReference w:id="571"/>
      </w:r>
      <w:r>
        <w:rPr>
          <w:rFonts w:ascii="Amiri" w:hAnsi="Amiri" w:eastAsia="Amiri" w:cs="Amiri"/>
          <w:color w:val="111111"/>
          <w:sz w:val="28"/>
          <w:sz w:val="28"/>
          <w:szCs w:val="28"/>
          <w:rtl w:val="true"/>
          <w:lang w:bidi="ar-SA"/>
        </w:rPr>
        <w:t>، و لو تخلّله نجاسة وجب الإزالة و لو بالدلك أو الوضع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العجين يطهر بترقيقه و وضعه فيه حتّى يتخلّله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بعدم قبوله الطهر لا وجه له، و ما في الصحاح الثلاث </w:t>
      </w:r>
      <w:r>
        <w:rPr>
          <w:rStyle w:val="FootnoteAnchor"/>
          <w:rtl w:val="true"/>
        </w:rPr>
        <w:footnoteReference w:id="573"/>
      </w:r>
      <w:r>
        <w:rPr>
          <w:rFonts w:ascii="Amiri" w:hAnsi="Amiri" w:eastAsia="Amiri" w:cs="Amiri"/>
          <w:color w:val="111111"/>
          <w:sz w:val="28"/>
          <w:sz w:val="28"/>
          <w:szCs w:val="28"/>
          <w:rtl w:val="true"/>
          <w:lang w:bidi="ar-SA"/>
        </w:rPr>
        <w:t xml:space="preserve">من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ينفصل منه الغسالة ينحصر غسله على العصر بالكثير، و عندنا قد يحصل بالقليل؛ إذ المناط فيه وصول الماء إلى كلّ جزء نجس، فالمائع لا يقبله لخروجه باستيعاب النفوذ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إن تنجّس ظاهره كفى في طهره الصب، و مع السراية في باطنه لا بدّ من استيعاب تخلّل القليل أو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تعذّره ينسدّ طريق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أفتىٰ بتطهّر الدهن إذا صبّ في الكثير و ضرب حتّى تخلّله ثمّ اجتمع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عليه باستحالة الاختلاط، و الظاهر إمكانه مع سخونة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حتّ دم الحيض و قرصه، بالإجماع و النبوي </w:t>
      </w:r>
      <w:r>
        <w:rPr>
          <w:rStyle w:val="FootnoteAnchor"/>
          <w:rtl w:val="true"/>
        </w:rPr>
        <w:footnoteReference w:id="575"/>
      </w:r>
      <w:r>
        <w:rPr>
          <w:rFonts w:ascii="Amiri" w:hAnsi="Amiri" w:eastAsia="Amiri" w:cs="Amiri"/>
          <w:color w:val="111111"/>
          <w:sz w:val="28"/>
          <w:sz w:val="28"/>
          <w:szCs w:val="28"/>
          <w:rtl w:val="true"/>
          <w:lang w:bidi="ar-SA"/>
        </w:rPr>
        <w:t>، و التعدية إلى غيره باطلة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الغسل بالصبّ من الفم؛ للإطلاقات، و خصوص الصحيح </w:t>
      </w:r>
      <w:r>
        <w:rPr>
          <w:rStyle w:val="FootnoteAnchor"/>
          <w:rtl w:val="true"/>
        </w:rPr>
        <w:footnoteReference w:id="576"/>
      </w:r>
      <w:r>
        <w:rPr>
          <w:rFonts w:ascii="Amiri" w:hAnsi="Amiri" w:eastAsia="Amiri" w:cs="Amiri"/>
          <w:color w:val="111111"/>
          <w:sz w:val="28"/>
          <w:sz w:val="28"/>
          <w:szCs w:val="28"/>
          <w:rtl w:val="true"/>
          <w:lang w:bidi="ar-SA"/>
        </w:rPr>
        <w:t>، فيجب بالانحصار</w:t>
      </w:r>
      <w:r>
        <w:rPr>
          <w:rFonts w:eastAsia="Amiri" w:cs="Amiri" w:ascii="Amiri" w:hAnsi="Amiri"/>
          <w:color w:val="111111"/>
          <w:sz w:val="28"/>
          <w:szCs w:val="28"/>
          <w:rtl w:val="true"/>
          <w:lang w:bidi="ar-SA"/>
        </w:rPr>
        <w:t>.</w:t>
      </w:r>
      <w:bookmarkStart w:id="205" w:name="pg2479_11540"/>
    </w:p>
    <w:p>
      <w:pPr>
        <w:pStyle w:val="Heading5"/>
        <w:numPr>
          <w:ilvl w:val="4"/>
          <w:numId w:val="1"/>
        </w:numPr>
        <w:rPr/>
      </w:pPr>
      <w:bookmarkStart w:id="206" w:name="__RefHeading___Toc3731945_3804643083"/>
      <w:bookmarkStart w:id="207" w:name="_Toc78"/>
      <w:bookmarkEnd w:id="205"/>
      <w:bookmarkEnd w:id="206"/>
      <w:r>
        <w:rPr>
          <w:rtl w:val="true"/>
        </w:rPr>
        <w:t xml:space="preserve">فصل </w:t>
      </w:r>
      <w:r>
        <w:rPr>
          <w:rtl w:val="true"/>
        </w:rPr>
        <w:t>[</w:t>
      </w:r>
      <w:r>
        <w:rPr>
          <w:rtl w:val="true"/>
        </w:rPr>
        <w:t>تطهير الأواني من الخمر و الفأرة</w:t>
      </w:r>
      <w:r>
        <w:rPr>
          <w:rtl w:val="true"/>
        </w:rPr>
        <w:t>]</w:t>
      </w:r>
      <w:bookmarkEnd w:id="207"/>
    </w:p>
    <w:p>
      <w:pPr>
        <w:pStyle w:val="BookText"/>
        <w:rPr/>
      </w:pPr>
      <w:r>
        <w:rPr>
          <w:rFonts w:ascii="Amiri" w:hAnsi="Amiri" w:eastAsia="Amiri" w:cs="Amiri"/>
          <w:color w:val="111111"/>
          <w:sz w:val="28"/>
          <w:sz w:val="28"/>
          <w:szCs w:val="28"/>
          <w:rtl w:val="true"/>
          <w:lang w:bidi="ar-SA"/>
        </w:rPr>
        <w:t xml:space="preserve">غسل أواني الخمر بالثلاث،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بالسبع كالمفيد و الديلمي </w:t>
      </w:r>
      <w:r>
        <w:rPr>
          <w:rStyle w:val="FootnoteAnchor"/>
          <w:rtl w:val="true"/>
        </w:rPr>
        <w:footnoteReference w:id="578"/>
      </w:r>
      <w:r>
        <w:rPr>
          <w:rFonts w:ascii="Amiri" w:hAnsi="Amiri" w:eastAsia="Amiri" w:cs="Amiri"/>
          <w:color w:val="111111"/>
          <w:sz w:val="28"/>
          <w:sz w:val="28"/>
          <w:szCs w:val="28"/>
          <w:rtl w:val="true"/>
          <w:lang w:bidi="ar-SA"/>
        </w:rPr>
        <w:t xml:space="preserve">، و لا بالمرّتين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و لا بالمرّة مطلقاً كالعاملي </w:t>
      </w:r>
      <w:r>
        <w:rPr>
          <w:rStyle w:val="FootnoteAnchor"/>
          <w:rtl w:val="true"/>
        </w:rPr>
        <w:footnoteReference w:id="580"/>
      </w:r>
      <w:r>
        <w:rPr>
          <w:rFonts w:ascii="Amiri" w:hAnsi="Amiri" w:eastAsia="Amiri" w:cs="Amiri"/>
          <w:color w:val="111111"/>
          <w:sz w:val="28"/>
          <w:sz w:val="28"/>
          <w:szCs w:val="28"/>
          <w:rtl w:val="true"/>
          <w:lang w:bidi="ar-SA"/>
        </w:rPr>
        <w:t xml:space="preserve">، أو بعد إزالة العين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للفاضل الأوّل و الرابع </w:t>
      </w:r>
      <w:r>
        <w:rPr>
          <w:rStyle w:val="FootnoteAnchor"/>
          <w:rtl w:val="true"/>
        </w:rPr>
        <w:footnoteReference w:id="582"/>
      </w:r>
      <w:r>
        <w:rPr>
          <w:rFonts w:ascii="Amiri" w:hAnsi="Amiri" w:eastAsia="Amiri" w:cs="Amiri"/>
          <w:color w:val="111111"/>
          <w:sz w:val="28"/>
          <w:sz w:val="28"/>
          <w:szCs w:val="28"/>
          <w:rtl w:val="true"/>
          <w:lang w:bidi="ar-SA"/>
        </w:rPr>
        <w:t xml:space="preserve">أيضاً، و للشيخ و الشهيد </w:t>
      </w:r>
      <w:r>
        <w:rPr>
          <w:rStyle w:val="FootnoteAnchor"/>
          <w:rtl w:val="true"/>
        </w:rPr>
        <w:footnoteReference w:id="583"/>
      </w:r>
      <w:r>
        <w:rPr>
          <w:rFonts w:ascii="Amiri" w:hAnsi="Amiri" w:eastAsia="Amiri" w:cs="Amiri"/>
          <w:color w:val="111111"/>
          <w:sz w:val="28"/>
          <w:sz w:val="28"/>
          <w:szCs w:val="28"/>
          <w:rtl w:val="true"/>
          <w:lang w:bidi="ar-SA"/>
        </w:rPr>
        <w:t>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الشيخ </w:t>
      </w:r>
      <w:r>
        <w:rPr>
          <w:rStyle w:val="FootnoteAnchor"/>
          <w:rtl w:val="true"/>
        </w:rPr>
        <w:footnoteReference w:id="584"/>
      </w:r>
      <w:r>
        <w:rPr>
          <w:rFonts w:ascii="Amiri" w:hAnsi="Amiri" w:eastAsia="Amiri" w:cs="Amiri"/>
          <w:color w:val="111111"/>
          <w:sz w:val="28"/>
          <w:sz w:val="28"/>
          <w:szCs w:val="28"/>
          <w:rtl w:val="true"/>
          <w:lang w:bidi="ar-SA"/>
        </w:rPr>
        <w:t xml:space="preserve">، و إطلاق أحد الموثّقين </w:t>
      </w:r>
      <w:r>
        <w:rPr>
          <w:rStyle w:val="FootnoteAnchor"/>
          <w:rtl w:val="true"/>
        </w:rPr>
        <w:footnoteReference w:id="585"/>
      </w:r>
      <w:r>
        <w:rPr>
          <w:rFonts w:ascii="IRNazanin" w:hAnsi="IRNazanin" w:eastAsia="IRNazanin"/>
          <w:color w:val="111111"/>
          <w:sz w:val="28"/>
          <w:sz w:val="28"/>
          <w:szCs w:val="28"/>
          <w:rtl w:val="true"/>
          <w:lang w:bidi="fa-IR"/>
        </w:rPr>
        <w:t xml:space="preserve">، و خصوص الآخر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أيضاً على عدم كفاية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على نفي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الغسل و عموم الطهوريّة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الموثّقان </w:t>
      </w:r>
      <w:r>
        <w:rPr>
          <w:rStyle w:val="FootnoteAnchor"/>
          <w:rtl w:val="true"/>
        </w:rPr>
        <w:footnoteReference w:id="587"/>
      </w:r>
      <w:r>
        <w:rPr>
          <w:rFonts w:ascii="Amiri" w:hAnsi="Amiri" w:eastAsia="Amiri" w:cs="Amiri"/>
          <w:color w:val="111111"/>
          <w:sz w:val="28"/>
          <w:sz w:val="28"/>
          <w:szCs w:val="28"/>
          <w:rtl w:val="true"/>
          <w:lang w:bidi="ar-SA"/>
        </w:rPr>
        <w:t>، و حملا على الندب جمعاً، و العمل بظاهرهما يوجب طرح الأوّلين مع اعتضادهما بما ذكر، و أشهريّة العمل بالأخيرين ممنوعة</w:t>
      </w:r>
      <w:r>
        <w:rPr>
          <w:rFonts w:eastAsia="Amiri" w:cs="Amiri" w:ascii="Amiri" w:hAnsi="Amiri"/>
          <w:color w:val="111111"/>
          <w:sz w:val="28"/>
          <w:szCs w:val="28"/>
          <w:rtl w:val="true"/>
          <w:lang w:bidi="ar-SA"/>
        </w:rPr>
        <w:t>.</w:t>
      </w:r>
      <w:bookmarkStart w:id="208" w:name="pg2479_11541"/>
    </w:p>
    <w:p>
      <w:pPr>
        <w:pStyle w:val="BookText"/>
        <w:rPr/>
      </w:pPr>
      <w:bookmarkEnd w:id="208"/>
      <w:r>
        <w:rPr>
          <w:rFonts w:ascii="Amiri" w:hAnsi="Amiri" w:eastAsia="Amiri" w:cs="Amiri"/>
          <w:color w:val="111111"/>
          <w:sz w:val="28"/>
          <w:sz w:val="28"/>
          <w:szCs w:val="28"/>
          <w:rtl w:val="true"/>
          <w:lang w:bidi="ar-SA"/>
        </w:rPr>
        <w:t>للمرّتين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الخمر على البول و آنيته على الثوب،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إطلاقات الغسل، و أُجيب بالاندفاع و التقييد بالأقوىٰ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الأخير من التقييد 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اختصاص الحكم بالخمر، فلا يتعدّى إلى كلّ مسكر؛ لعدم نصّ على علّة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الفأرة كالخمر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سوى نقل الإجماع، و أحد الموثّقين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Style w:val="FootnoteAnchor"/>
          <w:rtl w:val="true"/>
        </w:rPr>
        <w:footnoteReference w:id="588"/>
      </w:r>
      <w:r>
        <w:rPr>
          <w:rFonts w:ascii="IRNazanin" w:hAnsi="IRNazanin" w:eastAsia="IRNazanin"/>
          <w:color w:val="111111"/>
          <w:sz w:val="28"/>
          <w:sz w:val="28"/>
          <w:szCs w:val="28"/>
          <w:rtl w:val="true"/>
          <w:lang w:bidi="fa-IR"/>
        </w:rPr>
        <w:t>، و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هنا المرّة؛ للإطلاقات؛ إذ ما للثلاث في محلّ الخلاف لا يقاومها، و الوارد في خبر السبع الجرذ و هو أخصّ من الفأرة فالتعميم لا حجّة له، و القصر على المورد و الاكتفاء في غيره بالمرّة لا قائل به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731947_3804643083"/>
      <w:bookmarkStart w:id="210" w:name="_Toc79"/>
      <w:bookmarkEnd w:id="209"/>
      <w:r>
        <w:rPr>
          <w:rtl w:val="true"/>
        </w:rPr>
        <w:t xml:space="preserve">فصل </w:t>
      </w:r>
      <w:r>
        <w:rPr>
          <w:rtl w:val="true"/>
        </w:rPr>
        <w:t>[</w:t>
      </w:r>
      <w:r>
        <w:rPr>
          <w:rtl w:val="true"/>
        </w:rPr>
        <w:t>ولوغ الكلب</w:t>
      </w:r>
      <w:r>
        <w:rPr>
          <w:rtl w:val="true"/>
        </w:rPr>
        <w:t>]</w:t>
      </w:r>
      <w:bookmarkEnd w:id="2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ولوغ الكلب يوجب الثلاث، وفاقاً للمعظم، لا السبع كالإسكافي </w:t>
      </w:r>
      <w:r>
        <w:rPr>
          <w:rStyle w:val="FootnoteAnchor"/>
          <w:rtl w:val="true"/>
        </w:rPr>
        <w:footnoteReference w:id="589"/>
      </w:r>
      <w:r>
        <w:rPr>
          <w:rFonts w:ascii="Amiri" w:hAnsi="Amiri" w:eastAsia="Amiri" w:cs="Amiri"/>
          <w:color w:val="111111"/>
          <w:sz w:val="28"/>
          <w:sz w:val="28"/>
          <w:szCs w:val="28"/>
          <w:rtl w:val="true"/>
          <w:lang w:bidi="ar-SA"/>
        </w:rPr>
        <w:t xml:space="preserve">، و أُولاها التراب، دون وسطاها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لا إحداها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نقل الإجماع </w:t>
      </w:r>
      <w:r>
        <w:rPr>
          <w:rStyle w:val="FootnoteAnchor"/>
          <w:rtl w:val="true"/>
        </w:rPr>
        <w:footnoteReference w:id="592"/>
      </w:r>
      <w:r>
        <w:rPr>
          <w:rFonts w:ascii="Amiri" w:hAnsi="Amiri" w:eastAsia="Amiri" w:cs="Amiri"/>
          <w:color w:val="111111"/>
          <w:sz w:val="28"/>
          <w:sz w:val="28"/>
          <w:szCs w:val="28"/>
          <w:rtl w:val="true"/>
          <w:lang w:bidi="ar-SA"/>
        </w:rPr>
        <w:t xml:space="preserve">، و صريح الصحيح </w:t>
      </w:r>
      <w:r>
        <w:rPr>
          <w:rStyle w:val="FootnoteAnchor"/>
          <w:rtl w:val="true"/>
        </w:rPr>
        <w:footnoteReference w:id="593"/>
      </w:r>
      <w:r>
        <w:rPr>
          <w:rFonts w:ascii="Amiri" w:hAnsi="Amiri" w:eastAsia="Amiri" w:cs="Amiri"/>
          <w:color w:val="111111"/>
          <w:sz w:val="28"/>
          <w:sz w:val="28"/>
          <w:szCs w:val="28"/>
          <w:rtl w:val="true"/>
          <w:lang w:bidi="ar-SA"/>
        </w:rPr>
        <w:t xml:space="preserve">و الرضوي </w:t>
      </w:r>
      <w:r>
        <w:rPr>
          <w:rStyle w:val="FootnoteAnchor"/>
          <w:rtl w:val="true"/>
        </w:rPr>
        <w:footnoteReference w:id="594"/>
      </w:r>
      <w:r>
        <w:rPr>
          <w:rFonts w:ascii="Amiri" w:hAnsi="Amiri" w:eastAsia="Amiri" w:cs="Amiri"/>
          <w:color w:val="111111"/>
          <w:sz w:val="28"/>
          <w:sz w:val="28"/>
          <w:szCs w:val="28"/>
          <w:rtl w:val="true"/>
          <w:lang w:bidi="ar-SA"/>
        </w:rPr>
        <w:t>، و ما مرّ لنفي الزائد و عدم كفاية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Style w:val="FootnoteAnchor"/>
          <w:rtl w:val="true"/>
        </w:rPr>
        <w:footnoteReference w:id="595"/>
      </w:r>
      <w:r>
        <w:rPr>
          <w:rFonts w:ascii="Amiri" w:hAnsi="Amiri" w:eastAsia="Amiri" w:cs="Amiri"/>
          <w:color w:val="111111"/>
          <w:sz w:val="28"/>
          <w:sz w:val="28"/>
          <w:szCs w:val="28"/>
          <w:rtl w:val="true"/>
          <w:lang w:bidi="ar-SA"/>
        </w:rPr>
        <w:t xml:space="preserve">، و هو محمول على الندب، و النبويّ </w:t>
      </w:r>
      <w:r>
        <w:rPr>
          <w:rStyle w:val="FootnoteAnchor"/>
          <w:rtl w:val="true"/>
        </w:rPr>
        <w:footnoteReference w:id="596"/>
      </w:r>
      <w:r>
        <w:rPr>
          <w:rFonts w:ascii="Amiri" w:hAnsi="Amiri" w:eastAsia="Amiri" w:cs="Amiri"/>
          <w:color w:val="111111"/>
          <w:sz w:val="28"/>
          <w:sz w:val="28"/>
          <w:szCs w:val="28"/>
          <w:rtl w:val="true"/>
          <w:lang w:bidi="ar-SA"/>
        </w:rPr>
        <w:t>، و هو عامّي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مستند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التجفيف بعد الغسل؛ للأصل، و إطلاق الصحيح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للرضويّ </w:t>
      </w:r>
      <w:r>
        <w:rPr>
          <w:rStyle w:val="FootnoteAnchor"/>
          <w:rtl w:val="true"/>
        </w:rPr>
        <w:footnoteReference w:id="599"/>
      </w:r>
      <w:r>
        <w:rPr>
          <w:rFonts w:ascii="Amiri" w:hAnsi="Amiri" w:eastAsia="Amiri" w:cs="Amiri"/>
          <w:color w:val="111111"/>
          <w:sz w:val="28"/>
          <w:sz w:val="28"/>
          <w:szCs w:val="28"/>
          <w:rtl w:val="true"/>
          <w:lang w:bidi="ar-SA"/>
        </w:rPr>
        <w:t>، و لا حجية فيه بدون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مباشرته بباقي الأعضاء كالولوغ، وفاقاً للمفيد و الصدوقين </w:t>
      </w:r>
      <w:r>
        <w:rPr>
          <w:rStyle w:val="FootnoteAnchor"/>
          <w:rtl w:val="true"/>
        </w:rPr>
        <w:footnoteReference w:id="600"/>
      </w:r>
      <w:r>
        <w:rPr>
          <w:rFonts w:ascii="Amiri" w:hAnsi="Amiri" w:eastAsia="Amiri" w:cs="Amiri"/>
          <w:color w:val="111111"/>
          <w:sz w:val="28"/>
          <w:sz w:val="28"/>
          <w:szCs w:val="28"/>
          <w:rtl w:val="true"/>
          <w:lang w:bidi="ar-SA"/>
        </w:rPr>
        <w:t xml:space="preserve">لإطلاق الصحيح، و صريح الرضوي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خلافاً للأكثر؛ لاختصاص الفضل الوارد فيه بما باشره فمه، و توقّف التعدية على إحدى الطرق المعتبرة، 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ما باشره جسم الحيوان، لا مجرّد فمه كما ظنّ، و لا يلحقه مثل عرقه و لعابه؛ لعدم تناول النصّ له، فيكفيه مسمّى الغسل؛ لإطلاقاته كسائر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لوجوه لا عبرة بها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مزج التراب بالماء، أو جوازه مطلقاً، أو إذا لم يرفع الاسم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و الراوندي </w:t>
      </w:r>
      <w:r>
        <w:rPr>
          <w:rStyle w:val="FootnoteAnchor"/>
          <w:rtl w:val="true"/>
        </w:rPr>
        <w:footnoteReference w:id="603"/>
      </w:r>
      <w:r>
        <w:rPr>
          <w:rFonts w:ascii="Amiri" w:hAnsi="Amiri" w:eastAsia="Amiri" w:cs="Amiri"/>
          <w:color w:val="111111"/>
          <w:sz w:val="28"/>
          <w:sz w:val="28"/>
          <w:szCs w:val="28"/>
          <w:rtl w:val="true"/>
          <w:lang w:bidi="ar-SA"/>
        </w:rPr>
        <w:t>لتوقّف ما في النصّ من الغسل بالتراب عليه، و هو جريان المائع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لإطلاق النصّ، و حصول الغرض بالمزج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للعاملي </w:t>
      </w:r>
      <w:r>
        <w:rPr>
          <w:rStyle w:val="FootnoteAnchor"/>
          <w:rtl w:val="true"/>
        </w:rPr>
        <w:footnoteReference w:id="605"/>
      </w:r>
      <w:r>
        <w:rPr>
          <w:rFonts w:ascii="Amiri" w:hAnsi="Amiri" w:eastAsia="Amiri" w:cs="Amiri"/>
          <w:color w:val="111111"/>
          <w:sz w:val="28"/>
          <w:sz w:val="28"/>
          <w:szCs w:val="28"/>
          <w:rtl w:val="true"/>
          <w:lang w:bidi="ar-SA"/>
        </w:rPr>
        <w:t>لتقييد الغسل بالتراب فلا يحصل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الأوّلان بإيجابهما التجوّز في الغسل؛ لأنّه جرى المطلق، لا مطلق الجري، و إن كان أقرب المجازين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التراب؛ لخروجه بالميعان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بعدم فائدة في مزج لا يرفع التسمية؛ لعدم إيجابه صدق الغسل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 أنّ المحصِّل للميعان يرفع الحقيقة فيهما، و غيره يرفعها في الغسل فلا فائدة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إبقاء التراب على أصله و ارتكاب التجوّز في الغسل بإرادة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الباء للمصاحبة، أو الاستعانة و إضمار متعلّق لها،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بالماء</w:t>
      </w:r>
    </w:p>
    <w:p>
      <w:pPr>
        <w:pStyle w:val="BookText"/>
        <w:rPr/>
      </w:pPr>
      <w:r>
        <w:rPr>
          <w:rFonts w:ascii="IRNazanin" w:hAnsi="IRNazanin" w:eastAsia="IRNazanin"/>
          <w:color w:val="111111"/>
          <w:sz w:val="28"/>
          <w:sz w:val="28"/>
          <w:szCs w:val="28"/>
          <w:rtl w:val="true"/>
          <w:lang w:bidi="fa-IR"/>
        </w:rPr>
        <w:t>ملابساً للتراب، أو بإعانته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المعظم على تعيّن التراب؛ لاختصاص النصّ به، فلا يجزئ ما يشابهه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606"/>
      </w:r>
      <w:r>
        <w:rPr>
          <w:rFonts w:ascii="Amiri" w:hAnsi="Amiri" w:eastAsia="Amiri" w:cs="Amiri"/>
          <w:color w:val="111111"/>
          <w:sz w:val="28"/>
          <w:sz w:val="28"/>
          <w:szCs w:val="28"/>
          <w:rtl w:val="true"/>
          <w:lang w:bidi="ar-SA"/>
        </w:rPr>
        <w:t>لقياس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المشهور بقاء النجاسة مع فقده، فلا يجزئ بدله المشابه و الماء على الترتيب أو التخيير؛ لإفادة الأمر اشتراط التطهير بهما، و التفرقة في الوضعي بين الإمكان و التعذّر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البدليّة تتوقّف على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أبلغيّة الماء و مثل الأشنان في الإنقاء ممنوعة، و لو سلّمت فغير نافعة؛ إذ التعدية مع عدم ظهور العلّة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خوف فساد المحلّ باستعماله كفقده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المتعدّد من الولوغ كالواحد؛ لظاهر النصّ، و ثبوت التداخل هنا؛ لاتّحاد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المتعدّد من النجاسة إن تساوت في الحكم تداخلت، و إلّا وجب الأكثر؛ لظاهر الوفاق، و يؤيّده الأصل، و 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لا تفيد المخالفة كما ظنّ </w:t>
      </w:r>
      <w:r>
        <w:rPr>
          <w:rStyle w:val="FootnoteAnchor"/>
          <w:rtl w:val="true"/>
        </w:rPr>
        <w:footnoteReference w:id="608"/>
      </w:r>
      <w:r>
        <w:rPr>
          <w:rFonts w:ascii="Amiri" w:hAnsi="Amiri" w:eastAsia="Amiri" w:cs="Amiri"/>
          <w:color w:val="111111"/>
          <w:sz w:val="28"/>
          <w:sz w:val="28"/>
          <w:szCs w:val="28"/>
          <w:rtl w:val="true"/>
          <w:lang w:bidi="ar-SA"/>
        </w:rPr>
        <w:t>، فأصالة عدم التداخل مخصّصة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في الأثناء إن ساوى موجبه الباقي تداخلا، و إلّا وجب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تعدية الحكم إلى ماء الولوغ؛ لظاهر الصحيح، و عدم الفرق بين تأخّر الملاقاة عن الوقوع في الإناء و تقدّمه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غسالته؛ للأصل و إطلاق الغسل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يختصّ التعدية بالواقع في إناء آخر، لا في مثل الثوب، و وجهه ظاهر</w:t>
      </w:r>
      <w:r>
        <w:rPr>
          <w:rFonts w:eastAsia="Amiri" w:cs="Amiri" w:ascii="Amiri" w:hAnsi="Amiri"/>
          <w:color w:val="111111"/>
          <w:sz w:val="28"/>
          <w:szCs w:val="28"/>
          <w:rtl w:val="true"/>
          <w:lang w:bidi="ar-SA"/>
        </w:rPr>
        <w:t>.</w:t>
      </w:r>
      <w:bookmarkStart w:id="211" w:name="pg2479_11545"/>
    </w:p>
    <w:p>
      <w:pPr>
        <w:pStyle w:val="Heading5"/>
        <w:numPr>
          <w:ilvl w:val="4"/>
          <w:numId w:val="1"/>
        </w:numPr>
        <w:rPr/>
      </w:pPr>
      <w:bookmarkStart w:id="212" w:name="__RefHeading___Toc3731949_3804643083"/>
      <w:bookmarkStart w:id="213" w:name="_Toc80"/>
      <w:bookmarkEnd w:id="211"/>
      <w:bookmarkEnd w:id="212"/>
      <w:r>
        <w:rPr>
          <w:rtl w:val="true"/>
        </w:rPr>
        <w:t xml:space="preserve">فصل </w:t>
      </w:r>
      <w:r>
        <w:rPr>
          <w:rtl w:val="true"/>
        </w:rPr>
        <w:t>[</w:t>
      </w:r>
      <w:r>
        <w:rPr>
          <w:rtl w:val="true"/>
        </w:rPr>
        <w:t>تطهير الآنية و الثياب</w:t>
      </w:r>
      <w:r>
        <w:rPr>
          <w:rtl w:val="true"/>
        </w:rPr>
        <w:t>]</w:t>
      </w:r>
      <w:bookmarkEnd w:id="213"/>
    </w:p>
    <w:p>
      <w:pPr>
        <w:pStyle w:val="BookText"/>
        <w:rPr/>
      </w:pPr>
      <w:r>
        <w:rPr>
          <w:rFonts w:ascii="Amiri" w:hAnsi="Amiri" w:eastAsia="Amiri" w:cs="Amiri"/>
          <w:color w:val="111111"/>
          <w:sz w:val="28"/>
          <w:sz w:val="28"/>
          <w:szCs w:val="28"/>
          <w:rtl w:val="true"/>
          <w:lang w:bidi="ar-SA"/>
        </w:rPr>
        <w:t xml:space="preserve">يجب السبع لولوغ الخنزير، وفاقاً للأكثر؛ للاستصحاب، و الصحيح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للكلب كالشيخ </w:t>
      </w:r>
      <w:r>
        <w:rPr>
          <w:rStyle w:val="FootnoteAnchor"/>
          <w:rtl w:val="true"/>
        </w:rPr>
        <w:footnoteReference w:id="610"/>
      </w:r>
      <w:r>
        <w:rPr>
          <w:rFonts w:ascii="Amiri" w:hAnsi="Amiri" w:eastAsia="Amiri" w:cs="Amiri"/>
          <w:color w:val="111111"/>
          <w:sz w:val="28"/>
          <w:sz w:val="28"/>
          <w:szCs w:val="28"/>
          <w:rtl w:val="true"/>
          <w:lang w:bidi="ar-SA"/>
        </w:rPr>
        <w:t xml:space="preserve">حملًا له عليه، و لا المرّة كالمحقّق </w:t>
      </w:r>
      <w:r>
        <w:rPr>
          <w:rStyle w:val="FootnoteAnchor"/>
          <w:rtl w:val="true"/>
        </w:rPr>
        <w:footnoteReference w:id="611"/>
      </w:r>
      <w:r>
        <w:rPr>
          <w:rFonts w:ascii="Amiri" w:hAnsi="Amiri" w:eastAsia="Amiri" w:cs="Amiri"/>
          <w:color w:val="111111"/>
          <w:sz w:val="28"/>
          <w:sz w:val="28"/>
          <w:szCs w:val="28"/>
          <w:rtl w:val="true"/>
          <w:lang w:bidi="ar-SA"/>
        </w:rPr>
        <w:t>لإطلاق الغسل؛ لضعف التعليلين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الثلاث لغسل الإناء من سائر النجاسات، وفاقاً للإسكافي </w:t>
      </w:r>
      <w:r>
        <w:rPr>
          <w:rStyle w:val="FootnoteAnchor"/>
          <w:rtl w:val="true"/>
        </w:rPr>
        <w:footnoteReference w:id="612"/>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المرّتان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و لا المرّة مطلقاً كالعاملي و ولديه </w:t>
      </w:r>
      <w:r>
        <w:rPr>
          <w:rStyle w:val="FootnoteAnchor"/>
          <w:rtl w:val="true"/>
        </w:rPr>
        <w:footnoteReference w:id="614"/>
      </w:r>
      <w:r>
        <w:rPr>
          <w:rFonts w:ascii="Amiri" w:hAnsi="Amiri" w:eastAsia="Amiri" w:cs="Amiri"/>
          <w:color w:val="111111"/>
          <w:sz w:val="28"/>
          <w:sz w:val="28"/>
          <w:szCs w:val="28"/>
          <w:rtl w:val="true"/>
          <w:lang w:bidi="ar-SA"/>
        </w:rPr>
        <w:t xml:space="preserve">، أو بعد إزالة العين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 و الفاضلان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على الأخير و في غيرهما </w:t>
      </w:r>
      <w:r>
        <w:rPr>
          <w:rStyle w:val="FootnoteAnchor"/>
          <w:rtl w:val="true"/>
        </w:rPr>
        <w:footnoteReference w:id="617"/>
      </w:r>
      <w:r>
        <w:rPr>
          <w:rFonts w:ascii="IRNazanin" w:hAnsi="IRNazanin" w:eastAsia="IRNazanin"/>
          <w:color w:val="111111"/>
          <w:sz w:val="28"/>
          <w:sz w:val="28"/>
          <w:szCs w:val="28"/>
          <w:rtl w:val="true"/>
          <w:lang w:bidi="fa-IR"/>
        </w:rPr>
        <w:t>على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و الموثّق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الشيخ </w:t>
      </w:r>
      <w:r>
        <w:rPr>
          <w:rStyle w:val="FootnoteAnchor"/>
          <w:rtl w:val="true"/>
        </w:rPr>
        <w:footnoteReference w:id="619"/>
      </w:r>
      <w:r>
        <w:rPr>
          <w:rFonts w:ascii="Amiri" w:hAnsi="Amiri" w:eastAsia="Amiri" w:cs="Amiri"/>
          <w:color w:val="111111"/>
          <w:sz w:val="28"/>
          <w:sz w:val="28"/>
          <w:szCs w:val="28"/>
          <w:rtl w:val="true"/>
          <w:lang w:bidi="ar-SA"/>
        </w:rPr>
        <w:t xml:space="preserve">ليس صريحاً في نقل الإجماع، فاحتجاج المحقّق به عليه </w:t>
      </w:r>
      <w:r>
        <w:rPr>
          <w:rStyle w:val="FootnoteAnchor"/>
          <w:rtl w:val="true"/>
        </w:rPr>
        <w:footnoteReference w:id="620"/>
      </w:r>
      <w:r>
        <w:rPr>
          <w:rFonts w:ascii="IRNazanin" w:hAnsi="IRNazanin" w:eastAsia="IRNazanin"/>
          <w:color w:val="111111"/>
          <w:sz w:val="28"/>
          <w:sz w:val="28"/>
          <w:szCs w:val="28"/>
          <w:rtl w:val="true"/>
          <w:lang w:bidi="fa-IR"/>
        </w:rPr>
        <w:t xml:space="preserve">ساقط، و ردّ الفاضل </w:t>
      </w:r>
      <w:r>
        <w:rPr>
          <w:rStyle w:val="FootnoteAnchor"/>
          <w:rtl w:val="true"/>
        </w:rPr>
        <w:footnoteReference w:id="621"/>
      </w:r>
      <w:r>
        <w:rPr>
          <w:rFonts w:ascii="Amiri" w:hAnsi="Amiri" w:eastAsia="Amiri" w:cs="Amiri"/>
          <w:color w:val="111111"/>
          <w:sz w:val="28"/>
          <w:sz w:val="28"/>
          <w:szCs w:val="28"/>
          <w:rtl w:val="true"/>
          <w:lang w:bidi="ar-SA"/>
        </w:rPr>
        <w:t>عليه في محلّه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ذكر يحصل غسل الإناء بالقليل و إن لم يكن مثبتاً يشقّ قلعه، و تخصيصه به لا وجه له، و خصوصه بالصب و التحريك و التفريغ، و يتكرّر بقدر ما اعتبر من العدد، و لو ملئت سقط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شمول الحكم لغير المدهون من الخزف، و غير الصلب من أواني الخمر، وفاقاً للمعظم؛ لإطلاق أدلّة الغسل، و كون الماء أنفذ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للقاضي و الإسكافي </w:t>
      </w:r>
      <w:r>
        <w:rPr>
          <w:rStyle w:val="FootnoteAnchor"/>
          <w:rtl w:val="true"/>
        </w:rPr>
        <w:footnoteReference w:id="622"/>
      </w:r>
      <w:r>
        <w:rPr>
          <w:rFonts w:ascii="IRNazanin" w:hAnsi="IRNazanin" w:eastAsia="IRNazanin"/>
          <w:color w:val="111111"/>
          <w:sz w:val="28"/>
          <w:sz w:val="28"/>
          <w:szCs w:val="28"/>
          <w:rtl w:val="true"/>
          <w:lang w:bidi="fa-IR"/>
        </w:rPr>
        <w:t xml:space="preserve">لأخبار </w:t>
      </w:r>
      <w:r>
        <w:rPr>
          <w:rStyle w:val="FootnoteAnchor"/>
          <w:rtl w:val="true"/>
        </w:rPr>
        <w:footnoteReference w:id="623"/>
      </w:r>
      <w:r>
        <w:rPr>
          <w:rFonts w:ascii="Amiri" w:hAnsi="Amiri" w:eastAsia="Amiri" w:cs="Amiri"/>
          <w:color w:val="111111"/>
          <w:sz w:val="28"/>
          <w:sz w:val="28"/>
          <w:szCs w:val="28"/>
          <w:rtl w:val="true"/>
          <w:lang w:bidi="ar-SA"/>
        </w:rPr>
        <w:t>ظاهرها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للمشركين من الإناء و غيرها طاهر ما لم يعلم نجاسته؛ للأصل، و العمومات، و خصوص المستفيضة </w:t>
      </w:r>
      <w:r>
        <w:rPr>
          <w:rStyle w:val="FootnoteAnchor"/>
          <w:rtl w:val="true"/>
        </w:rPr>
        <w:footnoteReference w:id="624"/>
      </w:r>
      <w:r>
        <w:rPr>
          <w:rFonts w:ascii="IRNazanin" w:hAnsi="IRNazanin" w:eastAsia="IRNazanin"/>
          <w:color w:val="111111"/>
          <w:sz w:val="28"/>
          <w:sz w:val="28"/>
          <w:szCs w:val="28"/>
          <w:rtl w:val="true"/>
          <w:lang w:bidi="fa-IR"/>
        </w:rPr>
        <w:t>، بل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توقّف الفاضل في طهر مائعهم </w:t>
      </w:r>
      <w:r>
        <w:rPr>
          <w:rStyle w:val="FootnoteAnchor"/>
          <w:rtl w:val="true"/>
        </w:rPr>
        <w:footnoteReference w:id="625"/>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الاجتناب </w:t>
      </w:r>
      <w:r>
        <w:rPr>
          <w:rStyle w:val="FootnoteAnchor"/>
          <w:rtl w:val="true"/>
        </w:rPr>
        <w:footnoteReference w:id="626"/>
      </w:r>
      <w:r>
        <w:rPr>
          <w:rFonts w:ascii="Amiri" w:hAnsi="Amiri" w:eastAsia="Amiri" w:cs="Amiri"/>
          <w:color w:val="111111"/>
          <w:sz w:val="28"/>
          <w:sz w:val="28"/>
          <w:szCs w:val="28"/>
          <w:rtl w:val="true"/>
          <w:lang w:bidi="ar-SA"/>
        </w:rPr>
        <w:t>محمول على الندب أو القطع بالمباشرة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يستثني ما يشترط بالتذكية كاللحم و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الصدوق و المفيد </w:t>
      </w:r>
      <w:r>
        <w:rPr>
          <w:rStyle w:val="FootnoteAnchor"/>
          <w:rtl w:val="true"/>
        </w:rPr>
        <w:footnoteReference w:id="627"/>
      </w:r>
      <w:r>
        <w:rPr>
          <w:rFonts w:ascii="Amiri" w:hAnsi="Amiri" w:eastAsia="Amiri" w:cs="Amiri"/>
          <w:color w:val="111111"/>
          <w:sz w:val="28"/>
          <w:sz w:val="28"/>
          <w:szCs w:val="28"/>
          <w:rtl w:val="true"/>
          <w:lang w:bidi="ar-SA"/>
        </w:rPr>
        <w:t xml:space="preserve">كصريح الشيخ </w:t>
      </w:r>
      <w:r>
        <w:rPr>
          <w:rStyle w:val="FootnoteAnchor"/>
          <w:rtl w:val="true"/>
        </w:rPr>
        <w:footnoteReference w:id="628"/>
      </w:r>
      <w:r>
        <w:rPr>
          <w:rFonts w:ascii="Amiri" w:hAnsi="Amiri" w:eastAsia="Amiri" w:cs="Amiri"/>
          <w:color w:val="111111"/>
          <w:sz w:val="28"/>
          <w:sz w:val="28"/>
          <w:szCs w:val="28"/>
          <w:rtl w:val="true"/>
          <w:lang w:bidi="ar-SA"/>
        </w:rPr>
        <w:t xml:space="preserve">و جماعة وجوب رشّ الثوب من ملاقاة الكلب و أخويه؛ لاستفاضة الأمر به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استحبابه؛ لإجماعهم على عدم التعدية مع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الوجوب؛ لإمكان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استحبابه في الكافر؛ للمعارض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لاختصاص النصّ بالثوب و الثلاثة لا يتعدّى الحكم إلى غيرهما اقتصاراً فيما خالف الأصل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المخالفة المبنيّة على التعدية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لظنّ التنجّس و الشكّ فيه؛ لاستفاضة الأمر به </w:t>
      </w:r>
      <w:r>
        <w:rPr>
          <w:rStyle w:val="FootnoteAnchor"/>
          <w:rtl w:val="true"/>
        </w:rPr>
        <w:footnoteReference w:id="631"/>
      </w:r>
      <w:r>
        <w:rPr>
          <w:rFonts w:ascii="Amiri" w:hAnsi="Amiri" w:eastAsia="Amiri" w:cs="Amiri"/>
          <w:color w:val="111111"/>
          <w:sz w:val="28"/>
          <w:sz w:val="28"/>
          <w:szCs w:val="28"/>
          <w:rtl w:val="true"/>
          <w:lang w:bidi="ar-SA"/>
        </w:rPr>
        <w:t>في موارد جزئيّة، و العموم يثبت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الندب لقوّة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للمدى، و أثر الفأرة الرطبة؛ للصحيحين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عرق الجنب؛ للخبرين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لوقوع الثوب على كلب ميّت؛ للصحيح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بول شاة أو بعير؛ للخبر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خيل أو بغال أو حمير، مع شكّ في الإصابة؛ للحسن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ولدي الجرح في المقعدة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يجد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بعد الاستنجاء و الوضوء؛ للصحيح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bookmarkStart w:id="214" w:name="pg2479_11548"/>
    </w:p>
    <w:p>
      <w:pPr>
        <w:pStyle w:val="Heading3"/>
        <w:numPr>
          <w:ilvl w:val="2"/>
          <w:numId w:val="1"/>
        </w:numPr>
        <w:rPr/>
      </w:pPr>
      <w:bookmarkStart w:id="215" w:name="__RefHeading___Toc3731951_3804643083"/>
      <w:bookmarkStart w:id="216" w:name="_Toc81"/>
      <w:bookmarkEnd w:id="214"/>
      <w:bookmarkEnd w:id="215"/>
      <w:r>
        <w:rPr>
          <w:rtl w:val="true"/>
        </w:rPr>
        <w:t>باب في المطهّرات</w:t>
      </w:r>
      <w:bookmarkEnd w:id="216"/>
    </w:p>
    <w:p>
      <w:pPr>
        <w:pStyle w:val="Heading4"/>
        <w:numPr>
          <w:ilvl w:val="3"/>
          <w:numId w:val="1"/>
        </w:numPr>
        <w:rPr/>
      </w:pPr>
      <w:bookmarkStart w:id="217" w:name="__RefHeading___Toc3731953_3804643083"/>
      <w:bookmarkStart w:id="218" w:name="_Toc82"/>
      <w:bookmarkEnd w:id="217"/>
      <w:r>
        <w:rPr>
          <w:rtl w:val="true"/>
        </w:rPr>
        <w:t xml:space="preserve">فصل </w:t>
      </w:r>
      <w:r>
        <w:rPr>
          <w:rtl w:val="true"/>
        </w:rPr>
        <w:t>[</w:t>
      </w:r>
      <w:r>
        <w:rPr>
          <w:rtl w:val="true"/>
        </w:rPr>
        <w:t>مطهّريّة الشمس</w:t>
      </w:r>
      <w:r>
        <w:rPr>
          <w:rtl w:val="true"/>
        </w:rPr>
        <w:t>]</w:t>
      </w:r>
      <w:bookmarkEnd w:id="218"/>
    </w:p>
    <w:p>
      <w:pPr>
        <w:pStyle w:val="BookText"/>
        <w:rPr/>
      </w:pPr>
      <w:r>
        <w:rPr>
          <w:rFonts w:ascii="Amiri" w:hAnsi="Amiri" w:eastAsia="Amiri" w:cs="Amiri"/>
          <w:color w:val="111111"/>
          <w:sz w:val="28"/>
          <w:sz w:val="28"/>
          <w:szCs w:val="28"/>
          <w:rtl w:val="true"/>
          <w:lang w:bidi="ar-SA"/>
        </w:rPr>
        <w:t xml:space="preserve">الشمس تطهّر الأرض و الحصر و البواري من البول بالتجفيف، وفاقاً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 المستفيض من النصّ </w:t>
      </w:r>
      <w:r>
        <w:rPr>
          <w:rStyle w:val="FootnoteAnchor"/>
          <w:rtl w:val="true"/>
        </w:rPr>
        <w:footnoteReference w:id="639"/>
      </w:r>
      <w:r>
        <w:rPr>
          <w:rFonts w:ascii="IRNazanin" w:hAnsi="IRNazanin" w:eastAsia="IRNazanin"/>
          <w:color w:val="111111"/>
          <w:sz w:val="28"/>
          <w:sz w:val="28"/>
          <w:szCs w:val="28"/>
          <w:rtl w:val="true"/>
          <w:lang w:bidi="fa-IR"/>
        </w:rPr>
        <w:t xml:space="preserve">و نقل الإجماع </w:t>
      </w:r>
      <w:r>
        <w:rPr>
          <w:rStyle w:val="FootnoteAnchor"/>
          <w:rtl w:val="true"/>
        </w:rPr>
        <w:footnoteReference w:id="640"/>
      </w:r>
      <w:r>
        <w:rPr>
          <w:rFonts w:ascii="Amiri" w:hAnsi="Amiri" w:eastAsia="Amiri" w:cs="Amiri"/>
          <w:color w:val="111111"/>
          <w:sz w:val="28"/>
          <w:sz w:val="28"/>
          <w:szCs w:val="28"/>
          <w:rtl w:val="true"/>
          <w:lang w:bidi="ar-SA"/>
        </w:rPr>
        <w:t xml:space="preserve">ثبوت التلازم بين الطهارة و صحّة السجود و الصلاة الثابتة بالمستفيضة من الصحاح و غيرها </w:t>
      </w:r>
      <w:r>
        <w:rPr>
          <w:rStyle w:val="FootnoteAnchor"/>
          <w:rtl w:val="true"/>
        </w:rPr>
        <w:footnoteReference w:id="641"/>
      </w:r>
      <w:r>
        <w:rPr>
          <w:rFonts w:ascii="Amiri" w:hAnsi="Amiri" w:eastAsia="Amiri" w:cs="Amiri"/>
          <w:color w:val="111111"/>
          <w:sz w:val="28"/>
          <w:sz w:val="28"/>
          <w:szCs w:val="28"/>
          <w:rtl w:val="true"/>
          <w:lang w:bidi="ar-SA"/>
        </w:rPr>
        <w:t>، و الإجماع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ردّ بسقوطه بالأقوىٰ، و قد يمنع ثبوته؛ لتغيّر الموضوع بالجفاف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الصحيح </w:t>
      </w:r>
      <w:r>
        <w:rPr>
          <w:rStyle w:val="FootnoteAnchor"/>
          <w:rtl w:val="true"/>
        </w:rPr>
        <w:footnoteReference w:id="642"/>
      </w:r>
      <w:r>
        <w:rPr>
          <w:rFonts w:ascii="Amiri" w:hAnsi="Amiri" w:eastAsia="Amiri" w:cs="Amiri"/>
          <w:color w:val="111111"/>
          <w:sz w:val="28"/>
          <w:sz w:val="28"/>
          <w:szCs w:val="28"/>
          <w:rtl w:val="true"/>
          <w:lang w:bidi="ar-SA"/>
        </w:rPr>
        <w:t>، و ردّ بعدم المقاومة، فيحمل على التقيّة أو الجفاف قبل الإشراق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نجاسة مائيّة كالبول، و ما لا ينقل عادة كالأرض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في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في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الخبر </w:t>
      </w:r>
      <w:r>
        <w:rPr>
          <w:rStyle w:val="FootnoteAnchor"/>
          <w:rtl w:val="true"/>
        </w:rPr>
        <w:footnoteReference w:id="646"/>
      </w:r>
      <w:r>
        <w:rPr>
          <w:rFonts w:ascii="Amiri" w:hAnsi="Amiri" w:eastAsia="Amiri" w:cs="Amiri"/>
          <w:color w:val="111111"/>
          <w:sz w:val="28"/>
          <w:sz w:val="28"/>
          <w:szCs w:val="28"/>
          <w:rtl w:val="true"/>
          <w:lang w:bidi="ar-SA"/>
        </w:rPr>
        <w:t xml:space="preserve">، و خصوص الرضوي </w:t>
      </w:r>
      <w:r>
        <w:rPr>
          <w:rStyle w:val="FootnoteAnchor"/>
          <w:rtl w:val="true"/>
        </w:rPr>
        <w:footnoteReference w:id="647"/>
      </w:r>
      <w:r>
        <w:rPr>
          <w:rFonts w:ascii="IRNazanin" w:hAnsi="IRNazanin" w:eastAsia="IRNazanin"/>
          <w:color w:val="111111"/>
          <w:sz w:val="28"/>
          <w:sz w:val="28"/>
          <w:szCs w:val="28"/>
          <w:rtl w:val="true"/>
          <w:lang w:bidi="fa-IR"/>
        </w:rPr>
        <w:t xml:space="preserve">، و ظاهر الموثّق </w:t>
      </w:r>
      <w:r>
        <w:rPr>
          <w:rStyle w:val="FootnoteAnchor"/>
          <w:rtl w:val="true"/>
        </w:rPr>
        <w:footnoteReference w:id="648"/>
      </w:r>
      <w:r>
        <w:rPr>
          <w:rFonts w:ascii="Amiri" w:hAnsi="Amiri" w:eastAsia="Amiri" w:cs="Amiri"/>
          <w:color w:val="111111"/>
          <w:sz w:val="28"/>
          <w:sz w:val="28"/>
          <w:szCs w:val="28"/>
          <w:rtl w:val="true"/>
          <w:lang w:bidi="ar-SA"/>
        </w:rPr>
        <w:t xml:space="preserve">، و يعضده نقل الوفاق </w:t>
      </w:r>
      <w:r>
        <w:rPr>
          <w:rStyle w:val="FootnoteAnchor"/>
          <w:rtl w:val="true"/>
        </w:rPr>
        <w:footnoteReference w:id="649"/>
      </w:r>
      <w:r>
        <w:rPr>
          <w:rFonts w:ascii="Amiri" w:hAnsi="Amiri" w:eastAsia="Amiri" w:cs="Amiri"/>
          <w:color w:val="111111"/>
          <w:sz w:val="28"/>
          <w:sz w:val="28"/>
          <w:szCs w:val="28"/>
          <w:rtl w:val="true"/>
          <w:lang w:bidi="ar-SA"/>
        </w:rPr>
        <w:t>، و لزوم الحرج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الأوّل عموم طهوريّة التراب، و اتّحاد الطريق، بل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الصحاح بالبول و الثلاثة </w:t>
      </w:r>
      <w:r>
        <w:rPr>
          <w:rStyle w:val="FootnoteAnchor"/>
          <w:rtl w:val="true"/>
        </w:rPr>
        <w:footnoteReference w:id="650"/>
      </w:r>
      <w:r>
        <w:rPr>
          <w:rFonts w:ascii="Amiri" w:hAnsi="Amiri" w:eastAsia="Amiri" w:cs="Amiri"/>
          <w:color w:val="111111"/>
          <w:sz w:val="28"/>
          <w:sz w:val="28"/>
          <w:szCs w:val="28"/>
          <w:rtl w:val="true"/>
          <w:lang w:bidi="ar-SA"/>
        </w:rPr>
        <w:t>، فيبقى غيرها على النجاسة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ينقل عادة يتناول كلّ جزء من الأرض، و ما في نقله تعذّر أو تعسّر، كالحجر و المدر و اللبن، و النبات و الشجر، و المثبت من الباب و الوتد و البناء و الخشب، و الفاكهة و التمر و إن حان أوان القطع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التطهّر بإشراقها، لا بحرارتها؛ لانتفاء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المشاركة كما هو الغالب غير قادحة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الجفاف بغير الشمس لا يطهّر؛ للاستصحاب، و الإجماعين، و الصحيح و الموثّق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 في بعض الصحاح مقيّد بها</w:t>
      </w:r>
      <w:r>
        <w:rPr>
          <w:rFonts w:eastAsia="Amiri" w:cs="Amiri" w:ascii="Amiri" w:hAnsi="Amiri"/>
          <w:color w:val="111111"/>
          <w:sz w:val="28"/>
          <w:szCs w:val="28"/>
          <w:rtl w:val="true"/>
          <w:lang w:bidi="ar-SA"/>
        </w:rPr>
        <w:t>.</w:t>
      </w:r>
      <w:bookmarkStart w:id="219" w:name="pg2479_11550"/>
    </w:p>
    <w:p>
      <w:pPr>
        <w:pStyle w:val="BookText"/>
        <w:rPr/>
      </w:pPr>
      <w:bookmarkEnd w:id="219"/>
      <w:r>
        <w:rPr>
          <w:rFonts w:ascii="Amiri" w:hAnsi="Amiri" w:eastAsia="Amiri" w:cs="Amiri"/>
          <w:color w:val="111111"/>
          <w:sz w:val="28"/>
          <w:sz w:val="28"/>
          <w:szCs w:val="28"/>
          <w:rtl w:val="true"/>
          <w:lang w:bidi="ar-SA"/>
        </w:rPr>
        <w:t>و ما جفّ بغيرها يطهر بتجفيفها بعد البلّ، و وجهه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الإشراق على الطاهر يطهّر ما اتّصل به من الباطن و الظاهر مع الوحدة الاتّصالية جسماً و نجاسة؛ لصدق المناط و السبب، و دفع المشقّة و الحرج</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731955_3804643083"/>
      <w:bookmarkStart w:id="221" w:name="_Toc83"/>
      <w:bookmarkEnd w:id="220"/>
      <w:r>
        <w:rPr>
          <w:rtl w:val="true"/>
        </w:rPr>
        <w:t xml:space="preserve">فصل </w:t>
      </w:r>
      <w:r>
        <w:rPr>
          <w:rtl w:val="true"/>
        </w:rPr>
        <w:t>[</w:t>
      </w:r>
      <w:r>
        <w:rPr>
          <w:rtl w:val="true"/>
        </w:rPr>
        <w:t>مطهّريّة الأرض</w:t>
      </w:r>
      <w:r>
        <w:rPr>
          <w:rtl w:val="true"/>
        </w:rPr>
        <w:t>]</w:t>
      </w:r>
      <w:bookmarkEnd w:id="221"/>
    </w:p>
    <w:p>
      <w:pPr>
        <w:pStyle w:val="BookText"/>
        <w:rPr/>
      </w:pPr>
      <w:r>
        <w:rPr>
          <w:rFonts w:ascii="Amiri" w:hAnsi="Amiri" w:eastAsia="Amiri" w:cs="Amiri"/>
          <w:color w:val="111111"/>
          <w:sz w:val="28"/>
          <w:sz w:val="28"/>
          <w:szCs w:val="28"/>
          <w:rtl w:val="true"/>
          <w:lang w:bidi="ar-SA"/>
        </w:rPr>
        <w:t xml:space="preserve">الأرض تطهّر باطن الخفّ و القدم مع زوال العين بالمشي أو الدلك؛ لظاهر الوفاق، و صريح المستفيضة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المناط في المشي ما أزال العين، و التقدير في الخبر بخمسة عشر ذراعاً </w:t>
      </w:r>
      <w:r>
        <w:rPr>
          <w:rStyle w:val="FootnoteAnchor"/>
          <w:rtl w:val="true"/>
        </w:rPr>
        <w:footnoteReference w:id="653"/>
      </w:r>
      <w:r>
        <w:rPr>
          <w:rFonts w:ascii="Amiri" w:hAnsi="Amiri" w:eastAsia="Amiri" w:cs="Amiri"/>
          <w:color w:val="111111"/>
          <w:sz w:val="28"/>
          <w:sz w:val="28"/>
          <w:szCs w:val="28"/>
          <w:rtl w:val="true"/>
          <w:lang w:bidi="ar-SA"/>
        </w:rPr>
        <w:t>بيان للأغلب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يتناول الرمل و الحجر و الرطبة و السبخة؛ لإطلاق الأدلّة، فاشتراط الجفاف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طهارتها؛ إذ النجس منجّس، فطهوريّته غير معقولة، فالإطلاق في بعض الظواهر و العبائر مقيّد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خرج عن الأرض بالطبخ لا يطهّر؛ لظاهر النصّ و الفتوىٰ، فالإطلاق في الصحيح </w:t>
      </w:r>
      <w:r>
        <w:rPr>
          <w:rStyle w:val="FootnoteAnchor"/>
          <w:rtl w:val="true"/>
        </w:rPr>
        <w:footnoteReference w:id="654"/>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w:t>
      </w:r>
      <w:bookmarkStart w:id="222" w:name="pg2479_11551"/>
    </w:p>
    <w:p>
      <w:pPr>
        <w:pStyle w:val="Heading4"/>
        <w:numPr>
          <w:ilvl w:val="3"/>
          <w:numId w:val="1"/>
        </w:numPr>
        <w:rPr/>
      </w:pPr>
      <w:bookmarkStart w:id="223" w:name="__RefHeading___Toc3731957_3804643083"/>
      <w:bookmarkStart w:id="224" w:name="_Toc84"/>
      <w:bookmarkEnd w:id="222"/>
      <w:bookmarkEnd w:id="223"/>
      <w:r>
        <w:rPr>
          <w:rtl w:val="true"/>
        </w:rPr>
        <w:t xml:space="preserve">فصل </w:t>
      </w:r>
      <w:r>
        <w:rPr>
          <w:rtl w:val="true"/>
        </w:rPr>
        <w:t>[</w:t>
      </w:r>
      <w:r>
        <w:rPr>
          <w:rtl w:val="true"/>
        </w:rPr>
        <w:t>مطهّريّة النار</w:t>
      </w:r>
      <w:r>
        <w:rPr>
          <w:rtl w:val="true"/>
        </w:rPr>
        <w:t>]</w:t>
      </w:r>
      <w:bookmarkEnd w:id="224"/>
    </w:p>
    <w:p>
      <w:pPr>
        <w:pStyle w:val="BookText"/>
        <w:rPr/>
      </w:pPr>
      <w:r>
        <w:rPr>
          <w:rFonts w:ascii="Amiri" w:hAnsi="Amiri" w:eastAsia="Amiri" w:cs="Amiri"/>
          <w:color w:val="111111"/>
          <w:sz w:val="28"/>
          <w:sz w:val="28"/>
          <w:szCs w:val="28"/>
          <w:rtl w:val="true"/>
          <w:lang w:bidi="ar-SA"/>
        </w:rPr>
        <w:t xml:space="preserve">النار تطهّر ما تحيله رماداً؛ لظاهر الصحيح </w:t>
      </w:r>
      <w:r>
        <w:rPr>
          <w:rStyle w:val="FootnoteAnchor"/>
          <w:rtl w:val="true"/>
        </w:rPr>
        <w:footnoteReference w:id="655"/>
      </w:r>
      <w:r>
        <w:rPr>
          <w:rFonts w:ascii="Amiri" w:hAnsi="Amiri" w:eastAsia="Amiri" w:cs="Amiri"/>
          <w:color w:val="111111"/>
          <w:sz w:val="28"/>
          <w:sz w:val="28"/>
          <w:szCs w:val="28"/>
          <w:rtl w:val="true"/>
          <w:lang w:bidi="ar-SA"/>
        </w:rPr>
        <w:t>، و الإجماعين، و أصالة الطهارتين، و تعلّق الحكم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فتردّد المحقّق </w:t>
      </w:r>
      <w:r>
        <w:rPr>
          <w:rStyle w:val="FootnoteAnchor"/>
          <w:rtl w:val="true"/>
        </w:rPr>
        <w:footnoteReference w:id="656"/>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أكثرها يتناول المتنجّس، و اختصاص النصّ بالنجس غير ضائر؛ لثبوت التعدية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الدخان كالرماد، وفاقاً للمعظم؛ للأصل، و تغيّر الحقيقة، و تكرّر نقل الإجماع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تنجيس دخان الدهن النجس ضعيف، و تعليله باستصحابه بعض أجزائه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ذلك 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 عن الاستصباح به تحت الظلال غير ثابت، و النصوص المجوّزة له مطلقاً </w:t>
      </w:r>
      <w:r>
        <w:rPr>
          <w:rStyle w:val="FootnoteAnchor"/>
          <w:rtl w:val="true"/>
        </w:rPr>
        <w:footnoteReference w:id="658"/>
      </w:r>
      <w:r>
        <w:rPr>
          <w:rFonts w:ascii="Amiri" w:hAnsi="Amiri" w:eastAsia="Amiri" w:cs="Amiri"/>
          <w:color w:val="111111"/>
          <w:sz w:val="28"/>
          <w:sz w:val="28"/>
          <w:szCs w:val="28"/>
          <w:rtl w:val="true"/>
          <w:lang w:bidi="ar-SA"/>
        </w:rPr>
        <w:t xml:space="preserve">كثيرة، و دعوى الإجماع من الحلّي </w:t>
      </w:r>
      <w:r>
        <w:rPr>
          <w:rStyle w:val="FootnoteAnchor"/>
          <w:rtl w:val="true"/>
        </w:rPr>
        <w:footnoteReference w:id="659"/>
      </w:r>
      <w:r>
        <w:rPr>
          <w:rFonts w:ascii="Amiri" w:hAnsi="Amiri" w:eastAsia="Amiri" w:cs="Amiri"/>
          <w:color w:val="111111"/>
          <w:sz w:val="28"/>
          <w:sz w:val="28"/>
          <w:szCs w:val="28"/>
          <w:rtl w:val="true"/>
          <w:lang w:bidi="ar-SA"/>
        </w:rPr>
        <w:t>غير مقاومة، و لو سلّم فهو محض التعبّد لا لنجاسته؛ لجواز تنجيس المالك ماله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مثلهما الفحم؛ للأصل، و زوال الاسم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إطلاق الصحيح </w:t>
      </w:r>
      <w:r>
        <w:rPr>
          <w:rStyle w:val="FootnoteAnchor"/>
          <w:rtl w:val="true"/>
        </w:rPr>
        <w:footnoteReference w:id="660"/>
      </w:r>
      <w:r>
        <w:rPr>
          <w:rFonts w:ascii="Amiri" w:hAnsi="Amiri" w:eastAsia="Amiri" w:cs="Amiri"/>
          <w:color w:val="111111"/>
          <w:sz w:val="28"/>
          <w:sz w:val="28"/>
          <w:szCs w:val="28"/>
          <w:rtl w:val="true"/>
          <w:lang w:bidi="ar-SA"/>
        </w:rPr>
        <w:t>، و تحريم المطاعم بصيرورته 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العاملي </w:t>
      </w:r>
      <w:r>
        <w:rPr>
          <w:rStyle w:val="FootnoteAnchor"/>
          <w:rtl w:val="true"/>
        </w:rPr>
        <w:footnoteReference w:id="661"/>
      </w:r>
      <w:r>
        <w:rPr>
          <w:rFonts w:ascii="Amiri" w:hAnsi="Amiri" w:eastAsia="Amiri" w:cs="Amiri"/>
          <w:color w:val="111111"/>
          <w:sz w:val="28"/>
          <w:sz w:val="28"/>
          <w:szCs w:val="28"/>
          <w:rtl w:val="true"/>
          <w:lang w:bidi="ar-SA"/>
        </w:rPr>
        <w:t xml:space="preserve">كمخالفة ولده </w:t>
      </w:r>
      <w:r>
        <w:rPr>
          <w:rStyle w:val="FootnoteAnchor"/>
          <w:rtl w:val="true"/>
        </w:rPr>
        <w:footnoteReference w:id="662"/>
      </w:r>
      <w:r>
        <w:rPr>
          <w:rFonts w:ascii="Amiri" w:hAnsi="Amiri" w:eastAsia="Amiri" w:cs="Amiri"/>
          <w:color w:val="111111"/>
          <w:sz w:val="28"/>
          <w:sz w:val="28"/>
          <w:szCs w:val="28"/>
          <w:rtl w:val="true"/>
          <w:lang w:bidi="ar-SA"/>
        </w:rPr>
        <w:t>في الحاصل عن المتنجّس لا وجه له، و تغيّر الموضوع صورة و اسماً يبطل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الخزف و الآجر، وفاقاً لجماعة؛ للأصل، و الاستحالة، و إطلاق الصحيح، و نقله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للعاملي </w:t>
      </w:r>
      <w:r>
        <w:rPr>
          <w:rStyle w:val="FootnoteAnchor"/>
          <w:rtl w:val="true"/>
        </w:rPr>
        <w:footnoteReference w:id="664"/>
      </w:r>
      <w:r>
        <w:rPr>
          <w:rFonts w:ascii="Amiri" w:hAnsi="Amiri" w:eastAsia="Amiri" w:cs="Amiri"/>
          <w:color w:val="111111"/>
          <w:sz w:val="28"/>
          <w:sz w:val="28"/>
          <w:szCs w:val="28"/>
          <w:rtl w:val="true"/>
          <w:lang w:bidi="ar-SA"/>
        </w:rPr>
        <w:t>لبقاء الاسم كالحجر، و ردّ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السجود عليه ممنوعة، و لو سلّم منعنا الملازمة كالقرطاس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طهر بخار النجس؛ للأصل، و الاستحالة، و نفي الحرج، و الإيماء إليه في الخبر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عمل المسلمين في الأعصار و الأمصار بلا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العجين النجس لا يطهر بالخبز، وفاقاً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المرسلين </w:t>
      </w:r>
      <w:r>
        <w:rPr>
          <w:rStyle w:val="FootnoteAnchor"/>
          <w:rtl w:val="true"/>
        </w:rPr>
        <w:footnoteReference w:id="666"/>
      </w:r>
      <w:r>
        <w:rPr>
          <w:rFonts w:ascii="Amiri" w:hAnsi="Amiri" w:eastAsia="Amiri" w:cs="Amiri"/>
          <w:color w:val="111111"/>
          <w:sz w:val="28"/>
          <w:sz w:val="28"/>
          <w:szCs w:val="28"/>
          <w:rtl w:val="true"/>
          <w:lang w:bidi="ar-SA"/>
        </w:rPr>
        <w:t>الاستصحاب، و عدم الاستحالة، فلا يرتفع أثر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 الخبر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بتأويلهما؛ لعدم المقاومة لما ذكر؛ لاعتضاده بالشهرة العظيمة، بل الإجماع؛ إذ الشيخ وافق المشهور في سائر كتبه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بيعه ممّن يستحلّ الميتة؛ للمستفيضة </w:t>
      </w:r>
      <w:r>
        <w:rPr>
          <w:rStyle w:val="FootnoteAnchor"/>
          <w:rtl w:val="true"/>
        </w:rPr>
        <w:footnoteReference w:id="669"/>
      </w:r>
      <w:r>
        <w:rPr>
          <w:rFonts w:ascii="Amiri" w:hAnsi="Amiri" w:eastAsia="Amiri" w:cs="Amiri"/>
          <w:color w:val="111111"/>
          <w:sz w:val="28"/>
          <w:sz w:val="28"/>
          <w:szCs w:val="28"/>
          <w:rtl w:val="true"/>
          <w:lang w:bidi="ar-SA"/>
        </w:rPr>
        <w:t>، و تخصيصه بغير الذمّي</w:t>
      </w:r>
      <w:bookmarkStart w:id="225" w:name="pg2479_11553"/>
    </w:p>
    <w:p>
      <w:pPr>
        <w:pStyle w:val="BookText"/>
        <w:rPr/>
      </w:pPr>
      <w:bookmarkEnd w:id="225"/>
      <w:r>
        <w:rPr>
          <w:rFonts w:ascii="Amiri" w:hAnsi="Amiri" w:eastAsia="Amiri" w:cs="Amiri"/>
          <w:color w:val="111111"/>
          <w:sz w:val="28"/>
          <w:sz w:val="28"/>
          <w:szCs w:val="28"/>
          <w:rtl w:val="true"/>
          <w:lang w:bidi="ar-SA"/>
        </w:rPr>
        <w:t xml:space="preserve">كالفاضل </w:t>
      </w:r>
      <w:r>
        <w:rPr>
          <w:rStyle w:val="FootnoteAnchor"/>
          <w:rtl w:val="true"/>
        </w:rPr>
        <w:footnoteReference w:id="670"/>
      </w:r>
      <w:r>
        <w:rPr>
          <w:rFonts w:ascii="Amiri" w:hAnsi="Amiri" w:eastAsia="Amiri" w:cs="Amiri"/>
          <w:color w:val="111111"/>
          <w:sz w:val="28"/>
          <w:sz w:val="28"/>
          <w:szCs w:val="28"/>
          <w:rtl w:val="true"/>
          <w:lang w:bidi="ar-SA"/>
        </w:rPr>
        <w:t>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المنع عن بيع النجس و كونه تعاوناً على الإثم ممنوع، و لو سلّم فالنصّ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التعدية إلى مطلق الكافر أو من يستحلّ مثله و إن لم يستحلّ الميتة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يطعم الحيوان؛ لعدم التحريم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جواز بيعه من المسلم مع الإعلام</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731959_3804643083"/>
      <w:bookmarkStart w:id="227" w:name="_Toc85"/>
      <w:bookmarkEnd w:id="226"/>
      <w:r>
        <w:rPr>
          <w:rtl w:val="true"/>
        </w:rPr>
        <w:t xml:space="preserve">فصل </w:t>
      </w:r>
      <w:r>
        <w:rPr>
          <w:rtl w:val="true"/>
        </w:rPr>
        <w:t>[</w:t>
      </w:r>
      <w:r>
        <w:rPr>
          <w:rtl w:val="true"/>
        </w:rPr>
        <w:t>الاستحالة المطهّرة</w:t>
      </w:r>
      <w:r>
        <w:rPr>
          <w:rtl w:val="true"/>
        </w:rPr>
        <w:t>]</w:t>
      </w:r>
      <w:bookmarkEnd w:id="227"/>
    </w:p>
    <w:p>
      <w:pPr>
        <w:pStyle w:val="BookText"/>
        <w:rPr/>
      </w:pPr>
      <w:r>
        <w:rPr>
          <w:rFonts w:ascii="Amiri" w:hAnsi="Amiri" w:eastAsia="Amiri" w:cs="Amiri"/>
          <w:color w:val="111111"/>
          <w:sz w:val="28"/>
          <w:sz w:val="28"/>
          <w:szCs w:val="28"/>
          <w:rtl w:val="true"/>
          <w:lang w:bidi="ar-SA"/>
        </w:rPr>
        <w:t>الاستحالة المطهّرة لا تختصّ بالنار، بل تعمّ ما يحصل بغيرها ممّا يعبّر عنه بالانقلاب، أو الانتقال، أو الاستهلاك، كاستحالة النطفة حيواناً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النجس من الماء و الغذاء جزء أو رطوبة لنبات أو حيوان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النجس قيحاً أو جزء لما لا نفس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المسكر من الخمر و غيره خلّاً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تطهير الجميع بعد الإجماع زوال علّة النجاسة، و قد ورد النصّ في بعضها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المشهور تطهّر الخمر و مثله بانقلابه خلّاً بالعلاج؛ للمعتبرة </w:t>
      </w:r>
      <w:r>
        <w:rPr>
          <w:rStyle w:val="FootnoteAnchor"/>
          <w:rtl w:val="true"/>
        </w:rPr>
        <w:footnoteReference w:id="671"/>
      </w:r>
      <w:r>
        <w:rPr>
          <w:rFonts w:ascii="Amiri" w:hAnsi="Amiri" w:eastAsia="Amiri" w:cs="Amiri"/>
          <w:color w:val="111111"/>
          <w:sz w:val="28"/>
          <w:sz w:val="28"/>
          <w:szCs w:val="28"/>
          <w:rtl w:val="true"/>
          <w:lang w:bidi="ar-SA"/>
        </w:rPr>
        <w:t>، و العلّة المطّردة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بعضهم </w:t>
      </w:r>
      <w:r>
        <w:rPr>
          <w:rStyle w:val="FootnoteAnchor"/>
          <w:rtl w:val="true"/>
        </w:rPr>
        <w:footnoteReference w:id="672"/>
      </w:r>
      <w:r>
        <w:rPr>
          <w:rFonts w:ascii="IRNazanin" w:hAnsi="IRNazanin" w:eastAsia="IRNazanin"/>
          <w:color w:val="111111"/>
          <w:sz w:val="28"/>
          <w:sz w:val="28"/>
          <w:szCs w:val="28"/>
          <w:rtl w:val="true"/>
          <w:lang w:bidi="fa-IR"/>
        </w:rPr>
        <w:t xml:space="preserve">لأخبار </w:t>
      </w:r>
      <w:r>
        <w:rPr>
          <w:rStyle w:val="FootnoteAnchor"/>
          <w:rtl w:val="true"/>
        </w:rPr>
        <w:footnoteReference w:id="673"/>
      </w:r>
      <w:r>
        <w:rPr>
          <w:rFonts w:ascii="Amiri" w:hAnsi="Amiri" w:eastAsia="Amiri" w:cs="Amiri"/>
          <w:color w:val="111111"/>
          <w:sz w:val="28"/>
          <w:sz w:val="28"/>
          <w:szCs w:val="28"/>
          <w:rtl w:val="true"/>
          <w:lang w:bidi="ar-SA"/>
        </w:rPr>
        <w:t>يتعيّن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في التطهّر بالعلاج غلبة الخمر على المطروح، فلا يحصل بالعكس؛ لخبر </w:t>
      </w:r>
      <w:r>
        <w:rPr>
          <w:rStyle w:val="FootnoteAnchor"/>
          <w:rtl w:val="true"/>
        </w:rPr>
        <w:footnoteReference w:id="674"/>
      </w:r>
      <w:r>
        <w:rPr>
          <w:rFonts w:ascii="Amiri" w:hAnsi="Amiri" w:eastAsia="Amiri" w:cs="Amiri"/>
          <w:color w:val="111111"/>
          <w:sz w:val="28"/>
          <w:sz w:val="28"/>
          <w:szCs w:val="28"/>
          <w:rtl w:val="true"/>
          <w:lang w:bidi="ar-SA"/>
        </w:rPr>
        <w:t>فيه إجمال، و لإيجابه الاستهلاك، و هو لا يطهر دون الانقلاب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الاستهلاك هنا يؤدّي إلى الانقلاب و إن لم يظهر للحسّ </w:t>
      </w:r>
      <w:r>
        <w:rPr>
          <w:rStyle w:val="FootnoteAnchor"/>
          <w:rtl w:val="true"/>
        </w:rPr>
        <w:footnoteReference w:id="675"/>
      </w:r>
      <w:r>
        <w:rPr>
          <w:rFonts w:ascii="Amiri" w:hAnsi="Amiri" w:eastAsia="Amiri" w:cs="Amiri"/>
          <w:color w:val="111111"/>
          <w:sz w:val="28"/>
          <w:sz w:val="28"/>
          <w:szCs w:val="28"/>
          <w:rtl w:val="true"/>
          <w:lang w:bidi="ar-SA"/>
        </w:rPr>
        <w:t>، فالعلم به يتوقّف على ضرب من 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يطلب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حصول التطهّر بالعكس، وفاقاً لجماعة؛ لإطلاق أكثر الأدلّة، و ظاهر الرضوي </w:t>
      </w:r>
      <w:r>
        <w:rPr>
          <w:rStyle w:val="FootnoteAnchor"/>
          <w:rtl w:val="true"/>
        </w:rPr>
        <w:footnoteReference w:id="677"/>
      </w:r>
      <w:r>
        <w:rPr>
          <w:rFonts w:ascii="Amiri" w:hAnsi="Amiri" w:eastAsia="Amiri" w:cs="Amiri"/>
          <w:color w:val="111111"/>
          <w:sz w:val="28"/>
          <w:sz w:val="28"/>
          <w:szCs w:val="28"/>
          <w:rtl w:val="true"/>
          <w:lang w:bidi="ar-SA"/>
        </w:rPr>
        <w:t>، و أبلغيّة الكثير عن اليسير في الأعداد للانقلاب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تطهّر النجس باستحالته دوداً أو تراباً؛ للعلّة المطّردة، و عموم طهوريّة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الفاضلين في الثاني </w:t>
      </w:r>
      <w:r>
        <w:rPr>
          <w:rStyle w:val="FootnoteAnchor"/>
          <w:rtl w:val="true"/>
        </w:rPr>
        <w:footnoteReference w:id="678"/>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الطوسي من السجود على المختلط بالرميم لنجاسته </w:t>
      </w:r>
      <w:r>
        <w:rPr>
          <w:rStyle w:val="FootnoteAnchor"/>
          <w:rtl w:val="true"/>
        </w:rPr>
        <w:footnoteReference w:id="679"/>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رطبه لو مازج التراب 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 بالاستحالة؛ لما مرّ، خلافاً للمحقّق </w:t>
      </w:r>
      <w:r>
        <w:rPr>
          <w:rStyle w:val="FootnoteAnchor"/>
          <w:rtl w:val="true"/>
        </w:rPr>
        <w:footnoteReference w:id="680"/>
      </w:r>
      <w:r>
        <w:rPr>
          <w:rFonts w:ascii="Amiri" w:hAnsi="Amiri" w:eastAsia="Amiri" w:cs="Amiri"/>
          <w:color w:val="111111"/>
          <w:sz w:val="28"/>
          <w:sz w:val="28"/>
          <w:szCs w:val="28"/>
          <w:rtl w:val="true"/>
          <w:lang w:bidi="ar-SA"/>
        </w:rPr>
        <w:t>، لاستصحاب النجاسة، و عدم تغيّر في موضوعه؛ إذ المتغيّر هو النجس دون متنجّسة، و دفعه ظاهر ممّا 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تطهّر الكلب و العذرة و مثلهما باستحالتها ملحاً، أو حمأة، وفاقاً للأكثر؛ للدليل المطّرد، و أصالة الحلّ و الطهر</w:t>
      </w:r>
      <w:r>
        <w:rPr>
          <w:rFonts w:eastAsia="Amiri" w:cs="Amiri" w:ascii="Amiri" w:hAnsi="Amiri"/>
          <w:color w:val="111111"/>
          <w:sz w:val="28"/>
          <w:szCs w:val="28"/>
          <w:rtl w:val="true"/>
          <w:lang w:bidi="ar-SA"/>
        </w:rPr>
        <w:t>.</w:t>
      </w:r>
      <w:bookmarkStart w:id="228" w:name="pg2479_11555"/>
    </w:p>
    <w:p>
      <w:pPr>
        <w:pStyle w:val="BookText"/>
        <w:rPr/>
      </w:pPr>
      <w:bookmarkEnd w:id="228"/>
      <w:r>
        <w:rPr>
          <w:rFonts w:ascii="Amiri" w:hAnsi="Amiri" w:eastAsia="Amiri" w:cs="Amiri"/>
          <w:color w:val="111111"/>
          <w:sz w:val="28"/>
          <w:sz w:val="28"/>
          <w:szCs w:val="28"/>
          <w:rtl w:val="true"/>
          <w:lang w:bidi="ar-SA"/>
        </w:rPr>
        <w:t xml:space="preserve">خلافاً للفاضلين </w:t>
      </w:r>
      <w:r>
        <w:rPr>
          <w:rStyle w:val="FootnoteAnchor"/>
          <w:rtl w:val="true"/>
        </w:rPr>
        <w:footnoteReference w:id="681"/>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ظاهر</w:t>
      </w:r>
      <w:r>
        <w:rPr>
          <w:rFonts w:eastAsia="IRNazanin" w:cs="IRNazanin"/>
          <w:color w:val="111111"/>
          <w:sz w:val="28"/>
          <w:szCs w:val="28"/>
          <w:rtl w:val="true"/>
          <w:lang w:bidi="fa-IR"/>
        </w:rPr>
        <w:t>.</w:t>
      </w:r>
    </w:p>
    <w:p>
      <w:pPr>
        <w:pStyle w:val="Heading4"/>
        <w:numPr>
          <w:ilvl w:val="3"/>
          <w:numId w:val="1"/>
        </w:numPr>
        <w:rPr/>
      </w:pPr>
      <w:bookmarkStart w:id="229" w:name="__RefHeading___Toc3731961_3804643083"/>
      <w:bookmarkStart w:id="230" w:name="_Toc86"/>
      <w:bookmarkEnd w:id="229"/>
      <w:r>
        <w:rPr>
          <w:rtl w:val="true"/>
        </w:rPr>
        <w:t xml:space="preserve">فصل </w:t>
      </w:r>
      <w:r>
        <w:rPr>
          <w:rtl w:val="true"/>
        </w:rPr>
        <w:t>[</w:t>
      </w:r>
      <w:r>
        <w:rPr>
          <w:rtl w:val="true"/>
        </w:rPr>
        <w:t>أحكام الجلود</w:t>
      </w:r>
      <w:r>
        <w:rPr>
          <w:rtl w:val="true"/>
        </w:rPr>
        <w:t>]</w:t>
      </w:r>
      <w:bookmarkEnd w:id="230"/>
    </w:p>
    <w:p>
      <w:pPr>
        <w:pStyle w:val="BookText"/>
        <w:rPr/>
      </w:pPr>
      <w:r>
        <w:rPr>
          <w:rFonts w:ascii="Amiri" w:hAnsi="Amiri" w:eastAsia="Amiri" w:cs="Amiri"/>
          <w:color w:val="111111"/>
          <w:sz w:val="28"/>
          <w:sz w:val="28"/>
          <w:szCs w:val="28"/>
          <w:rtl w:val="true"/>
          <w:lang w:bidi="ar-SA"/>
        </w:rPr>
        <w:t>جلد الميتة لا يطهر بالدبغ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و الشلمغاني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 المستفيض من نقل الإجماع </w:t>
      </w:r>
      <w:r>
        <w:rPr>
          <w:rStyle w:val="FootnoteAnchor"/>
          <w:rtl w:val="true"/>
        </w:rPr>
        <w:footnoteReference w:id="683"/>
      </w:r>
      <w:r>
        <w:rPr>
          <w:rFonts w:ascii="IRNazanin" w:hAnsi="IRNazanin" w:eastAsia="IRNazanin"/>
          <w:color w:val="111111"/>
          <w:sz w:val="28"/>
          <w:sz w:val="28"/>
          <w:szCs w:val="28"/>
          <w:rtl w:val="true"/>
          <w:lang w:bidi="fa-IR"/>
        </w:rPr>
        <w:t xml:space="preserve">و العمومات و النصوص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يعضده ظاهر الآية </w:t>
      </w:r>
      <w:r>
        <w:rPr>
          <w:rStyle w:val="FootnoteAnchor"/>
          <w:rtl w:val="true"/>
        </w:rPr>
        <w:footnoteReference w:id="685"/>
      </w:r>
      <w:r>
        <w:rPr>
          <w:rFonts w:ascii="Amiri" w:hAnsi="Amiri" w:eastAsia="Amiri" w:cs="Amiri"/>
          <w:color w:val="111111"/>
          <w:sz w:val="28"/>
          <w:sz w:val="28"/>
          <w:szCs w:val="28"/>
          <w:rtl w:val="true"/>
          <w:lang w:bidi="ar-SA"/>
        </w:rPr>
        <w:t>و توقّف يقين البراءة في العبادة على اجتنابه، و التزام منع الصلاة فيه ينافي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المستفيضة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وقوع التذكية على ما يؤكل كعدمها على الآدمي و نجس العين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السباع حقّ مشهور؛ لتكرّر نقل الإجماع </w:t>
      </w:r>
      <w:r>
        <w:rPr>
          <w:rStyle w:val="FootnoteAnchor"/>
          <w:rtl w:val="true"/>
        </w:rPr>
        <w:footnoteReference w:id="687"/>
      </w:r>
      <w:r>
        <w:rPr>
          <w:rFonts w:ascii="IRNazanin" w:hAnsi="IRNazanin" w:eastAsia="IRNazanin"/>
          <w:color w:val="111111"/>
          <w:sz w:val="28"/>
          <w:sz w:val="28"/>
          <w:szCs w:val="28"/>
          <w:rtl w:val="true"/>
          <w:lang w:bidi="fa-IR"/>
        </w:rPr>
        <w:t xml:space="preserve">و الموثّقات الثلاث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وقوعها على غيرها من المسوخ و الحشرات و سائر ما لا</w:t>
      </w:r>
    </w:p>
    <w:p>
      <w:pPr>
        <w:pStyle w:val="BookText"/>
        <w:rPr/>
      </w:pPr>
      <w:r>
        <w:rPr>
          <w:rFonts w:ascii="Amiri" w:hAnsi="Amiri" w:eastAsia="Amiri" w:cs="Amiri"/>
          <w:color w:val="111111"/>
          <w:sz w:val="28"/>
          <w:sz w:val="28"/>
          <w:szCs w:val="28"/>
          <w:rtl w:val="true"/>
          <w:lang w:bidi="ar-SA"/>
        </w:rPr>
        <w:t>يؤكل؛ لأنها حكم شرعيّ يتوقّف على الدليل فمع فقده 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في السباع من المسوخ؛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جلد المذكّى كلحمه في الطهر، فجلود السباع طاهرة و لا يشترط الدبغ فيه،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استعماله في غير الصلاة على الأصحّ؛ للأصل و الموثّقات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للثلاثة </w:t>
      </w:r>
      <w:r>
        <w:rPr>
          <w:rStyle w:val="FootnoteAnchor"/>
          <w:rtl w:val="true"/>
        </w:rPr>
        <w:footnoteReference w:id="690"/>
      </w:r>
      <w:r>
        <w:rPr>
          <w:rFonts w:ascii="IRNazanin" w:hAnsi="IRNazanin" w:eastAsia="IRNazanin"/>
          <w:color w:val="111111"/>
          <w:sz w:val="28"/>
          <w:sz w:val="28"/>
          <w:szCs w:val="28"/>
          <w:rtl w:val="true"/>
          <w:lang w:bidi="fa-IR"/>
        </w:rPr>
        <w:t xml:space="preserve">لخبر </w:t>
      </w:r>
      <w:r>
        <w:rPr>
          <w:rStyle w:val="FootnoteAnchor"/>
          <w:rtl w:val="true"/>
        </w:rPr>
        <w:footnoteReference w:id="691"/>
      </w:r>
      <w:r>
        <w:rPr>
          <w:rFonts w:ascii="Amiri" w:hAnsi="Amiri" w:eastAsia="Amiri" w:cs="Amiri"/>
          <w:color w:val="111111"/>
          <w:sz w:val="28"/>
          <w:sz w:val="28"/>
          <w:szCs w:val="28"/>
          <w:rtl w:val="true"/>
          <w:lang w:bidi="ar-SA"/>
        </w:rPr>
        <w:t>لا يعبأ به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استعمالها فيها فغير جائز، بالإجماع و المستفيضة </w:t>
      </w:r>
      <w:r>
        <w:rPr>
          <w:rStyle w:val="FootnoteAnchor"/>
          <w:rtl w:val="true"/>
        </w:rPr>
        <w:footnoteReference w:id="692"/>
      </w:r>
      <w:r>
        <w:rPr>
          <w:rFonts w:ascii="Amiri" w:hAnsi="Amiri" w:eastAsia="Amiri" w:cs="Amiri"/>
          <w:color w:val="111111"/>
          <w:sz w:val="28"/>
          <w:sz w:val="28"/>
          <w:szCs w:val="28"/>
          <w:rtl w:val="true"/>
          <w:lang w:bidi="ar-SA"/>
        </w:rPr>
        <w:t>، إلّا ما استثني بدلالة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الجلد إن علم كونه مذكّى أو ميتة فحكمه ظاهر، و إن شكّ فيه فما في أيدي الكفرة أو بلادهم نجس؛ لبعض الظواهر و ظاهر الحال، و غيره طاهر مطلقاً؛ للأصل و المستفيضة من الصحاح و غيرها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وفاقنا على حلّ ذبائح العامّة </w:t>
      </w:r>
      <w:r>
        <w:rPr>
          <w:rStyle w:val="FootnoteAnchor"/>
          <w:rtl w:val="true"/>
        </w:rPr>
        <w:footnoteReference w:id="694"/>
      </w:r>
      <w:r>
        <w:rPr>
          <w:rFonts w:ascii="Amiri" w:hAnsi="Amiri" w:eastAsia="Amiri" w:cs="Amiri"/>
          <w:color w:val="111111"/>
          <w:sz w:val="28"/>
          <w:sz w:val="28"/>
          <w:szCs w:val="28"/>
          <w:rtl w:val="true"/>
          <w:lang w:bidi="ar-SA"/>
        </w:rPr>
        <w:t xml:space="preserve">، مع وفاقهم على ذبائح أهل الكتاب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للشهيدين مطلقاً </w:t>
      </w:r>
      <w:r>
        <w:rPr>
          <w:rStyle w:val="FootnoteAnchor"/>
          <w:rtl w:val="true"/>
        </w:rPr>
        <w:footnoteReference w:id="696"/>
      </w:r>
      <w:r>
        <w:rPr>
          <w:rFonts w:ascii="Amiri" w:hAnsi="Amiri" w:eastAsia="Amiri" w:cs="Amiri"/>
          <w:color w:val="111111"/>
          <w:sz w:val="28"/>
          <w:sz w:val="28"/>
          <w:szCs w:val="28"/>
          <w:rtl w:val="true"/>
          <w:lang w:bidi="ar-SA"/>
        </w:rPr>
        <w:t>، و للفاضل إذا وجد في يد مستحلّ الميتة</w:t>
      </w:r>
      <w:bookmarkStart w:id="231" w:name="pg2479_11557"/>
    </w:p>
    <w:p>
      <w:pPr>
        <w:pStyle w:val="BookText"/>
        <w:rPr/>
      </w:pPr>
      <w:bookmarkEnd w:id="231"/>
      <w:r>
        <w:rPr>
          <w:rFonts w:ascii="IRNazanin" w:hAnsi="IRNazanin" w:eastAsia="IRNazanin"/>
          <w:color w:val="111111"/>
          <w:sz w:val="28"/>
          <w:sz w:val="28"/>
          <w:szCs w:val="28"/>
          <w:rtl w:val="true"/>
          <w:lang w:bidi="fa-IR"/>
        </w:rPr>
        <w:t xml:space="preserve">بالدبغ </w:t>
      </w:r>
      <w:r>
        <w:rPr>
          <w:rStyle w:val="FootnoteAnchor"/>
          <w:rtl w:val="true"/>
        </w:rPr>
        <w:footnoteReference w:id="697"/>
      </w:r>
      <w:r>
        <w:rPr>
          <w:rFonts w:ascii="Amiri" w:hAnsi="Amiri" w:eastAsia="Amiri" w:cs="Amiri"/>
          <w:color w:val="111111"/>
          <w:sz w:val="28"/>
          <w:sz w:val="28"/>
          <w:szCs w:val="28"/>
          <w:rtl w:val="true"/>
          <w:lang w:bidi="ar-SA"/>
        </w:rPr>
        <w:t xml:space="preserve">لخبرين </w:t>
      </w:r>
      <w:r>
        <w:rPr>
          <w:rStyle w:val="FootnoteAnchor"/>
          <w:rtl w:val="true"/>
        </w:rPr>
        <w:footnoteReference w:id="698"/>
      </w:r>
      <w:r>
        <w:rPr>
          <w:rFonts w:ascii="Amiri" w:hAnsi="Amiri" w:eastAsia="Amiri" w:cs="Amiri"/>
          <w:color w:val="111111"/>
          <w:sz w:val="28"/>
          <w:sz w:val="28"/>
          <w:szCs w:val="28"/>
          <w:rtl w:val="true"/>
          <w:lang w:bidi="ar-SA"/>
        </w:rPr>
        <w:t>يتعيّن حملهما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الاحتجاج بأصالة التذكية و الطهارة و البراءة، و المعارضة بأصالة عدمها، و توقّف يقين البراءة عن الصلاة على اجتنابه لا يخفى جليّة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أُخذ من كافر، أو مسلم أخذه من الآخر فالعبرة به، و وجهه ظاهر، و في بعض الأخبار </w:t>
      </w:r>
      <w:r>
        <w:rPr>
          <w:rStyle w:val="FootnoteAnchor"/>
          <w:rtl w:val="true"/>
        </w:rPr>
        <w:footnoteReference w:id="699"/>
      </w:r>
      <w:r>
        <w:rPr>
          <w:rFonts w:ascii="Amiri" w:hAnsi="Amiri" w:eastAsia="Amiri" w:cs="Amiri"/>
          <w:color w:val="111111"/>
          <w:sz w:val="28"/>
          <w:sz w:val="28"/>
          <w:szCs w:val="28"/>
          <w:rtl w:val="true"/>
          <w:lang w:bidi="ar-SA"/>
        </w:rPr>
        <w:t>أيضاً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تبدّلت عليه أياد كثيرة، فإن عرف المبدأ فالعبرة به، و إلّا فالمتّجه المنع؛ للقطع بالمحرّم و الشكّ في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أخذه من الكفّار أو بلادهم و إن علم التذكية و إن لم يعلم الأخذ من مسلم؛ للقطع بالمبيح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جلود المصاحف و شبهها</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731963_3804643083"/>
      <w:bookmarkStart w:id="233" w:name="_Toc87"/>
      <w:bookmarkEnd w:id="232"/>
      <w:r>
        <w:rPr>
          <w:rtl w:val="true"/>
        </w:rPr>
        <w:t xml:space="preserve">فصل </w:t>
      </w:r>
      <w:r>
        <w:rPr>
          <w:rtl w:val="true"/>
        </w:rPr>
        <w:t>[</w:t>
      </w:r>
      <w:r>
        <w:rPr>
          <w:rtl w:val="true"/>
        </w:rPr>
        <w:t>تطهير الأجسام الصقيلة</w:t>
      </w:r>
      <w:r>
        <w:rPr>
          <w:rtl w:val="true"/>
        </w:rPr>
        <w:t>]</w:t>
      </w:r>
      <w:bookmarkEnd w:id="233"/>
    </w:p>
    <w:p>
      <w:pPr>
        <w:pStyle w:val="BookText"/>
        <w:rPr/>
      </w:pPr>
      <w:r>
        <w:rPr>
          <w:rFonts w:ascii="Amiri" w:hAnsi="Amiri" w:eastAsia="Amiri" w:cs="Amiri"/>
          <w:color w:val="111111"/>
          <w:sz w:val="28"/>
          <w:sz w:val="28"/>
          <w:szCs w:val="28"/>
          <w:rtl w:val="true"/>
          <w:lang w:bidi="ar-SA"/>
        </w:rPr>
        <w:t>لا يطهر الصقال بالمسح، وفاقاً لغير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الإطلاقات، و مقيّدات الغسل و الإزالة و التطهير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ظنّ تحقّق الإجماع على طريقته لمعروفيّة نسبه، و ردّ بنسبة الخلاف إليه بعد نسبته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ثبوته على طريقة الحدس غير بعيدة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الحجّام </w:t>
      </w:r>
      <w:r>
        <w:rPr>
          <w:rStyle w:val="FootnoteAnchor"/>
          <w:rtl w:val="true"/>
        </w:rPr>
        <w:footnoteReference w:id="700"/>
      </w:r>
      <w:r>
        <w:rPr>
          <w:rFonts w:ascii="Amiri" w:hAnsi="Amiri" w:eastAsia="Amiri" w:cs="Amiri"/>
          <w:color w:val="111111"/>
          <w:sz w:val="28"/>
          <w:sz w:val="28"/>
          <w:szCs w:val="28"/>
          <w:rtl w:val="true"/>
          <w:lang w:bidi="ar-SA"/>
        </w:rPr>
        <w:t>، و هو مع ضعفه لا صراحة فيه، و زوال المانع</w:t>
      </w:r>
    </w:p>
    <w:p>
      <w:pPr>
        <w:pStyle w:val="BookText"/>
        <w:rPr/>
      </w:pPr>
      <w:r>
        <w:rPr>
          <w:rFonts w:ascii="IRNazanin" w:hAnsi="IRNazanin" w:eastAsia="IRNazanin"/>
          <w:color w:val="111111"/>
          <w:sz w:val="28"/>
          <w:sz w:val="28"/>
          <w:szCs w:val="28"/>
          <w:rtl w:val="true"/>
          <w:lang w:bidi="fa-IR"/>
        </w:rPr>
        <w:t>بالمسح، و ضعفه ظاهر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البصاق لا يطهّر الدم؛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701"/>
      </w:r>
      <w:r>
        <w:rPr>
          <w:rFonts w:ascii="Amiri" w:hAnsi="Amiri" w:eastAsia="Amiri" w:cs="Amiri"/>
          <w:color w:val="111111"/>
          <w:sz w:val="28"/>
          <w:sz w:val="28"/>
          <w:szCs w:val="28"/>
          <w:rtl w:val="true"/>
          <w:lang w:bidi="ar-SA"/>
        </w:rPr>
        <w:t xml:space="preserve">لظاهر الموثّقين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بالحمل على التقيّة أو حمل الدم فيهما على الطاهر جمعاً</w:t>
      </w:r>
      <w:r>
        <w:rPr>
          <w:rFonts w:eastAsia="Amiri" w:cs="Amiri" w:ascii="Amiri" w:hAnsi="Amiri"/>
          <w:color w:val="111111"/>
          <w:sz w:val="28"/>
          <w:szCs w:val="28"/>
          <w:rtl w:val="true"/>
          <w:lang w:bidi="ar-SA"/>
        </w:rPr>
        <w:t>.</w:t>
      </w:r>
      <w:bookmarkStart w:id="234" w:name="pg2479_11559"/>
    </w:p>
    <w:p>
      <w:pPr>
        <w:pStyle w:val="Heading4"/>
        <w:numPr>
          <w:ilvl w:val="3"/>
          <w:numId w:val="1"/>
        </w:numPr>
        <w:rPr/>
      </w:pPr>
      <w:bookmarkStart w:id="235" w:name="__RefHeading___Toc3731965_3804643083"/>
      <w:bookmarkStart w:id="236" w:name="_Toc88"/>
      <w:bookmarkEnd w:id="234"/>
      <w:bookmarkEnd w:id="235"/>
      <w:r>
        <w:rPr>
          <w:rtl w:val="true"/>
        </w:rPr>
        <w:t xml:space="preserve">ختام </w:t>
      </w:r>
      <w:r>
        <w:rPr>
          <w:rtl w:val="true"/>
        </w:rPr>
        <w:t>[</w:t>
      </w:r>
      <w:r>
        <w:rPr>
          <w:rtl w:val="true"/>
        </w:rPr>
        <w:t>أواني الذهب و الفضّة</w:t>
      </w:r>
      <w:r>
        <w:rPr>
          <w:rtl w:val="true"/>
        </w:rPr>
        <w:t>]</w:t>
      </w:r>
      <w:bookmarkEnd w:id="236"/>
    </w:p>
    <w:p>
      <w:pPr>
        <w:pStyle w:val="BookText"/>
        <w:rPr/>
      </w:pPr>
      <w:r>
        <w:rPr>
          <w:rFonts w:ascii="Amiri" w:hAnsi="Amiri" w:eastAsia="Amiri" w:cs="Amiri"/>
          <w:color w:val="111111"/>
          <w:sz w:val="28"/>
          <w:sz w:val="28"/>
          <w:szCs w:val="28"/>
          <w:rtl w:val="true"/>
          <w:lang w:bidi="ar-SA"/>
        </w:rPr>
        <w:t xml:space="preserve">يحرم استعمال أواني الذهب و الفضّة، بالإجماع، و المستفيضة </w:t>
      </w:r>
      <w:r>
        <w:rPr>
          <w:rStyle w:val="FootnoteAnchor"/>
          <w:rtl w:val="true"/>
        </w:rPr>
        <w:footnoteReference w:id="703"/>
      </w:r>
      <w:r>
        <w:rPr>
          <w:rFonts w:ascii="Amiri" w:hAnsi="Amiri" w:eastAsia="Amiri" w:cs="Amiri"/>
          <w:color w:val="111111"/>
          <w:sz w:val="28"/>
          <w:sz w:val="28"/>
          <w:szCs w:val="28"/>
          <w:rtl w:val="true"/>
          <w:lang w:bidi="ar-SA"/>
        </w:rPr>
        <w:t>، و بعضها يفيد تحريم إيجادها مطلقاً، كما عليه المعظم، و يؤيّده إيجابه السرف و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الفاضل بالجواز </w:t>
      </w:r>
      <w:r>
        <w:rPr>
          <w:rStyle w:val="FootnoteAnchor"/>
          <w:rtl w:val="true"/>
        </w:rPr>
        <w:footnoteReference w:id="704"/>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فيلزم كسرها، و لا يجوز بيعه إلّا ممّن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ما فيها؛ لعدم المقتضي، فيستصحب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للمفيد و الحلبي </w:t>
      </w:r>
      <w:r>
        <w:rPr>
          <w:rStyle w:val="FootnoteAnchor"/>
          <w:rtl w:val="true"/>
        </w:rPr>
        <w:footnoteReference w:id="705"/>
      </w:r>
      <w:r>
        <w:rPr>
          <w:rFonts w:ascii="Amiri" w:hAnsi="Amiri" w:eastAsia="Amiri" w:cs="Amiri"/>
          <w:color w:val="111111"/>
          <w:sz w:val="28"/>
          <w:sz w:val="28"/>
          <w:szCs w:val="28"/>
          <w:rtl w:val="true"/>
          <w:lang w:bidi="ar-SA"/>
        </w:rPr>
        <w:t xml:space="preserve">لظاهر العلوي </w:t>
      </w:r>
      <w:r>
        <w:rPr>
          <w:rStyle w:val="FootnoteAnchor"/>
          <w:rtl w:val="true"/>
        </w:rPr>
        <w:footnoteReference w:id="706"/>
      </w:r>
      <w:r>
        <w:rPr>
          <w:rFonts w:ascii="Amiri" w:hAnsi="Amiri" w:eastAsia="Amiri" w:cs="Amiri"/>
          <w:color w:val="111111"/>
          <w:sz w:val="28"/>
          <w:sz w:val="28"/>
          <w:szCs w:val="28"/>
          <w:rtl w:val="true"/>
          <w:lang w:bidi="ar-SA"/>
        </w:rPr>
        <w:t>، و لا دلالة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جواز التطهّر منها؛ لتعلّق النهي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بالبطلان </w:t>
      </w:r>
      <w:r>
        <w:rPr>
          <w:rStyle w:val="FootnoteAnchor"/>
          <w:rtl w:val="true"/>
        </w:rPr>
        <w:footnoteReference w:id="707"/>
      </w:r>
      <w:r>
        <w:rPr>
          <w:rFonts w:ascii="Amiri" w:hAnsi="Amiri" w:eastAsia="Amiri" w:cs="Amiri"/>
          <w:color w:val="111111"/>
          <w:sz w:val="28"/>
          <w:sz w:val="28"/>
          <w:szCs w:val="28"/>
          <w:rtl w:val="true"/>
          <w:lang w:bidi="ar-SA"/>
        </w:rPr>
        <w:t>لتوقّفه على المحرّم، و لا يبعد مع ثبوته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كون الصبّ و الكون فيها كالانتزاع؛ لخروج الكلّ عن الحقيقة</w:t>
      </w:r>
    </w:p>
    <w:p>
      <w:pPr>
        <w:pStyle w:val="BookText"/>
        <w:rPr/>
      </w:pPr>
      <w:r>
        <w:rPr>
          <w:rFonts w:ascii="Amiri" w:hAnsi="Amiri" w:eastAsia="Amiri" w:cs="Amiri"/>
          <w:color w:val="111111"/>
          <w:sz w:val="28"/>
          <w:sz w:val="28"/>
          <w:szCs w:val="28"/>
          <w:rtl w:val="true"/>
          <w:lang w:bidi="ar-SA"/>
        </w:rPr>
        <w:t>فيتأتّى البطلان مع التوقّف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إطلاق الجواز في الأوّل و المنع في الثاني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البطلان في المغصوب مطلقاً لو سلّم فإنّما هو للأمر المضيّق بالردّ، و هو يستلزم فساد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يتّجه البطلان مطلقاً لو ثبت فوريّة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وفاقهم على جواز اتّخاذ غير الأواني منهما و استعماله؛ لبعض الظواهر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المنع في بعضها </w:t>
      </w:r>
      <w:r>
        <w:rPr>
          <w:rStyle w:val="FootnoteAnchor"/>
          <w:rtl w:val="true"/>
        </w:rPr>
        <w:footnoteReference w:id="709"/>
      </w:r>
      <w:r>
        <w:rPr>
          <w:rFonts w:ascii="Amiri" w:hAnsi="Amiri" w:eastAsia="Amiri" w:cs="Amiri"/>
          <w:color w:val="111111"/>
          <w:sz w:val="28"/>
          <w:sz w:val="28"/>
          <w:szCs w:val="28"/>
          <w:rtl w:val="true"/>
          <w:lang w:bidi="ar-SA"/>
        </w:rPr>
        <w:t>محمول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 منها هي المتعارفة دون غيرها، و إن ثبت الوضع؛ لتقدّم العرف على اللغة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المشهور جواز استعمال المفضّض؛ لإطلاق الصحيح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مطلقاً؛ للحسن و الخبرين </w:t>
      </w:r>
      <w:r>
        <w:rPr>
          <w:rStyle w:val="FootnoteAnchor"/>
          <w:rtl w:val="true"/>
        </w:rPr>
        <w:footnoteReference w:id="712"/>
      </w:r>
      <w:r>
        <w:rPr>
          <w:rFonts w:ascii="Amiri" w:hAnsi="Amiri" w:eastAsia="Amiri" w:cs="Amiri"/>
          <w:color w:val="111111"/>
          <w:sz w:val="28"/>
          <w:sz w:val="28"/>
          <w:szCs w:val="28"/>
          <w:rtl w:val="true"/>
          <w:lang w:bidi="ar-SA"/>
        </w:rPr>
        <w:t xml:space="preserve">، و للفاضل في موضع الفضّة </w:t>
      </w:r>
      <w:r>
        <w:rPr>
          <w:rStyle w:val="FootnoteAnchor"/>
          <w:rtl w:val="true"/>
        </w:rPr>
        <w:footnoteReference w:id="713"/>
      </w:r>
      <w:r>
        <w:rPr>
          <w:rFonts w:ascii="Amiri" w:hAnsi="Amiri" w:eastAsia="Amiri" w:cs="Amiri"/>
          <w:color w:val="111111"/>
          <w:sz w:val="28"/>
          <w:sz w:val="28"/>
          <w:szCs w:val="28"/>
          <w:rtl w:val="true"/>
          <w:lang w:bidi="ar-SA"/>
        </w:rPr>
        <w:t xml:space="preserve">للصحيح </w:t>
      </w:r>
      <w:r>
        <w:rPr>
          <w:rStyle w:val="FootnoteAnchor"/>
          <w:rtl w:val="true"/>
        </w:rPr>
        <w:footnoteReference w:id="714"/>
      </w:r>
      <w:r>
        <w:rPr>
          <w:rFonts w:ascii="Amiri" w:hAnsi="Amiri" w:eastAsia="Amiri" w:cs="Amiri"/>
          <w:color w:val="111111"/>
          <w:sz w:val="28"/>
          <w:sz w:val="28"/>
          <w:szCs w:val="28"/>
          <w:rtl w:val="true"/>
          <w:lang w:bidi="ar-SA"/>
        </w:rPr>
        <w:t xml:space="preserve">و أُجيب عن الكلّ بالحمل على الكراهة جمعاً، مع التصريح بها في الصحيح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زخرفة البناء بهما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معلّلان بتحريم الإسراف و أصل الإباحة</w:t>
      </w:r>
      <w:r>
        <w:rPr>
          <w:rFonts w:eastAsia="Amiri" w:cs="Amiri" w:ascii="Amiri" w:hAnsi="Amiri"/>
          <w:color w:val="111111"/>
          <w:sz w:val="28"/>
          <w:szCs w:val="28"/>
          <w:rtl w:val="true"/>
          <w:lang w:bidi="ar-SA"/>
        </w:rPr>
        <w:t>.</w:t>
      </w:r>
      <w:bookmarkStart w:id="237" w:name="pg2479_11562"/>
    </w:p>
    <w:p>
      <w:pPr>
        <w:pStyle w:val="Heading3"/>
        <w:numPr>
          <w:ilvl w:val="2"/>
          <w:numId w:val="1"/>
        </w:numPr>
        <w:rPr/>
      </w:pPr>
      <w:bookmarkStart w:id="238" w:name="__RefHeading___Toc3731967_3804643083"/>
      <w:bookmarkStart w:id="239" w:name="_Toc89"/>
      <w:bookmarkEnd w:id="237"/>
      <w:bookmarkEnd w:id="238"/>
      <w:r>
        <w:rPr>
          <w:rtl w:val="true"/>
        </w:rPr>
        <w:t>باب الاستطابة</w:t>
      </w:r>
      <w:bookmarkEnd w:id="239"/>
    </w:p>
    <w:p>
      <w:pPr>
        <w:pStyle w:val="Heading4"/>
        <w:numPr>
          <w:ilvl w:val="3"/>
          <w:numId w:val="1"/>
        </w:numPr>
        <w:rPr/>
      </w:pPr>
      <w:bookmarkStart w:id="240" w:name="__RefHeading___Toc3731969_3804643083"/>
      <w:bookmarkStart w:id="241" w:name="_Toc90"/>
      <w:bookmarkEnd w:id="240"/>
      <w:r>
        <w:rPr>
          <w:rtl w:val="true"/>
        </w:rPr>
        <w:t>بحث الخلوة</w:t>
      </w:r>
      <w:bookmarkEnd w:id="241"/>
    </w:p>
    <w:p>
      <w:pPr>
        <w:pStyle w:val="Heading5"/>
        <w:numPr>
          <w:ilvl w:val="4"/>
          <w:numId w:val="1"/>
        </w:numPr>
        <w:rPr/>
      </w:pPr>
      <w:bookmarkStart w:id="242" w:name="__RefHeading___Toc3731971_3804643083"/>
      <w:bookmarkStart w:id="243" w:name="_Toc91"/>
      <w:bookmarkEnd w:id="242"/>
      <w:r>
        <w:rPr>
          <w:rtl w:val="true"/>
        </w:rPr>
        <w:t xml:space="preserve">فصل </w:t>
      </w:r>
      <w:r>
        <w:rPr>
          <w:rtl w:val="true"/>
        </w:rPr>
        <w:t>[</w:t>
      </w:r>
      <w:r>
        <w:rPr>
          <w:rtl w:val="true"/>
        </w:rPr>
        <w:t>وجوب ستر العورة</w:t>
      </w:r>
      <w:r>
        <w:rPr>
          <w:rtl w:val="true"/>
        </w:rPr>
        <w:t>]</w:t>
      </w:r>
      <w:bookmarkEnd w:id="243"/>
    </w:p>
    <w:p>
      <w:pPr>
        <w:pStyle w:val="BookText"/>
        <w:rPr/>
      </w:pPr>
      <w:r>
        <w:rPr>
          <w:rFonts w:ascii="Amiri" w:hAnsi="Amiri" w:eastAsia="Amiri" w:cs="Amiri"/>
          <w:color w:val="111111"/>
          <w:sz w:val="28"/>
          <w:sz w:val="28"/>
          <w:szCs w:val="28"/>
          <w:rtl w:val="true"/>
          <w:lang w:bidi="ar-SA"/>
        </w:rPr>
        <w:t>يجب عندها ستر العورة عن محترم يحرم وطؤه، 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الكافر كالمسلم في وجوب الستر عنه و حرمة النظر إلى عورته؛ لعموم الأدلّة، و ظاهر الوفاق في الأوّل بل الثاني؛ إذ مخالفة الصدوق فيه </w:t>
      </w:r>
      <w:r>
        <w:rPr>
          <w:rStyle w:val="FootnoteAnchor"/>
          <w:rtl w:val="true"/>
        </w:rPr>
        <w:footnoteReference w:id="718"/>
      </w:r>
      <w:r>
        <w:rPr>
          <w:rFonts w:ascii="Amiri" w:hAnsi="Amiri" w:eastAsia="Amiri" w:cs="Amiri"/>
          <w:color w:val="111111"/>
          <w:sz w:val="28"/>
          <w:sz w:val="28"/>
          <w:szCs w:val="28"/>
          <w:rtl w:val="true"/>
          <w:lang w:bidi="ar-SA"/>
        </w:rPr>
        <w:t>غير ظاهرة، و لو سلّم فغير ضائرة، فالمرسل المجوّز له يؤوّل أو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بعض الأخبار </w:t>
      </w:r>
      <w:r>
        <w:rPr>
          <w:rStyle w:val="FootnoteAnchor"/>
          <w:rtl w:val="true"/>
        </w:rPr>
        <w:footnoteReference w:id="719"/>
      </w:r>
      <w:r>
        <w:rPr>
          <w:rFonts w:ascii="Amiri" w:hAnsi="Amiri" w:eastAsia="Amiri" w:cs="Amiri"/>
          <w:color w:val="111111"/>
          <w:sz w:val="28"/>
          <w:sz w:val="28"/>
          <w:szCs w:val="28"/>
          <w:rtl w:val="true"/>
          <w:lang w:bidi="ar-SA"/>
        </w:rPr>
        <w:t>من تخصيص الذم بالنظر إلى عورة المسلم يحمل على تأكّده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 الستر إنّما هو مع العلم بتطرّق النظر، بل مع الظن؛ لإطلاق</w:t>
      </w:r>
      <w:bookmarkStart w:id="244" w:name="pg2479_11563"/>
    </w:p>
    <w:p>
      <w:pPr>
        <w:pStyle w:val="BookText"/>
        <w:rPr/>
      </w:pPr>
      <w:bookmarkEnd w:id="244"/>
      <w:r>
        <w:rPr>
          <w:rFonts w:ascii="IRNazanin" w:hAnsi="IRNazanin" w:eastAsia="IRNazanin"/>
          <w:color w:val="111111"/>
          <w:sz w:val="28"/>
          <w:sz w:val="28"/>
          <w:szCs w:val="28"/>
          <w:rtl w:val="true"/>
          <w:lang w:bidi="fa-IR"/>
        </w:rPr>
        <w:t xml:space="preserve">المرسل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بدونهما؛ للأصل و عدم المقتضي، و إطلاق المرسل غير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العورة هي الثلاثة المعروفة؛ لظاهر المستفيضة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السرّة إلى الركبة كالقاضي </w:t>
      </w:r>
      <w:r>
        <w:rPr>
          <w:rStyle w:val="FootnoteAnchor"/>
          <w:rtl w:val="true"/>
        </w:rPr>
        <w:footnoteReference w:id="722"/>
      </w:r>
      <w:r>
        <w:rPr>
          <w:rFonts w:ascii="Amiri" w:hAnsi="Amiri" w:eastAsia="Amiri" w:cs="Amiri"/>
          <w:color w:val="111111"/>
          <w:sz w:val="28"/>
          <w:sz w:val="28"/>
          <w:szCs w:val="28"/>
          <w:rtl w:val="true"/>
          <w:lang w:bidi="ar-SA"/>
        </w:rPr>
        <w:t xml:space="preserve">، و لا منها إلى نصف الساق كالحلبي </w:t>
      </w:r>
      <w:r>
        <w:rPr>
          <w:rStyle w:val="FootnoteAnchor"/>
          <w:rtl w:val="true"/>
        </w:rPr>
        <w:footnoteReference w:id="723"/>
      </w:r>
      <w:r>
        <w:rPr>
          <w:rFonts w:ascii="Amiri" w:hAnsi="Amiri" w:eastAsia="Amiri" w:cs="Amiri"/>
          <w:color w:val="111111"/>
          <w:sz w:val="28"/>
          <w:sz w:val="28"/>
          <w:szCs w:val="28"/>
          <w:rtl w:val="true"/>
          <w:lang w:bidi="ar-SA"/>
        </w:rPr>
        <w:t xml:space="preserve">لخبرين </w:t>
      </w:r>
      <w:r>
        <w:rPr>
          <w:rStyle w:val="FootnoteAnchor"/>
          <w:rtl w:val="true"/>
        </w:rPr>
        <w:footnoteReference w:id="724"/>
      </w:r>
      <w:r>
        <w:rPr>
          <w:rFonts w:ascii="Amiri" w:hAnsi="Amiri" w:eastAsia="Amiri" w:cs="Amiri"/>
          <w:color w:val="111111"/>
          <w:sz w:val="28"/>
          <w:sz w:val="28"/>
          <w:szCs w:val="28"/>
          <w:rtl w:val="true"/>
          <w:lang w:bidi="ar-SA"/>
        </w:rPr>
        <w:t>لا مقاومة لهما سنداً أو متناً</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731973_3804643083"/>
      <w:bookmarkStart w:id="246" w:name="_Toc92"/>
      <w:bookmarkEnd w:id="245"/>
      <w:r>
        <w:rPr>
          <w:rtl w:val="true"/>
        </w:rPr>
        <w:t xml:space="preserve">فصل </w:t>
      </w:r>
      <w:r>
        <w:rPr>
          <w:rtl w:val="true"/>
        </w:rPr>
        <w:t>[</w:t>
      </w:r>
      <w:r>
        <w:rPr>
          <w:rtl w:val="true"/>
        </w:rPr>
        <w:t>تحريم استقبال و استدبار القبلة</w:t>
      </w:r>
      <w:r>
        <w:rPr>
          <w:rtl w:val="true"/>
        </w:rPr>
        <w:t>]</w:t>
      </w:r>
      <w:bookmarkEnd w:id="246"/>
    </w:p>
    <w:p>
      <w:pPr>
        <w:pStyle w:val="BookText"/>
        <w:rPr/>
      </w:pPr>
      <w:r>
        <w:rPr>
          <w:rFonts w:ascii="Amiri" w:hAnsi="Amiri" w:eastAsia="Amiri" w:cs="Amiri"/>
          <w:color w:val="111111"/>
          <w:sz w:val="28"/>
          <w:sz w:val="28"/>
          <w:szCs w:val="28"/>
          <w:rtl w:val="true"/>
          <w:lang w:bidi="ar-SA"/>
        </w:rPr>
        <w:t xml:space="preserve">المشهور تحريم استقبال القبلة و استدبارها عند التخلّي مطلقاً؛ لظاهر المستفيضة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المخالفة </w:t>
      </w:r>
      <w:r>
        <w:rPr>
          <w:rStyle w:val="FootnoteAnchor"/>
          <w:rtl w:val="true"/>
        </w:rPr>
        <w:footnoteReference w:id="726"/>
      </w:r>
      <w:r>
        <w:rPr>
          <w:rFonts w:ascii="Amiri" w:hAnsi="Amiri" w:eastAsia="Amiri" w:cs="Amiri"/>
          <w:color w:val="111111"/>
          <w:sz w:val="28"/>
          <w:sz w:val="28"/>
          <w:szCs w:val="28"/>
          <w:rtl w:val="true"/>
          <w:lang w:bidi="ar-SA"/>
        </w:rPr>
        <w:t>كأدلّتها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تحريم ما كان منهما بجميع البدن و العورة معاً مجمع عليه، و به دونها حقّ مشهور؛ للتبادر، و بالعكس أجود الوجهين؛ لظاهر الخبر </w:t>
      </w:r>
      <w:r>
        <w:rPr>
          <w:rStyle w:val="FootnoteAnchor"/>
          <w:rtl w:val="true"/>
        </w:rPr>
        <w:footnoteReference w:id="727"/>
      </w:r>
      <w:r>
        <w:rPr>
          <w:rFonts w:ascii="Amiri" w:hAnsi="Amiri" w:eastAsia="Amiri" w:cs="Amiri"/>
          <w:color w:val="111111"/>
          <w:sz w:val="28"/>
          <w:sz w:val="28"/>
          <w:szCs w:val="28"/>
          <w:rtl w:val="true"/>
          <w:lang w:bidi="ar-SA"/>
        </w:rPr>
        <w:t>و وجود ما هو المناط في الباعث، و لا عبرة ببعض الأعضاء غيرها، وفاقاً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كراهتهما عند الاستنجاء؛ للخبر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247" w:name="pg2479_11564"/>
    </w:p>
    <w:p>
      <w:pPr>
        <w:pStyle w:val="BookText"/>
        <w:rPr/>
      </w:pPr>
      <w:bookmarkEnd w:id="247"/>
      <w:r>
        <w:rPr>
          <w:rFonts w:ascii="Amiri" w:hAnsi="Amiri" w:eastAsia="Amiri" w:cs="Amiri"/>
          <w:color w:val="111111"/>
          <w:sz w:val="28"/>
          <w:sz w:val="28"/>
          <w:szCs w:val="28"/>
          <w:rtl w:val="true"/>
          <w:lang w:bidi="ar-SA"/>
        </w:rPr>
        <w:t>و يستحبّ التشريق و التغريب؛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شرّقوا و غرّبوا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 قيل بوجوبه </w:t>
      </w:r>
      <w:r>
        <w:rPr>
          <w:rStyle w:val="FootnoteAnchor"/>
          <w:rtl w:val="true"/>
        </w:rPr>
        <w:footnoteReference w:id="730"/>
      </w:r>
      <w:r>
        <w:rPr>
          <w:rFonts w:ascii="Amiri" w:hAnsi="Amiri" w:eastAsia="Amiri" w:cs="Amiri"/>
          <w:color w:val="111111"/>
          <w:sz w:val="28"/>
          <w:sz w:val="28"/>
          <w:szCs w:val="28"/>
          <w:rtl w:val="true"/>
          <w:lang w:bidi="ar-SA"/>
        </w:rPr>
        <w:t>لظاهر الأمر،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و حمل الأوّل على الندب و الثاني على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الاجتهاد مع الاشتباه وجهان، من وجوب الصرف و توقّفه عليه فيجب؛ لأصالة الإطلاق للواجب بالنسبة إلى مقدّماته، و من كون الواجب عدم العلم بالمواجهة و هو عندها حاصل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ابتناؤهما على كون الواجب هو العلم بعدمها أو عدم العلم بها، و ظاهر الأخبار هو الثاني كما أنّ ظاهرها هو العلم بها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كيفيّتهما للقاعد و القائم ظاهرة، و للمضطجع و المستلقي كما للمصلّي</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731975_3804643083"/>
      <w:bookmarkStart w:id="249" w:name="_Toc93"/>
      <w:bookmarkEnd w:id="248"/>
      <w:r>
        <w:rPr>
          <w:rtl w:val="true"/>
        </w:rPr>
        <w:t xml:space="preserve">فصل </w:t>
      </w:r>
      <w:r>
        <w:rPr>
          <w:rtl w:val="true"/>
        </w:rPr>
        <w:t>[</w:t>
      </w:r>
      <w:r>
        <w:rPr>
          <w:rtl w:val="true"/>
        </w:rPr>
        <w:t>الاستنجاء</w:t>
      </w:r>
      <w:r>
        <w:rPr>
          <w:rtl w:val="true"/>
        </w:rPr>
        <w:t>]</w:t>
      </w:r>
      <w:bookmarkEnd w:id="249"/>
    </w:p>
    <w:p>
      <w:pPr>
        <w:pStyle w:val="BookText"/>
        <w:rPr/>
      </w:pPr>
      <w:r>
        <w:rPr>
          <w:rFonts w:ascii="Amiri" w:hAnsi="Amiri" w:eastAsia="Amiri" w:cs="Amiri"/>
          <w:color w:val="111111"/>
          <w:sz w:val="28"/>
          <w:sz w:val="28"/>
          <w:szCs w:val="28"/>
          <w:rtl w:val="true"/>
          <w:lang w:bidi="ar-SA"/>
        </w:rPr>
        <w:t xml:space="preserve">مخرج البول طهره بالماء بالإجماع و المستفيضة </w:t>
      </w:r>
      <w:r>
        <w:rPr>
          <w:rStyle w:val="FootnoteAnchor"/>
          <w:rtl w:val="true"/>
        </w:rPr>
        <w:footnoteReference w:id="732"/>
      </w:r>
      <w:r>
        <w:rPr>
          <w:rFonts w:ascii="Amiri" w:hAnsi="Amiri" w:eastAsia="Amiri" w:cs="Amiri"/>
          <w:color w:val="111111"/>
          <w:sz w:val="28"/>
          <w:sz w:val="28"/>
          <w:szCs w:val="28"/>
          <w:rtl w:val="true"/>
          <w:lang w:bidi="ar-SA"/>
        </w:rPr>
        <w:t xml:space="preserve">، و الظواهر المخالفة لها </w:t>
      </w:r>
      <w:r>
        <w:rPr>
          <w:rStyle w:val="FootnoteAnchor"/>
          <w:rtl w:val="true"/>
        </w:rPr>
        <w:footnoteReference w:id="733"/>
      </w:r>
      <w:r>
        <w:rPr>
          <w:rFonts w:ascii="Amiri" w:hAnsi="Amiri" w:eastAsia="Amiri" w:cs="Amiri"/>
          <w:color w:val="111111"/>
          <w:sz w:val="28"/>
          <w:sz w:val="28"/>
          <w:szCs w:val="28"/>
          <w:rtl w:val="true"/>
          <w:lang w:bidi="ar-SA"/>
        </w:rPr>
        <w:t>مؤوّلة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الغائط لو لم يتعدّ المخرج تخيّر في إزالته بين الماء و أحجار ثلاثة، بالإجماع، و المستفيضة من الصحاح و غيرها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تعيّن الماء؛ للاستصحاب، و الإجماعين،</w:t>
      </w:r>
    </w:p>
    <w:p>
      <w:pPr>
        <w:pStyle w:val="BookText"/>
        <w:rPr/>
      </w:pPr>
      <w:r>
        <w:rPr>
          <w:rFonts w:ascii="Amiri" w:hAnsi="Amiri" w:eastAsia="Amiri" w:cs="Amiri"/>
          <w:color w:val="111111"/>
          <w:sz w:val="28"/>
          <w:sz w:val="28"/>
          <w:szCs w:val="28"/>
          <w:rtl w:val="true"/>
          <w:lang w:bidi="ar-SA"/>
        </w:rPr>
        <w:t>و بعض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اختصاص الأحجار بالاستنجاء، و عدم صدقه على الإزالة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التعدية موكولة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إزالة العين بالإجماع، و إطلاقات الغسل، و خصوص الموثّق و الحسن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عبرة بالأثر؛ لعدم تحصّل معناه، إلّا أن يفسّر باللون، فلا حجّة على إزالته، أو بالرطوبة اللزجة، فهي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بالرائحة؛ للأصل، و ظاهر الوفاق، و إطلاق الموثّق، و صريح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الماء أفضل؛ للمستفيضة </w:t>
      </w:r>
      <w:r>
        <w:rPr>
          <w:rStyle w:val="FootnoteAnchor"/>
          <w:rtl w:val="true"/>
        </w:rPr>
        <w:footnoteReference w:id="736"/>
      </w:r>
      <w:r>
        <w:rPr>
          <w:rFonts w:ascii="Amiri" w:hAnsi="Amiri" w:eastAsia="Amiri" w:cs="Amiri"/>
          <w:color w:val="111111"/>
          <w:sz w:val="28"/>
          <w:sz w:val="28"/>
          <w:szCs w:val="28"/>
          <w:rtl w:val="true"/>
          <w:lang w:bidi="ar-SA"/>
        </w:rPr>
        <w:t>، و كونه أقوى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الفردين تخييراً لا ينافي استحباب أحدهما عيناً، بمعنى أكثريّة ثوابه بالقياس إلى ما للآخر أو نفس العبادة، لا جواز تركه لا إلى بدل لعدمه، فالوجوب و الاستحباب و إن تواردا على واحد بالشخص، إلّا أنّ الوجوب بمعنى ترتّب العقاب على الترك سواء كان تخييريّاً أو عينيّاً لا ينافي الاستحباب بالمعنى المذكور، فلا يلزم اجتماع متنافيين علىٰ واحد كما في مكروه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الاستحباب لو أُخذ بمعناه المشهور إلى جواز الترك لا إلى بدل لم يمكن اجتماعه مع أحد أفراد المخيّر؛ إذ صدق اجتماع الضدّين حينئذ في واحد ممّا لا ينكر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الدفع باختلاف المتعلّق نظراً إلى أنّ متعلّق الاستحباب خصوص الفرد،</w:t>
      </w:r>
    </w:p>
    <w:p>
      <w:pPr>
        <w:pStyle w:val="BookText"/>
        <w:rPr/>
      </w:pPr>
      <w:r>
        <w:rPr>
          <w:rFonts w:ascii="Amiri" w:hAnsi="Amiri" w:eastAsia="Amiri" w:cs="Amiri"/>
          <w:color w:val="111111"/>
          <w:sz w:val="28"/>
          <w:sz w:val="28"/>
          <w:szCs w:val="28"/>
          <w:rtl w:val="true"/>
          <w:lang w:bidi="ar-SA"/>
        </w:rPr>
        <w:t>و متعلّق الوجوب فردها أو الطبيعة من حيث هي في ضمنه، غير مقيّد؛ إذ اجتماع الحكمين في هذا الفرد على أيّ تقدير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فالتخييري كالعيني في لزوم الإشكال و دفعه إذا اجتمع مع الندب أو الكراهة و لا خصوصيّة له بدفعه لا توجد في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حذف القيد الأخير من تعريف الواجب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فردي المخيّر مع وجود الآخر لا يتّصف بالوجوب؛ لعدم ثبوت عقاب على تركه، و حينئذ يتّصف بالاستحباب فقط، و بدونه يتّصف به دون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مع ما فيه خارج عن البحث؛ إذ حينئذ يكون المخيّر كالكذب المختلف أفراده في الحكم باختلاف الوجوه و الاعتبارات، و الكلام في صورة اجتماع الوجوب و الندب على فرد واحد هو الغسل بالماء كما يقتضيه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الدفع إنّما يتأتّى في اجتماع الوجوب مع الندب و الكراهة، دون الحرمة؛ لتأتّي الصرف عن المعنى الظاهر فيهما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فاجتماعه معها أو معهما بدون الصرف في واحد جنسي حتّى يتعلّقا بجهتين لا تلازم بينهما أصلًا و يتعدّد متعلّقهما شخصاً جائز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واحد شخصي من جهة واحدة محال؛ لامتناع كونه مصلحةً و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جهتين متلازمتين من الطرفين كلّيّاً كذلك؛ لذلك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منهما من وجه، أو من أحدهما كليّاً و من الآخر جزئيّاً ممتنع عند قوم؛ لإيجابه كون الواحد بالشخص مصلحة و مفسدة، فاللازم فيما اجتمع فيه من الأمر و النهي يخصّص الأضعف بالأقوى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عند آخرين؛ إذ الفعل لا ينقص من تجويز كون الواحد بالشخص مصلحة بأحد الاعتبارين و مفسدة بالآخر حتّى يكون الآتي به آتياً بهما، نظراً إلى تضمّنه الجهتين، فالصلاة الشخصيّة الواقعة في موضع مغصوب التي هي مادّة اجتماع الأمر و النهي بمطلق الصلاة و النهي عن مطلق التصرّف في المغصوب يكون على الأوّل إمّا صحيحة غير محرّمة يكون</w:t>
      </w:r>
    </w:p>
    <w:p>
      <w:pPr>
        <w:pStyle w:val="BookText"/>
        <w:rPr/>
      </w:pPr>
      <w:r>
        <w:rPr>
          <w:rFonts w:ascii="Amiri" w:hAnsi="Amiri" w:eastAsia="Amiri" w:cs="Amiri"/>
          <w:color w:val="111111"/>
          <w:sz w:val="28"/>
          <w:sz w:val="28"/>
          <w:szCs w:val="28"/>
          <w:rtl w:val="true"/>
          <w:lang w:bidi="ar-SA"/>
        </w:rPr>
        <w:t>الآتي بها ممتثلًا غير آثم، أو فاسدة محرّمة حتّى يكون آثماً غير ممتثل، فلا بدّ فيهما من تخصيص الأضعف بالأقوىٰ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تكون صحيحة من حيث فرديّتها للصلاة المأمور بها و محرّمة من حيث فرديّتها للتصرّف المنهي عنه، فيكون الآتي بها ممتثلًا آثماً بالاعتبارين، و لا حاجة إلى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متعلّق النهي من أجزاء العبادة أو لوازمها المقوّمة توجّه البطلان من حيث دلالة مثل هذا النهي على الفساد، و هو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 أنّ توهّم الفساد إنّما لدلالة النهي عليه، فهو يختصّ بصورة خاصّة لا مطلقاً، أو لاقتضائه اجتماع المصلحة و المفسدة بالشخص، فهو مع تعدّد الجهة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جواز ذلك عقلًا؛ لما ذكر، إلّا أنّا نعلم أنّ الحكيم لا يطلب ما أمر به من الطبيعة في ضمن فرد يوجب فعله التأثيم بالمفسدة، و إن كان ذلك من جهة ما فيه من طبيعة أُخرى؛ إذ من شأنه الأمر بالمصالح الصافية، و لا يجوز عليه الغفلة، لا يطلب مصلحة يعلم أنّها لا تنفكّ عن المفسدة، و لذلك يفهم العرف منهما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عدم جواز اجتماعها شرعاً و إن جاز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بين التمسيح و الغسل أكمل؛ للمرفوع </w:t>
      </w:r>
      <w:r>
        <w:rPr>
          <w:rStyle w:val="FootnoteAnchor"/>
          <w:rtl w:val="true"/>
        </w:rPr>
        <w:footnoteReference w:id="737"/>
      </w:r>
      <w:r>
        <w:rPr>
          <w:rFonts w:ascii="Amiri" w:hAnsi="Amiri" w:eastAsia="Amiri" w:cs="Amiri"/>
          <w:color w:val="111111"/>
          <w:sz w:val="28"/>
          <w:sz w:val="28"/>
          <w:szCs w:val="28"/>
          <w:rtl w:val="true"/>
          <w:lang w:bidi="ar-SA"/>
        </w:rPr>
        <w:t>، و ظاهره تقديم الأوّل، و عدم الفرق بين التعدّي و عدمه، و رجحان زيادة التنظيف يؤيّد الكلّ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التمسيح بكلّ طاهر من الحجر و المدر و الكرسف و الخرق و غيرها سوى ما يأتي؛ لنقل الإجماع من جماعة </w:t>
      </w:r>
      <w:r>
        <w:rPr>
          <w:rStyle w:val="FootnoteAnchor"/>
          <w:rtl w:val="true"/>
        </w:rPr>
        <w:footnoteReference w:id="738"/>
      </w:r>
      <w:r>
        <w:rPr>
          <w:rFonts w:ascii="IRNazanin" w:hAnsi="IRNazanin" w:eastAsia="IRNazanin"/>
          <w:color w:val="111111"/>
          <w:sz w:val="28"/>
          <w:sz w:val="28"/>
          <w:szCs w:val="28"/>
          <w:rtl w:val="true"/>
          <w:lang w:bidi="fa-IR"/>
        </w:rPr>
        <w:t>، و عموم الموثّق و الحسن</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بعضهم في بعضها </w:t>
      </w:r>
      <w:r>
        <w:rPr>
          <w:rStyle w:val="FootnoteAnchor"/>
          <w:rtl w:val="true"/>
        </w:rPr>
        <w:footnoteReference w:id="740"/>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الإكمال و لو نقى بالأقل؛ للاستصحاب، و مفهوم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لبعض المطلقات، و أُجيب بالتقييد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ينق بالثلاث وجب الزائد، بالإجماع، و إطلاق الموثّق و الحسن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القطع على الوتر؛ للخبر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يكفي ذو الثلاث، وفاقاً للمشهور؛ للاستصحاب، و ظاهر النصوص، بل صريح بعضها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للمفيد و القاضي </w:t>
      </w:r>
      <w:r>
        <w:rPr>
          <w:rStyle w:val="FootnoteAnchor"/>
          <w:rtl w:val="true"/>
        </w:rPr>
        <w:footnoteReference w:id="745"/>
      </w:r>
      <w:r>
        <w:rPr>
          <w:rFonts w:ascii="Amiri" w:hAnsi="Amiri" w:eastAsia="Amiri" w:cs="Amiri"/>
          <w:color w:val="111111"/>
          <w:sz w:val="28"/>
          <w:sz w:val="28"/>
          <w:szCs w:val="28"/>
          <w:rtl w:val="true"/>
          <w:lang w:bidi="ar-SA"/>
        </w:rPr>
        <w:t xml:space="preserve">و وافقهما الفاضل و بعض الثالثة </w:t>
      </w:r>
      <w:r>
        <w:rPr>
          <w:rStyle w:val="FootnoteAnchor"/>
          <w:rtl w:val="true"/>
        </w:rPr>
        <w:footnoteReference w:id="746"/>
      </w:r>
      <w:r>
        <w:rPr>
          <w:rFonts w:ascii="IRNazanin" w:hAnsi="IRNazanin" w:eastAsia="IRNazanin"/>
          <w:color w:val="111111"/>
          <w:sz w:val="28"/>
          <w:sz w:val="28"/>
          <w:szCs w:val="28"/>
          <w:rtl w:val="true"/>
          <w:lang w:bidi="fa-IR"/>
        </w:rPr>
        <w:t>لوجوه ضعفها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 من وافق المشهور اكتفى باستعمال الخرقة الطويلة من جهاتها الثلاث </w:t>
      </w:r>
      <w:r>
        <w:rPr>
          <w:rStyle w:val="FootnoteAnchor"/>
          <w:rtl w:val="true"/>
        </w:rPr>
        <w:footnoteReference w:id="747"/>
      </w:r>
      <w:r>
        <w:rPr>
          <w:rFonts w:ascii="IRNazanin" w:hAnsi="IRNazanin" w:eastAsia="IRNazanin"/>
          <w:color w:val="111111"/>
          <w:sz w:val="28"/>
          <w:sz w:val="28"/>
          <w:szCs w:val="28"/>
          <w:rtl w:val="true"/>
          <w:lang w:bidi="fa-IR"/>
        </w:rPr>
        <w:t xml:space="preserve">لإطلاق الموثّق و الحسن </w:t>
      </w:r>
      <w:r>
        <w:rPr>
          <w:rStyle w:val="FootnoteAnchor"/>
          <w:rtl w:val="true"/>
        </w:rPr>
        <w:footnoteReference w:id="748"/>
      </w:r>
      <w:r>
        <w:rPr>
          <w:rFonts w:ascii="Amiri" w:hAnsi="Amiri" w:eastAsia="Amiri" w:cs="Amiri"/>
          <w:color w:val="111111"/>
          <w:sz w:val="28"/>
          <w:sz w:val="28"/>
          <w:szCs w:val="28"/>
          <w:rtl w:val="true"/>
          <w:lang w:bidi="ar-SA"/>
        </w:rPr>
        <w:t>، و هو مقيّد بما مرّ مع أنّ التخصيص لا وجه 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اشترط التعدّد لم يكف الاستعمال ثانياً بعد الغسل بل الكسر أيضاً؛ لظهور اعتبار التعدّد في السابق على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في الزائد؛ لسبق التعدّد، و في وقت آخر، و مع كون الأوّل من غيره؛ لصدقه بإطلاق المنع من المستعمل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يجزئ النجس إجماعاً؛ للاستصحاب، و عدم طهوريّته، و ظاهر الخبر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طهر موضع التمسّح، فمعه لا يقدح نجاسة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استجمر به ففي بقاء الكفاية، أو تعيّن الماء، أو الأوّل في الغائط و الثاني في غيره أقوال، أوسطها الوسط؛ لاختصاص الاستجمار بنجاسة المحلّ، فلا يتعدّىٰ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تأثّر النجس بمثله مطلقاً أو مع الاتّحاد، و 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يكفي التمسّح بالرطب؛ لزيادته التلويث، و تنجّس بلله بإصابة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بالجمد، و 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بالصقيل بدون قلعه النجاسة إجماعاً، و معه 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لبعضهم </w:t>
      </w:r>
      <w:r>
        <w:rPr>
          <w:rStyle w:val="FootnoteAnchor"/>
          <w:rtl w:val="true"/>
        </w:rPr>
        <w:footnoteReference w:id="750"/>
      </w:r>
      <w:r>
        <w:rPr>
          <w:rFonts w:ascii="IRNazanin" w:hAnsi="IRNazanin" w:eastAsia="IRNazanin"/>
          <w:color w:val="111111"/>
          <w:sz w:val="28"/>
          <w:sz w:val="28"/>
          <w:szCs w:val="28"/>
          <w:rtl w:val="true"/>
          <w:lang w:bidi="fa-IR"/>
        </w:rPr>
        <w:t>لبعض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الرخو و اللزج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يحرم الاستنجاء بالروث و العظم، بالإجماعين، و ظاهر المستفيضة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بالمطعوم؛ لنقل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المنتهي</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 قصّة </w:t>
      </w:r>
      <w:r>
        <w:rPr>
          <w:rStyle w:val="FootnoteAnchor"/>
          <w:rtl w:val="true"/>
        </w:rPr>
        <w:footnoteReference w:id="753"/>
      </w:r>
      <w:r>
        <w:rPr>
          <w:rFonts w:ascii="IRNazanin" w:hAnsi="IRNazanin" w:eastAsia="IRNazanin"/>
          <w:color w:val="111111"/>
          <w:sz w:val="28"/>
          <w:sz w:val="28"/>
          <w:szCs w:val="28"/>
          <w:rtl w:val="true"/>
          <w:lang w:bidi="fa-IR"/>
        </w:rPr>
        <w:t xml:space="preserve">أهل الثرثار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بالمحترم؛ لإيجابه الإهانة بالشريعة، فلا تحريم مع الجهل أو الغفلة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حصل لم يطهر، وفاقاً للأكثر؛ للاستصحاب و نقل الإجماع </w:t>
      </w:r>
      <w:r>
        <w:rPr>
          <w:rStyle w:val="FootnoteAnchor"/>
          <w:rtl w:val="true"/>
        </w:rPr>
        <w:footnoteReference w:id="755"/>
      </w:r>
      <w:bookmarkStart w:id="250" w:name="pg2479_11570"/>
    </w:p>
    <w:p>
      <w:pPr>
        <w:pStyle w:val="BookText"/>
        <w:rPr/>
      </w:pPr>
      <w:bookmarkEnd w:id="250"/>
      <w:r>
        <w:rPr>
          <w:rFonts w:ascii="Amiri" w:hAnsi="Amiri" w:eastAsia="Amiri" w:cs="Amiri"/>
          <w:color w:val="111111"/>
          <w:sz w:val="28"/>
          <w:sz w:val="28"/>
          <w:szCs w:val="28"/>
          <w:rtl w:val="true"/>
          <w:lang w:bidi="ar-SA"/>
        </w:rPr>
        <w:t xml:space="preserve">و الخبرين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خلافاً للفاضل </w:t>
      </w:r>
      <w:r>
        <w:rPr>
          <w:rStyle w:val="FootnoteAnchor"/>
          <w:rtl w:val="true"/>
        </w:rPr>
        <w:footnoteReference w:id="757"/>
      </w:r>
      <w:r>
        <w:rPr>
          <w:rFonts w:ascii="Amiri" w:hAnsi="Amiri" w:eastAsia="Amiri" w:cs="Amiri"/>
          <w:color w:val="111111"/>
          <w:sz w:val="28"/>
          <w:sz w:val="28"/>
          <w:szCs w:val="28"/>
          <w:rtl w:val="true"/>
          <w:lang w:bidi="ar-SA"/>
        </w:rPr>
        <w:t>لبعض الإطلاقات، و هو مقيّد بمعارض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التجزئة في المسح، فلا يلزم استيعاب الكلّ بالكلّ؛ للأصل و إطلاق الأدلّة و صدق التعدّد، و مع التوزيع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حصوله في كلّ جزء لا دليل له، فخلاف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لإيجابه زيادة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اشترط عدم القيام و بقاء الرطوبة </w:t>
      </w:r>
      <w:r>
        <w:rPr>
          <w:rStyle w:val="FootnoteAnchor"/>
          <w:rtl w:val="true"/>
        </w:rPr>
        <w:footnoteReference w:id="760"/>
      </w:r>
      <w:r>
        <w:rPr>
          <w:rFonts w:ascii="Amiri" w:hAnsi="Amiri" w:eastAsia="Amiri" w:cs="Amiri"/>
          <w:color w:val="111111"/>
          <w:sz w:val="28"/>
          <w:sz w:val="28"/>
          <w:szCs w:val="28"/>
          <w:rtl w:val="true"/>
          <w:lang w:bidi="ar-SA"/>
        </w:rPr>
        <w:t>إذ القيام ناقل، و الحجر لا يزيل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بمنع التعليلين </w:t>
      </w:r>
      <w:r>
        <w:rPr>
          <w:rStyle w:val="FootnoteAnchor"/>
          <w:rtl w:val="true"/>
        </w:rPr>
        <w:footnoteReference w:id="761"/>
      </w:r>
      <w:r>
        <w:rPr>
          <w:rFonts w:ascii="Amiri" w:hAnsi="Amiri" w:eastAsia="Amiri" w:cs="Amiri"/>
          <w:color w:val="111111"/>
          <w:sz w:val="28"/>
          <w:sz w:val="28"/>
          <w:szCs w:val="28"/>
          <w:rtl w:val="true"/>
          <w:lang w:bidi="ar-SA"/>
        </w:rPr>
        <w:t>، مع أنّ اشتراط عدم التعدية و زوال العين يغني عن الشرطين</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731977_3804643083"/>
      <w:bookmarkStart w:id="252" w:name="_Toc94"/>
      <w:bookmarkEnd w:id="251"/>
      <w:r>
        <w:rPr>
          <w:rtl w:val="true"/>
        </w:rPr>
        <w:t xml:space="preserve">فصل </w:t>
      </w:r>
      <w:r>
        <w:rPr>
          <w:rtl w:val="true"/>
        </w:rPr>
        <w:t>[</w:t>
      </w:r>
      <w:r>
        <w:rPr>
          <w:rtl w:val="true"/>
        </w:rPr>
        <w:t>مستحبّات التخلّي</w:t>
      </w:r>
      <w:r>
        <w:rPr>
          <w:rtl w:val="true"/>
        </w:rPr>
        <w:t>]</w:t>
      </w:r>
      <w:bookmarkEnd w:id="2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طلب موضع ساتر، تأسّياً بالحجج عليهم السّلام، و مناسب للبول؛ للخبرين </w:t>
      </w:r>
      <w:r>
        <w:rPr>
          <w:rStyle w:val="FootnoteAnchor"/>
          <w:rtl w:val="true"/>
        </w:rPr>
        <w:footnoteReference w:id="762"/>
      </w:r>
      <w:r>
        <w:rPr>
          <w:rFonts w:ascii="IRNazanin" w:hAnsi="IRNazanin" w:eastAsia="IRNazanin"/>
          <w:color w:val="111111"/>
          <w:sz w:val="28"/>
          <w:sz w:val="28"/>
          <w:szCs w:val="28"/>
          <w:rtl w:val="true"/>
          <w:lang w:bidi="fa-IR"/>
        </w:rPr>
        <w:t xml:space="preserve">و إعداد النبل؛ للخبر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الاعتماد على اليسرى؛ لتعليمه صلّى اللّٰه عليه و سلّم الصحابة ذلك </w:t>
      </w:r>
      <w:r>
        <w:rPr>
          <w:rStyle w:val="FootnoteAnchor"/>
          <w:rtl w:val="true"/>
        </w:rPr>
        <w:footnoteReference w:id="764"/>
      </w:r>
      <w:r>
        <w:rPr>
          <w:rFonts w:ascii="Amiri" w:hAnsi="Amiri" w:eastAsia="Amiri" w:cs="Amiri"/>
          <w:color w:val="111111"/>
          <w:sz w:val="28"/>
          <w:sz w:val="28"/>
          <w:szCs w:val="28"/>
          <w:rtl w:val="true"/>
          <w:lang w:bidi="ar-SA"/>
        </w:rPr>
        <w:t>، و الدخول بها، و الخروج باليمنى فرقاً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تغطية الرأس؛ لما ورد من أنّه من سننه صلّى اللّٰه عليه و سلّم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التقنّع فوق العمامة؛ للمرسل و النبوي صلّى اللّٰه عليه و سلّم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الدعاء بالمأثور عند الدخول، و الكشف، و الجلوس، و الحدث، و النظر، و الاستنجاء، و الفراغ، و الخروج، و مسح بطنه عنده داعياً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الاستنجاء باليسار؛ لأنّها لما دنى و اليمين لما علا، و تقديم الدبر فيه؛ للموثّق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الاستبراء بعد البول؛ للمعتبرة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بوجوبه </w:t>
      </w:r>
      <w:r>
        <w:rPr>
          <w:rStyle w:val="FootnoteAnchor"/>
          <w:rtl w:val="true"/>
        </w:rPr>
        <w:footnoteReference w:id="769"/>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المسح من المقعدة إلى أصل القضيب، و منه إلى رأسه، ثمّ تثليث نتره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أضاف الديلمي التنحنح مطلقاً </w:t>
      </w:r>
      <w:r>
        <w:rPr>
          <w:rStyle w:val="FootnoteAnchor"/>
          <w:rtl w:val="true"/>
        </w:rPr>
        <w:footnoteReference w:id="770"/>
      </w:r>
      <w:r>
        <w:rPr>
          <w:rFonts w:ascii="Amiri" w:hAnsi="Amiri" w:eastAsia="Amiri" w:cs="Amiri"/>
          <w:color w:val="111111"/>
          <w:sz w:val="28"/>
          <w:sz w:val="28"/>
          <w:szCs w:val="28"/>
          <w:rtl w:val="true"/>
          <w:lang w:bidi="ar-SA"/>
        </w:rPr>
        <w:t xml:space="preserve">، و الشهيد مثّلثاً </w:t>
      </w:r>
      <w:r>
        <w:rPr>
          <w:rStyle w:val="FootnoteAnchor"/>
          <w:rtl w:val="true"/>
        </w:rPr>
        <w:footnoteReference w:id="771"/>
      </w:r>
      <w:r>
        <w:rPr>
          <w:rFonts w:ascii="Amiri" w:hAnsi="Amiri" w:eastAsia="Amiri" w:cs="Amiri"/>
          <w:color w:val="111111"/>
          <w:sz w:val="28"/>
          <w:sz w:val="28"/>
          <w:szCs w:val="28"/>
          <w:rtl w:val="true"/>
          <w:lang w:bidi="ar-SA"/>
        </w:rPr>
        <w:t xml:space="preserve">، و اقتصر المفيد على المسحين مخيّراً بين التعدّد و الوحدة </w:t>
      </w:r>
      <w:r>
        <w:rPr>
          <w:rStyle w:val="FootnoteAnchor"/>
          <w:rtl w:val="true"/>
        </w:rPr>
        <w:footnoteReference w:id="772"/>
      </w:r>
      <w:r>
        <w:rPr>
          <w:rFonts w:ascii="Amiri" w:hAnsi="Amiri" w:eastAsia="Amiri" w:cs="Amiri"/>
          <w:color w:val="111111"/>
          <w:sz w:val="28"/>
          <w:sz w:val="28"/>
          <w:szCs w:val="28"/>
          <w:rtl w:val="true"/>
          <w:lang w:bidi="ar-SA"/>
        </w:rPr>
        <w:t xml:space="preserve">، و الصدوقان على التثليث الأوّل و الثالث </w:t>
      </w:r>
      <w:r>
        <w:rPr>
          <w:rStyle w:val="FootnoteAnchor"/>
          <w:rtl w:val="true"/>
        </w:rPr>
        <w:footnoteReference w:id="773"/>
      </w:r>
      <w:r>
        <w:rPr>
          <w:rFonts w:ascii="IRNazanin" w:hAnsi="IRNazanin" w:eastAsia="IRNazanin"/>
          <w:color w:val="111111"/>
          <w:sz w:val="28"/>
          <w:sz w:val="28"/>
          <w:szCs w:val="28"/>
          <w:rtl w:val="true"/>
          <w:lang w:bidi="fa-IR"/>
        </w:rPr>
        <w:t>،</w:t>
      </w:r>
      <w:bookmarkStart w:id="253" w:name="pg2479_11572"/>
    </w:p>
    <w:p>
      <w:pPr>
        <w:pStyle w:val="BookText"/>
        <w:rPr/>
      </w:pPr>
      <w:bookmarkEnd w:id="253"/>
      <w:r>
        <w:rPr>
          <w:rFonts w:ascii="Amiri" w:hAnsi="Amiri" w:eastAsia="Amiri" w:cs="Amiri"/>
          <w:color w:val="111111"/>
          <w:sz w:val="28"/>
          <w:sz w:val="28"/>
          <w:szCs w:val="28"/>
          <w:rtl w:val="true"/>
          <w:lang w:bidi="ar-SA"/>
        </w:rPr>
        <w:t xml:space="preserve">و بعضهم عليهما مع تثليث عصر الحشفة </w:t>
      </w:r>
      <w:r>
        <w:rPr>
          <w:rStyle w:val="FootnoteAnchor"/>
          <w:rtl w:val="true"/>
        </w:rPr>
        <w:footnoteReference w:id="774"/>
      </w:r>
      <w:r>
        <w:rPr>
          <w:rFonts w:ascii="IRNazanin" w:hAnsi="IRNazanin" w:eastAsia="IRNazanin"/>
          <w:color w:val="111111"/>
          <w:sz w:val="28"/>
          <w:sz w:val="28"/>
          <w:szCs w:val="28"/>
          <w:rtl w:val="true"/>
          <w:lang w:bidi="fa-IR"/>
        </w:rPr>
        <w:t xml:space="preserve">، و المرتضى على الثالث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أحوط؛ لجمعه ما في النصوص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أقوى؛ لجمعه بينها بحمل الزائد على الندب و تأكّده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المشتبه من البلل قبله ناقض، و بعده غير ناقض، بالإجماع و المستفيضة من الصحاح و غيرها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اختصاصه بالذكر؛ لاختصاص النصوص به، فلا يجب عرضاً على الأُنثىٰ كما قيل </w:t>
      </w:r>
      <w:r>
        <w:rPr>
          <w:rStyle w:val="FootnoteAnchor"/>
          <w:rtl w:val="true"/>
        </w:rPr>
        <w:footnoteReference w:id="778"/>
      </w:r>
      <w:r>
        <w:rPr>
          <w:rFonts w:ascii="Amiri" w:hAnsi="Amiri" w:eastAsia="Amiri" w:cs="Amiri"/>
          <w:color w:val="111111"/>
          <w:sz w:val="28"/>
          <w:sz w:val="28"/>
          <w:szCs w:val="28"/>
          <w:rtl w:val="true"/>
          <w:lang w:bidi="ar-SA"/>
        </w:rPr>
        <w:t>للأصل، و عند الاشتباه يعمل بالأصل</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731979_3804643083"/>
      <w:bookmarkStart w:id="255" w:name="_Toc95"/>
      <w:bookmarkEnd w:id="254"/>
      <w:r>
        <w:rPr>
          <w:rtl w:val="true"/>
        </w:rPr>
        <w:t xml:space="preserve">فصل </w:t>
      </w:r>
      <w:r>
        <w:rPr>
          <w:rtl w:val="true"/>
        </w:rPr>
        <w:t>[</w:t>
      </w:r>
      <w:r>
        <w:rPr>
          <w:rtl w:val="true"/>
        </w:rPr>
        <w:t>مكروهات التخلّي</w:t>
      </w:r>
      <w:r>
        <w:rPr>
          <w:rtl w:val="true"/>
        </w:rPr>
        <w:t>]</w:t>
      </w:r>
      <w:bookmarkEnd w:id="255"/>
    </w:p>
    <w:p>
      <w:pPr>
        <w:pStyle w:val="BookText"/>
        <w:rPr/>
      </w:pPr>
      <w:r>
        <w:rPr>
          <w:rFonts w:ascii="Amiri" w:hAnsi="Amiri" w:eastAsia="Amiri" w:cs="Amiri"/>
          <w:color w:val="111111"/>
          <w:sz w:val="28"/>
          <w:sz w:val="28"/>
          <w:szCs w:val="28"/>
          <w:rtl w:val="true"/>
          <w:lang w:bidi="ar-SA"/>
        </w:rPr>
        <w:t xml:space="preserve">يكره استقبال النيّرين؛ لظاهر الوفاق و المستفيضة </w:t>
      </w:r>
      <w:r>
        <w:rPr>
          <w:rStyle w:val="FootnoteAnchor"/>
          <w:rtl w:val="true"/>
        </w:rPr>
        <w:footnoteReference w:id="779"/>
      </w:r>
      <w:r>
        <w:rPr>
          <w:rFonts w:ascii="Amiri" w:hAnsi="Amiri" w:eastAsia="Amiri" w:cs="Amiri"/>
          <w:color w:val="111111"/>
          <w:sz w:val="28"/>
          <w:sz w:val="28"/>
          <w:szCs w:val="28"/>
          <w:rtl w:val="true"/>
          <w:lang w:bidi="ar-SA"/>
        </w:rPr>
        <w:t xml:space="preserve">و الريح؛ للمرفوع و الخبر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البول في الصلبة؛ لظاهر المستفيضة </w:t>
      </w:r>
      <w:r>
        <w:rPr>
          <w:rStyle w:val="FootnoteAnchor"/>
          <w:rtl w:val="true"/>
        </w:rPr>
        <w:footnoteReference w:id="781"/>
      </w:r>
      <w:r>
        <w:rPr>
          <w:rFonts w:ascii="Amiri" w:hAnsi="Amiri" w:eastAsia="Amiri" w:cs="Amiri"/>
          <w:color w:val="111111"/>
          <w:sz w:val="28"/>
          <w:sz w:val="28"/>
          <w:szCs w:val="28"/>
          <w:rtl w:val="true"/>
          <w:lang w:bidi="ar-SA"/>
        </w:rPr>
        <w:t xml:space="preserve">، و في الجحرة؛ لنهي النبي صلّى اللّٰه عليه و سلّم </w:t>
      </w:r>
      <w:r>
        <w:rPr>
          <w:rStyle w:val="FootnoteAnchor"/>
          <w:rtl w:val="true"/>
        </w:rPr>
        <w:footnoteReference w:id="7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قضيّة سعد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التغوّط أيضاً في الشوارع، و المشارع، و الملاعن، و في النزال، و أفنية المساجد، و تحت المثمرة؛ للنصوص </w:t>
      </w:r>
      <w:r>
        <w:rPr>
          <w:rStyle w:val="FootnoteAnchor"/>
          <w:rtl w:val="true"/>
        </w:rPr>
        <w:footnoteReference w:id="784"/>
      </w:r>
      <w:r>
        <w:rPr>
          <w:rFonts w:ascii="Amiri" w:hAnsi="Amiri" w:eastAsia="Amiri" w:cs="Amiri"/>
          <w:color w:val="111111"/>
          <w:sz w:val="28"/>
          <w:sz w:val="28"/>
          <w:szCs w:val="28"/>
          <w:rtl w:val="true"/>
          <w:lang w:bidi="ar-SA"/>
        </w:rPr>
        <w:t xml:space="preserve">، و في الماء الراكد بالإجماع و الصحاح </w:t>
      </w:r>
      <w:r>
        <w:rPr>
          <w:rStyle w:val="FootnoteAnchor"/>
          <w:rtl w:val="true"/>
        </w:rPr>
        <w:footnoteReference w:id="785"/>
      </w:r>
      <w:r>
        <w:rPr>
          <w:rFonts w:ascii="Amiri" w:hAnsi="Amiri" w:eastAsia="Amiri" w:cs="Amiri"/>
          <w:color w:val="111111"/>
          <w:sz w:val="28"/>
          <w:sz w:val="28"/>
          <w:szCs w:val="28"/>
          <w:rtl w:val="true"/>
          <w:lang w:bidi="ar-SA"/>
        </w:rPr>
        <w:t xml:space="preserve">، و الجاري على المشهور؛ لعموم المرسل </w:t>
      </w:r>
      <w:r>
        <w:rPr>
          <w:rStyle w:val="FootnoteAnchor"/>
          <w:rtl w:val="true"/>
        </w:rPr>
        <w:footnoteReference w:id="786"/>
      </w:r>
      <w:r>
        <w:rPr>
          <w:rFonts w:ascii="IRNazanin" w:hAnsi="IRNazanin" w:eastAsia="IRNazanin"/>
          <w:color w:val="111111"/>
          <w:sz w:val="28"/>
          <w:sz w:val="28"/>
          <w:szCs w:val="28"/>
          <w:rtl w:val="true"/>
          <w:lang w:bidi="fa-IR"/>
        </w:rPr>
        <w:t xml:space="preserve">، و خصوص الخبر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لوالد الصدوق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حملت على خفّة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و إن اختصّت بالبول، إلّا أنّ التعدية إلى الغائط تعلم بالأولويّة أو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النهي يدفع استثناء المعدّ لبيوت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يندفع الكراهة عند الضرورة، كما في الخبر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الاستنجاء باليمين، أو باليسار و فيها خاتم عليه اسم اللّٰه؛ لظاهر الوفاق و المستفيضة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المجوّز للثاني </w:t>
      </w:r>
      <w:r>
        <w:rPr>
          <w:rStyle w:val="FootnoteAnchor"/>
          <w:rtl w:val="true"/>
        </w:rPr>
        <w:footnoteReference w:id="791"/>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به اسم المعصوم؛ للتعظيم، و التعيّن مع الاشتراك بالقصد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حصوله باليد إنّما هو بمسّها المحلّ، لا بصبّها الماء، إلّا مع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الاستبراء و الاستجمار؛ للخبر </w:t>
      </w:r>
      <w:r>
        <w:rPr>
          <w:rStyle w:val="FootnoteAnchor"/>
          <w:rtl w:val="true"/>
        </w:rPr>
        <w:footnoteReference w:id="792"/>
      </w:r>
      <w:r>
        <w:rPr>
          <w:rFonts w:ascii="IRNazanin" w:hAnsi="IRNazanin" w:eastAsia="IRNazanin"/>
          <w:color w:val="111111"/>
          <w:sz w:val="28"/>
          <w:sz w:val="28"/>
          <w:szCs w:val="28"/>
          <w:rtl w:val="true"/>
          <w:lang w:bidi="fa-IR"/>
        </w:rPr>
        <w:t>و بعض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استصحاب خاتم فيه اسم اللّٰه؛ للمستفيضة </w:t>
      </w:r>
      <w:r>
        <w:rPr>
          <w:rStyle w:val="FootnoteAnchor"/>
          <w:rtl w:val="true"/>
        </w:rPr>
        <w:footnoteReference w:id="793"/>
      </w:r>
      <w:r>
        <w:rPr>
          <w:rFonts w:ascii="Amiri" w:hAnsi="Amiri" w:eastAsia="Amiri" w:cs="Amiri"/>
          <w:color w:val="111111"/>
          <w:sz w:val="28"/>
          <w:sz w:val="28"/>
          <w:szCs w:val="28"/>
          <w:rtl w:val="true"/>
          <w:lang w:bidi="ar-SA"/>
        </w:rPr>
        <w:t>، و هي أقوى من مجوّزاته بوجوه، فيحمل على جهة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على التعدية إلى القرآن و غير الخاتم لاتّحاد الطريق و هو مراعاة التعظيم و لا يتعدّىٰ إلى اسم المعصوم؛ للخبر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التكلّم؛ للمستفيضة </w:t>
      </w:r>
      <w:r>
        <w:rPr>
          <w:rStyle w:val="FootnoteAnchor"/>
          <w:rtl w:val="true"/>
        </w:rPr>
        <w:footnoteReference w:id="795"/>
      </w:r>
      <w:r>
        <w:rPr>
          <w:rFonts w:ascii="Amiri" w:hAnsi="Amiri" w:eastAsia="Amiri" w:cs="Amiri"/>
          <w:color w:val="111111"/>
          <w:sz w:val="28"/>
          <w:sz w:val="28"/>
          <w:szCs w:val="28"/>
          <w:rtl w:val="true"/>
          <w:lang w:bidi="ar-SA"/>
        </w:rPr>
        <w:t xml:space="preserve">، إلّا الذكر؛ للصحاح </w:t>
      </w:r>
      <w:r>
        <w:rPr>
          <w:rStyle w:val="FootnoteAnchor"/>
          <w:rtl w:val="true"/>
        </w:rPr>
        <w:footnoteReference w:id="796"/>
      </w:r>
      <w:r>
        <w:rPr>
          <w:rFonts w:ascii="Amiri" w:hAnsi="Amiri" w:eastAsia="Amiri" w:cs="Amiri"/>
          <w:color w:val="111111"/>
          <w:sz w:val="28"/>
          <w:sz w:val="28"/>
          <w:szCs w:val="28"/>
          <w:rtl w:val="true"/>
          <w:lang w:bidi="ar-SA"/>
        </w:rPr>
        <w:t xml:space="preserve">، و آية الكرسي؛ للصحيح </w:t>
      </w:r>
      <w:r>
        <w:rPr>
          <w:rStyle w:val="FootnoteAnchor"/>
          <w:rtl w:val="true"/>
        </w:rPr>
        <w:footnoteReference w:id="797"/>
      </w:r>
      <w:r>
        <w:rPr>
          <w:rFonts w:ascii="Amiri" w:hAnsi="Amiri" w:eastAsia="Amiri" w:cs="Amiri"/>
          <w:color w:val="111111"/>
          <w:sz w:val="28"/>
          <w:sz w:val="28"/>
          <w:szCs w:val="28"/>
          <w:rtl w:val="true"/>
          <w:lang w:bidi="ar-SA"/>
        </w:rPr>
        <w:t xml:space="preserve">، و حكاية الأذان؛ للنصوص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السواك؛ للمرسل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طول الجلوس؛ للخبر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الأكل؛ لظاهر المرسل </w:t>
      </w:r>
      <w:r>
        <w:rPr>
          <w:rStyle w:val="FootnoteAnchor"/>
          <w:rtl w:val="true"/>
        </w:rPr>
        <w:footnoteReference w:id="801"/>
      </w:r>
      <w:r>
        <w:rPr>
          <w:rFonts w:ascii="Amiri" w:hAnsi="Amiri" w:eastAsia="Amiri" w:cs="Amiri"/>
          <w:color w:val="111111"/>
          <w:sz w:val="28"/>
          <w:sz w:val="28"/>
          <w:szCs w:val="28"/>
          <w:rtl w:val="true"/>
          <w:lang w:bidi="ar-SA"/>
        </w:rPr>
        <w:t>، و إيجابه 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الشرب على الأظهر؛ لاشتراكهما في العلّة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البول قائماً؛ للصحيح، و المرسل، و الخبر </w:t>
      </w:r>
      <w:r>
        <w:rPr>
          <w:rStyle w:val="FootnoteAnchor"/>
          <w:rtl w:val="true"/>
        </w:rPr>
        <w:footnoteReference w:id="802"/>
      </w:r>
      <w:r>
        <w:rPr>
          <w:rFonts w:ascii="Amiri" w:hAnsi="Amiri" w:eastAsia="Amiri" w:cs="Amiri"/>
          <w:color w:val="111111"/>
          <w:sz w:val="28"/>
          <w:sz w:val="28"/>
          <w:szCs w:val="28"/>
          <w:rtl w:val="true"/>
          <w:lang w:bidi="ar-SA"/>
        </w:rPr>
        <w:t xml:space="preserve">، و مطمّحاً؛ للمرسل، و الخبرين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التطميح الرمي من الفوق أو إليه</w:t>
      </w:r>
      <w:r>
        <w:rPr>
          <w:rFonts w:eastAsia="Amiri" w:cs="Amiri" w:ascii="Amiri" w:hAnsi="Amiri"/>
          <w:color w:val="111111"/>
          <w:sz w:val="28"/>
          <w:szCs w:val="28"/>
          <w:rtl w:val="true"/>
          <w:lang w:bidi="ar-SA"/>
        </w:rPr>
        <w:t>.</w:t>
      </w:r>
      <w:bookmarkStart w:id="256" w:name="pg2479_11575"/>
    </w:p>
    <w:p>
      <w:pPr>
        <w:pStyle w:val="Heading5"/>
        <w:numPr>
          <w:ilvl w:val="4"/>
          <w:numId w:val="1"/>
        </w:numPr>
        <w:rPr/>
      </w:pPr>
      <w:bookmarkStart w:id="257" w:name="__RefHeading___Toc3731981_3804643083"/>
      <w:bookmarkStart w:id="258" w:name="_Toc96"/>
      <w:bookmarkEnd w:id="256"/>
      <w:bookmarkEnd w:id="257"/>
      <w:r>
        <w:rPr>
          <w:rtl w:val="true"/>
        </w:rPr>
        <w:t xml:space="preserve">فصل </w:t>
      </w:r>
      <w:r>
        <w:rPr>
          <w:rtl w:val="true"/>
        </w:rPr>
        <w:t>[</w:t>
      </w:r>
      <w:r>
        <w:rPr>
          <w:rtl w:val="true"/>
        </w:rPr>
        <w:t>أحكام الاستنجاء</w:t>
      </w:r>
      <w:r>
        <w:rPr>
          <w:rtl w:val="true"/>
        </w:rPr>
        <w:t>]</w:t>
      </w:r>
      <w:bookmarkEnd w:id="258"/>
    </w:p>
    <w:p>
      <w:pPr>
        <w:pStyle w:val="BookText"/>
        <w:rPr/>
      </w:pPr>
      <w:r>
        <w:rPr>
          <w:rFonts w:ascii="Amiri" w:hAnsi="Amiri" w:eastAsia="Amiri" w:cs="Amiri"/>
          <w:color w:val="111111"/>
          <w:sz w:val="28"/>
          <w:sz w:val="28"/>
          <w:szCs w:val="28"/>
          <w:rtl w:val="true"/>
          <w:lang w:bidi="ar-SA"/>
        </w:rPr>
        <w:t xml:space="preserve">الاستنجاء كالنقض </w:t>
      </w:r>
      <w:r>
        <w:rPr>
          <w:rStyle w:val="FootnoteAnchor"/>
          <w:rtl w:val="true"/>
        </w:rPr>
        <w:footnoteReference w:id="804"/>
      </w:r>
      <w:r>
        <w:rPr>
          <w:rFonts w:ascii="Amiri" w:hAnsi="Amiri" w:eastAsia="Amiri" w:cs="Amiri"/>
          <w:color w:val="111111"/>
          <w:sz w:val="28"/>
          <w:sz w:val="28"/>
          <w:szCs w:val="28"/>
          <w:rtl w:val="true"/>
          <w:lang w:bidi="ar-SA"/>
        </w:rPr>
        <w:t>بالنسبة إلى غير الطبيعي، فيثبت فيه مع الاعتياد إن انسدّ الطبيعي؛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لظهور أخبارهما فيه، فلا يثبت أحكامه من الاستجمار و 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الوضوء قبل الاستنجاء من الغائط مجمع عليه، و الأصل كصدق الامتثال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الموثّق المبطل </w:t>
      </w:r>
      <w:r>
        <w:rPr>
          <w:rStyle w:val="FootnoteAnchor"/>
          <w:rtl w:val="true"/>
        </w:rPr>
        <w:footnoteReference w:id="805"/>
      </w:r>
      <w:r>
        <w:rPr>
          <w:rFonts w:ascii="Amiri" w:hAnsi="Amiri" w:eastAsia="Amiri" w:cs="Amiri"/>
          <w:color w:val="111111"/>
          <w:sz w:val="28"/>
          <w:sz w:val="28"/>
          <w:szCs w:val="28"/>
          <w:rtl w:val="true"/>
          <w:lang w:bidi="ar-SA"/>
        </w:rPr>
        <w:t>متروك الظاهر، و حمله على الندب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البول قول المعظم؛ للصحاح و غيرها </w:t>
      </w:r>
      <w:r>
        <w:rPr>
          <w:rStyle w:val="FootnoteAnchor"/>
          <w:rtl w:val="true"/>
        </w:rPr>
        <w:footnoteReference w:id="806"/>
      </w:r>
      <w:r>
        <w:rPr>
          <w:rFonts w:ascii="Amiri" w:hAnsi="Amiri" w:eastAsia="Amiri" w:cs="Amiri"/>
          <w:color w:val="111111"/>
          <w:sz w:val="28"/>
          <w:sz w:val="28"/>
          <w:szCs w:val="28"/>
          <w:rtl w:val="true"/>
          <w:lang w:bidi="ar-SA"/>
        </w:rPr>
        <w:t>، مع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للصدوق </w:t>
      </w:r>
      <w:r>
        <w:rPr>
          <w:rStyle w:val="FootnoteAnchor"/>
          <w:rtl w:val="true"/>
        </w:rPr>
        <w:footnoteReference w:id="807"/>
      </w:r>
      <w:r>
        <w:rPr>
          <w:rFonts w:ascii="IRNazanin" w:hAnsi="IRNazanin" w:eastAsia="IRNazanin"/>
          <w:color w:val="111111"/>
          <w:sz w:val="28"/>
          <w:sz w:val="28"/>
          <w:szCs w:val="28"/>
          <w:rtl w:val="true"/>
          <w:lang w:bidi="fa-IR"/>
        </w:rPr>
        <w:t xml:space="preserve">لأخبار </w:t>
      </w:r>
      <w:r>
        <w:rPr>
          <w:rStyle w:val="FootnoteAnchor"/>
          <w:rtl w:val="true"/>
        </w:rPr>
        <w:footnoteReference w:id="808"/>
      </w:r>
      <w:r>
        <w:rPr>
          <w:rFonts w:ascii="Amiri" w:hAnsi="Amiri" w:eastAsia="Amiri" w:cs="Amiri"/>
          <w:color w:val="111111"/>
          <w:sz w:val="28"/>
          <w:sz w:val="28"/>
          <w:szCs w:val="28"/>
          <w:rtl w:val="true"/>
          <w:lang w:bidi="ar-SA"/>
        </w:rPr>
        <w:t>يتعيّن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التيمّم كالوضوء، فيصحّ قبله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 على مراعاة التضيّق </w:t>
      </w:r>
      <w:r>
        <w:rPr>
          <w:rStyle w:val="FootnoteAnchor"/>
          <w:rtl w:val="true"/>
        </w:rPr>
        <w:footnoteReference w:id="809"/>
      </w:r>
      <w:r>
        <w:rPr>
          <w:rFonts w:ascii="Amiri" w:hAnsi="Amiri" w:eastAsia="Amiri" w:cs="Amiri"/>
          <w:color w:val="111111"/>
          <w:sz w:val="28"/>
          <w:sz w:val="28"/>
          <w:szCs w:val="28"/>
          <w:rtl w:val="true"/>
          <w:lang w:bidi="ar-SA"/>
        </w:rPr>
        <w:t>لمنافاته القبليّة، و جوابه ظاهر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نسي الاستنجاء و صلّى فالمشهور الإعادة مطلقاً؛ للمعتبرة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للصدوق في الغائط </w:t>
      </w:r>
      <w:r>
        <w:rPr>
          <w:rStyle w:val="FootnoteAnchor"/>
          <w:rtl w:val="true"/>
        </w:rPr>
        <w:footnoteReference w:id="811"/>
      </w:r>
      <w:r>
        <w:rPr>
          <w:rFonts w:ascii="Amiri" w:hAnsi="Amiri" w:eastAsia="Amiri" w:cs="Amiri"/>
          <w:color w:val="111111"/>
          <w:sz w:val="28"/>
          <w:sz w:val="28"/>
          <w:szCs w:val="28"/>
          <w:rtl w:val="true"/>
          <w:lang w:bidi="ar-SA"/>
        </w:rPr>
        <w:t xml:space="preserve">للأصل و الصحيح و الموثّق </w:t>
      </w:r>
      <w:r>
        <w:rPr>
          <w:rStyle w:val="FootnoteAnchor"/>
          <w:rtl w:val="true"/>
        </w:rPr>
        <w:footnoteReference w:id="812"/>
      </w:r>
      <w:r>
        <w:rPr>
          <w:rFonts w:ascii="Amiri" w:hAnsi="Amiri" w:eastAsia="Amiri" w:cs="Amiri"/>
          <w:color w:val="111111"/>
          <w:sz w:val="28"/>
          <w:sz w:val="28"/>
          <w:szCs w:val="28"/>
          <w:rtl w:val="true"/>
          <w:lang w:bidi="ar-SA"/>
        </w:rPr>
        <w:t>، و للإسكافي في البول خارج</w:t>
      </w:r>
    </w:p>
    <w:p>
      <w:pPr>
        <w:pStyle w:val="BookText"/>
        <w:rPr/>
      </w:pPr>
      <w:r>
        <w:rPr>
          <w:rFonts w:ascii="IRNazanin" w:hAnsi="IRNazanin" w:eastAsia="IRNazanin"/>
          <w:color w:val="111111"/>
          <w:sz w:val="28"/>
          <w:sz w:val="28"/>
          <w:szCs w:val="28"/>
          <w:rtl w:val="true"/>
          <w:lang w:bidi="fa-IR"/>
        </w:rPr>
        <w:t xml:space="preserve">الوقت </w:t>
      </w:r>
      <w:r>
        <w:rPr>
          <w:rStyle w:val="FootnoteAnchor"/>
          <w:rtl w:val="true"/>
        </w:rPr>
        <w:footnoteReference w:id="813"/>
      </w:r>
      <w:r>
        <w:rPr>
          <w:rFonts w:ascii="IRNazanin" w:hAnsi="IRNazanin" w:eastAsia="IRNazanin"/>
          <w:color w:val="111111"/>
          <w:sz w:val="28"/>
          <w:sz w:val="28"/>
          <w:szCs w:val="28"/>
          <w:rtl w:val="true"/>
          <w:lang w:bidi="fa-IR"/>
        </w:rPr>
        <w:t xml:space="preserve">للحسن و الخبر </w:t>
      </w:r>
      <w:r>
        <w:rPr>
          <w:rStyle w:val="FootnoteAnchor"/>
          <w:rtl w:val="true"/>
        </w:rPr>
        <w:footnoteReference w:id="814"/>
      </w:r>
      <w:r>
        <w:rPr>
          <w:rFonts w:ascii="Amiri" w:hAnsi="Amiri" w:eastAsia="Amiri" w:cs="Amiri"/>
          <w:color w:val="111111"/>
          <w:sz w:val="28"/>
          <w:sz w:val="28"/>
          <w:szCs w:val="28"/>
          <w:rtl w:val="true"/>
          <w:lang w:bidi="ar-SA"/>
        </w:rPr>
        <w:t>و لا صراحة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النظر في ترجيح إحدى الأُوليين، و يرجّح الاولى بالكثرة و الشهرة، و الثانية بتأتّي الجمع، و الأحوط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 كلّ منهما بما يوافقه من أخبار النسيان عن غسل الثوب و البدن غير جيّد؛ لاختلاف الخلاف في الموضعين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الجاهل بالحكم غير معذور، فيعيد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بالنجاسة معذور، و لا يعيد كذلك، كما لا يخفى وجهه</w:t>
      </w:r>
      <w:r>
        <w:rPr>
          <w:rFonts w:eastAsia="Amiri" w:cs="Amiri" w:ascii="Amiri" w:hAnsi="Amiri"/>
          <w:color w:val="111111"/>
          <w:sz w:val="28"/>
          <w:szCs w:val="28"/>
          <w:rtl w:val="true"/>
          <w:lang w:bidi="ar-SA"/>
        </w:rPr>
        <w:t>.</w:t>
      </w:r>
      <w:bookmarkStart w:id="259" w:name="pg2479_11577"/>
    </w:p>
    <w:p>
      <w:pPr>
        <w:pStyle w:val="Heading4"/>
        <w:numPr>
          <w:ilvl w:val="3"/>
          <w:numId w:val="1"/>
        </w:numPr>
        <w:rPr/>
      </w:pPr>
      <w:bookmarkStart w:id="260" w:name="__RefHeading___Toc3731983_3804643083"/>
      <w:bookmarkStart w:id="261" w:name="_Toc97"/>
      <w:bookmarkEnd w:id="259"/>
      <w:bookmarkEnd w:id="260"/>
      <w:r>
        <w:rPr>
          <w:rtl w:val="true"/>
        </w:rPr>
        <w:t>بحث الاستطابة المطلقة المستحبّة</w:t>
      </w:r>
      <w:bookmarkEnd w:id="261"/>
    </w:p>
    <w:p>
      <w:pPr>
        <w:pStyle w:val="BookText"/>
        <w:rPr/>
      </w:pPr>
      <w:r>
        <w:rPr>
          <w:rFonts w:ascii="Amiri" w:hAnsi="Amiri" w:eastAsia="Amiri" w:cs="Amiri"/>
          <w:color w:val="111111"/>
          <w:sz w:val="28"/>
          <w:sz w:val="28"/>
          <w:szCs w:val="28"/>
          <w:rtl w:val="true"/>
          <w:lang w:bidi="ar-SA"/>
        </w:rPr>
        <w:t xml:space="preserve">و هي الاستحمام؛ لفعل الحجج عليهم السّلام و استفاضة النصوص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ذمّه </w:t>
      </w:r>
      <w:r>
        <w:rPr>
          <w:rStyle w:val="FootnoteAnchor"/>
          <w:rtl w:val="true"/>
        </w:rPr>
        <w:footnoteReference w:id="816"/>
      </w:r>
      <w:r>
        <w:rPr>
          <w:rFonts w:ascii="Amiri" w:hAnsi="Amiri" w:eastAsia="Amiri" w:cs="Amiri"/>
          <w:color w:val="111111"/>
          <w:sz w:val="28"/>
          <w:sz w:val="28"/>
          <w:szCs w:val="28"/>
          <w:rtl w:val="true"/>
          <w:lang w:bidi="ar-SA"/>
        </w:rPr>
        <w:t>محمول على كونه بلا 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يوم الأربعاء حسن و يوم الجمعة أحسن، و غبّاً يكثر اللحم، و كلّ يوم يذيب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للنصّ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بمئزر مع توقّف الستر عليه واجب، و بدونه مستحبّ؛ للمستفيضة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الريق أو الامتلاء مكروه؛ للنصوص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النهي عن دخول النساء في الحمّام </w:t>
      </w:r>
      <w:r>
        <w:rPr>
          <w:rStyle w:val="FootnoteAnchor"/>
          <w:rtl w:val="true"/>
        </w:rPr>
        <w:footnoteReference w:id="820"/>
      </w:r>
      <w:r>
        <w:rPr>
          <w:rFonts w:ascii="Amiri" w:hAnsi="Amiri" w:eastAsia="Amiri" w:cs="Amiri"/>
          <w:color w:val="111111"/>
          <w:sz w:val="28"/>
          <w:sz w:val="28"/>
          <w:szCs w:val="28"/>
          <w:rtl w:val="true"/>
          <w:lang w:bidi="ar-SA"/>
        </w:rPr>
        <w:t>محمول على عدم الضرورة و الاتّزار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دخول الولد مع أبيه مقيّد بخوف النظر، كما في الخبر </w:t>
      </w:r>
      <w:r>
        <w:rPr>
          <w:rStyle w:val="FootnoteAnchor"/>
          <w:rtl w:val="true"/>
        </w:rPr>
        <w:footnoteReference w:id="821"/>
      </w:r>
      <w:r>
        <w:rPr>
          <w:rFonts w:ascii="Amiri" w:hAnsi="Amiri" w:eastAsia="Amiri" w:cs="Amiri"/>
          <w:color w:val="111111"/>
          <w:sz w:val="28"/>
          <w:sz w:val="28"/>
          <w:szCs w:val="28"/>
          <w:rtl w:val="true"/>
          <w:lang w:bidi="ar-SA"/>
        </w:rPr>
        <w:t xml:space="preserve">، و يعضده دخول الباقر عليه السّلام فيه مع أبيه، كما في الصحيح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بالمأثور عند نزع الثياب و لبسها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صبّ الماء الحار على هامته و رجليه عند الدخول، و البارد على قدميه عند الخروج؛ للخبر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التعمّم عنده صيفاً و شتاء؛ للصحيح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غسل الرأس بالسدر و الخطمي؛ للمستفيضة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الاتّكاء و الاضطجاع و الاستلقاء، و التمشّط، و السواك، و مسح الوجه و الرأس بالإزار، و غسله بالطين و الدلك بالخزف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للنصّ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فيه بالتسليم مع الاتّزار؛ للخبر </w:t>
      </w:r>
      <w:r>
        <w:rPr>
          <w:rStyle w:val="FootnoteAnchor"/>
          <w:rtl w:val="true"/>
        </w:rPr>
        <w:footnoteReference w:id="828"/>
      </w:r>
      <w:r>
        <w:rPr>
          <w:rFonts w:ascii="Amiri" w:hAnsi="Amiri" w:eastAsia="Amiri" w:cs="Amiri"/>
          <w:color w:val="111111"/>
          <w:sz w:val="28"/>
          <w:sz w:val="28"/>
          <w:szCs w:val="28"/>
          <w:rtl w:val="true"/>
          <w:lang w:bidi="ar-SA"/>
        </w:rPr>
        <w:t xml:space="preserve">و النهي في الآخر </w:t>
      </w:r>
      <w:r>
        <w:rPr>
          <w:rStyle w:val="FootnoteAnchor"/>
          <w:rtl w:val="true"/>
        </w:rPr>
        <w:footnoteReference w:id="829"/>
      </w:r>
      <w:r>
        <w:rPr>
          <w:rFonts w:ascii="Amiri" w:hAnsi="Amiri" w:eastAsia="Amiri" w:cs="Amiri"/>
          <w:color w:val="111111"/>
          <w:sz w:val="28"/>
          <w:sz w:val="28"/>
          <w:szCs w:val="28"/>
          <w:rtl w:val="true"/>
          <w:lang w:bidi="ar-SA"/>
        </w:rPr>
        <w:t>مقيّد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بالمباشرة و قراءة القرآن؛ للصحاح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التنوّر في شعر العانة و غيره، بالإجماع، و تظافر النصوص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السنّة فعله كلّ خمسة عشر يوماً؛ للخبر و المرسلين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تركه للرجل فوق أربعين، و للمرأة عشرين؛ للخبر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الأيّام كلّها صالحة له إلّا الأربعاء؛ للمرسل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يكره يوم الجمعة؛ للمرفوع و الخبر </w:t>
      </w:r>
      <w:r>
        <w:rPr>
          <w:rStyle w:val="FootnoteAnchor"/>
          <w:rtl w:val="true"/>
        </w:rPr>
        <w:footnoteReference w:id="835"/>
      </w:r>
      <w:r>
        <w:rPr>
          <w:rFonts w:ascii="Amiri" w:hAnsi="Amiri" w:eastAsia="Amiri" w:cs="Amiri"/>
          <w:color w:val="111111"/>
          <w:sz w:val="28"/>
          <w:sz w:val="28"/>
          <w:szCs w:val="28"/>
          <w:rtl w:val="true"/>
          <w:lang w:bidi="ar-SA"/>
        </w:rPr>
        <w:t xml:space="preserve">، و النهي في المرسلين </w:t>
      </w:r>
      <w:r>
        <w:rPr>
          <w:rStyle w:val="FootnoteAnchor"/>
          <w:rtl w:val="true"/>
        </w:rPr>
        <w:footnoteReference w:id="836"/>
      </w:r>
      <w:r>
        <w:rPr>
          <w:rFonts w:ascii="Amiri" w:hAnsi="Amiri" w:eastAsia="Amiri" w:cs="Amiri"/>
          <w:color w:val="111111"/>
          <w:sz w:val="28"/>
          <w:sz w:val="28"/>
          <w:szCs w:val="28"/>
          <w:rtl w:val="true"/>
          <w:lang w:bidi="ar-SA"/>
        </w:rPr>
        <w:t>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ليقم المتنوّر، كما في المرسل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الصيف أفضل منه في الشتاء؛ للخبر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الأفضل في شعر الإبط طليه ثمّ حلقه ثمّ نتفه؛ للخبر و المرسل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كراهة النتف؛ للمستفيضة </w:t>
      </w:r>
      <w:r>
        <w:rPr>
          <w:rStyle w:val="FootnoteAnchor"/>
          <w:rtl w:val="true"/>
        </w:rPr>
        <w:footnoteReference w:id="840"/>
      </w:r>
      <w:r>
        <w:rPr>
          <w:rFonts w:ascii="Amiri" w:hAnsi="Amiri" w:eastAsia="Amiri" w:cs="Amiri"/>
          <w:color w:val="111111"/>
          <w:sz w:val="28"/>
          <w:sz w:val="28"/>
          <w:szCs w:val="28"/>
          <w:rtl w:val="true"/>
          <w:lang w:bidi="ar-SA"/>
        </w:rPr>
        <w:t xml:space="preserve">المؤيّدة بالاعتبار، و المرسل المجوّز </w:t>
      </w:r>
      <w:r>
        <w:rPr>
          <w:rStyle w:val="FootnoteAnchor"/>
          <w:rtl w:val="true"/>
        </w:rPr>
        <w:footnoteReference w:id="841"/>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يكره للجنب؛ للمكاتبة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بعده الاختضاب بالحنّاء؛ للمستفيضة </w:t>
      </w:r>
      <w:r>
        <w:rPr>
          <w:rStyle w:val="FootnoteAnchor"/>
          <w:rtl w:val="true"/>
        </w:rPr>
        <w:footnoteReference w:id="843"/>
      </w:r>
      <w:r>
        <w:rPr>
          <w:rFonts w:ascii="Amiri" w:hAnsi="Amiri" w:eastAsia="Amiri" w:cs="Amiri"/>
          <w:color w:val="111111"/>
          <w:sz w:val="28"/>
          <w:sz w:val="28"/>
          <w:szCs w:val="28"/>
          <w:rtl w:val="true"/>
          <w:lang w:bidi="ar-SA"/>
        </w:rPr>
        <w:t xml:space="preserve">، و جزّ اللحية و قصّ الشارب؛ لاستفاضة النصوص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أفضل وقتهما الجمعة، و السنّة في القصّ الاستقصاء، و في الجزّ قطع ما زاد على القبضة؛ للمستفيضة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أخذ الشعر من الأنف؛ للمرفوع و المرسل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نتف الشيب دون جزّه؛ لبعض الظواهر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للمستفيضة </w:t>
      </w:r>
      <w:r>
        <w:rPr>
          <w:rStyle w:val="FootnoteAnchor"/>
          <w:rtl w:val="true"/>
        </w:rPr>
        <w:footnoteReference w:id="848"/>
      </w:r>
      <w:r>
        <w:rPr>
          <w:rFonts w:ascii="Amiri" w:hAnsi="Amiri" w:eastAsia="Amiri" w:cs="Amiri"/>
          <w:color w:val="111111"/>
          <w:sz w:val="28"/>
          <w:sz w:val="28"/>
          <w:szCs w:val="28"/>
          <w:rtl w:val="true"/>
          <w:lang w:bidi="ar-SA"/>
        </w:rPr>
        <w:t xml:space="preserve">، فهو أفضل من الإبقاء، و ليس في الظواهر ما يثبت العكس، ففتوى الفاضل به </w:t>
      </w:r>
      <w:r>
        <w:rPr>
          <w:rStyle w:val="FootnoteAnchor"/>
          <w:rtl w:val="true"/>
        </w:rPr>
        <w:footnoteReference w:id="849"/>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اتّخاذه فالأولى فرقه وفاقاً للصدوقين و الفاضل </w:t>
      </w:r>
      <w:r>
        <w:rPr>
          <w:rStyle w:val="FootnoteAnchor"/>
          <w:rtl w:val="true"/>
        </w:rPr>
        <w:footnoteReference w:id="850"/>
      </w:r>
      <w:r>
        <w:rPr>
          <w:rFonts w:ascii="IRNazanin" w:hAnsi="IRNazanin" w:eastAsia="IRNazanin"/>
          <w:color w:val="111111"/>
          <w:sz w:val="28"/>
          <w:sz w:val="28"/>
          <w:szCs w:val="28"/>
          <w:rtl w:val="true"/>
          <w:lang w:bidi="fa-IR"/>
        </w:rPr>
        <w:t xml:space="preserve">للمرسل و الخبر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يفيده بعض الظواهر من مرجوحيّته إنّما هو بالنسبة إلى الحلق لا إلى عدمه مع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تسريح اللحية و الرأس؛ لمرغّبات النصوص </w:t>
      </w:r>
      <w:r>
        <w:rPr>
          <w:rStyle w:val="FootnoteAnchor"/>
          <w:rtl w:val="true"/>
        </w:rPr>
        <w:footnoteReference w:id="852"/>
      </w:r>
      <w:r>
        <w:rPr>
          <w:rFonts w:ascii="Amiri" w:hAnsi="Amiri" w:eastAsia="Amiri" w:cs="Amiri"/>
          <w:color w:val="111111"/>
          <w:sz w:val="28"/>
          <w:sz w:val="28"/>
          <w:szCs w:val="28"/>
          <w:rtl w:val="true"/>
          <w:lang w:bidi="ar-SA"/>
        </w:rPr>
        <w:t xml:space="preserve">، و اختضابهما بالكتم أو الحنّاء؛ للإجماع و الأخبار </w:t>
      </w:r>
      <w:r>
        <w:rPr>
          <w:rStyle w:val="FootnoteAnchor"/>
          <w:rtl w:val="true"/>
        </w:rPr>
        <w:footnoteReference w:id="853"/>
      </w:r>
      <w:r>
        <w:rPr>
          <w:rFonts w:ascii="Amiri" w:hAnsi="Amiri" w:eastAsia="Amiri" w:cs="Amiri"/>
          <w:color w:val="111111"/>
          <w:sz w:val="28"/>
          <w:sz w:val="28"/>
          <w:szCs w:val="28"/>
          <w:rtl w:val="true"/>
          <w:lang w:bidi="ar-SA"/>
        </w:rPr>
        <w:t>و فعل الحجج عليهم السّلام، و إنّما تركه علي عليه السّلام لقول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يخضب هذه من هذا</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كراهة في اختضاب الأطراف بالحنّاء؛ لبعض الإطلاقات، و خصوص الخبرين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تقليم الأظفار؛ لتواتر النصوص </w:t>
      </w:r>
      <w:r>
        <w:rPr>
          <w:rStyle w:val="FootnoteAnchor"/>
          <w:rtl w:val="true"/>
        </w:rPr>
        <w:footnoteReference w:id="856"/>
      </w:r>
      <w:r>
        <w:rPr>
          <w:rFonts w:ascii="Amiri" w:hAnsi="Amiri" w:eastAsia="Amiri" w:cs="Amiri"/>
          <w:color w:val="111111"/>
          <w:sz w:val="28"/>
          <w:sz w:val="28"/>
          <w:szCs w:val="28"/>
          <w:rtl w:val="true"/>
          <w:lang w:bidi="ar-SA"/>
        </w:rPr>
        <w:t>، و فعل الحجج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الجمعة أفضل؛ للمستفيضة </w:t>
      </w:r>
      <w:r>
        <w:rPr>
          <w:rStyle w:val="FootnoteAnchor"/>
          <w:rtl w:val="true"/>
        </w:rPr>
        <w:footnoteReference w:id="857"/>
      </w:r>
      <w:r>
        <w:rPr>
          <w:rFonts w:ascii="Amiri" w:hAnsi="Amiri" w:eastAsia="Amiri" w:cs="Amiri"/>
          <w:color w:val="111111"/>
          <w:sz w:val="28"/>
          <w:sz w:val="28"/>
          <w:szCs w:val="28"/>
          <w:rtl w:val="true"/>
          <w:lang w:bidi="ar-SA"/>
        </w:rPr>
        <w:t xml:space="preserve">، و لو بالحكّ أو إمرار السكّين؛ للصحيح و الحسن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الخميس يدفع الرمد؛ للمرسلين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إبقاء واحد للجمعة ينفي الفقر؛ للمرسل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السبت يدفع وجع العين؛ للآخر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يوم إذا طالت لا بأس به؛ للخبر و المرسل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السواك؛ للإجماع و الظواهر </w:t>
      </w:r>
      <w:r>
        <w:rPr>
          <w:rStyle w:val="FootnoteAnchor"/>
          <w:rtl w:val="true"/>
        </w:rPr>
        <w:footnoteReference w:id="863"/>
      </w:r>
      <w:r>
        <w:rPr>
          <w:rFonts w:ascii="Amiri" w:hAnsi="Amiri" w:eastAsia="Amiri" w:cs="Amiri"/>
          <w:color w:val="111111"/>
          <w:sz w:val="28"/>
          <w:sz w:val="28"/>
          <w:szCs w:val="28"/>
          <w:rtl w:val="true"/>
          <w:lang w:bidi="ar-SA"/>
        </w:rPr>
        <w:t xml:space="preserve">، و يتأكّد عند الوضوء؛ للمستفيضة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للمرسل و الخبر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تلاوة القرآن؛ للمرسل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السحر؛ للمرسل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قيامه للتهجّد؛ للخبر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استحبابه بعد ضعف الأسنان؛ للمرسل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أدناه الدلك بالأصابع؛ للصحيح و المضمر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التطيّب؛ للمتظافرة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عند الصلاة؛ للمرفوع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الاكتحال بالإثمد؛ للمستفيضة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فيه الإيتار عند النوم؛ لفعل النبي صلّى اللّٰه عليه و سلّم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262" w:name="pg2479_11584"/>
    </w:p>
    <w:p>
      <w:pPr>
        <w:pStyle w:val="Heading3"/>
        <w:numPr>
          <w:ilvl w:val="2"/>
          <w:numId w:val="1"/>
        </w:numPr>
        <w:rPr/>
      </w:pPr>
      <w:bookmarkStart w:id="263" w:name="__RefHeading___Toc3731985_3804643083"/>
      <w:bookmarkStart w:id="264" w:name="_Toc98"/>
      <w:bookmarkEnd w:id="262"/>
      <w:bookmarkEnd w:id="263"/>
      <w:r>
        <w:rPr>
          <w:rtl w:val="true"/>
        </w:rPr>
        <w:t>باب الطهارة من الحدث</w:t>
      </w:r>
      <w:bookmarkEnd w:id="264"/>
    </w:p>
    <w:p>
      <w:pPr>
        <w:pStyle w:val="Heading4"/>
        <w:numPr>
          <w:ilvl w:val="3"/>
          <w:numId w:val="1"/>
        </w:numPr>
        <w:rPr/>
      </w:pPr>
      <w:bookmarkStart w:id="265" w:name="__RefHeading___Toc3731987_3804643083"/>
      <w:bookmarkStart w:id="266" w:name="_Toc99"/>
      <w:bookmarkEnd w:id="265"/>
      <w:r>
        <w:rPr>
          <w:rtl w:val="true"/>
        </w:rPr>
        <w:t>بحث الوضوء</w:t>
      </w:r>
      <w:bookmarkEnd w:id="266"/>
    </w:p>
    <w:p>
      <w:pPr>
        <w:pStyle w:val="Heading5"/>
        <w:numPr>
          <w:ilvl w:val="4"/>
          <w:numId w:val="1"/>
        </w:numPr>
        <w:rPr/>
      </w:pPr>
      <w:bookmarkStart w:id="267" w:name="__RefHeading___Toc3731989_3804643083"/>
      <w:bookmarkStart w:id="268" w:name="_Toc100"/>
      <w:bookmarkEnd w:id="267"/>
      <w:r>
        <w:rPr>
          <w:rtl w:val="true"/>
        </w:rPr>
        <w:t>[</w:t>
      </w:r>
      <w:r>
        <w:rPr>
          <w:rtl w:val="true"/>
        </w:rPr>
        <w:t>موارد وجوبه</w:t>
      </w:r>
      <w:r>
        <w:rPr>
          <w:rtl w:val="true"/>
        </w:rPr>
        <w:t>]</w:t>
      </w:r>
      <w:bookmarkEnd w:id="268"/>
    </w:p>
    <w:p>
      <w:pPr>
        <w:pStyle w:val="Heading6"/>
        <w:numPr>
          <w:ilvl w:val="5"/>
          <w:numId w:val="1"/>
        </w:numPr>
        <w:rPr/>
      </w:pPr>
      <w:bookmarkStart w:id="269" w:name="__RefHeading___Toc3731991_3804643083"/>
      <w:bookmarkStart w:id="270" w:name="_Toc101"/>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و هو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للصلاة الواجبة و أجزائها المنسيّة،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للمرغمتين </w:t>
      </w:r>
      <w:r>
        <w:rPr>
          <w:rStyle w:val="FootnoteAnchor"/>
          <w:rtl w:val="true"/>
        </w:rPr>
        <w:footnoteReference w:id="875"/>
      </w:r>
      <w:r>
        <w:rPr>
          <w:rFonts w:ascii="Amiri" w:hAnsi="Amiri" w:eastAsia="Amiri" w:cs="Amiri"/>
          <w:color w:val="111111"/>
          <w:sz w:val="28"/>
          <w:sz w:val="28"/>
          <w:szCs w:val="28"/>
          <w:rtl w:val="true"/>
          <w:lang w:bidi="ar-SA"/>
        </w:rPr>
        <w:t>على الأصحّ؛ لأنّهما كالجزء المكمّل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الجنازة مخصّصة أو خارجة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للطواف الواجب، بالإجماع و المستفيضة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 لمندوبهما؛ إذ وجوب الشرط بدون وجوب المشروط غير معقول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لمسّ المصحف، إن وجب؛ إذ الحقّ المشهور حرمته بدونه؛ لنقل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و ظاهر الآية </w:t>
      </w:r>
      <w:r>
        <w:rPr>
          <w:rStyle w:val="FootnoteAnchor"/>
          <w:rtl w:val="true"/>
        </w:rPr>
        <w:footnoteReference w:id="878"/>
      </w:r>
      <w:r>
        <w:rPr>
          <w:rFonts w:ascii="Amiri" w:hAnsi="Amiri" w:eastAsia="Amiri" w:cs="Amiri"/>
          <w:color w:val="111111"/>
          <w:sz w:val="28"/>
          <w:sz w:val="28"/>
          <w:szCs w:val="28"/>
          <w:rtl w:val="true"/>
          <w:lang w:bidi="ar-SA"/>
        </w:rPr>
        <w:t xml:space="preserve">و المستفيضة </w:t>
      </w:r>
      <w:r>
        <w:rPr>
          <w:rStyle w:val="FootnoteAnchor"/>
          <w:rtl w:val="true"/>
        </w:rPr>
        <w:footnoteReference w:id="879"/>
      </w:r>
      <w:r>
        <w:rPr>
          <w:rFonts w:ascii="Amiri" w:hAnsi="Amiri" w:eastAsia="Amiri" w:cs="Amiri"/>
          <w:color w:val="111111"/>
          <w:sz w:val="28"/>
          <w:sz w:val="28"/>
          <w:szCs w:val="28"/>
          <w:rtl w:val="true"/>
          <w:lang w:bidi="ar-SA"/>
        </w:rPr>
        <w:t>، فيجب من باب المقدّمة، و القول</w:t>
      </w:r>
    </w:p>
    <w:p>
      <w:pPr>
        <w:pStyle w:val="BookText"/>
        <w:rPr/>
      </w:pPr>
      <w:r>
        <w:rPr>
          <w:rFonts w:ascii="IRNazanin" w:hAnsi="IRNazanin" w:eastAsia="IRNazanin"/>
          <w:color w:val="111111"/>
          <w:sz w:val="28"/>
          <w:sz w:val="28"/>
          <w:szCs w:val="28"/>
          <w:rtl w:val="true"/>
          <w:lang w:bidi="fa-IR"/>
        </w:rPr>
        <w:t xml:space="preserve">بالجواز </w:t>
      </w:r>
      <w:r>
        <w:rPr>
          <w:rStyle w:val="FootnoteAnchor"/>
          <w:rtl w:val="true"/>
        </w:rPr>
        <w:footnoteReference w:id="880"/>
      </w:r>
      <w:r>
        <w:rPr>
          <w:rFonts w:ascii="Amiri" w:hAnsi="Amiri" w:eastAsia="Amiri" w:cs="Amiri"/>
          <w:color w:val="111111"/>
          <w:sz w:val="28"/>
          <w:sz w:val="28"/>
          <w:szCs w:val="28"/>
          <w:rtl w:val="true"/>
          <w:lang w:bidi="ar-SA"/>
        </w:rPr>
        <w:t xml:space="preserve">ضعيف، و تعليله </w:t>
      </w:r>
      <w:r>
        <w:rPr>
          <w:rStyle w:val="FootnoteAnchor"/>
          <w:rtl w:val="true"/>
        </w:rPr>
        <w:footnoteReference w:id="881"/>
      </w:r>
      <w:r>
        <w:rPr>
          <w:rFonts w:ascii="Amiri" w:hAnsi="Amiri" w:eastAsia="Amiri" w:cs="Amiri"/>
          <w:color w:val="111111"/>
          <w:sz w:val="28"/>
          <w:sz w:val="28"/>
          <w:szCs w:val="28"/>
          <w:rtl w:val="true"/>
          <w:lang w:bidi="ar-SA"/>
        </w:rPr>
        <w:t>بالأصل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 مسّ الخط أي صور الحروف و رقومها دون الإعراب؛ لعدم صدق القرآن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خلوّ الكتابة السابقة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 الملاقاة بجزء من الجسد و إن لم تحلّه الحياة كالسنّ و الظفر؛ للصدق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لبعضهم </w:t>
      </w:r>
      <w:r>
        <w:rPr>
          <w:rStyle w:val="FootnoteAnchor"/>
          <w:rtl w:val="true"/>
        </w:rPr>
        <w:footnoteReference w:id="882"/>
      </w:r>
      <w:r>
        <w:rPr>
          <w:rFonts w:ascii="Amiri" w:hAnsi="Amiri" w:eastAsia="Amiri" w:cs="Amiri"/>
          <w:color w:val="111111"/>
          <w:sz w:val="28"/>
          <w:sz w:val="28"/>
          <w:szCs w:val="28"/>
          <w:rtl w:val="true"/>
          <w:lang w:bidi="ar-SA"/>
        </w:rPr>
        <w:t>لعدم تعلّق حكم الحدث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توزّعه على الأجزاء، بل هو معنى قائم بالشخص كلّه، و لا يرتفع إلّا بغسلها جميعاً، على أنّ وجوب غسل الظفر في الطهارة يثبت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يصدق بإصابة الشعر؛ لخروجه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تعلّق الحكم بكلّ آية و لو في غير المصحف؛ لصدق القرآن و عدم مدخليّة الاجتماع، و يعضده الصحيح و الحسن </w:t>
      </w:r>
      <w:r>
        <w:rPr>
          <w:rStyle w:val="FootnoteAnchor"/>
          <w:rtl w:val="true"/>
        </w:rPr>
        <w:footnoteReference w:id="883"/>
      </w:r>
      <w:r>
        <w:rPr>
          <w:rFonts w:ascii="Amiri" w:hAnsi="Amiri" w:eastAsia="Amiri" w:cs="Amiri"/>
          <w:color w:val="111111"/>
          <w:sz w:val="28"/>
          <w:sz w:val="28"/>
          <w:szCs w:val="28"/>
          <w:rtl w:val="true"/>
          <w:lang w:bidi="ar-SA"/>
        </w:rPr>
        <w:t xml:space="preserve">، 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في الثابتة في الدرهم؛ لخبر </w:t>
      </w:r>
      <w:r>
        <w:rPr>
          <w:rStyle w:val="FootnoteAnchor"/>
          <w:rtl w:val="true"/>
        </w:rPr>
        <w:footnoteReference w:id="885"/>
      </w:r>
      <w:r>
        <w:rPr>
          <w:rFonts w:ascii="Amiri" w:hAnsi="Amiri" w:eastAsia="Amiri" w:cs="Amiri"/>
          <w:color w:val="111111"/>
          <w:sz w:val="28"/>
          <w:sz w:val="28"/>
          <w:szCs w:val="28"/>
          <w:rtl w:val="true"/>
          <w:lang w:bidi="ar-SA"/>
        </w:rPr>
        <w:t>لا صراحة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المحتمل لغيره يعرف بالنيّة إن أمكن، و إلّا فيرجع إلى الأصل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عدم التعدية إلى اسم اللّٰه؛ للأصل و عدم المقتضي، و ثبوتها في الجنب لو سلّم فإنّما هو بالنصّ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الكراهة؛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حمله و تعليقه و مسّ هامشه و غلافه؛ للإجماع و المرسل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للخبر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نسخ حكمه دون تلاوته من القرآن؛ لصدق الاسم،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لا تتعلّق بالمجنون و الصبي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منعهما على الولي كسقوطه معه بالتطهّر وجهان، و مقتضى الأصل و إباحة الصلاة لهما بالتطهّر الثاني في الأوّل، و الأوّل في الثاني، و الأولى الأخذ بالأحوط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للنذر و شبهه، بالإجماع و أوامر الوفاء به </w:t>
      </w:r>
      <w:r>
        <w:rPr>
          <w:rStyle w:val="FootnoteAnchor"/>
          <w:rtl w:val="true"/>
        </w:rPr>
        <w:footnoteReference w:id="889"/>
      </w:r>
      <w:r>
        <w:rPr>
          <w:rFonts w:ascii="Amiri" w:hAnsi="Amiri" w:eastAsia="Amiri" w:cs="Amiri"/>
          <w:color w:val="111111"/>
          <w:sz w:val="28"/>
          <w:sz w:val="28"/>
          <w:szCs w:val="28"/>
          <w:rtl w:val="true"/>
          <w:lang w:bidi="ar-SA"/>
        </w:rPr>
        <w:t>، و متعلّقه إن عيّن تعيّن، و إلّا كفى المسمّى، و إن وقّت بوقت، و إلّا وقته العمر، و يتوقّت بظنّ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التوقّت و التقييد بالرافعيّة إن صادف الموجب فلا كلام، و إلّا فسقوطه مع تعذّر تحصيله مجمع عليه، حذراً من لزوم تحصيل الحاصل أو التكليف بالمحال، و مع إمكانه أصحّ القولين؛ لتوقّف تحصيله على مرجوح هو النقض المبطل للطهارة في زمان أو الإهراق الموجب للانتقال من أقوى الطهارتين إلى أضعفهما، و ربّما أدّى إلى الإسراف المحرّم، و ظاهر أنّ ما يتوقّف على المرجوح لا يصلح متعلّقاً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هو التطهّر و هو راجح، و ما هو مرجوح من النقض أو الإهراق خارج، و مجرّد توقّفه عليه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التوقّف يتعلّق الغرض بالمجموع، فالمحذور لازم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الرافع راجح، و ما يتوقّف عليه الراجح راجح، فتعلّق النذر به جائز</w:t>
      </w:r>
      <w:r>
        <w:rPr>
          <w:rFonts w:eastAsia="Amiri" w:cs="Amiri" w:ascii="Amiri" w:hAnsi="Amiri"/>
          <w:color w:val="111111"/>
          <w:sz w:val="28"/>
          <w:szCs w:val="28"/>
          <w:rtl w:val="true"/>
          <w:lang w:bidi="ar-SA"/>
        </w:rPr>
        <w:t>.</w:t>
      </w:r>
      <w:bookmarkStart w:id="271" w:name="pg2479_11587"/>
    </w:p>
    <w:p>
      <w:pPr>
        <w:pStyle w:val="BookText"/>
        <w:rPr/>
      </w:pPr>
      <w:bookmarkEnd w:id="27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مع إبطاله الراجح، كالمشي إلى ما يكره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للتحمّل من الغير، إذا وجب عليه بالنذر و شبهه و مات قبل أن يأتي به؛ لظاهر الوفاق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لتحمّل الصلاة داخل في الوجوب لها،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اشتراطه بالحدث وجهان، و الظاهر كونه فيه كأصله، و وجهه ظاهر، و يؤيّده ظاهر الموثّق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جهله حاله كفى المسمّى</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731993_3804643083"/>
      <w:bookmarkStart w:id="273" w:name="_Toc102"/>
      <w:bookmarkEnd w:id="272"/>
      <w:r>
        <w:rPr>
          <w:rtl w:val="true"/>
        </w:rPr>
        <w:t xml:space="preserve">فصل </w:t>
      </w:r>
      <w:r>
        <w:rPr>
          <w:rtl w:val="true"/>
        </w:rPr>
        <w:t>[</w:t>
      </w:r>
      <w:r>
        <w:rPr>
          <w:rtl w:val="true"/>
        </w:rPr>
        <w:t>انحصار وجوبه بالغيري</w:t>
      </w:r>
      <w:r>
        <w:rPr>
          <w:rtl w:val="true"/>
        </w:rPr>
        <w:t>]</w:t>
      </w:r>
      <w:bookmarkEnd w:id="273"/>
    </w:p>
    <w:p>
      <w:pPr>
        <w:pStyle w:val="BookText"/>
        <w:rPr/>
      </w:pPr>
      <w:r>
        <w:rPr>
          <w:rFonts w:ascii="Amiri" w:hAnsi="Amiri" w:eastAsia="Amiri" w:cs="Amiri"/>
          <w:color w:val="111111"/>
          <w:sz w:val="28"/>
          <w:sz w:val="28"/>
          <w:szCs w:val="28"/>
          <w:rtl w:val="true"/>
          <w:lang w:bidi="ar-SA"/>
        </w:rPr>
        <w:t xml:space="preserve">وجوب الوضوء ينحصر بالغيري، فلا يجب لنفسه؛ للأصل و الآية </w:t>
      </w:r>
      <w:r>
        <w:rPr>
          <w:rStyle w:val="FootnoteAnchor"/>
          <w:rtl w:val="true"/>
        </w:rPr>
        <w:footnoteReference w:id="891"/>
      </w:r>
      <w:r>
        <w:rPr>
          <w:rFonts w:ascii="Amiri" w:hAnsi="Amiri" w:eastAsia="Amiri" w:cs="Amiri"/>
          <w:color w:val="111111"/>
          <w:sz w:val="28"/>
          <w:sz w:val="28"/>
          <w:szCs w:val="28"/>
          <w:rtl w:val="true"/>
          <w:lang w:bidi="ar-SA"/>
        </w:rPr>
        <w:t xml:space="preserve">و الصحيح </w:t>
      </w:r>
      <w:r>
        <w:rPr>
          <w:rStyle w:val="FootnoteAnchor"/>
          <w:rtl w:val="true"/>
        </w:rPr>
        <w:footnoteReference w:id="892"/>
      </w:r>
      <w:r>
        <w:rPr>
          <w:rFonts w:ascii="Amiri" w:hAnsi="Amiri" w:eastAsia="Amiri" w:cs="Amiri"/>
          <w:color w:val="111111"/>
          <w:sz w:val="28"/>
          <w:sz w:val="28"/>
          <w:szCs w:val="28"/>
          <w:rtl w:val="true"/>
          <w:lang w:bidi="ar-SA"/>
        </w:rPr>
        <w:t xml:space="preserve">لفهم العرف و مفهوم الشرط، و الإيرادات عليها ضعيفة، و تكرّر نقل الإجماع بل الظاهر تحقّقه؛ إذ لا مصرّح فيها بالخلاف، و إنّما نسبه الشهيد إلى البعض </w:t>
      </w:r>
      <w:r>
        <w:rPr>
          <w:rStyle w:val="FootnoteAnchor"/>
          <w:rtl w:val="true"/>
        </w:rPr>
        <w:footnoteReference w:id="893"/>
      </w:r>
      <w:r>
        <w:rPr>
          <w:rFonts w:ascii="Amiri" w:hAnsi="Amiri" w:eastAsia="Amiri" w:cs="Amiri"/>
          <w:color w:val="111111"/>
          <w:sz w:val="28"/>
          <w:sz w:val="28"/>
          <w:szCs w:val="28"/>
          <w:rtl w:val="true"/>
          <w:lang w:bidi="ar-SA"/>
        </w:rPr>
        <w:t xml:space="preserve">، و الظاهر كما قيل هو العنبري من العامّة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عدم وجوبه على ظانّ الموت قبل وقت مشروطه، مع أنّ مقتضى النفسي وجوبه، و لوفاق الكلّ على ثبوت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انحصار الخلاف في الانحصار لا ينتهض ما يثبته إلّا بدونه من الظواهر، حجّة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بعضها يومي إليه فيصلح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موجباته بأحد النواقض، و أُجيب بظهور التقييد أو الحمل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أُورد على النفسي بإيجابه ترتّب الثواب على كلّ وضوء بعد نقض سابقه مع عدم العقاب علىٰ تركه، و هو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بالغيري الموسّع، و أُجيب بترتّبهما فيه على المشروط أو المجموع من حيث هو لا على كلّ شرط و جزء بخصوصه، و إلّا لزم عدم تنافيهما في كلّ عبادة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 عدم ترتّبهما على ما يؤدّى بشبه المشروط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تصريحهم بالترتّب على مقدّمة الواجب بناء على وجوبها، إنّما هو أخذ بظاهر تعريفه، و الصواب أن يراد فيه قيد في الجملة، ارتفع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النفسي، فإنّ الترتّب فيه إنّما هو على ذاته بذاته، و الإشكال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الغيري ما هو وسيلة إلى المشروط فعلًا أو تركاً، و الترتّب فيه ظاهر، و ما لا ترتّب فيه ممّا ينقض غير واجب؛ إذ النقض فيه يكشف عن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النفسي، فإنّ المنقوض و غيره فيه سواء في الاتّصاف بالوجوب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عن الوجوبين بأنّ المتّسع وقته إمّا واجب لنفسه أو لغيره أو لكليهما، و اللازم في كلّ منهما فعله مرّة في جزء منه، فالإثم إنّما هو بالترك في كلّه، إلّا أنّ الأوّل يسقط بالمرّة فيلزمه وحدة الثواب، و لا يسقط الأخيران إلّا بفعل الغير، فالمنصوص قبله لا يسقط الفرض و إن لم يعاقب بتركه مع إيجاد البدل؛ إذ المخيّر كالموسّع الذي بمعناه ما تعاقب لا إلى بدل، و يثاب عليه؛ لأنّه بمنزلة أحد الأفراد</w:t>
      </w:r>
      <w:bookmarkStart w:id="274" w:name="pg2479_11589"/>
    </w:p>
    <w:p>
      <w:pPr>
        <w:pStyle w:val="BookText"/>
        <w:rPr/>
      </w:pPr>
      <w:bookmarkEnd w:id="274"/>
      <w:r>
        <w:rPr>
          <w:rFonts w:ascii="Amiri" w:hAnsi="Amiri" w:eastAsia="Amiri" w:cs="Amiri"/>
          <w:color w:val="111111"/>
          <w:sz w:val="28"/>
          <w:sz w:val="28"/>
          <w:szCs w:val="28"/>
          <w:rtl w:val="true"/>
          <w:lang w:bidi="ar-SA"/>
        </w:rPr>
        <w:t>كأحد الخصال و الصلاة في جزء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Style w:val="FootnoteAnchor"/>
          <w:rtl w:val="true"/>
        </w:rPr>
        <w:footnoteReference w:id="895"/>
      </w:r>
      <w:r>
        <w:rPr>
          <w:rFonts w:ascii="Amiri" w:hAnsi="Amiri" w:eastAsia="Amiri" w:cs="Amiri"/>
          <w:color w:val="111111"/>
          <w:sz w:val="28"/>
          <w:sz w:val="28"/>
          <w:szCs w:val="28"/>
          <w:rtl w:val="true"/>
          <w:lang w:bidi="ar-SA"/>
        </w:rPr>
        <w:t>به يقتضي السقوط كالمثالين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النفسيّة يثبت وجوده في كلّ وقت، فكلّ جزء منه سبب لوجوبه فيه، فما يقع فيه يسقط فرضه و ألزمه ثواب، فإن بقي كفى لفرض ما بعده و إن نقص وجب الاستئناف؛ إذ النقص بمثابة تكرّر الموجب أو الوقت</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731995_3804643083"/>
      <w:bookmarkStart w:id="276" w:name="_Toc103"/>
      <w:bookmarkEnd w:id="275"/>
      <w:r>
        <w:rPr>
          <w:rtl w:val="true"/>
        </w:rPr>
        <w:t xml:space="preserve">فصل </w:t>
      </w:r>
      <w:r>
        <w:rPr>
          <w:rtl w:val="true"/>
        </w:rPr>
        <w:t>[</w:t>
      </w:r>
      <w:r>
        <w:rPr>
          <w:rtl w:val="true"/>
        </w:rPr>
        <w:t>ما يستحبّ له الوضوء</w:t>
      </w:r>
      <w:r>
        <w:rPr>
          <w:rtl w:val="true"/>
        </w:rPr>
        <w:t>]</w:t>
      </w:r>
      <w:bookmarkEnd w:id="276"/>
    </w:p>
    <w:p>
      <w:pPr>
        <w:pStyle w:val="BookText"/>
        <w:rPr/>
      </w:pPr>
      <w:r>
        <w:rPr>
          <w:rFonts w:ascii="Amiri" w:hAnsi="Amiri" w:eastAsia="Amiri" w:cs="Amiri"/>
          <w:color w:val="111111"/>
          <w:sz w:val="28"/>
          <w:sz w:val="28"/>
          <w:szCs w:val="28"/>
          <w:rtl w:val="true"/>
          <w:lang w:bidi="ar-SA"/>
        </w:rPr>
        <w:t>يستحبّ الوضوء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مندوب الصلاة، بالإجماع و المستفيضة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بشرطيّته لصحّتها إنّما يثبت وجوبه الشرطي دون الشرعي؛ إذ وجوب الشرط بدون وجوب المشروط غير معقول، فهو في الحكم الشرعي كمشروطه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وفاقاً للمعظم؛ لبعض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للصحيح </w:t>
      </w:r>
      <w:r>
        <w:rPr>
          <w:rStyle w:val="FootnoteAnchor"/>
          <w:rtl w:val="true"/>
        </w:rPr>
        <w:footnoteReference w:id="897"/>
      </w:r>
      <w:r>
        <w:rPr>
          <w:rFonts w:ascii="Amiri" w:hAnsi="Amiri" w:eastAsia="Amiri" w:cs="Amiri"/>
          <w:color w:val="111111"/>
          <w:sz w:val="28"/>
          <w:sz w:val="28"/>
          <w:szCs w:val="28"/>
          <w:rtl w:val="true"/>
          <w:lang w:bidi="ar-SA"/>
        </w:rPr>
        <w:t xml:space="preserve">و ما مرّ، خلافاً للحلبي </w:t>
      </w:r>
      <w:r>
        <w:rPr>
          <w:rStyle w:val="FootnoteAnchor"/>
          <w:rtl w:val="true"/>
        </w:rPr>
        <w:footnoteReference w:id="898"/>
      </w:r>
      <w:r>
        <w:rPr>
          <w:rFonts w:ascii="Amiri" w:hAnsi="Amiri" w:eastAsia="Amiri" w:cs="Amiri"/>
          <w:color w:val="111111"/>
          <w:sz w:val="28"/>
          <w:sz w:val="28"/>
          <w:szCs w:val="28"/>
          <w:rtl w:val="true"/>
          <w:lang w:bidi="ar-SA"/>
        </w:rPr>
        <w:t xml:space="preserve">لإطلاق الصحيحين </w:t>
      </w:r>
      <w:r>
        <w:rPr>
          <w:rStyle w:val="FootnoteAnchor"/>
          <w:rtl w:val="true"/>
        </w:rPr>
        <w:footnoteReference w:id="899"/>
      </w:r>
      <w:r>
        <w:rPr>
          <w:rFonts w:ascii="Amiri" w:hAnsi="Amiri" w:eastAsia="Amiri" w:cs="Amiri"/>
          <w:color w:val="111111"/>
          <w:sz w:val="28"/>
          <w:sz w:val="28"/>
          <w:szCs w:val="28"/>
          <w:rtl w:val="true"/>
          <w:lang w:bidi="ar-SA"/>
        </w:rPr>
        <w:t xml:space="preserve">، و أُجيب بالحمل على الواجب جمعاً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أنّه شرط لكماله دون صحّته؛ للصحيح </w:t>
      </w:r>
      <w:r>
        <w:rPr>
          <w:rStyle w:val="FootnoteAnchor"/>
          <w:rtl w:val="true"/>
        </w:rPr>
        <w:footnoteReference w:id="901"/>
      </w:r>
      <w:r>
        <w:rPr>
          <w:rFonts w:ascii="Amiri" w:hAnsi="Amiri" w:eastAsia="Amiri" w:cs="Amiri"/>
          <w:color w:val="111111"/>
          <w:sz w:val="28"/>
          <w:sz w:val="28"/>
          <w:szCs w:val="28"/>
          <w:rtl w:val="true"/>
          <w:lang w:bidi="ar-SA"/>
        </w:rPr>
        <w:t>، فينفى عنه الوجوبان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لمناسك الحجّ، إلّا الطواف و صلاته؛ للصحيح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تلاوة القرآن و حمله؛ للتعظيم و الشهرة، و بعض الظواهر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مسّه المندوب؛ للتعليلين مع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تعليقه؛ للخبر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صلاة الجنازة؛ للخبر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للموثّق و الخبر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إدخال الميت في قبره؛ للخبر و الرضوي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طلب الحاجة؛ للشهرة و ظاهر الخبر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زيارة القبور؛ للشهرة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دخول المساجد؛ للمرسل </w:t>
      </w:r>
      <w:r>
        <w:rPr>
          <w:rStyle w:val="FootnoteAnchor"/>
          <w:rtl w:val="true"/>
        </w:rPr>
        <w:footnoteReference w:id="909"/>
      </w:r>
      <w:r>
        <w:rPr>
          <w:rFonts w:ascii="Amiri" w:hAnsi="Amiri" w:eastAsia="Amiri" w:cs="Amiri"/>
          <w:color w:val="111111"/>
          <w:sz w:val="28"/>
          <w:sz w:val="28"/>
          <w:szCs w:val="28"/>
          <w:rtl w:val="true"/>
          <w:lang w:bidi="ar-SA"/>
        </w:rPr>
        <w:t xml:space="preserve">و 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إذا أراد الجلوس؛ للمرسل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التأهّب للفرض؛ للخبر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الكون على الطهارة؛ لظاهر الوفاق، و صريح الصحيح </w:t>
      </w:r>
      <w:r>
        <w:rPr>
          <w:rStyle w:val="FootnoteAnchor"/>
          <w:rtl w:val="true"/>
        </w:rPr>
        <w:footnoteReference w:id="913"/>
      </w:r>
      <w:r>
        <w:rPr>
          <w:rFonts w:ascii="Amiri" w:hAnsi="Amiri" w:eastAsia="Amiri" w:cs="Amiri"/>
          <w:color w:val="111111"/>
          <w:sz w:val="28"/>
          <w:sz w:val="28"/>
          <w:szCs w:val="28"/>
          <w:rtl w:val="true"/>
          <w:lang w:bidi="ar-SA"/>
        </w:rPr>
        <w:t xml:space="preserve">و غيره من الظواهر </w:t>
      </w:r>
      <w:r>
        <w:rPr>
          <w:rStyle w:val="FootnoteAnchor"/>
          <w:rtl w:val="true"/>
        </w:rPr>
        <w:footnoteReference w:id="914"/>
      </w:r>
      <w:r>
        <w:rPr>
          <w:rFonts w:ascii="Amiri" w:hAnsi="Amiri" w:eastAsia="Amiri" w:cs="Amiri"/>
          <w:color w:val="111111"/>
          <w:sz w:val="28"/>
          <w:sz w:val="28"/>
          <w:szCs w:val="28"/>
          <w:rtl w:val="true"/>
          <w:lang w:bidi="ar-SA"/>
        </w:rPr>
        <w:t xml:space="preserve">، و يعضده ظاهر الآية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يغاير سائر الغايات بالقصد و المفهوم، و الكليّة و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النوم؛ للخبر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 الحامل؛ لنهي النبي صلّى اللّٰه عليه و سلّم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الدخول على أهله من السفر؛ لنهي الصادق عليه السّلام عنه مدة،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تغسيل الجنب الميّت؛ للصحيح </w:t>
      </w:r>
      <w:r>
        <w:rPr>
          <w:rStyle w:val="FootnoteAnchor"/>
          <w:rtl w:val="true"/>
        </w:rPr>
        <w:footnoteReference w:id="919"/>
      </w:r>
      <w:r>
        <w:rPr>
          <w:rFonts w:ascii="Amiri" w:hAnsi="Amiri" w:eastAsia="Amiri" w:cs="Amiri"/>
          <w:color w:val="111111"/>
          <w:sz w:val="28"/>
          <w:sz w:val="28"/>
          <w:szCs w:val="28"/>
          <w:rtl w:val="true"/>
          <w:lang w:bidi="ar-SA"/>
        </w:rPr>
        <w:t xml:space="preserve">، و الموثّق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أكله؛ للصحيح و الخبر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جماع المحتلم، و لم نقف على مستند له سوى الشهرة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جماع المجامع؛ 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وطء جارية بعد وطء اخرىٰ؛ للمرسل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الحائض وقت الصلاة، على المشهور؛ لظاهر الحسن و الخبر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أوجبه </w:t>
      </w:r>
      <w:r>
        <w:rPr>
          <w:rStyle w:val="FootnoteAnchor"/>
          <w:rtl w:val="true"/>
        </w:rPr>
        <w:footnoteReference w:id="925"/>
      </w:r>
      <w:r>
        <w:rPr>
          <w:rFonts w:ascii="Amiri" w:hAnsi="Amiri" w:eastAsia="Amiri" w:cs="Amiri"/>
          <w:color w:val="111111"/>
          <w:sz w:val="28"/>
          <w:sz w:val="28"/>
          <w:szCs w:val="28"/>
          <w:rtl w:val="true"/>
          <w:lang w:bidi="ar-SA"/>
        </w:rPr>
        <w:t xml:space="preserve">لظاهر الصحيح و الحسن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للأوّلين؛ لاعتضادهما بالأصل و العمل، و مع التساوي و التساقط يبقى أصل الرجحان، و الزائد يتوقّف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التجديد لكلّ صلاة و غاية؛ للإجماع و المراسيل الأربع </w:t>
      </w:r>
      <w:r>
        <w:rPr>
          <w:rStyle w:val="FootnoteAnchor"/>
          <w:rtl w:val="true"/>
        </w:rPr>
        <w:footnoteReference w:id="927"/>
      </w:r>
      <w:r>
        <w:rPr>
          <w:rFonts w:ascii="Amiri" w:hAnsi="Amiri" w:eastAsia="Amiri" w:cs="Amiri"/>
          <w:color w:val="111111"/>
          <w:sz w:val="28"/>
          <w:sz w:val="28"/>
          <w:szCs w:val="28"/>
          <w:rtl w:val="true"/>
          <w:lang w:bidi="ar-SA"/>
        </w:rPr>
        <w:t xml:space="preserve">و غيرها من المستفيضة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لصلاة أو غاية واحدة، مرّة أو أكثر على الأظهر؛ للإطلاقات، ما لم يؤدّ إلى الكثرة المفرطة عرفاً؛ لابتناء الأحكام على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هو المستحبّ باعتبار الغاية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يستحبّ باعتبار السبب، كالقي‌ء، و الرعاف، و المذي، و مسّ الفرج، و التقبيل بالشهوة، و خروج البلل بعد الاستبراء، و تقدّم التوضّؤ على الاستنجاء بالماء، و التخليل المخرج للدم، و الكذب، و الغضب، و الغيبة، و الظلم، و القهقهة في الصلاة عمداً، و الزيادة على أربعة أبيات شعر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للنصّ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bookmarkStart w:id="277" w:name="pg2479_11593"/>
    </w:p>
    <w:p>
      <w:pPr>
        <w:pStyle w:val="Heading5"/>
        <w:numPr>
          <w:ilvl w:val="4"/>
          <w:numId w:val="1"/>
        </w:numPr>
        <w:rPr/>
      </w:pPr>
      <w:bookmarkStart w:id="278" w:name="__RefHeading___Toc3731997_3804643083"/>
      <w:bookmarkStart w:id="279" w:name="_Toc104"/>
      <w:bookmarkEnd w:id="277"/>
      <w:bookmarkEnd w:id="278"/>
      <w:r>
        <w:rPr>
          <w:rtl w:val="true"/>
        </w:rPr>
        <w:t xml:space="preserve">فصل </w:t>
      </w:r>
      <w:r>
        <w:rPr>
          <w:rtl w:val="true"/>
        </w:rPr>
        <w:t>[</w:t>
      </w:r>
      <w:r>
        <w:rPr>
          <w:rtl w:val="true"/>
        </w:rPr>
        <w:t>إباحة الفريضة بالوضوء المستحب</w:t>
      </w:r>
      <w:r>
        <w:rPr>
          <w:rtl w:val="true"/>
        </w:rPr>
        <w:t>]</w:t>
      </w:r>
      <w:bookmarkEnd w:id="279"/>
    </w:p>
    <w:p>
      <w:pPr>
        <w:pStyle w:val="BookText"/>
        <w:rPr/>
      </w:pPr>
      <w:r>
        <w:rPr>
          <w:rFonts w:ascii="Amiri" w:hAnsi="Amiri" w:eastAsia="Amiri" w:cs="Amiri"/>
          <w:color w:val="111111"/>
          <w:sz w:val="28"/>
          <w:sz w:val="28"/>
          <w:szCs w:val="28"/>
          <w:rtl w:val="true"/>
          <w:lang w:bidi="ar-SA"/>
        </w:rPr>
        <w:t>مستحبّ الوضوء إن جامع أكبر الحدثين لم يبح الفريضة إجماعاً، و إلّا فإن قصد به النافلة أباحها كذلك؛ إذ الحدث مانع و الوضوء رافع، فالرفع يوجب الإباحة المطلقة؛ إذ التبعيض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قصد به غيرها من الغايات فكالسابق على المختار، وفاقاً للأكثر؛ لنقل الإجماع </w:t>
      </w:r>
      <w:r>
        <w:rPr>
          <w:rStyle w:val="FootnoteAnchor"/>
          <w:rtl w:val="true"/>
        </w:rPr>
        <w:footnoteReference w:id="930"/>
      </w:r>
      <w:r>
        <w:rPr>
          <w:rFonts w:ascii="Amiri" w:hAnsi="Amiri" w:eastAsia="Amiri" w:cs="Amiri"/>
          <w:color w:val="111111"/>
          <w:sz w:val="28"/>
          <w:sz w:val="28"/>
          <w:szCs w:val="28"/>
          <w:rtl w:val="true"/>
          <w:lang w:bidi="ar-SA"/>
        </w:rPr>
        <w:t>، و إطلاق الظواهر، و إيجاب شرعيّته المثبتة للحقيقة رافعيّته المطلقة، فيبيح كلّ ما يشترط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ما هو إلّا أفعال معيّنة مع القصد و القربة، و هي موجودة و غيرها خارج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رافعيّته و كونه لخصوصيّة الغاية كالغسل المندوب مردود بإيجاب المسمّى المنحصر بما مرّ للرافعيّة، و المنكر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الحدث كالرفع معنى وجداني يترتّب عليه كليّة المنع أو الإباحة، و التبعّض فيه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جريان ذلك في الغسل المندوب، و لذا يكفي عن كلّ غسل واجب و مستحبّ على التحقيق إلّا أنّه يلزم معه الوضوء؛ لدلالة خارجة، و لولاها لكفى وحده عن كلّ مشروط بالطهارة، كما اختاره المرتضى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المختار، أقوال كثيرة، كلّها ضعيفة، و تعليلاتها عليلة</w:t>
      </w:r>
      <w:r>
        <w:rPr>
          <w:rFonts w:eastAsia="Amiri" w:cs="Amiri" w:ascii="Amiri" w:hAnsi="Amiri"/>
          <w:color w:val="111111"/>
          <w:sz w:val="28"/>
          <w:szCs w:val="28"/>
          <w:rtl w:val="true"/>
          <w:lang w:bidi="ar-SA"/>
        </w:rPr>
        <w:t>.</w:t>
      </w:r>
      <w:bookmarkStart w:id="280" w:name="pg2479_11594"/>
    </w:p>
    <w:p>
      <w:pPr>
        <w:pStyle w:val="Heading5"/>
        <w:numPr>
          <w:ilvl w:val="4"/>
          <w:numId w:val="1"/>
        </w:numPr>
        <w:rPr/>
      </w:pPr>
      <w:bookmarkStart w:id="281" w:name="__RefHeading___Toc3731999_3804643083"/>
      <w:bookmarkStart w:id="282" w:name="_Toc105"/>
      <w:bookmarkEnd w:id="280"/>
      <w:bookmarkEnd w:id="281"/>
      <w:r>
        <w:rPr>
          <w:rtl w:val="true"/>
        </w:rPr>
        <w:t xml:space="preserve">فصل </w:t>
      </w:r>
      <w:r>
        <w:rPr>
          <w:rtl w:val="true"/>
        </w:rPr>
        <w:t>[</w:t>
      </w:r>
      <w:r>
        <w:rPr>
          <w:rtl w:val="true"/>
        </w:rPr>
        <w:t>نواقض الوضوء</w:t>
      </w:r>
      <w:r>
        <w:rPr>
          <w:rtl w:val="true"/>
        </w:rPr>
        <w:t>]</w:t>
      </w:r>
      <w:bookmarkEnd w:id="282"/>
    </w:p>
    <w:p>
      <w:pPr>
        <w:pStyle w:val="Heading6"/>
        <w:numPr>
          <w:ilvl w:val="5"/>
          <w:numId w:val="1"/>
        </w:numPr>
        <w:rPr/>
      </w:pPr>
      <w:bookmarkStart w:id="283" w:name="__RefHeading___Toc3732001_3804643083"/>
      <w:bookmarkStart w:id="284" w:name="_Toc106"/>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للوضوء نواقض</w:t>
      </w:r>
      <w:r>
        <w:rPr>
          <w:rFonts w:eastAsia="IRNazanin" w:cs="IRNazanin"/>
          <w:color w:val="111111"/>
          <w:sz w:val="28"/>
          <w:szCs w:val="28"/>
          <w:rtl w:val="true"/>
          <w:lang w:bidi="fa-IR"/>
        </w:rPr>
        <w:t>:</w:t>
      </w:r>
    </w:p>
    <w:p>
      <w:pPr>
        <w:pStyle w:val="Heading6"/>
        <w:numPr>
          <w:ilvl w:val="5"/>
          <w:numId w:val="1"/>
        </w:numPr>
        <w:rPr/>
      </w:pPr>
      <w:bookmarkStart w:id="285" w:name="__RefHeading___Toc3732003_3804643083"/>
      <w:bookmarkStart w:id="286" w:name="_Toc107"/>
      <w:bookmarkEnd w:id="285"/>
      <w:r>
        <w:rPr>
          <w:rtl w:val="true"/>
        </w:rPr>
        <w:t>الأوّل</w:t>
      </w:r>
      <w:r>
        <w:rPr>
          <w:rtl w:val="true"/>
        </w:rPr>
        <w:t xml:space="preserve">: </w:t>
      </w:r>
      <w:r>
        <w:rPr>
          <w:rtl w:val="true"/>
        </w:rPr>
        <w:t>خروج أحد الثلاثة من الطبيعي</w:t>
      </w:r>
      <w:r>
        <w:rPr>
          <w:rtl w:val="true"/>
        </w:rPr>
        <w:t>:</w:t>
      </w:r>
      <w:bookmarkEnd w:id="286"/>
    </w:p>
    <w:p>
      <w:pPr>
        <w:pStyle w:val="BookText"/>
        <w:rPr/>
      </w:pPr>
      <w:r>
        <w:rPr>
          <w:rFonts w:ascii="Amiri" w:hAnsi="Amiri" w:eastAsia="Amiri" w:cs="Amiri"/>
          <w:color w:val="111111"/>
          <w:sz w:val="28"/>
          <w:sz w:val="28"/>
          <w:szCs w:val="28"/>
          <w:rtl w:val="true"/>
          <w:lang w:bidi="ar-SA"/>
        </w:rPr>
        <w:t>و لو بدون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النقض به مجمع عليه، و النصوص به مستفيضة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الطبيعي إن كان خلقةً فكالطبيعي وفاقاً، و إن لم يعتد و لم ينسدّ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فكذلك إن انسدّ و لو بدون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اشتراطه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المناط في الصورتين فتوى الجماعة مع نقل الإجماع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 غيره؛ إذ الاحتجاج بصدق الطرف أو السبيل ضعيف؛ لظهوره في الطبيعي، و بتنقيح المناط أضعف؛ لعدم نصّ أو إيماء إلى علّة موجودة في غيره حتّى يجوز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يأتي الإشكال مع الخروج من الفم و إن انسدّ الطبيعي؛ لعدم القطع بشمول الإجماع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ينسدّ لم ينقض مطلقاً وفاقاً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الثالثة </w:t>
      </w:r>
      <w:r>
        <w:rPr>
          <w:rStyle w:val="FootnoteAnchor"/>
          <w:rtl w:val="true"/>
        </w:rPr>
        <w:footnoteReference w:id="935"/>
      </w:r>
      <w:r>
        <w:rPr>
          <w:rFonts w:ascii="Amiri" w:hAnsi="Amiri" w:eastAsia="Amiri" w:cs="Amiri"/>
          <w:color w:val="111111"/>
          <w:sz w:val="28"/>
          <w:sz w:val="28"/>
          <w:szCs w:val="28"/>
          <w:rtl w:val="true"/>
          <w:lang w:bidi="ar-SA"/>
        </w:rPr>
        <w:t xml:space="preserve">للأصل و الاستصحاب، و حصر الناقض في النصوص بالخارج من الطرفين أو السبيلين، و ظهورهما في المعهودين، و لذا فسّرا بهما في الصحيح </w:t>
      </w:r>
      <w:r>
        <w:rPr>
          <w:rStyle w:val="FootnoteAnchor"/>
          <w:rtl w:val="true"/>
        </w:rPr>
        <w:footnoteReference w:id="936"/>
      </w:r>
      <w:r>
        <w:rPr>
          <w:rFonts w:ascii="Amiri" w:hAnsi="Amiri" w:eastAsia="Amiri" w:cs="Amiri"/>
          <w:color w:val="111111"/>
          <w:sz w:val="28"/>
          <w:sz w:val="28"/>
          <w:szCs w:val="28"/>
          <w:rtl w:val="true"/>
          <w:lang w:bidi="ar-SA"/>
        </w:rPr>
        <w:t>، و صرّح في</w:t>
      </w:r>
    </w:p>
    <w:p>
      <w:pPr>
        <w:pStyle w:val="BookText"/>
        <w:rPr/>
      </w:pPr>
      <w:r>
        <w:rPr>
          <w:rFonts w:ascii="Amiri" w:hAnsi="Amiri" w:eastAsia="Amiri" w:cs="Amiri"/>
          <w:color w:val="111111"/>
          <w:sz w:val="28"/>
          <w:sz w:val="28"/>
          <w:szCs w:val="28"/>
          <w:rtl w:val="true"/>
          <w:lang w:bidi="ar-SA"/>
        </w:rPr>
        <w:t xml:space="preserve">بعضها بكونهما من النعمة </w:t>
      </w:r>
      <w:r>
        <w:rPr>
          <w:rStyle w:val="FootnoteAnchor"/>
          <w:rtl w:val="true"/>
        </w:rPr>
        <w:footnoteReference w:id="937"/>
      </w:r>
      <w:r>
        <w:rPr>
          <w:rFonts w:ascii="Amiri" w:hAnsi="Amiri" w:eastAsia="Amiri" w:cs="Amiri"/>
          <w:color w:val="111111"/>
          <w:sz w:val="28"/>
          <w:sz w:val="28"/>
          <w:szCs w:val="28"/>
          <w:rtl w:val="true"/>
          <w:lang w:bidi="ar-SA"/>
        </w:rPr>
        <w:t>، مع أنّ المنفتح من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القول بالنقض مطلقاً أو مع الاعتياد أو إن خرج من تحت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لإثباتها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 في خروج الريح غير ناقض؛ للاستصحاب و الصحيح و الخبر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اليقين به ناقض و إن لم يكن له صوت و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تقييد الناقض منهما في الصحيحين و الخبر </w:t>
      </w:r>
      <w:r>
        <w:rPr>
          <w:rStyle w:val="FootnoteAnchor"/>
          <w:rtl w:val="true"/>
        </w:rPr>
        <w:footnoteReference w:id="939"/>
      </w:r>
      <w:r>
        <w:rPr>
          <w:rFonts w:ascii="Amiri" w:hAnsi="Amiri" w:eastAsia="Amiri" w:cs="Amiri"/>
          <w:color w:val="111111"/>
          <w:sz w:val="28"/>
          <w:sz w:val="28"/>
          <w:szCs w:val="28"/>
          <w:rtl w:val="true"/>
          <w:lang w:bidi="ar-SA"/>
        </w:rPr>
        <w:t xml:space="preserve">بالوصفين محمول على حال الشكّ أو الغالب، كما يومي إليه بعض الظواهر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نقض بخروج الريح من الذكر إجماعاً و إن وجد له صوت و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قبل المرأة على الأصح، و لو مع الاعتياد؛ للأصل، و عدم شمول النصّ له؛ لكونه خلاف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للفاضلين </w:t>
      </w:r>
      <w:r>
        <w:rPr>
          <w:rStyle w:val="FootnoteAnchor"/>
          <w:rtl w:val="true"/>
        </w:rPr>
        <w:footnoteReference w:id="941"/>
      </w:r>
      <w:r>
        <w:rPr>
          <w:rFonts w:ascii="Amiri" w:hAnsi="Amiri" w:eastAsia="Amiri" w:cs="Amiri"/>
          <w:color w:val="111111"/>
          <w:sz w:val="28"/>
          <w:sz w:val="28"/>
          <w:szCs w:val="28"/>
          <w:rtl w:val="true"/>
          <w:lang w:bidi="ar-SA"/>
        </w:rPr>
        <w:t>لصدق التسمية و وجود المنفذ إلى الجوف، و الجواب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بخروج المقعدة الملوّثة و عودها؛ لما 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الخارج غير الناقض إن استصحبه نقض، و إلّا فلا؛ لصريح الخبر و الرضوي </w:t>
      </w:r>
      <w:r>
        <w:rPr>
          <w:rStyle w:val="FootnoteAnchor"/>
          <w:rtl w:val="true"/>
        </w:rPr>
        <w:footnoteReference w:id="942"/>
      </w:r>
      <w:r>
        <w:rPr>
          <w:rFonts w:ascii="Amiri" w:hAnsi="Amiri" w:eastAsia="Amiri" w:cs="Amiri"/>
          <w:color w:val="111111"/>
          <w:sz w:val="28"/>
          <w:sz w:val="28"/>
          <w:szCs w:val="28"/>
          <w:rtl w:val="true"/>
          <w:lang w:bidi="ar-SA"/>
        </w:rPr>
        <w:t xml:space="preserve">، و يدلّ على الثاني صريح المستفيضة </w:t>
      </w:r>
      <w:r>
        <w:rPr>
          <w:rStyle w:val="FootnoteAnchor"/>
          <w:rtl w:val="true"/>
        </w:rPr>
        <w:footnoteReference w:id="943"/>
      </w:r>
      <w:r>
        <w:rPr>
          <w:rFonts w:ascii="Amiri" w:hAnsi="Amiri" w:eastAsia="Amiri" w:cs="Amiri"/>
          <w:color w:val="111111"/>
          <w:sz w:val="28"/>
          <w:sz w:val="28"/>
          <w:szCs w:val="28"/>
          <w:rtl w:val="true"/>
          <w:lang w:bidi="ar-SA"/>
        </w:rPr>
        <w:t xml:space="preserve">، و حصر النواقض في الثلاثة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287" w:name="pg2479_11596"/>
    </w:p>
    <w:p>
      <w:pPr>
        <w:pStyle w:val="Heading6"/>
        <w:numPr>
          <w:ilvl w:val="5"/>
          <w:numId w:val="1"/>
        </w:numPr>
        <w:rPr/>
      </w:pPr>
      <w:bookmarkStart w:id="288" w:name="__RefHeading___Toc3732005_3804643083"/>
      <w:bookmarkStart w:id="289" w:name="_Toc108"/>
      <w:bookmarkEnd w:id="287"/>
      <w:bookmarkEnd w:id="288"/>
      <w:r>
        <w:rPr>
          <w:rtl w:val="true"/>
        </w:rPr>
        <w:t>الثاني</w:t>
      </w:r>
      <w:r>
        <w:rPr>
          <w:rtl w:val="true"/>
        </w:rPr>
        <w:t xml:space="preserve">: </w:t>
      </w:r>
      <w:r>
        <w:rPr>
          <w:rtl w:val="true"/>
        </w:rPr>
        <w:t>النوم</w:t>
      </w:r>
      <w:r>
        <w:rPr>
          <w:rtl w:val="true"/>
        </w:rPr>
        <w:t>:</w:t>
      </w:r>
      <w:bookmarkEnd w:id="289"/>
    </w:p>
    <w:p>
      <w:pPr>
        <w:pStyle w:val="BookText"/>
        <w:rPr/>
      </w:pPr>
      <w:r>
        <w:rPr>
          <w:rFonts w:ascii="Amiri" w:hAnsi="Amiri" w:eastAsia="Amiri" w:cs="Amiri"/>
          <w:color w:val="111111"/>
          <w:sz w:val="28"/>
          <w:sz w:val="28"/>
          <w:szCs w:val="28"/>
          <w:rtl w:val="true"/>
          <w:lang w:bidi="ar-SA"/>
        </w:rPr>
        <w:t xml:space="preserve">و النقض به مع إبطاله العقل أو السمع مجمع عليه، و يدلّ عليه المستفيضة من الصحاح و غيرها </w:t>
      </w:r>
      <w:r>
        <w:rPr>
          <w:rStyle w:val="FootnoteAnchor"/>
          <w:rtl w:val="true"/>
        </w:rPr>
        <w:footnoteReference w:id="945"/>
      </w:r>
      <w:r>
        <w:rPr>
          <w:rFonts w:ascii="Amiri" w:hAnsi="Amiri" w:eastAsia="Amiri" w:cs="Amiri"/>
          <w:color w:val="111111"/>
          <w:sz w:val="28"/>
          <w:sz w:val="28"/>
          <w:szCs w:val="28"/>
          <w:rtl w:val="true"/>
          <w:lang w:bidi="ar-SA"/>
        </w:rPr>
        <w:t xml:space="preserve">، و قوله تعالىٰ إِذٰا قُمْتُمْ </w:t>
      </w:r>
      <w:r>
        <w:rPr>
          <w:rStyle w:val="FootnoteAnchor"/>
          <w:rtl w:val="true"/>
        </w:rPr>
        <w:footnoteReference w:id="946"/>
      </w:r>
      <w:r>
        <w:rPr>
          <w:rFonts w:ascii="Amiri" w:hAnsi="Amiri" w:eastAsia="Amiri" w:cs="Amiri"/>
          <w:color w:val="111111"/>
          <w:sz w:val="28"/>
          <w:sz w:val="28"/>
          <w:szCs w:val="28"/>
          <w:rtl w:val="true"/>
          <w:lang w:bidi="ar-SA"/>
        </w:rPr>
        <w:t xml:space="preserve">أي من النوم؛ للموثّق </w:t>
      </w:r>
      <w:r>
        <w:rPr>
          <w:rStyle w:val="FootnoteAnchor"/>
          <w:rtl w:val="true"/>
        </w:rPr>
        <w:footnoteReference w:id="947"/>
      </w:r>
      <w:r>
        <w:rPr>
          <w:rFonts w:ascii="Amiri" w:hAnsi="Amiri" w:eastAsia="Amiri" w:cs="Amiri"/>
          <w:color w:val="111111"/>
          <w:sz w:val="28"/>
          <w:sz w:val="28"/>
          <w:szCs w:val="28"/>
          <w:rtl w:val="true"/>
          <w:lang w:bidi="ar-SA"/>
        </w:rPr>
        <w:t>و إجماع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الظواهر المعارضة مع ضعفها محمولة على التقيّة، أو صورة عدم بطلان العقل و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موافقة الصدوق للجماعة، و نسبة الخلاف إليه بتخصيصه بحال الانفراج لا وجه له، و إيراده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بعض ما يومي إليه مع تعيّن حمله على ما ذكر لا يفيد إفتائه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ناقض بنفسه، لا لاحتمال وقوع الحدث فيه؛ لإطلاق الأدلّة، و عدم نقض اليقين بالشك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يفيد كون النقض لأجله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ثبوت التلازم بين زوال العقل و زوال السمع، و إن كان الأصل هو الأوّل و الثاني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يحصل الجمع بين النصوص و الفتاوى، و يرتفع الإشكال في فاقد السمع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 في النوم أو سماع الصوت غير ناقض؛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تخايل له شي‌ء و لم يعلم أنّه منام أو حديث نفس، و لو قطع بالأوّل نقض مع الشرط المذكور، لا مطلقاً</w:t>
      </w:r>
      <w:r>
        <w:rPr>
          <w:rFonts w:eastAsia="Amiri" w:cs="Amiri" w:ascii="Amiri" w:hAnsi="Amiri"/>
          <w:color w:val="111111"/>
          <w:sz w:val="28"/>
          <w:szCs w:val="28"/>
          <w:rtl w:val="true"/>
          <w:lang w:bidi="ar-SA"/>
        </w:rPr>
        <w:t>.</w:t>
      </w:r>
      <w:bookmarkStart w:id="290" w:name="pg2479_11597"/>
    </w:p>
    <w:p>
      <w:pPr>
        <w:pStyle w:val="Heading6"/>
        <w:numPr>
          <w:ilvl w:val="5"/>
          <w:numId w:val="1"/>
        </w:numPr>
        <w:rPr/>
      </w:pPr>
      <w:bookmarkStart w:id="291" w:name="__RefHeading___Toc3732007_3804643083"/>
      <w:bookmarkStart w:id="292" w:name="_Toc109"/>
      <w:bookmarkEnd w:id="290"/>
      <w:bookmarkEnd w:id="291"/>
      <w:r>
        <w:rPr>
          <w:rtl w:val="true"/>
        </w:rPr>
        <w:t>الثالث</w:t>
      </w:r>
      <w:r>
        <w:rPr>
          <w:rtl w:val="true"/>
        </w:rPr>
        <w:t xml:space="preserve">: </w:t>
      </w:r>
      <w:r>
        <w:rPr>
          <w:rtl w:val="true"/>
        </w:rPr>
        <w:t>كلّ مزيل للعقل</w:t>
      </w:r>
      <w:r>
        <w:rPr>
          <w:rtl w:val="true"/>
        </w:rPr>
        <w:t>:</w:t>
      </w:r>
      <w:bookmarkEnd w:id="292"/>
    </w:p>
    <w:p>
      <w:pPr>
        <w:pStyle w:val="BookText"/>
        <w:rPr/>
      </w:pPr>
      <w:r>
        <w:rPr>
          <w:rFonts w:ascii="Amiri" w:hAnsi="Amiri" w:eastAsia="Amiri" w:cs="Amiri"/>
          <w:color w:val="111111"/>
          <w:sz w:val="28"/>
          <w:sz w:val="28"/>
          <w:szCs w:val="28"/>
          <w:rtl w:val="true"/>
          <w:lang w:bidi="ar-SA"/>
        </w:rPr>
        <w:t xml:space="preserve">بالإجماعين، و التنبيه المستفاد من الصحيحين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3732009_3804643083"/>
      <w:bookmarkStart w:id="294" w:name="_Toc110"/>
      <w:bookmarkEnd w:id="293"/>
      <w:r>
        <w:rPr>
          <w:rtl w:val="true"/>
        </w:rPr>
        <w:t>الرابع</w:t>
      </w:r>
      <w:r>
        <w:rPr>
          <w:rtl w:val="true"/>
        </w:rPr>
        <w:t xml:space="preserve">: </w:t>
      </w:r>
      <w:r>
        <w:rPr>
          <w:rtl w:val="true"/>
        </w:rPr>
        <w:t>الاستحاضة القليلة</w:t>
      </w:r>
      <w:r>
        <w:rPr>
          <w:rtl w:val="true"/>
        </w:rPr>
        <w:t>:</w:t>
      </w:r>
      <w:bookmarkEnd w:id="294"/>
    </w:p>
    <w:p>
      <w:pPr>
        <w:pStyle w:val="BookText"/>
        <w:rPr/>
      </w:pPr>
      <w:r>
        <w:rPr>
          <w:rFonts w:ascii="Amiri" w:hAnsi="Amiri" w:eastAsia="Amiri" w:cs="Amiri"/>
          <w:color w:val="111111"/>
          <w:sz w:val="28"/>
          <w:sz w:val="28"/>
          <w:szCs w:val="28"/>
          <w:rtl w:val="true"/>
          <w:lang w:bidi="ar-SA"/>
        </w:rPr>
        <w:t xml:space="preserve">كما عليه المعظم؛ للصحاح المستفيضة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الأوّلين </w:t>
      </w:r>
      <w:r>
        <w:rPr>
          <w:rStyle w:val="FootnoteAnchor"/>
          <w:rtl w:val="true"/>
        </w:rPr>
        <w:footnoteReference w:id="952"/>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حدث أكبر ينقضه، إلّا أنّه لا يوجبه وحده، بل إمّا لا يوجبه أو يوجبه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الحقنة غير ناقضة إن لم تخرج ناقضاً؛ لحاصرات النقض في الثلاثة، و صريح الصحيح و الرضوي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الإسكافي </w:t>
      </w:r>
      <w:r>
        <w:rPr>
          <w:rStyle w:val="FootnoteAnchor"/>
          <w:rtl w:val="true"/>
        </w:rPr>
        <w:footnoteReference w:id="954"/>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الودي كما مرّ ينقضه قبل الاستبراء،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المذي لا ينقضه مطلقاً؛ للأصل و الاستصحابين، و عدم المدرك فيما يعمّ به البلوى،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 و صريح المستفيضة </w:t>
      </w:r>
      <w:r>
        <w:rPr>
          <w:rStyle w:val="FootnoteAnchor"/>
          <w:rtl w:val="true"/>
        </w:rPr>
        <w:footnoteReference w:id="956"/>
      </w:r>
      <w:r>
        <w:rPr>
          <w:rFonts w:ascii="IRNazanin" w:hAnsi="IRNazanin" w:eastAsia="IRNazanin"/>
          <w:color w:val="111111"/>
          <w:sz w:val="28"/>
          <w:sz w:val="28"/>
          <w:szCs w:val="28"/>
          <w:rtl w:val="true"/>
          <w:lang w:bidi="fa-IR"/>
        </w:rPr>
        <w:t xml:space="preserve">، و أخبار الحصر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النصوص المعارضة محمولة على التقيّة، فخلاف الإسكافي </w:t>
      </w:r>
      <w:r>
        <w:rPr>
          <w:rStyle w:val="FootnoteAnchor"/>
          <w:rtl w:val="true"/>
        </w:rPr>
        <w:footnoteReference w:id="958"/>
      </w:r>
      <w:r>
        <w:rPr>
          <w:rFonts w:ascii="Amiri" w:hAnsi="Amiri" w:eastAsia="Amiri" w:cs="Amiri"/>
          <w:color w:val="111111"/>
          <w:sz w:val="28"/>
          <w:sz w:val="28"/>
          <w:szCs w:val="28"/>
          <w:rtl w:val="true"/>
          <w:lang w:bidi="ar-SA"/>
        </w:rPr>
        <w:t xml:space="preserve">فيما يخرج بعد الشهوة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في الكثرة المفرطة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نقض بمسّ فرج الغير، و بالتقبيل بالشهوة؛ للأصل و الصحاح و غيرها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961"/>
      </w:r>
      <w:r>
        <w:rPr>
          <w:rFonts w:ascii="IRNazanin" w:hAnsi="IRNazanin" w:eastAsia="IRNazanin"/>
          <w:color w:val="111111"/>
          <w:sz w:val="28"/>
          <w:sz w:val="28"/>
          <w:szCs w:val="28"/>
          <w:rtl w:val="true"/>
          <w:lang w:bidi="fa-IR"/>
        </w:rPr>
        <w:t xml:space="preserve">للخبر </w:t>
      </w:r>
      <w:r>
        <w:rPr>
          <w:rStyle w:val="FootnoteAnchor"/>
          <w:rtl w:val="true"/>
        </w:rPr>
        <w:footnoteReference w:id="962"/>
      </w:r>
      <w:r>
        <w:rPr>
          <w:rFonts w:ascii="Amiri" w:hAnsi="Amiri" w:eastAsia="Amiri" w:cs="Amiri"/>
          <w:color w:val="111111"/>
          <w:sz w:val="28"/>
          <w:sz w:val="28"/>
          <w:szCs w:val="28"/>
          <w:rtl w:val="true"/>
          <w:lang w:bidi="ar-SA"/>
        </w:rPr>
        <w:t>، و أُجيب بحمله على الندب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بلمس المرأة، بالإجماع و الصحيح و الموثّق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بالملامسة في الآية المواقعة؛ للإجماع و الموثّق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بمسّ الإنسان باطن فرجه؛ للأصل و المعتبرة </w:t>
      </w:r>
      <w:r>
        <w:rPr>
          <w:rStyle w:val="FootnoteAnchor"/>
          <w:rtl w:val="true"/>
        </w:rPr>
        <w:footnoteReference w:id="965"/>
      </w:r>
      <w:r>
        <w:rPr>
          <w:rFonts w:ascii="IRNazanin" w:hAnsi="IRNazanin" w:eastAsia="IRNazanin"/>
          <w:color w:val="111111"/>
          <w:sz w:val="28"/>
          <w:sz w:val="28"/>
          <w:szCs w:val="28"/>
          <w:rtl w:val="true"/>
          <w:lang w:bidi="fa-IR"/>
        </w:rPr>
        <w:t xml:space="preserve">و الحاصرات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للصدوق </w:t>
      </w:r>
      <w:r>
        <w:rPr>
          <w:rStyle w:val="FootnoteAnchor"/>
          <w:rtl w:val="true"/>
        </w:rPr>
        <w:footnoteReference w:id="967"/>
      </w:r>
      <w:r>
        <w:rPr>
          <w:rFonts w:ascii="Amiri" w:hAnsi="Amiri" w:eastAsia="Amiri" w:cs="Amiri"/>
          <w:color w:val="111111"/>
          <w:sz w:val="28"/>
          <w:sz w:val="28"/>
          <w:szCs w:val="28"/>
          <w:rtl w:val="true"/>
          <w:lang w:bidi="ar-SA"/>
        </w:rPr>
        <w:t xml:space="preserve">للموثّق </w:t>
      </w:r>
      <w:r>
        <w:rPr>
          <w:rStyle w:val="FootnoteAnchor"/>
          <w:rtl w:val="true"/>
        </w:rPr>
        <w:footnoteReference w:id="968"/>
      </w:r>
      <w:r>
        <w:rPr>
          <w:rFonts w:ascii="Amiri" w:hAnsi="Amiri" w:eastAsia="Amiri" w:cs="Amiri"/>
          <w:color w:val="111111"/>
          <w:sz w:val="28"/>
          <w:sz w:val="28"/>
          <w:szCs w:val="28"/>
          <w:rtl w:val="true"/>
          <w:lang w:bidi="ar-SA"/>
        </w:rPr>
        <w:t>، و أُجيب بالحمل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بقلم الظفر و قطع الشعر إجماعاً؛ للأصل و الصحيحين و الخبر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بأكل ما مسّه النار و لو لحم الإبل؛ للصحيح و الحسن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بالقهقهة؛ للحسن و غيره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972"/>
      </w:r>
      <w:r>
        <w:rPr>
          <w:rFonts w:ascii="Amiri" w:hAnsi="Amiri" w:eastAsia="Amiri" w:cs="Amiri"/>
          <w:color w:val="111111"/>
          <w:sz w:val="28"/>
          <w:sz w:val="28"/>
          <w:szCs w:val="28"/>
          <w:rtl w:val="true"/>
          <w:lang w:bidi="ar-SA"/>
        </w:rPr>
        <w:t xml:space="preserve">للمضمرين </w:t>
      </w:r>
      <w:r>
        <w:rPr>
          <w:rStyle w:val="FootnoteAnchor"/>
          <w:rtl w:val="true"/>
        </w:rPr>
        <w:footnoteReference w:id="973"/>
      </w:r>
      <w:r>
        <w:rPr>
          <w:rFonts w:ascii="Amiri" w:hAnsi="Amiri" w:eastAsia="Amiri" w:cs="Amiri"/>
          <w:color w:val="111111"/>
          <w:sz w:val="28"/>
          <w:sz w:val="28"/>
          <w:szCs w:val="28"/>
          <w:rtl w:val="true"/>
          <w:lang w:bidi="ar-SA"/>
        </w:rPr>
        <w:t>، و أُجيب بالحمل على التقيّة</w:t>
      </w:r>
      <w:r>
        <w:rPr>
          <w:rFonts w:eastAsia="Amiri" w:cs="Amiri" w:ascii="Amiri" w:hAnsi="Amiri"/>
          <w:color w:val="111111"/>
          <w:sz w:val="28"/>
          <w:szCs w:val="28"/>
          <w:rtl w:val="true"/>
          <w:lang w:bidi="ar-SA"/>
        </w:rPr>
        <w:t>.</w:t>
      </w:r>
      <w:bookmarkStart w:id="295" w:name="pg2479_11599"/>
    </w:p>
    <w:p>
      <w:pPr>
        <w:pStyle w:val="BookText"/>
        <w:rPr/>
      </w:pPr>
      <w:bookmarkEnd w:id="295"/>
      <w:r>
        <w:rPr>
          <w:rFonts w:ascii="IRNazanin" w:hAnsi="IRNazanin" w:eastAsia="IRNazanin"/>
          <w:color w:val="111111"/>
          <w:sz w:val="28"/>
          <w:sz w:val="28"/>
          <w:szCs w:val="28"/>
          <w:rtl w:val="true"/>
          <w:lang w:bidi="fa-IR"/>
        </w:rPr>
        <w:t xml:space="preserve">و لا بالفحش و إنشاد الشعر؛ للإجماع و العمومات و خصوص الخبر </w:t>
      </w:r>
      <w:r>
        <w:rPr>
          <w:rStyle w:val="FootnoteAnchor"/>
          <w:rtl w:val="true"/>
        </w:rPr>
        <w:footnoteReference w:id="974"/>
      </w:r>
      <w:r>
        <w:rPr>
          <w:rFonts w:ascii="Amiri" w:hAnsi="Amiri" w:eastAsia="Amiri" w:cs="Amiri"/>
          <w:color w:val="111111"/>
          <w:sz w:val="28"/>
          <w:sz w:val="28"/>
          <w:szCs w:val="28"/>
          <w:rtl w:val="true"/>
          <w:lang w:bidi="ar-SA"/>
        </w:rPr>
        <w:t xml:space="preserve">، و الموثّق </w:t>
      </w:r>
      <w:r>
        <w:rPr>
          <w:rStyle w:val="FootnoteAnchor"/>
          <w:rtl w:val="true"/>
        </w:rPr>
        <w:footnoteReference w:id="975"/>
      </w:r>
      <w:r>
        <w:rPr>
          <w:rFonts w:ascii="IRNazanin" w:hAnsi="IRNazanin" w:eastAsia="IRNazanin"/>
          <w:color w:val="111111"/>
          <w:sz w:val="28"/>
          <w:sz w:val="28"/>
          <w:szCs w:val="28"/>
          <w:rtl w:val="true"/>
          <w:lang w:bidi="fa-IR"/>
        </w:rPr>
        <w:t>محمول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بمسّ الكلب و مصافحة المجوسي؛ للنص </w:t>
      </w:r>
      <w:r>
        <w:rPr>
          <w:rStyle w:val="FootnoteAnchor"/>
          <w:rtl w:val="true"/>
        </w:rPr>
        <w:footnoteReference w:id="976"/>
      </w:r>
      <w:r>
        <w:rPr>
          <w:rFonts w:ascii="IRNazanin" w:hAnsi="IRNazanin" w:eastAsia="IRNazanin"/>
          <w:color w:val="111111"/>
          <w:sz w:val="28"/>
          <w:sz w:val="28"/>
          <w:szCs w:val="28"/>
          <w:rtl w:val="true"/>
          <w:lang w:bidi="fa-IR"/>
        </w:rPr>
        <w:t xml:space="preserve">، و الخبر المعارض </w:t>
      </w:r>
      <w:r>
        <w:rPr>
          <w:rStyle w:val="FootnoteAnchor"/>
          <w:rtl w:val="true"/>
        </w:rPr>
        <w:footnoteReference w:id="977"/>
      </w:r>
      <w:r>
        <w:rPr>
          <w:rFonts w:ascii="Amiri" w:hAnsi="Amiri" w:eastAsia="Amiri" w:cs="Amiri"/>
          <w:color w:val="111111"/>
          <w:sz w:val="28"/>
          <w:sz w:val="28"/>
          <w:szCs w:val="28"/>
          <w:rtl w:val="true"/>
          <w:lang w:bidi="ar-SA"/>
        </w:rPr>
        <w:t>محمول على التنظيف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بالارتداد؛ للأصل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بالقيح و الصديد و القي‌ء و النخامة و الدم عدا الثلاثة للأصل و الإجماع و العمومات و أخبار الحصر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النقض في بعضها محمول على الندب أو التقيّة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732011_3804643083"/>
      <w:bookmarkStart w:id="297" w:name="_Toc111"/>
      <w:bookmarkEnd w:id="296"/>
      <w:r>
        <w:rPr>
          <w:rtl w:val="true"/>
        </w:rPr>
        <w:t xml:space="preserve">فصل </w:t>
      </w:r>
      <w:r>
        <w:rPr>
          <w:rtl w:val="true"/>
        </w:rPr>
        <w:t>[</w:t>
      </w:r>
      <w:r>
        <w:rPr>
          <w:rtl w:val="true"/>
        </w:rPr>
        <w:t>واجبات الوضوء</w:t>
      </w:r>
      <w:r>
        <w:rPr>
          <w:rtl w:val="true"/>
        </w:rPr>
        <w:t>]</w:t>
      </w:r>
      <w:bookmarkEnd w:id="297"/>
    </w:p>
    <w:p>
      <w:pPr>
        <w:pStyle w:val="Heading6"/>
        <w:numPr>
          <w:ilvl w:val="5"/>
          <w:numId w:val="1"/>
        </w:numPr>
        <w:rPr/>
      </w:pPr>
      <w:bookmarkStart w:id="298" w:name="__RefHeading___Toc3732013_3804643083"/>
      <w:bookmarkStart w:id="299" w:name="_Toc112"/>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للوضوء واجبات</w:t>
      </w:r>
      <w:r>
        <w:rPr>
          <w:rFonts w:eastAsia="IRNazanin" w:cs="IRNazanin"/>
          <w:color w:val="111111"/>
          <w:sz w:val="28"/>
          <w:szCs w:val="28"/>
          <w:rtl w:val="true"/>
          <w:lang w:bidi="fa-IR"/>
        </w:rPr>
        <w:t>:</w:t>
      </w:r>
    </w:p>
    <w:p>
      <w:pPr>
        <w:pStyle w:val="Heading6"/>
        <w:numPr>
          <w:ilvl w:val="5"/>
          <w:numId w:val="1"/>
        </w:numPr>
        <w:rPr/>
      </w:pPr>
      <w:bookmarkStart w:id="300" w:name="__RefHeading___Toc3732015_3804643083"/>
      <w:bookmarkStart w:id="301" w:name="_Toc113"/>
      <w:bookmarkEnd w:id="300"/>
      <w:r>
        <w:rPr>
          <w:rtl w:val="true"/>
        </w:rPr>
        <w:t>الأوّل</w:t>
      </w:r>
      <w:r>
        <w:rPr>
          <w:rtl w:val="true"/>
        </w:rPr>
        <w:t xml:space="preserve">: </w:t>
      </w:r>
      <w:r>
        <w:rPr>
          <w:rtl w:val="true"/>
        </w:rPr>
        <w:t>النيّة</w:t>
      </w:r>
      <w:r>
        <w:rPr>
          <w:rtl w:val="true"/>
        </w:rPr>
        <w:t>:</w:t>
      </w:r>
      <w:bookmarkEnd w:id="301"/>
    </w:p>
    <w:p>
      <w:pPr>
        <w:pStyle w:val="Heading6"/>
        <w:numPr>
          <w:ilvl w:val="5"/>
          <w:numId w:val="1"/>
        </w:numPr>
        <w:rPr/>
      </w:pPr>
      <w:bookmarkStart w:id="302" w:name="__RefHeading___Toc3732017_3804643083"/>
      <w:bookmarkStart w:id="303" w:name="_Toc114"/>
      <w:bookmarkEnd w:id="302"/>
      <w:r>
        <w:rPr>
          <w:rtl w:val="true"/>
        </w:rPr>
        <w:t>اشارة</w:t>
      </w:r>
      <w:bookmarkEnd w:id="3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لغة العزم </w:t>
      </w:r>
      <w:r>
        <w:rPr>
          <w:rStyle w:val="FootnoteAnchor"/>
          <w:rtl w:val="true"/>
        </w:rPr>
        <w:footnoteReference w:id="979"/>
      </w:r>
      <w:r>
        <w:rPr>
          <w:rFonts w:ascii="Amiri" w:hAnsi="Amiri" w:eastAsia="Amiri" w:cs="Amiri"/>
          <w:color w:val="111111"/>
          <w:sz w:val="28"/>
          <w:sz w:val="28"/>
          <w:szCs w:val="28"/>
          <w:rtl w:val="true"/>
          <w:lang w:bidi="ar-SA"/>
        </w:rPr>
        <w:t>، و عرفاً إرادة باعثة على المطلوب شرعاً إيجاداً أو 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وجوبها في الطهارات حقّ مشهور، و ظاهر الإسكافي استحبابها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 من النصّ </w:t>
      </w:r>
      <w:r>
        <w:rPr>
          <w:rStyle w:val="FootnoteAnchor"/>
          <w:rtl w:val="true"/>
        </w:rPr>
        <w:footnoteReference w:id="981"/>
      </w:r>
      <w:r>
        <w:rPr>
          <w:rFonts w:ascii="IRNazanin" w:hAnsi="IRNazanin" w:eastAsia="IRNazanin"/>
          <w:color w:val="111111"/>
          <w:sz w:val="28"/>
          <w:sz w:val="28"/>
          <w:szCs w:val="28"/>
          <w:rtl w:val="true"/>
          <w:lang w:bidi="fa-IR"/>
        </w:rPr>
        <w:t xml:space="preserve">، و نقل الإجماع </w:t>
      </w:r>
      <w:r>
        <w:rPr>
          <w:rStyle w:val="FootnoteAnchor"/>
          <w:rtl w:val="true"/>
        </w:rPr>
        <w:footnoteReference w:id="982"/>
      </w:r>
      <w:r>
        <w:rPr>
          <w:rFonts w:ascii="Amiri" w:hAnsi="Amiri" w:eastAsia="Amiri" w:cs="Amiri"/>
          <w:color w:val="111111"/>
          <w:sz w:val="28"/>
          <w:sz w:val="28"/>
          <w:szCs w:val="28"/>
          <w:rtl w:val="true"/>
          <w:lang w:bidi="ar-SA"/>
        </w:rPr>
        <w:t>، و يعضده أدلّة القربة؛ إذ ما هي إلّا القصد و القربة، و الأوّل لا ينفكّ عن فعل المختار فلا يفتقر إلى الدليل، فالمفتقر منها إليه هو الثاني، فالمثبت له 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الاحتجاج عليه بلزوم الخرق أو التساوي لولاه إذ الشرط إمّا الوضوء بشرط النيّة، أو عدمها، أو أحدهما لا بعينه، و الأوّل يوجب المطلوب، و الثاني الأوّل، و الثالث الثاني بعد نقل الكلام إليه مردود، بعد النقض بمثل شرطيّة إزالة النجاسة بقيد عدم النيّة أو مطلقاً، و الوضوء بقيد عدمه في المسجد أو بدونه، بأنّ الشرط هو الوضوء لا بشرط لا بأحد الشرطين، فكلّ من القيدين بشخصه لا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مناط الفرق </w:t>
      </w:r>
      <w:r>
        <w:rPr>
          <w:rStyle w:val="FootnoteAnchor"/>
          <w:rtl w:val="true"/>
        </w:rPr>
        <w:footnoteReference w:id="983"/>
      </w:r>
      <w:r>
        <w:rPr>
          <w:rFonts w:ascii="Amiri" w:hAnsi="Amiri" w:eastAsia="Amiri" w:cs="Amiri"/>
          <w:color w:val="111111"/>
          <w:sz w:val="28"/>
          <w:sz w:val="28"/>
          <w:szCs w:val="28"/>
          <w:rtl w:val="true"/>
          <w:lang w:bidi="ar-SA"/>
        </w:rPr>
        <w:t>في إيجابهم النيّة في الطهارة من الحدث دون الخبث مجرّد الإجماع؛ لخلوّ الأخبار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أبداه له بعضهم من التمحّلات </w:t>
      </w:r>
      <w:r>
        <w:rPr>
          <w:rStyle w:val="FootnoteAnchor"/>
          <w:rtl w:val="true"/>
        </w:rPr>
        <w:footnoteReference w:id="984"/>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مجرّد القصد و القربة، وفاقاً للمفيد و البصروي </w:t>
      </w:r>
      <w:r>
        <w:rPr>
          <w:rStyle w:val="FootnoteAnchor"/>
          <w:rtl w:val="true"/>
        </w:rPr>
        <w:footnoteReference w:id="985"/>
      </w:r>
      <w:r>
        <w:rPr>
          <w:rFonts w:ascii="Amiri" w:hAnsi="Amiri" w:eastAsia="Amiri" w:cs="Amiri"/>
          <w:color w:val="111111"/>
          <w:sz w:val="28"/>
          <w:sz w:val="28"/>
          <w:szCs w:val="28"/>
          <w:rtl w:val="true"/>
          <w:lang w:bidi="ar-SA"/>
        </w:rPr>
        <w:t xml:space="preserve">و جلّ الثالثة، و به 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 المحقّق في بعض رسائله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مع الوجه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 بعض الثانية </w:t>
      </w:r>
      <w:r>
        <w:rPr>
          <w:rStyle w:val="FootnoteAnchor"/>
          <w:rtl w:val="true"/>
        </w:rPr>
        <w:footnoteReference w:id="989"/>
      </w:r>
      <w:r>
        <w:rPr>
          <w:rFonts w:ascii="Amiri" w:hAnsi="Amiri" w:eastAsia="Amiri" w:cs="Amiri"/>
          <w:color w:val="111111"/>
          <w:sz w:val="28"/>
          <w:sz w:val="28"/>
          <w:szCs w:val="28"/>
          <w:rtl w:val="true"/>
          <w:lang w:bidi="ar-SA"/>
        </w:rPr>
        <w:t xml:space="preserve">، و هو فتوى الفاضل في بعض كتبه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الرفع أو الاستباحة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الأخير كالمرتضى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الوجه و أحدهما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الثلاثة كالقاضي و الحلبي و ابن حمزة و الراوندي </w:t>
      </w:r>
      <w:r>
        <w:rPr>
          <w:rStyle w:val="FootnoteAnchor"/>
          <w:rtl w:val="true"/>
        </w:rPr>
        <w:footnoteReference w:id="994"/>
      </w:r>
      <w:r>
        <w:rPr>
          <w:rFonts w:ascii="Amiri" w:hAnsi="Amiri" w:eastAsia="Amiri" w:cs="Amiri"/>
          <w:color w:val="111111"/>
          <w:sz w:val="28"/>
          <w:sz w:val="28"/>
          <w:szCs w:val="28"/>
          <w:rtl w:val="true"/>
          <w:lang w:bidi="ar-SA"/>
        </w:rPr>
        <w:t xml:space="preserve">و اختاره الشهيد في دروسه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معها بضمّ الطاعة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أحد الأمرين و الوجه أو جهته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 على اشتراط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w:t>
      </w:r>
      <w:r>
        <w:rPr>
          <w:rStyle w:val="FootnoteAnchor"/>
          <w:rtl w:val="true"/>
        </w:rPr>
        <w:footnoteReference w:id="998"/>
      </w:r>
      <w:r>
        <w:rPr>
          <w:rFonts w:ascii="Amiri" w:hAnsi="Amiri" w:eastAsia="Amiri" w:cs="Amiri"/>
          <w:color w:val="111111"/>
          <w:sz w:val="28"/>
          <w:sz w:val="28"/>
          <w:szCs w:val="28"/>
          <w:rtl w:val="true"/>
          <w:lang w:bidi="ar-SA"/>
        </w:rPr>
        <w:t xml:space="preserve">و لزومه لفعل كلّ عاقل أخبار النيّة </w:t>
      </w:r>
      <w:r>
        <w:rPr>
          <w:rStyle w:val="FootnoteAnchor"/>
          <w:rtl w:val="true"/>
        </w:rPr>
        <w:footnoteReference w:id="999"/>
      </w:r>
      <w:r>
        <w:rPr>
          <w:rFonts w:ascii="Amiri" w:hAnsi="Amiri" w:eastAsia="Amiri" w:cs="Amiri"/>
          <w:color w:val="111111"/>
          <w:sz w:val="28"/>
          <w:sz w:val="28"/>
          <w:szCs w:val="28"/>
          <w:rtl w:val="true"/>
          <w:lang w:bidi="ar-SA"/>
        </w:rPr>
        <w:t>لانتفائها بدونه، و يجب كونه مميّزاً مع الاشتراك، و عدم جريان التداخل؛ لتوقّف الامتثال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الوفاق ما تواتر في الكتاب و السنّة من النهي عن الرياء</w:t>
      </w:r>
    </w:p>
    <w:p>
      <w:pPr>
        <w:pStyle w:val="BookText"/>
        <w:rPr/>
      </w:pPr>
      <w:r>
        <w:rPr>
          <w:rFonts w:ascii="Amiri" w:hAnsi="Amiri" w:eastAsia="Amiri" w:cs="Amiri"/>
          <w:color w:val="111111"/>
          <w:sz w:val="28"/>
          <w:sz w:val="28"/>
          <w:szCs w:val="28"/>
          <w:rtl w:val="true"/>
          <w:lang w:bidi="ar-SA"/>
        </w:rPr>
        <w:t xml:space="preserve">و الأمر بالإخلاص في العبادة </w:t>
      </w:r>
      <w:r>
        <w:rPr>
          <w:rStyle w:val="FootnoteAnchor"/>
          <w:rtl w:val="true"/>
        </w:rPr>
        <w:footnoteReference w:id="1000"/>
      </w:r>
      <w:r>
        <w:rPr>
          <w:rFonts w:ascii="Amiri" w:hAnsi="Amiri" w:eastAsia="Amiri" w:cs="Amiri"/>
          <w:color w:val="111111"/>
          <w:sz w:val="28"/>
          <w:sz w:val="28"/>
          <w:szCs w:val="28"/>
          <w:rtl w:val="true"/>
          <w:lang w:bidi="ar-SA"/>
        </w:rPr>
        <w:t>، و دلالتهما على المطلوب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أُورد على الثاني من المناقشات لا عبرة به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بداهة اشتراطها في كلّ عبادة؛ لأنها روحها و لولاها لم تتميّز عن سائر الحركات و لم تؤثّر في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إمّا قصد الطاعة، أو طلب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حصول الامتثال بالأوّل مجمع عليه، و ظواهر الكتاب و السنّة به مستفيضة </w:t>
      </w:r>
      <w:r>
        <w:rPr>
          <w:rStyle w:val="FootnoteAnchor"/>
          <w:rtl w:val="true"/>
        </w:rPr>
        <w:footnoteReference w:id="1002"/>
      </w:r>
      <w:r>
        <w:rPr>
          <w:rFonts w:ascii="Amiri" w:hAnsi="Amiri" w:eastAsia="Amiri" w:cs="Amiri"/>
          <w:color w:val="111111"/>
          <w:sz w:val="28"/>
          <w:sz w:val="28"/>
          <w:szCs w:val="28"/>
          <w:rtl w:val="true"/>
          <w:lang w:bidi="ar-SA"/>
        </w:rPr>
        <w:t xml:space="preserve">، بل هو الغاية في النيّة، و فوقه قصد الهّٰ الذي هو غاية كلّ غاية، كما أُشير إليه في العلوي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بالثاني حقّ مشهور، و ترغيبات الشرع به متظافرة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كفايته و اشتراط تخليص القصد من الثواب و العقاب و قصر النظر بشراشره إلى جناب الحقّ ينافي الحكمة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عدم اشتراط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أصل العدم، و عدم المقتضي فيما يعمّ به البلوىٰ إطلاق أدلّة الوضوء و ظهورها في حصول الامتثال بمجرّد إيقاعه بقصد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أمرهم بالواجب و المندوب بطريق واحد من غير تفرقة بينهما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عليه بمفهوم الحصر في قوله تعالىٰ وَ مٰا أُمِرُوا إِلّٰا لِيَعْبُدُوا اللّٰهَ مُخْلِصِينَ </w:t>
      </w:r>
      <w:r>
        <w:rPr>
          <w:rStyle w:val="FootnoteAnchor"/>
          <w:rtl w:val="true"/>
        </w:rPr>
        <w:footnoteReference w:id="1005"/>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للمشترطين اعتبارات ضعيفة لا وقع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المنافي للقربة كالرياء مبطل، وفاقاً للمعظم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السيّد الصحّة بمعنى سقوط القضاء لا حصول الثواب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الإخلاص اللازم في العبادة فيبطلها، و محرّمات العبادة تعضده فيفسدها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إذ المرائي ما نوى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نواهي الرياء لا تفيد أزيد من عدم القبول أي ترتّب الثواب </w:t>
      </w:r>
      <w:r>
        <w:rPr>
          <w:rStyle w:val="FootnoteAnchor"/>
          <w:rtl w:val="true"/>
        </w:rPr>
        <w:footnoteReference w:id="1008"/>
      </w:r>
      <w:r>
        <w:rPr>
          <w:rFonts w:ascii="Amiri" w:hAnsi="Amiri" w:eastAsia="Amiri" w:cs="Amiri"/>
          <w:color w:val="111111"/>
          <w:sz w:val="28"/>
          <w:sz w:val="28"/>
          <w:szCs w:val="28"/>
          <w:rtl w:val="true"/>
          <w:lang w:bidi="ar-SA"/>
        </w:rPr>
        <w:t>، فيبقى الصحّة أي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بثبوت التلازم بينهما، كما تقرّر في الأُصول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ضمّ غير الرياء من لوازم الفعل مع رجحانه غير مبطل إجماعاً، و بدونه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إن وجد في الابتداء و عدمه إن طرأ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أنّه إن رفع استقلال القربة بالتأثير أبطل، و إلّا فلا، من دون فرق بينهما؛ إذ مع كونه جزء العلّة الباعثة يرفع أصل الإخلاص، و مع استقلالها بالعلّية أي كونها باعثة بدونه لا تأثير له في رفعه و إن قارنها و رفع كماله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الفارق بين الرياء و غيره النصّ و عمل الجماعة؛ لعدم الفرق بينهما في اللزوم للفعل و المنافاة للإخلاص و عدمهما؛ لاستواء السرر و رويّة الناس و مزجهم</w:t>
      </w:r>
    </w:p>
    <w:p>
      <w:pPr>
        <w:pStyle w:val="BookText"/>
        <w:rPr/>
      </w:pPr>
      <w:r>
        <w:rPr>
          <w:rFonts w:ascii="Amiri" w:hAnsi="Amiri" w:eastAsia="Amiri" w:cs="Amiri"/>
          <w:color w:val="111111"/>
          <w:sz w:val="28"/>
          <w:sz w:val="28"/>
          <w:szCs w:val="28"/>
          <w:rtl w:val="true"/>
          <w:lang w:bidi="ar-SA"/>
        </w:rPr>
        <w:t>في اللزوم و المنافاة لبحت الإخلاص دون وجوده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المنافاة بمعنى مطلق المخالفة حاصلة فيهما، و بمعنى الضدّية منتفية عنهما؛ لإمكان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يتطرّق من الرياء بلا اختيار مع المجاهدة في دفعه لا يبطل، و إلّا 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 المعتبر في النيّة هو مجرّد الداعي و الهمّة اللازمة لفعل كلّ عاقل، و لا يشترط فيه الإخطار و الاستحضار الفعلي؛ إذ الظواهر لا تثبت أزيد من الهمّ الباعث؛ فلا دليل على اشتراط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حكم العقل بأنّ اللازم في كلّ عبادة مجرّد صدورها الباعثة على وجه القربة، و لا حجّة على اشتراط الشعور بها، و هي نيّة فعليّة باقية في كلّ جزء من الفعل؛ لاستحالة صدوره من المختار بلا إرادة، فلا يبطلها إلّا قصد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الفعليّة على الإخطار غير مسلّم و الأكثر اشترطوه للتوقّف، و لا 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لتعذّر استدامته و لزوم النيّة لكلّ جزء من الفعل خصّصوه بالابتداء، و اكتفوا بالنيّة الحكميّة المفسَّرة بما يرجع إلى الداعي في الأثناء </w:t>
      </w:r>
      <w:r>
        <w:rPr>
          <w:rStyle w:val="FootnoteAnchor"/>
          <w:rtl w:val="true"/>
        </w:rPr>
        <w:footnoteReference w:id="1010"/>
      </w:r>
      <w:r>
        <w:rPr>
          <w:rFonts w:ascii="Amiri" w:hAnsi="Amiri" w:eastAsia="Amiri" w:cs="Amiri"/>
          <w:color w:val="111111"/>
          <w:sz w:val="28"/>
          <w:sz w:val="28"/>
          <w:szCs w:val="28"/>
          <w:rtl w:val="true"/>
          <w:lang w:bidi="ar-SA"/>
        </w:rPr>
        <w:t>، و لا أدري بالباعث لهذه التفرقة مع تساوي الأجزاء فيما يشترط به من نحو النيّة؛ إذ الأخبار غير قادحة، و كون الإخطار أدخل في التوجّه مع عدم إثباته الوجوب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مع نفيه الفعليّة و الاكتفاء بالحكميّة لرفع الحرج فسّرها بالبقاء على حكم النيّة و العزم على مقتضاها </w:t>
      </w:r>
      <w:r>
        <w:rPr>
          <w:rStyle w:val="FootnoteAnchor"/>
          <w:rtl w:val="true"/>
        </w:rPr>
        <w:footnoteReference w:id="1011"/>
      </w:r>
      <w:r>
        <w:rPr>
          <w:rFonts w:ascii="Amiri" w:hAnsi="Amiri" w:eastAsia="Amiri" w:cs="Amiri"/>
          <w:color w:val="111111"/>
          <w:sz w:val="28"/>
          <w:sz w:val="28"/>
          <w:szCs w:val="28"/>
          <w:rtl w:val="true"/>
          <w:lang w:bidi="ar-SA"/>
        </w:rPr>
        <w:t>، و هو يرجع إلى ما نفاه، فيلزمه التناقض و بطلان عبادة الذاهل، و الوجوه المحرّرة لصحيحة مزيّفة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المختار علّة الحدوث و البقاء واحدة، و المكتفي بالحكميّة أمّا السبب</w:t>
      </w:r>
      <w:bookmarkStart w:id="304" w:name="pg2479_11605"/>
    </w:p>
    <w:p>
      <w:pPr>
        <w:pStyle w:val="BookText"/>
        <w:rPr/>
      </w:pPr>
      <w:bookmarkEnd w:id="304"/>
      <w:r>
        <w:rPr>
          <w:rFonts w:ascii="Amiri" w:hAnsi="Amiri" w:eastAsia="Amiri" w:cs="Amiri"/>
          <w:color w:val="111111"/>
          <w:sz w:val="28"/>
          <w:sz w:val="28"/>
          <w:szCs w:val="28"/>
          <w:rtl w:val="true"/>
          <w:lang w:bidi="ar-SA"/>
        </w:rPr>
        <w:t>عنده أحد الأمرين فيلزمه تحكّم التفرقة، أو يرى استغناء الباقي عن المؤثّر و فساده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الوضوء تدريجي الوجود، فيفتقر كلّ جزء منه إلى سبب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الشرع معرّفات لا يلزم منها الاطّراد و الانعكاس، فيمكن التخلّف هنا، و لو على 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النيّة من العلل العقليّة؛ إذ صدور الفعل بلا إرادة غير معقول</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3732019_3804643083"/>
      <w:bookmarkStart w:id="306" w:name="_Toc115"/>
      <w:bookmarkEnd w:id="305"/>
      <w:r>
        <w:rPr>
          <w:rtl w:val="true"/>
        </w:rPr>
        <w:t>فروع</w:t>
      </w:r>
      <w:r>
        <w:rPr>
          <w:rtl w:val="true"/>
        </w:rPr>
        <w:t>:</w:t>
      </w:r>
      <w:bookmarkEnd w:id="306"/>
    </w:p>
    <w:p>
      <w:pPr>
        <w:pStyle w:val="Heading6"/>
        <w:numPr>
          <w:ilvl w:val="5"/>
          <w:numId w:val="1"/>
        </w:numPr>
        <w:rPr/>
      </w:pPr>
      <w:bookmarkStart w:id="307" w:name="__RefHeading___Toc3732021_3804643083"/>
      <w:bookmarkStart w:id="308" w:name="_Toc116"/>
      <w:bookmarkEnd w:id="307"/>
      <w:r>
        <w:rPr>
          <w:rtl w:val="true"/>
        </w:rPr>
        <w:t>الأوّل</w:t>
      </w:r>
      <w:r>
        <w:rPr>
          <w:rtl w:val="true"/>
        </w:rPr>
        <w:t>:</w:t>
      </w:r>
      <w:bookmarkEnd w:id="308"/>
    </w:p>
    <w:p>
      <w:pPr>
        <w:pStyle w:val="BookText"/>
        <w:rPr/>
      </w:pPr>
      <w:r>
        <w:rPr>
          <w:rFonts w:ascii="Amiri" w:hAnsi="Amiri" w:eastAsia="Amiri" w:cs="Amiri"/>
          <w:color w:val="111111"/>
          <w:sz w:val="28"/>
          <w:sz w:val="28"/>
          <w:szCs w:val="28"/>
          <w:rtl w:val="true"/>
          <w:lang w:bidi="ar-SA"/>
        </w:rPr>
        <w:t>لو كانت القربة باعثة صحّت العبادة و إن خطر غيرها؛ لحصول المناط، و إلّا لم تصحّ و إن خطرت؛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الباعث لم تصحّ؛ للزوم العلم بانبعاثها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انتفائها في أصل العمل يبطله مطلقاً، و في خارجه من المكمّلات لا يبطله ما لم يرفع الموالاة، و إن حرم لو قصد الرياء</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732023_3804643083"/>
      <w:bookmarkStart w:id="310" w:name="_Toc117"/>
      <w:bookmarkEnd w:id="309"/>
      <w:r>
        <w:rPr>
          <w:rtl w:val="true"/>
        </w:rPr>
        <w:t>الثاني</w:t>
      </w:r>
      <w:r>
        <w:rPr>
          <w:rtl w:val="true"/>
        </w:rPr>
        <w:t>:</w:t>
      </w:r>
      <w:bookmarkEnd w:id="310"/>
    </w:p>
    <w:p>
      <w:pPr>
        <w:pStyle w:val="BookText"/>
        <w:rPr/>
      </w:pPr>
      <w:r>
        <w:rPr>
          <w:rFonts w:ascii="Amiri" w:hAnsi="Amiri" w:eastAsia="Amiri" w:cs="Amiri"/>
          <w:color w:val="111111"/>
          <w:sz w:val="28"/>
          <w:sz w:val="28"/>
          <w:szCs w:val="28"/>
          <w:rtl w:val="true"/>
          <w:lang w:bidi="ar-SA"/>
        </w:rPr>
        <w:t xml:space="preserve">مغيّر </w:t>
      </w:r>
      <w:r>
        <w:rPr>
          <w:rStyle w:val="FootnoteAnchor"/>
          <w:rtl w:val="true"/>
        </w:rPr>
        <w:footnoteReference w:id="1012"/>
      </w:r>
      <w:r>
        <w:rPr>
          <w:rFonts w:ascii="Amiri" w:hAnsi="Amiri" w:eastAsia="Amiri" w:cs="Amiri"/>
          <w:color w:val="111111"/>
          <w:sz w:val="28"/>
          <w:sz w:val="28"/>
          <w:szCs w:val="28"/>
          <w:rtl w:val="true"/>
          <w:lang w:bidi="ar-SA"/>
        </w:rPr>
        <w:t>الوجه على اشتراطه مبطل، و بدونه غير مبطل و إن نفى ما قصده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بطلان كلّ وضوء مندوب مع الشغل بواجب منه؛ لاستلزام الأمر الحتمي بأحد الشيئين النهي عن الآخر، و ارتفاع الحدث بالمندوب فينتفي الوجوب، و ثبوت التداخل مع مشروعيّته فيجتمع حكمان على واحد بالشخص</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الأوّل بالمنع مع التوسّع</w:t>
      </w:r>
      <w:r>
        <w:rPr>
          <w:rFonts w:eastAsia="Amiri" w:cs="Amiri" w:ascii="Amiri" w:hAnsi="Amiri"/>
          <w:color w:val="111111"/>
          <w:sz w:val="28"/>
          <w:szCs w:val="28"/>
          <w:rtl w:val="true"/>
          <w:lang w:bidi="ar-SA"/>
        </w:rPr>
        <w:t>.</w:t>
      </w:r>
      <w:bookmarkStart w:id="311" w:name="pg2479_11606"/>
    </w:p>
    <w:p>
      <w:pPr>
        <w:pStyle w:val="BookText"/>
        <w:rPr/>
      </w:pPr>
      <w:bookmarkEnd w:id="311"/>
      <w:r>
        <w:rPr>
          <w:rFonts w:ascii="Amiri" w:hAnsi="Amiri" w:eastAsia="Amiri" w:cs="Amiri"/>
          <w:color w:val="111111"/>
          <w:sz w:val="28"/>
          <w:sz w:val="28"/>
          <w:szCs w:val="28"/>
          <w:rtl w:val="true"/>
          <w:lang w:bidi="ar-SA"/>
        </w:rPr>
        <w:t>و الثاني بعدم محذور في سقوط الواجب بالمندوب، كالعكس؛ إذ الظاهر ثبوت التداخل، فيسقط كلّ منهما بالآخر، و لو منع بقي كلّ منهما على حكمه؛ لإطلاق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أحد الأمرين بالآخر دون العكس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بأنّ التداخل في الشرع ليس إيجاداً لاثنين حتّى يجوز في المتماثلين دون المختلفين، بل هو سقوط أحدهما بالآخر فيجري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فالأقرب صحّته؛ لإطلاق الأمر، فإن جوّز التداخل كما هو الظاهر كفى عن الواجب، و إلّا لزم وضوء آخر له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732025_3804643083"/>
      <w:bookmarkStart w:id="313" w:name="_Toc118"/>
      <w:bookmarkEnd w:id="312"/>
      <w:r>
        <w:rPr>
          <w:rtl w:val="true"/>
        </w:rPr>
        <w:t>الثالث</w:t>
      </w:r>
      <w:r>
        <w:rPr>
          <w:rtl w:val="true"/>
        </w:rPr>
        <w:t>:</w:t>
      </w:r>
      <w:bookmarkEnd w:id="313"/>
    </w:p>
    <w:p>
      <w:pPr>
        <w:pStyle w:val="BookText"/>
        <w:rPr/>
      </w:pPr>
      <w:r>
        <w:rPr>
          <w:rFonts w:ascii="Amiri" w:hAnsi="Amiri" w:eastAsia="Amiri" w:cs="Amiri"/>
          <w:color w:val="111111"/>
          <w:sz w:val="28"/>
          <w:sz w:val="28"/>
          <w:szCs w:val="28"/>
          <w:rtl w:val="true"/>
          <w:lang w:bidi="ar-SA"/>
        </w:rPr>
        <w:t>لو اعتقد وجوب وضوء أو ندبه فنواه ثمّ ظهر خلافه صحّ؛ لحصول اللازم و عدم العبرة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اعتقد تعدّد الواجب أو تردّد بين فعلين، فنوى واحداً ثمّ ظهر عدم وجوبه، بطل و لزم إيقاع المطلوب</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732027_3804643083"/>
      <w:bookmarkStart w:id="315" w:name="_Toc119"/>
      <w:bookmarkEnd w:id="314"/>
      <w:r>
        <w:rPr>
          <w:rtl w:val="true"/>
        </w:rPr>
        <w:t>الرابع</w:t>
      </w:r>
      <w:r>
        <w:rPr>
          <w:rtl w:val="true"/>
        </w:rPr>
        <w:t>:</w:t>
      </w:r>
      <w:bookmarkEnd w:id="315"/>
    </w:p>
    <w:p>
      <w:pPr>
        <w:pStyle w:val="BookText"/>
        <w:rPr/>
      </w:pPr>
      <w:r>
        <w:rPr>
          <w:rFonts w:ascii="Amiri" w:hAnsi="Amiri" w:eastAsia="Amiri" w:cs="Amiri"/>
          <w:color w:val="111111"/>
          <w:sz w:val="28"/>
          <w:sz w:val="28"/>
          <w:szCs w:val="28"/>
          <w:rtl w:val="true"/>
          <w:lang w:bidi="ar-SA"/>
        </w:rPr>
        <w:t>الحقّ وجوب نيّة واحدة للكلّ، فلا يكفي التفريق؛ لفعل الحجج عليهم السّلام و كونه عبادة واحدة متّصلة كالصلاة، فالتفرقة غير معقولة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للفاضل </w:t>
      </w:r>
      <w:r>
        <w:rPr>
          <w:rStyle w:val="FootnoteAnchor"/>
          <w:rtl w:val="true"/>
        </w:rPr>
        <w:footnoteReference w:id="1013"/>
      </w:r>
      <w:r>
        <w:rPr>
          <w:rFonts w:ascii="Amiri" w:hAnsi="Amiri" w:eastAsia="Amiri" w:cs="Amiri"/>
          <w:color w:val="111111"/>
          <w:sz w:val="28"/>
          <w:sz w:val="28"/>
          <w:szCs w:val="28"/>
          <w:rtl w:val="true"/>
          <w:lang w:bidi="ar-SA"/>
        </w:rPr>
        <w:t>لإطلاق الأدلّة، و كون الخاصّ أقوى ارتباطاً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الثاني بالمنع، و الأوّل بالتقييد للجمع، على أنّ ظاهر بعضها الاختصاص</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732029_3804643083"/>
      <w:bookmarkStart w:id="317" w:name="_Toc120"/>
      <w:bookmarkEnd w:id="316"/>
      <w:r>
        <w:rPr>
          <w:rtl w:val="true"/>
        </w:rPr>
        <w:t>الخامس</w:t>
      </w:r>
      <w:r>
        <w:rPr>
          <w:rtl w:val="true"/>
        </w:rPr>
        <w:t>:</w:t>
      </w:r>
      <w:bookmarkEnd w:id="317"/>
    </w:p>
    <w:p>
      <w:pPr>
        <w:pStyle w:val="BookText"/>
        <w:rPr/>
      </w:pPr>
      <w:r>
        <w:rPr>
          <w:rFonts w:ascii="Amiri" w:hAnsi="Amiri" w:eastAsia="Amiri" w:cs="Amiri"/>
          <w:color w:val="111111"/>
          <w:sz w:val="28"/>
          <w:sz w:val="28"/>
          <w:szCs w:val="28"/>
          <w:rtl w:val="true"/>
          <w:lang w:bidi="ar-SA"/>
        </w:rPr>
        <w:t xml:space="preserve">لو أخلّ بلمعة و غسلها في الثانية المندوبة صحّ عندنا مطلقاً، و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اشتراط قصد الوجه لا يصحّ، وفاقاً لأهله إن علم بها، و على الأصحّ إن لم يعلم بها حتّى انغسلت؛ لعدم حصول الشرط</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بعضهم بالصحّة </w:t>
      </w:r>
      <w:r>
        <w:rPr>
          <w:rStyle w:val="FootnoteAnchor"/>
          <w:rtl w:val="true"/>
        </w:rPr>
        <w:footnoteReference w:id="1014"/>
      </w:r>
      <w:r>
        <w:rPr>
          <w:rFonts w:ascii="Amiri" w:hAnsi="Amiri" w:eastAsia="Amiri" w:cs="Amiri"/>
          <w:color w:val="111111"/>
          <w:sz w:val="28"/>
          <w:sz w:val="28"/>
          <w:szCs w:val="28"/>
          <w:rtl w:val="true"/>
          <w:lang w:bidi="ar-SA"/>
        </w:rPr>
        <w:t>ضعيف، و تعليلها بكفاية الأُولى المتضمّنة له عليل؛</w:t>
      </w:r>
      <w:bookmarkStart w:id="318" w:name="pg2479_11607"/>
    </w:p>
    <w:p>
      <w:pPr>
        <w:pStyle w:val="BookText"/>
        <w:rPr/>
      </w:pPr>
      <w:bookmarkEnd w:id="318"/>
      <w:r>
        <w:rPr>
          <w:rFonts w:ascii="Amiri" w:hAnsi="Amiri" w:eastAsia="Amiri" w:cs="Amiri"/>
          <w:color w:val="111111"/>
          <w:sz w:val="28"/>
          <w:sz w:val="28"/>
          <w:szCs w:val="28"/>
          <w:rtl w:val="true"/>
          <w:lang w:bidi="ar-SA"/>
        </w:rPr>
        <w:t>لأنها فرع عدم طريان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وجوب الثانية بنذر و مثله أو استحباب الأُولى أيضاً صحّ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انغسلت في المجدّد، فعلى رافعيّته كما هو المختار صحّ و لو في الثانية منه، و بدونها لا يصحّ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انغسلت في الثالثة من أحدهما لم يصحّ، وفاقاً؛ لكونها بدعة محرّمة، فلا يتأتّىٰ فيها القربة المعتبرة عند الكل</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732031_3804643083"/>
      <w:bookmarkStart w:id="320" w:name="_Toc121"/>
      <w:bookmarkEnd w:id="319"/>
      <w:r>
        <w:rPr>
          <w:rtl w:val="true"/>
        </w:rPr>
        <w:t>السادس</w:t>
      </w:r>
      <w:r>
        <w:rPr>
          <w:rtl w:val="true"/>
        </w:rPr>
        <w:t>:</w:t>
      </w:r>
      <w:bookmarkEnd w:id="320"/>
    </w:p>
    <w:p>
      <w:pPr>
        <w:pStyle w:val="BookText"/>
        <w:rPr/>
      </w:pPr>
      <w:r>
        <w:rPr>
          <w:rFonts w:ascii="Amiri" w:hAnsi="Amiri" w:eastAsia="Amiri" w:cs="Amiri"/>
          <w:color w:val="111111"/>
          <w:sz w:val="28"/>
          <w:sz w:val="28"/>
          <w:szCs w:val="28"/>
          <w:rtl w:val="true"/>
          <w:lang w:bidi="ar-SA"/>
        </w:rPr>
        <w:t>في شرعيّة الطهارة التمرينيّة و عدمها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الأمر و سقوط التكليف، و الفائدة في ترتّب الثواب و عدمه، و في الإعادة و عدمها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المشروعيّة في كيفيّة النيّة من قصد الندب أو الوجوب أي الشرطي؛ لانتفاء الشرعي وفاقاً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عدم الشرعيّة كما اختاره الفاضل </w:t>
      </w:r>
      <w:r>
        <w:rPr>
          <w:rStyle w:val="FootnoteAnchor"/>
          <w:rtl w:val="true"/>
        </w:rPr>
        <w:footnoteReference w:id="1015"/>
      </w:r>
      <w:r>
        <w:rPr>
          <w:rFonts w:ascii="Amiri" w:hAnsi="Amiri" w:eastAsia="Amiri" w:cs="Amiri"/>
          <w:color w:val="111111"/>
          <w:sz w:val="28"/>
          <w:sz w:val="28"/>
          <w:szCs w:val="28"/>
          <w:rtl w:val="true"/>
          <w:lang w:bidi="ar-SA"/>
        </w:rPr>
        <w:t>و كون الأمر لمجرّد الإرشاد إلى تحصيل الاعتياد؛ إذ الشرعيّة بمعناها المعروف مع عدم التكلّف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فنيّتها مجرّد تخييل لا يعتبر فيها لوازم النيّة الحقيقيّة</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3732033_3804643083"/>
      <w:bookmarkStart w:id="322" w:name="_Toc122"/>
      <w:bookmarkEnd w:id="321"/>
      <w:r>
        <w:rPr>
          <w:rtl w:val="true"/>
        </w:rPr>
        <w:t>السابع</w:t>
      </w:r>
      <w:r>
        <w:rPr>
          <w:rtl w:val="true"/>
        </w:rPr>
        <w:t>:</w:t>
      </w:r>
      <w:bookmarkEnd w:id="322"/>
    </w:p>
    <w:p>
      <w:pPr>
        <w:pStyle w:val="BookText"/>
        <w:rPr/>
      </w:pPr>
      <w:r>
        <w:rPr>
          <w:rFonts w:ascii="Amiri" w:hAnsi="Amiri" w:eastAsia="Amiri" w:cs="Amiri"/>
          <w:color w:val="111111"/>
          <w:sz w:val="28"/>
          <w:sz w:val="28"/>
          <w:szCs w:val="28"/>
          <w:rtl w:val="true"/>
          <w:lang w:bidi="ar-SA"/>
        </w:rPr>
        <w:t>وقت النيّة عند مستحبٍّ من فعله موسّعاً، و أوّل واجب منه مضيّقاً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التسمية و السواك لخروجه عن حقيقته لا يعدّ من أفعاله، فلا عبرة بالنيّة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لكونها فعل القلب لا يعتبر فيها التلفّظ وجوباً أو ندباً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732035_3804643083"/>
      <w:bookmarkStart w:id="324" w:name="_Toc123"/>
      <w:bookmarkEnd w:id="323"/>
      <w:r>
        <w:rPr>
          <w:rtl w:val="true"/>
        </w:rPr>
        <w:t>الثامن</w:t>
      </w:r>
      <w:r>
        <w:rPr>
          <w:rtl w:val="true"/>
        </w:rPr>
        <w:t>:</w:t>
      </w:r>
      <w:bookmarkEnd w:id="32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طهارة الكافر؛ لانتفاء القربة في حقّه، و لزوم جواز وطء</w:t>
      </w:r>
      <w:bookmarkStart w:id="325" w:name="pg2479_11608"/>
    </w:p>
    <w:p>
      <w:pPr>
        <w:pStyle w:val="BookText"/>
        <w:rPr/>
      </w:pPr>
      <w:bookmarkEnd w:id="325"/>
      <w:r>
        <w:rPr>
          <w:rFonts w:ascii="Amiri" w:hAnsi="Amiri" w:eastAsia="Amiri" w:cs="Amiri"/>
          <w:color w:val="111111"/>
          <w:sz w:val="28"/>
          <w:sz w:val="28"/>
          <w:szCs w:val="28"/>
          <w:rtl w:val="true"/>
          <w:lang w:bidi="ar-SA"/>
        </w:rPr>
        <w:t>الكافرة للمسلم بعد الحيض بلا غسل لا ضير فيه</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732037_3804643083"/>
      <w:bookmarkStart w:id="327" w:name="_Toc124"/>
      <w:bookmarkEnd w:id="326"/>
      <w:r>
        <w:rPr>
          <w:rtl w:val="true"/>
        </w:rPr>
        <w:t>التاسع</w:t>
      </w:r>
      <w:r>
        <w:rPr>
          <w:rtl w:val="true"/>
        </w:rPr>
        <w:t>:</w:t>
      </w:r>
      <w:bookmarkEnd w:id="327"/>
    </w:p>
    <w:p>
      <w:pPr>
        <w:pStyle w:val="BookText"/>
        <w:rPr/>
      </w:pPr>
      <w:r>
        <w:rPr>
          <w:rFonts w:ascii="Amiri" w:hAnsi="Amiri" w:eastAsia="Amiri" w:cs="Amiri"/>
          <w:color w:val="111111"/>
          <w:sz w:val="28"/>
          <w:sz w:val="28"/>
          <w:szCs w:val="28"/>
          <w:rtl w:val="true"/>
          <w:lang w:bidi="ar-SA"/>
        </w:rPr>
        <w:t>النيّة لا تسقط بالعجز عن الفعل؛ إذ الضرورة إنّما تقدّر بقدرها، فمع تمكّنه منها لا يجوز الاستنابة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المباشر أيضاً لكان أحوط؛ لأنّه الفاعل، كالنائب في ذبح الهدي</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732039_3804643083"/>
      <w:bookmarkStart w:id="329" w:name="_Toc125"/>
      <w:bookmarkEnd w:id="328"/>
      <w:r>
        <w:rPr>
          <w:rtl w:val="true"/>
        </w:rPr>
        <w:t>العاشر</w:t>
      </w:r>
      <w:r>
        <w:rPr>
          <w:rtl w:val="true"/>
        </w:rPr>
        <w:t>:</w:t>
      </w:r>
      <w:bookmarkEnd w:id="329"/>
    </w:p>
    <w:p>
      <w:pPr>
        <w:pStyle w:val="BookText"/>
        <w:rPr/>
      </w:pPr>
      <w:r>
        <w:rPr>
          <w:rFonts w:ascii="Amiri" w:hAnsi="Amiri" w:eastAsia="Amiri" w:cs="Amiri"/>
          <w:color w:val="111111"/>
          <w:sz w:val="28"/>
          <w:sz w:val="28"/>
          <w:szCs w:val="28"/>
          <w:rtl w:val="true"/>
          <w:lang w:bidi="ar-SA"/>
        </w:rPr>
        <w:t>كفاية وضوء واحد بقصد القربة عن أسبابه المختلفة عندنا ظاهر؛ للأصل، و 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اشتراط قصد الرفع يكفي قصد رفع العام أو المطلق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الأكثر كفاية قصد رفع معيّن؛ لتوقّف رفع الخصوصيّة على رفع الجميع؛ لاتّحاد معنى الحدث و إن تعدّدت أسبابه عند القطع بالتداخل عند اجتماعها؛ فلا معنىٰ لتبعّضه في الرفع و البقاء، فقصد الرفع في البعض يرفع الحقيقة، و منع التداخل هنا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رفع المنوي دون غيره أو البطلان لإيجاب بقائه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 البقاء في غيره لا يبطل، وفاقاً للفاضل </w:t>
      </w:r>
      <w:r>
        <w:rPr>
          <w:rStyle w:val="FootnoteAnchor"/>
          <w:rtl w:val="true"/>
        </w:rPr>
        <w:footnoteReference w:id="1016"/>
      </w:r>
      <w:r>
        <w:rPr>
          <w:rFonts w:ascii="Amiri" w:hAnsi="Amiri" w:eastAsia="Amiri" w:cs="Amiri"/>
          <w:color w:val="111111"/>
          <w:sz w:val="28"/>
          <w:sz w:val="28"/>
          <w:szCs w:val="28"/>
          <w:rtl w:val="true"/>
          <w:lang w:bidi="ar-SA"/>
        </w:rPr>
        <w:t>لارتفاع الحقيقة بقصد الرفع في المنوي، فيلغو المناقض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للشهيد </w:t>
      </w:r>
      <w:r>
        <w:rPr>
          <w:rStyle w:val="FootnoteAnchor"/>
          <w:rtl w:val="true"/>
        </w:rPr>
        <w:footnoteReference w:id="1017"/>
      </w:r>
      <w:r>
        <w:rPr>
          <w:rFonts w:ascii="Amiri" w:hAnsi="Amiri" w:eastAsia="Amiri" w:cs="Amiri"/>
          <w:color w:val="111111"/>
          <w:sz w:val="28"/>
          <w:sz w:val="28"/>
          <w:szCs w:val="28"/>
          <w:rtl w:val="true"/>
          <w:lang w:bidi="ar-SA"/>
        </w:rPr>
        <w:t>للتناقض الموجب للتلاعب و حصول التعارض بين سببي الرفع و البقاء و تقديم أحدهما الحكم فيتساقطان و يبقى الحدث على حاله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نوى المتنافيين، فحصولهما اجتماع للنقيضين، و أحدهما ترجيح من غير مرجّح، فوجب التساقط و بقاء الحدث على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w:t>
      </w:r>
      <w:r>
        <w:rPr>
          <w:rStyle w:val="FootnoteAnchor"/>
          <w:rtl w:val="true"/>
        </w:rPr>
        <w:footnoteReference w:id="1018"/>
      </w:r>
      <w:r>
        <w:rPr>
          <w:rFonts w:ascii="Amiri" w:hAnsi="Amiri" w:eastAsia="Amiri" w:cs="Amiri"/>
          <w:color w:val="111111"/>
          <w:sz w:val="28"/>
          <w:sz w:val="28"/>
          <w:szCs w:val="28"/>
          <w:rtl w:val="true"/>
          <w:lang w:bidi="ar-SA"/>
        </w:rPr>
        <w:t>أنّ للمرء ما ينوي من العمل بشرط المناسبة، و الوضوء يناسب الرفع دون البقاء، فتقديمه عليه لا يوجب 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معنى الحدث، يعارض مفهوم الخبر منطوقه، فيجب الحكم بالبقاء بعد التساقط، فراراً عن أحد المحذورين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بصورة عدم نفي الغير منطوقه يعمّ الصريح و اللازم، و رفع الغير لاتّحاد معنى الحدث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الصحّة إن لم تصر ملاعبة بالامتثال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اجتمعت غاياته المختلفة، فعلى المختار يكفي وضوء واحد بقصد القربة 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المندوب المجامع لأكبر الحدثين يخصّ بمورده، لشرعيّة المجدّد؛ لعدم وجوب قصد الرفع و الاستباحة في نيّته،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حصولهما به و إجزاؤه عن السابق لو ظهر فساده عندنا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المشترطون لقصدهما بين مخالف لنا، و موافق مطلقاً أو إذا قصد إيقاع المشروط على 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اشتراطه في حصولهما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بصورة انتفائهما؛ إذ مع اعتقاده حصولهما لا فائدة في قصده و كون شرعيّته لتدارك الخلل في الأوّل، و ما ورد في إجزاء غسل الجمعة عن غسل الجنابة مع نسيانه </w:t>
      </w:r>
      <w:r>
        <w:rPr>
          <w:rStyle w:val="FootnoteAnchor"/>
          <w:rtl w:val="true"/>
        </w:rPr>
        <w:footnoteReference w:id="1020"/>
      </w:r>
      <w:r>
        <w:rPr>
          <w:rFonts w:ascii="Amiri" w:hAnsi="Amiri" w:eastAsia="Amiri" w:cs="Amiri"/>
          <w:color w:val="111111"/>
          <w:sz w:val="28"/>
          <w:sz w:val="28"/>
          <w:szCs w:val="28"/>
          <w:rtl w:val="true"/>
          <w:lang w:bidi="ar-SA"/>
        </w:rPr>
        <w:t xml:space="preserve">و في صوم يوم الشك بنيّة الندب عن الواجب </w:t>
      </w:r>
      <w:r>
        <w:rPr>
          <w:rStyle w:val="FootnoteAnchor"/>
          <w:rtl w:val="true"/>
        </w:rPr>
        <w:footnoteReference w:id="1021"/>
      </w:r>
      <w:r>
        <w:rPr>
          <w:rFonts w:ascii="Amiri" w:hAnsi="Amiri" w:eastAsia="Amiri" w:cs="Amiri"/>
          <w:color w:val="111111"/>
          <w:sz w:val="28"/>
          <w:sz w:val="28"/>
          <w:szCs w:val="28"/>
          <w:rtl w:val="true"/>
          <w:lang w:bidi="ar-SA"/>
        </w:rPr>
        <w:t xml:space="preserve">، و استحباب الغسل في أوّل رمضان ملاقياً لما عسىٰ فاته من غسل واجب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الأرجح على أصلهم قول الأوّل؛ إذ لو تمّ دليلهم على الاشتراط ثبت عمومه، فلا يخرج عن مقتضاه إلّا بمخرج، و لا مخرج هنا، و كون الشرعيّة للتدارك ممنوعة، و التخلّف في الموارد المذكورة على التسليم لدلالة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جعله شاهداً على ضعف دليلهم، لكنّه غير المبحث؛ إذ الكلام على فرض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الغسل كالوضوء في جريان التداخل و عدمه، و الأغسال المجتمعة إمّا واجبة، أو مندوبة، أو مختلفة، و الأولى إن وجد فيها الجنابة كفى واحد إن نواها أو الكلّ بالإجماع، و المستفيضة </w:t>
      </w:r>
      <w:r>
        <w:rPr>
          <w:rStyle w:val="FootnoteAnchor"/>
          <w:rtl w:val="true"/>
        </w:rPr>
        <w:footnoteReference w:id="1023"/>
      </w:r>
      <w:r>
        <w:rPr>
          <w:rFonts w:ascii="IRNazanin" w:hAnsi="IRNazanin" w:eastAsia="IRNazanin"/>
          <w:color w:val="111111"/>
          <w:sz w:val="28"/>
          <w:sz w:val="28"/>
          <w:szCs w:val="28"/>
          <w:rtl w:val="true"/>
          <w:lang w:bidi="fa-IR"/>
        </w:rPr>
        <w:t>، و صدق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أصالة عدم التداخل إنّما هو بالعلل الواقعيّة، و الشرعيّة بين واقعيّة و معرّفة، و إلحاق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لُاولى لو سلّم لم ينفع هنا؛ إذ السبب الأوّل لكلّ غسل واجب أكبر الحدثين و هو معنى واحد لا يتصوّر فيه التعدّد، فيتّحد مسبّبه، بل سببه الواقعي، و إن تعدّدت أماراته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الاكتفاء بغسل واحد و إن التزم تعدّد الأحداث بجعل أسبابه من العلل دون المعرّفات ممكن؛ إذ الغرض من الطهارتين التنظيف، كما يومي إليه الظواهر، و حصوله بالواحد ظاهر، بل المتعدّد لا يؤثّر فيه أزيد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التزام حصول غير الجائز من التداخل، و القول بالمخصّص للإجماع و النصوص مشكل؛ لاستحالة التخلّف في العلل الواقعيّة و إن كانت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فالتخصيص يكشف عن كونه من الجائز، و كون العلل من المعرّفات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غير الجنابة مع قصدها لا يخصّص؛ لإطلاق أخبار التداخل، و اتّحاد معنى الحدث، فلا يتبعّض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النيّة لو سُلّم عمومها و دلالتها تخصّص بهما، و لا يبطل؛ للإطلاق و ارتفاع الحدث بالقصد الأوّل، فلا تأثير للنافي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الشهيد </w:t>
      </w:r>
      <w:r>
        <w:rPr>
          <w:rStyle w:val="FootnoteAnchor"/>
          <w:rtl w:val="true"/>
        </w:rPr>
        <w:footnoteReference w:id="1024"/>
      </w:r>
      <w:r>
        <w:rPr>
          <w:rFonts w:ascii="IRNazanin" w:hAnsi="IRNazanin" w:eastAsia="IRNazanin"/>
          <w:color w:val="111111"/>
          <w:sz w:val="28"/>
          <w:sz w:val="28"/>
          <w:szCs w:val="28"/>
          <w:rtl w:val="true"/>
          <w:lang w:bidi="fa-IR"/>
        </w:rPr>
        <w:t xml:space="preserve">لما مرّ بجوابه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ظاهرهم سقوط الوضوء هنا، فإن ثبت الإجماع فلا كلام، و إلّا فصدق الاسمين يوجب التعارض بين الدليلين، فإن تساقطا بقي عموم أدلّة الوضوء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الترجيح لأدلّة السقوط؛ لاعتضادها بالشهرة، و أدلّة مذهب السيّد </w:t>
      </w:r>
      <w:r>
        <w:rPr>
          <w:rStyle w:val="FootnoteAnchor"/>
          <w:rtl w:val="true"/>
        </w:rPr>
        <w:footnoteReference w:id="1026"/>
      </w:r>
      <w:r>
        <w:rPr>
          <w:rFonts w:ascii="Amiri" w:hAnsi="Amiri" w:eastAsia="Amiri" w:cs="Amiri"/>
          <w:color w:val="111111"/>
          <w:sz w:val="28"/>
          <w:sz w:val="28"/>
          <w:szCs w:val="28"/>
          <w:rtl w:val="true"/>
          <w:lang w:bidi="ar-SA"/>
        </w:rPr>
        <w:t>، و ظهور التخصيص في أدلّة الوجوب، و المنع في عموم أدلّة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نوىٰ غير الجنابة، فالحقّ إجزاؤه عن الكلّ أيضاً، وفاقاً للمحقّق و الشهيد </w:t>
      </w:r>
      <w:r>
        <w:rPr>
          <w:rStyle w:val="FootnoteAnchor"/>
          <w:rtl w:val="true"/>
        </w:rPr>
        <w:footnoteReference w:id="1027"/>
      </w:r>
      <w:r>
        <w:rPr>
          <w:rFonts w:ascii="Amiri" w:hAnsi="Amiri" w:eastAsia="Amiri" w:cs="Amiri"/>
          <w:color w:val="111111"/>
          <w:sz w:val="28"/>
          <w:sz w:val="28"/>
          <w:szCs w:val="28"/>
          <w:rtl w:val="true"/>
          <w:lang w:bidi="ar-SA"/>
        </w:rPr>
        <w:t xml:space="preserve">و أكثر الثالثة، 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بالغسل بعد الجنابة في الآيتين </w:t>
      </w:r>
      <w:r>
        <w:rPr>
          <w:rStyle w:val="FootnoteAnchor"/>
          <w:rtl w:val="true"/>
        </w:rPr>
        <w:footnoteReference w:id="1029"/>
      </w:r>
      <w:r>
        <w:rPr>
          <w:rFonts w:ascii="IRNazanin" w:hAnsi="IRNazanin" w:eastAsia="IRNazanin"/>
          <w:color w:val="111111"/>
          <w:sz w:val="28"/>
          <w:sz w:val="28"/>
          <w:szCs w:val="28"/>
          <w:rtl w:val="true"/>
          <w:lang w:bidi="fa-IR"/>
        </w:rPr>
        <w:t xml:space="preserve">، و النصوص، و إطلاق أخبار التداخل </w:t>
      </w:r>
      <w:r>
        <w:rPr>
          <w:rStyle w:val="FootnoteAnchor"/>
          <w:rtl w:val="true"/>
        </w:rPr>
        <w:footnoteReference w:id="1030"/>
      </w:r>
      <w:r>
        <w:rPr>
          <w:rFonts w:ascii="Amiri" w:hAnsi="Amiri" w:eastAsia="Amiri" w:cs="Amiri"/>
          <w:color w:val="111111"/>
          <w:sz w:val="28"/>
          <w:sz w:val="28"/>
          <w:szCs w:val="28"/>
          <w:rtl w:val="true"/>
          <w:lang w:bidi="ar-SA"/>
        </w:rPr>
        <w:t>و مجوّزات الدخول في الصلاة بلا تقييد، و أصالة البراءة؛ و اتّحاد معنى الحدث و إن تعدّدت أسبابه فلا ينتقض في الرفع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رفع الأضعف لرفع الأشدّ، و ردّ بمنع الأشدّية، كما</w:t>
      </w:r>
    </w:p>
    <w:p>
      <w:pPr>
        <w:pStyle w:val="BookText"/>
        <w:rPr/>
      </w:pPr>
      <w:r>
        <w:rPr>
          <w:rFonts w:ascii="IRNazanin" w:hAnsi="IRNazanin" w:eastAsia="IRNazanin"/>
          <w:color w:val="111111"/>
          <w:sz w:val="28"/>
          <w:sz w:val="28"/>
          <w:szCs w:val="28"/>
          <w:rtl w:val="true"/>
          <w:lang w:bidi="fa-IR"/>
        </w:rPr>
        <w:t xml:space="preserve">تقرّره بعض النصوص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الاستلزام مع تساويهما في قوّة الرفع أو كون رافع الأضعف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سقوط الوضوء هنا أيضاً، كما صرّح به الفاضلان </w:t>
      </w:r>
      <w:r>
        <w:rPr>
          <w:rStyle w:val="FootnoteAnchor"/>
          <w:rtl w:val="true"/>
        </w:rPr>
        <w:footnoteReference w:id="1032"/>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اقتصر على نيّة القربة مع الوجه، و الأمرين كلّاً أو بعضاً أو بدونها من غير تعرّض لشي‌ء من الأحداث، فالحق إجزاؤه عن الكلّ أيضاً؛ لصدق الامتثال، و عموم أخبار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يوجد فيها الجنابة، فالمختار صحّة التداخل، و كفاية الواحد بجميع الاحتمالات؛ لإطلاق الأخبار، و صدق الامتثال، 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كالأُولى على الأصحّ في جريان التداخل و كفاية الواحد، نوى الكلّ أو البعض، أو اقتصر على قصد القربة، مع الندب أو بدونه،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و أكثر الثالثة؛ لإطلاق الأخبار، و 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 المحقّق التداخل في الأوّل و الاختصاص بالمنوي في الثاني </w:t>
      </w:r>
      <w:r>
        <w:rPr>
          <w:rStyle w:val="FootnoteAnchor"/>
          <w:rtl w:val="true"/>
        </w:rPr>
        <w:footnoteReference w:id="1034"/>
      </w:r>
      <w:r>
        <w:rPr>
          <w:rFonts w:ascii="Amiri" w:hAnsi="Amiri" w:eastAsia="Amiri" w:cs="Amiri"/>
          <w:color w:val="111111"/>
          <w:sz w:val="28"/>
          <w:sz w:val="28"/>
          <w:szCs w:val="28"/>
          <w:rtl w:val="true"/>
          <w:lang w:bidi="ar-SA"/>
        </w:rPr>
        <w:t>لحجّة 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بعدمه مطلقاً </w:t>
      </w:r>
      <w:r>
        <w:rPr>
          <w:rStyle w:val="FootnoteAnchor"/>
          <w:rtl w:val="true"/>
        </w:rPr>
        <w:footnoteReference w:id="1035"/>
      </w:r>
      <w:r>
        <w:rPr>
          <w:rFonts w:ascii="Amiri" w:hAnsi="Amiri" w:eastAsia="Amiri" w:cs="Amiri"/>
          <w:color w:val="111111"/>
          <w:sz w:val="28"/>
          <w:sz w:val="28"/>
          <w:szCs w:val="28"/>
          <w:rtl w:val="true"/>
          <w:lang w:bidi="ar-SA"/>
        </w:rPr>
        <w:t>لأصالته، و أخبار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غايات الغسل إمّا متقدّمة عليه و هي الأزمنة، أو متأخّرة عنه و هي الأفعال و دخول الأمكنة، أو مختلفة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الواحد في الأُولى و إن أحدث بعده، و وجهه ظاهر</w:t>
      </w:r>
      <w:r>
        <w:rPr>
          <w:rFonts w:eastAsia="Amiri" w:cs="Amiri" w:ascii="Amiri" w:hAnsi="Amiri"/>
          <w:color w:val="111111"/>
          <w:sz w:val="28"/>
          <w:szCs w:val="28"/>
          <w:rtl w:val="true"/>
          <w:lang w:bidi="ar-SA"/>
        </w:rPr>
        <w:t>.</w:t>
      </w:r>
      <w:bookmarkStart w:id="330" w:name="pg2479_11613"/>
    </w:p>
    <w:p>
      <w:pPr>
        <w:pStyle w:val="BookText"/>
        <w:rPr/>
      </w:pPr>
      <w:bookmarkEnd w:id="330"/>
      <w:r>
        <w:rPr>
          <w:rFonts w:ascii="Amiri" w:hAnsi="Amiri" w:eastAsia="Amiri" w:cs="Amiri"/>
          <w:color w:val="111111"/>
          <w:sz w:val="28"/>
          <w:sz w:val="28"/>
          <w:szCs w:val="28"/>
          <w:rtl w:val="true"/>
          <w:lang w:bidi="ar-SA"/>
        </w:rPr>
        <w:t xml:space="preserve">و في الثانية إن لم يحدث قبل الفعل و الدخول مع سبق إرادتهما و إن نوى كون الغسل لغيرهما؛ لعموم الأدلّة، و بدونه بأن يتجدّد الإرادة بعده؛ لظاهر المرسل و الخبرين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أحدث قبلهما فالظاهر عدم الإجزاء؛ للصحيح و الخبرين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المعارض </w:t>
      </w:r>
      <w:r>
        <w:rPr>
          <w:rStyle w:val="FootnoteAnchor"/>
          <w:rtl w:val="true"/>
        </w:rPr>
        <w:footnoteReference w:id="1038"/>
      </w:r>
      <w:r>
        <w:rPr>
          <w:rFonts w:ascii="Amiri" w:hAnsi="Amiri" w:eastAsia="Amiri" w:cs="Amiri"/>
          <w:color w:val="111111"/>
          <w:sz w:val="28"/>
          <w:sz w:val="28"/>
          <w:szCs w:val="28"/>
          <w:rtl w:val="true"/>
          <w:lang w:bidi="ar-SA"/>
        </w:rPr>
        <w:t>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الثالثة من الغايات و الأغسال يعلم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كون التداخل عزيمة لا رخصة؛ إذ لا يعقل رجحان للفعل بعد حصول الامتثال و الإجزاء المعلوم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ظهورها في الرخصة باطلة</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3732041_3804643083"/>
      <w:bookmarkStart w:id="332" w:name="_Toc126"/>
      <w:bookmarkEnd w:id="331"/>
      <w:r>
        <w:rPr>
          <w:rtl w:val="true"/>
        </w:rPr>
        <w:t>الثاني</w:t>
      </w:r>
      <w:r>
        <w:rPr>
          <w:rtl w:val="true"/>
        </w:rPr>
        <w:t xml:space="preserve">: </w:t>
      </w:r>
      <w:r>
        <w:rPr>
          <w:rtl w:val="true"/>
        </w:rPr>
        <w:t>غسل الوجه</w:t>
      </w:r>
      <w:r>
        <w:rPr>
          <w:rtl w:val="true"/>
        </w:rPr>
        <w:t>:</w:t>
      </w:r>
      <w:bookmarkEnd w:id="332"/>
    </w:p>
    <w:p>
      <w:pPr>
        <w:pStyle w:val="Heading6"/>
        <w:numPr>
          <w:ilvl w:val="5"/>
          <w:numId w:val="1"/>
        </w:numPr>
        <w:rPr/>
      </w:pPr>
      <w:bookmarkStart w:id="333" w:name="__RefHeading___Toc3732043_3804643083"/>
      <w:bookmarkStart w:id="334" w:name="_Toc127"/>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و وجوبه ثابت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حدّاه ما بين القصاص و الذقن، و ما حواه الإبهام و الوسطى، بالإجماعين، و ظاهر الصحيح و الخبر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هذا فالواجب غسله من الوجه شبه مربّع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الثالثة بعد التسوية بين الحدّين حدّده بشبه دائرة تحدث من دوران الواصل بين الطرفين علىٰ نفسه مع ثبات وسطه، محتجّاً بحفظه العكس و الطرد </w:t>
      </w:r>
      <w:r>
        <w:rPr>
          <w:rStyle w:val="FootnoteAnchor"/>
          <w:rtl w:val="true"/>
        </w:rPr>
        <w:footnoteReference w:id="1040"/>
      </w:r>
      <w:r>
        <w:rPr>
          <w:rFonts w:ascii="Amiri" w:hAnsi="Amiri" w:eastAsia="Amiri" w:cs="Amiri"/>
          <w:color w:val="111111"/>
          <w:sz w:val="28"/>
          <w:sz w:val="28"/>
          <w:szCs w:val="28"/>
          <w:rtl w:val="true"/>
          <w:lang w:bidi="ar-SA"/>
        </w:rPr>
        <w:t>، بخلاف الأوّل؛ إذ الفرق إنّما هو بزيادة الأوّل على الثاني بمثلين، هما نصف التفاضل بين دائرة و مربّع معمول عليها بالصدغ و العارض و النزعتان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مواضع التحذيف داخلة في الأوّل؛ لشمول الإصبعين لها مع خروجها عن حدّ الغسل، و العذار خارج عنه مع الدخول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الأوّل مسلّم؛ للإجماعين و صريح الصحيح </w:t>
      </w:r>
      <w:r>
        <w:rPr>
          <w:rStyle w:val="FootnoteAnchor"/>
          <w:rtl w:val="true"/>
        </w:rPr>
        <w:footnoteReference w:id="1041"/>
      </w:r>
      <w:r>
        <w:rPr>
          <w:rFonts w:ascii="Amiri" w:hAnsi="Amiri" w:eastAsia="Amiri" w:cs="Amiri"/>
          <w:color w:val="111111"/>
          <w:sz w:val="28"/>
          <w:sz w:val="28"/>
          <w:szCs w:val="28"/>
          <w:rtl w:val="true"/>
          <w:lang w:bidi="ar-SA"/>
        </w:rPr>
        <w:t>، لكن شمولها لمعناه الشرعي ممنوع، و للبعض من اللغوي غير قادح، و لو سلّم فمخصّص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اعتبر التحديد في وسط تدوير الوجه كما قيل </w:t>
      </w:r>
      <w:r>
        <w:rPr>
          <w:rStyle w:val="FootnoteAnchor"/>
          <w:rtl w:val="true"/>
        </w:rPr>
        <w:footnoteReference w:id="1042"/>
      </w:r>
      <w:r>
        <w:rPr>
          <w:rFonts w:ascii="Amiri" w:hAnsi="Amiri" w:eastAsia="Amiri" w:cs="Amiri"/>
          <w:color w:val="111111"/>
          <w:sz w:val="28"/>
          <w:sz w:val="28"/>
          <w:szCs w:val="28"/>
          <w:rtl w:val="true"/>
          <w:lang w:bidi="ar-SA"/>
        </w:rPr>
        <w:t>فلا إشكال، على أنّ البعض بالقياس إلى البعض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خروج الثاني ممنوع؛ لتصريح جماعة بدخوله </w:t>
      </w:r>
      <w:r>
        <w:rPr>
          <w:rStyle w:val="FootnoteAnchor"/>
          <w:rtl w:val="true"/>
        </w:rPr>
        <w:footnoteReference w:id="1043"/>
      </w:r>
      <w:r>
        <w:rPr>
          <w:rFonts w:ascii="Amiri" w:hAnsi="Amiri" w:eastAsia="Amiri" w:cs="Amiri"/>
          <w:color w:val="111111"/>
          <w:sz w:val="28"/>
          <w:sz w:val="28"/>
          <w:szCs w:val="28"/>
          <w:rtl w:val="true"/>
          <w:lang w:bidi="ar-SA"/>
        </w:rPr>
        <w:t xml:space="preserve">، و إنّما أخرجه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دخول ما يشمله الإصبعان فلا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و إن خرج عن الحدّ مع شمولها له إلّا أنّ الإجماع أخرجه؛ لوجه موجّه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الرابع كالثاني في منع الخروج؛ لتصريح بعضهم بالدخول </w:t>
      </w:r>
      <w:r>
        <w:rPr>
          <w:rStyle w:val="FootnoteAnchor"/>
          <w:rtl w:val="true"/>
        </w:rPr>
        <w:footnoteReference w:id="1045"/>
      </w:r>
      <w:r>
        <w:rPr>
          <w:rFonts w:ascii="Amiri" w:hAnsi="Amiri" w:eastAsia="Amiri" w:cs="Amiri"/>
          <w:color w:val="111111"/>
          <w:sz w:val="28"/>
          <w:sz w:val="28"/>
          <w:szCs w:val="28"/>
          <w:rtl w:val="true"/>
          <w:lang w:bidi="ar-SA"/>
        </w:rPr>
        <w:t xml:space="preserve">لقضيّة الشمول، و إنما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لحجّة ضعيفة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دخول المحاسن في الحدّ ممنوع، بل الحقّ خروجه عنه، وفاقاً للفاضلين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لنقل الإجماع </w:t>
      </w:r>
      <w:r>
        <w:rPr>
          <w:rStyle w:val="FootnoteAnchor"/>
          <w:rtl w:val="true"/>
        </w:rPr>
        <w:footnoteReference w:id="1048"/>
      </w:r>
      <w:r>
        <w:rPr>
          <w:rFonts w:ascii="Amiri" w:hAnsi="Amiri" w:eastAsia="Amiri" w:cs="Amiri"/>
          <w:color w:val="111111"/>
          <w:sz w:val="28"/>
          <w:sz w:val="28"/>
          <w:szCs w:val="28"/>
          <w:rtl w:val="true"/>
          <w:lang w:bidi="ar-SA"/>
        </w:rPr>
        <w:t xml:space="preserve">، و ظاهر الصحيح </w:t>
      </w:r>
      <w:r>
        <w:rPr>
          <w:rStyle w:val="FootnoteAnchor"/>
          <w:rtl w:val="true"/>
        </w:rPr>
        <w:footnoteReference w:id="1049"/>
      </w:r>
      <w:r>
        <w:rPr>
          <w:rFonts w:ascii="IRNazanin" w:hAnsi="IRNazanin" w:eastAsia="IRNazanin"/>
          <w:color w:val="111111"/>
          <w:sz w:val="28"/>
          <w:sz w:val="28"/>
          <w:szCs w:val="28"/>
          <w:rtl w:val="true"/>
          <w:lang w:bidi="fa-IR"/>
        </w:rPr>
        <w:t>لاستلزام خروج الصدغ</w:t>
      </w:r>
      <w:bookmarkStart w:id="335" w:name="pg2479_11615"/>
    </w:p>
    <w:p>
      <w:pPr>
        <w:pStyle w:val="BookText"/>
        <w:rPr/>
      </w:pPr>
      <w:bookmarkEnd w:id="335"/>
      <w:r>
        <w:rPr>
          <w:rFonts w:ascii="Amiri" w:hAnsi="Amiri" w:eastAsia="Amiri" w:cs="Amiri"/>
          <w:color w:val="111111"/>
          <w:sz w:val="28"/>
          <w:sz w:val="28"/>
          <w:szCs w:val="28"/>
          <w:rtl w:val="true"/>
          <w:lang w:bidi="ar-SA"/>
        </w:rPr>
        <w:t xml:space="preserve">خروجه، و إنّما أدخله الشيخ في بعض كتبه </w:t>
      </w:r>
      <w:r>
        <w:rPr>
          <w:rStyle w:val="FootnoteAnchor"/>
          <w:rtl w:val="true"/>
        </w:rPr>
        <w:footnoteReference w:id="1050"/>
      </w:r>
      <w:r>
        <w:rPr>
          <w:rFonts w:ascii="Amiri" w:hAnsi="Amiri" w:eastAsia="Amiri" w:cs="Amiri"/>
          <w:color w:val="111111"/>
          <w:sz w:val="28"/>
          <w:sz w:val="28"/>
          <w:szCs w:val="28"/>
          <w:rtl w:val="true"/>
          <w:lang w:bidi="ar-SA"/>
        </w:rPr>
        <w:t>، فلا وجه للحكم بدخوله فيه مع تسليم خروجه عن التحديد</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732045_3804643083"/>
      <w:bookmarkStart w:id="337" w:name="_Toc128"/>
      <w:bookmarkEnd w:id="336"/>
      <w:r>
        <w:rPr>
          <w:rtl w:val="true"/>
        </w:rPr>
        <w:t>فروع</w:t>
      </w:r>
      <w:r>
        <w:rPr>
          <w:rtl w:val="true"/>
        </w:rPr>
        <w:t>:</w:t>
      </w:r>
      <w:bookmarkEnd w:id="337"/>
    </w:p>
    <w:p>
      <w:pPr>
        <w:pStyle w:val="Heading6"/>
        <w:numPr>
          <w:ilvl w:val="5"/>
          <w:numId w:val="1"/>
        </w:numPr>
        <w:rPr/>
      </w:pPr>
      <w:bookmarkStart w:id="338" w:name="__RefHeading___Toc3732047_3804643083"/>
      <w:bookmarkStart w:id="339" w:name="_Toc129"/>
      <w:bookmarkEnd w:id="338"/>
      <w:r>
        <w:rPr>
          <w:rtl w:val="true"/>
        </w:rPr>
        <w:t>الأوّل</w:t>
      </w:r>
      <w:r>
        <w:rPr>
          <w:rtl w:val="true"/>
        </w:rPr>
        <w:t>:</w:t>
      </w:r>
      <w:bookmarkEnd w:id="339"/>
    </w:p>
    <w:p>
      <w:pPr>
        <w:pStyle w:val="BookText"/>
        <w:rPr/>
      </w:pPr>
      <w:r>
        <w:rPr>
          <w:rFonts w:ascii="Amiri" w:hAnsi="Amiri" w:eastAsia="Amiri" w:cs="Amiri"/>
          <w:color w:val="111111"/>
          <w:sz w:val="28"/>
          <w:sz w:val="28"/>
          <w:szCs w:val="28"/>
          <w:rtl w:val="true"/>
          <w:lang w:bidi="ar-SA"/>
        </w:rPr>
        <w:t>التقدير للأغلب المستوي؛ للتبادر، فغيره يرجع إليه، وفاقاً</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3732049_3804643083"/>
      <w:bookmarkStart w:id="341" w:name="_Toc130"/>
      <w:bookmarkEnd w:id="340"/>
      <w:r>
        <w:rPr>
          <w:rtl w:val="true"/>
        </w:rPr>
        <w:t>الثاني</w:t>
      </w:r>
      <w:r>
        <w:rPr>
          <w:rtl w:val="true"/>
        </w:rPr>
        <w:t>:</w:t>
      </w:r>
      <w:bookmarkEnd w:id="341"/>
    </w:p>
    <w:p>
      <w:pPr>
        <w:pStyle w:val="BookText"/>
        <w:rPr/>
      </w:pPr>
      <w:r>
        <w:rPr>
          <w:rFonts w:ascii="Amiri" w:hAnsi="Amiri" w:eastAsia="Amiri" w:cs="Amiri"/>
          <w:color w:val="111111"/>
          <w:sz w:val="28"/>
          <w:sz w:val="28"/>
          <w:szCs w:val="28"/>
          <w:rtl w:val="true"/>
          <w:lang w:bidi="ar-SA"/>
        </w:rPr>
        <w:t>غسل المسترسل من اللحية غير واجب؛ لخروجه عن الحدّ و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واجب؛ لدخوله فيهما، و الظاهر وفاقهم على الحكمين</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3732051_3804643083"/>
      <w:bookmarkStart w:id="343" w:name="_Toc131"/>
      <w:bookmarkEnd w:id="342"/>
      <w:r>
        <w:rPr>
          <w:rtl w:val="true"/>
        </w:rPr>
        <w:t>الثالث</w:t>
      </w:r>
      <w:r>
        <w:rPr>
          <w:rtl w:val="true"/>
        </w:rPr>
        <w:t>:</w:t>
      </w:r>
      <w:bookmarkEnd w:id="343"/>
    </w:p>
    <w:p>
      <w:pPr>
        <w:pStyle w:val="BookText"/>
        <w:rPr/>
      </w:pPr>
      <w:r>
        <w:rPr>
          <w:rFonts w:ascii="Amiri" w:hAnsi="Amiri" w:eastAsia="Amiri" w:cs="Amiri"/>
          <w:color w:val="111111"/>
          <w:sz w:val="28"/>
          <w:sz w:val="28"/>
          <w:szCs w:val="28"/>
          <w:rtl w:val="true"/>
          <w:lang w:bidi="ar-SA"/>
        </w:rPr>
        <w:t xml:space="preserve">يجب البدأة بالأعلىٰ، فلا يجوز النكس، وفاقاً للمعظم، و خلافاً للسيّد و الحلّي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 افتقار تبعّض الشغل إلى تبعّض البراءة، و فعل الحجج الثابت بالمستفيضة </w:t>
      </w:r>
      <w:r>
        <w:rPr>
          <w:rStyle w:val="FootnoteAnchor"/>
          <w:rtl w:val="true"/>
        </w:rPr>
        <w:footnoteReference w:id="1052"/>
      </w:r>
      <w:r>
        <w:rPr>
          <w:rFonts w:ascii="Amiri" w:hAnsi="Amiri" w:eastAsia="Amiri" w:cs="Amiri"/>
          <w:color w:val="111111"/>
          <w:sz w:val="28"/>
          <w:sz w:val="28"/>
          <w:szCs w:val="28"/>
          <w:rtl w:val="true"/>
          <w:lang w:bidi="ar-SA"/>
        </w:rPr>
        <w:t>، و لكونه بياناً للمجمل و امتثالًا للأمر المطلق تلزم متابعته، و احتمال كونه أحد الفردين أو أفضلهما أو أقربهما إلى العادة أو من الاتّفاقيّات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النقض بمثل إمرار اليد </w:t>
      </w:r>
      <w:r>
        <w:rPr>
          <w:rStyle w:val="FootnoteAnchor"/>
          <w:rtl w:val="true"/>
        </w:rPr>
        <w:footnoteReference w:id="1053"/>
      </w:r>
      <w:r>
        <w:rPr>
          <w:rFonts w:ascii="Amiri" w:hAnsi="Amiri" w:eastAsia="Amiri" w:cs="Amiri"/>
          <w:color w:val="111111"/>
          <w:sz w:val="28"/>
          <w:sz w:val="28"/>
          <w:szCs w:val="28"/>
          <w:rtl w:val="true"/>
          <w:lang w:bidi="ar-SA"/>
        </w:rPr>
        <w:t xml:space="preserve">غير وجيه؛ لخروجه بالإجماع، و يؤيّده خصوص الخبر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و أخبار البدأة بالمرفقين </w:t>
      </w:r>
      <w:r>
        <w:rPr>
          <w:rStyle w:val="FootnoteAnchor"/>
          <w:rtl w:val="true"/>
        </w:rPr>
        <w:footnoteReference w:id="1055"/>
      </w:r>
      <w:r>
        <w:rPr>
          <w:rFonts w:ascii="IRNazanin" w:hAnsi="IRNazanin" w:eastAsia="IRNazanin"/>
          <w:color w:val="111111"/>
          <w:sz w:val="28"/>
          <w:sz w:val="28"/>
          <w:szCs w:val="28"/>
          <w:rtl w:val="true"/>
          <w:lang w:bidi="fa-IR"/>
        </w:rPr>
        <w:t>لعدم قول بالفصل</w:t>
      </w:r>
      <w:r>
        <w:rPr>
          <w:rFonts w:eastAsia="IRNazanin" w:cs="IRNazanin"/>
          <w:color w:val="111111"/>
          <w:sz w:val="28"/>
          <w:szCs w:val="28"/>
          <w:rtl w:val="true"/>
          <w:lang w:bidi="fa-IR"/>
        </w:rPr>
        <w:t>.</w:t>
      </w:r>
      <w:bookmarkStart w:id="344" w:name="pg2479_11616"/>
    </w:p>
    <w:p>
      <w:pPr>
        <w:pStyle w:val="BookText"/>
        <w:rPr/>
      </w:pPr>
      <w:bookmarkEnd w:id="344"/>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إطلاق الآية و الأخبار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بالحمل على المقيّد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اللازم في البدأة بالأعلى و بالمرفق صبّ الماء عليها و الإتباع بغسل الباقي، و معه لا يضرّ تأخّر جزء أعلى عن أسفل في الغسل و إن سامته؛ لظاهر النصوص البيانيّة، و لزوم الحرج لو 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فإيجاب الترتيب الحقيقي بين الأجزاء بأسرها مطلقاً أو مع المسامتة ضعيف، و العرفي يرجع إلى المختار، فلا ضير فيه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732053_3804643083"/>
      <w:bookmarkStart w:id="346" w:name="_Toc132"/>
      <w:bookmarkEnd w:id="345"/>
      <w:r>
        <w:rPr>
          <w:rtl w:val="true"/>
        </w:rPr>
        <w:t>الرابع</w:t>
      </w:r>
      <w:r>
        <w:rPr>
          <w:rtl w:val="true"/>
        </w:rPr>
        <w:t>:</w:t>
      </w:r>
      <w:bookmarkEnd w:id="346"/>
    </w:p>
    <w:p>
      <w:pPr>
        <w:pStyle w:val="BookText"/>
        <w:rPr/>
      </w:pPr>
      <w:r>
        <w:rPr>
          <w:rFonts w:ascii="Amiri" w:hAnsi="Amiri" w:eastAsia="Amiri" w:cs="Amiri"/>
          <w:color w:val="111111"/>
          <w:sz w:val="28"/>
          <w:sz w:val="28"/>
          <w:szCs w:val="28"/>
          <w:rtl w:val="true"/>
          <w:lang w:bidi="ar-SA"/>
        </w:rPr>
        <w:t xml:space="preserve">الشعر إمّا يستر البشرة كلّها أو بعضها، دائماً أو في حالة، و سقوط التخليل في الأوّل مجمع عليه، و النصوص </w:t>
      </w:r>
      <w:r>
        <w:rPr>
          <w:rStyle w:val="FootnoteAnchor"/>
          <w:rtl w:val="true"/>
        </w:rPr>
        <w:footnoteReference w:id="1057"/>
      </w:r>
      <w:r>
        <w:rPr>
          <w:rFonts w:ascii="Amiri" w:hAnsi="Amiri" w:eastAsia="Amiri" w:cs="Amiri"/>
          <w:color w:val="111111"/>
          <w:sz w:val="28"/>
          <w:sz w:val="28"/>
          <w:szCs w:val="28"/>
          <w:rtl w:val="true"/>
          <w:lang w:bidi="ar-SA"/>
        </w:rPr>
        <w:t>به مصرّحة، و اختلفوا في تجويز النزاع في الباقي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كما فهمه الفاضل </w:t>
      </w:r>
      <w:r>
        <w:rPr>
          <w:rStyle w:val="FootnoteAnchor"/>
          <w:rtl w:val="true"/>
        </w:rPr>
        <w:footnoteReference w:id="1058"/>
      </w:r>
      <w:r>
        <w:rPr>
          <w:rFonts w:ascii="Amiri" w:hAnsi="Amiri" w:eastAsia="Amiri" w:cs="Amiri"/>
          <w:color w:val="111111"/>
          <w:sz w:val="28"/>
          <w:sz w:val="28"/>
          <w:szCs w:val="28"/>
          <w:rtl w:val="true"/>
          <w:lang w:bidi="ar-SA"/>
        </w:rPr>
        <w:t>أنّ البعض المستور دائماً كالأوّل في وفاقهم على سقوط غسله و الخلاف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فالمرتضى كالأوّلين </w:t>
      </w:r>
      <w:r>
        <w:rPr>
          <w:rStyle w:val="FootnoteAnchor"/>
          <w:rtl w:val="true"/>
        </w:rPr>
        <w:footnoteReference w:id="1059"/>
      </w:r>
      <w:r>
        <w:rPr>
          <w:rFonts w:ascii="Amiri" w:hAnsi="Amiri" w:eastAsia="Amiri" w:cs="Amiri"/>
          <w:color w:val="111111"/>
          <w:sz w:val="28"/>
          <w:sz w:val="28"/>
          <w:szCs w:val="28"/>
          <w:rtl w:val="true"/>
          <w:lang w:bidi="ar-SA"/>
        </w:rPr>
        <w:t xml:space="preserve">على وجوبه و وافقهم جلّ الثالثة، و الشيخ و المحقّق </w:t>
      </w:r>
      <w:r>
        <w:rPr>
          <w:rStyle w:val="FootnoteAnchor"/>
          <w:rtl w:val="true"/>
        </w:rPr>
        <w:footnoteReference w:id="1060"/>
      </w:r>
      <w:r>
        <w:rPr>
          <w:rFonts w:ascii="Amiri" w:hAnsi="Amiri" w:eastAsia="Amiri" w:cs="Amiri"/>
          <w:color w:val="111111"/>
          <w:sz w:val="28"/>
          <w:sz w:val="28"/>
          <w:szCs w:val="28"/>
          <w:rtl w:val="true"/>
          <w:lang w:bidi="ar-SA"/>
        </w:rPr>
        <w:t xml:space="preserve">على عدمه، و الشهيد كالفاضل اختار الأوّل </w:t>
      </w:r>
      <w:r>
        <w:rPr>
          <w:rStyle w:val="FootnoteAnchor"/>
          <w:rtl w:val="true"/>
        </w:rPr>
        <w:footnoteReference w:id="1061"/>
      </w:r>
      <w:r>
        <w:rPr>
          <w:rFonts w:ascii="Amiri" w:hAnsi="Amiri" w:eastAsia="Amiri" w:cs="Amiri"/>
          <w:color w:val="111111"/>
          <w:sz w:val="28"/>
          <w:sz w:val="28"/>
          <w:szCs w:val="28"/>
          <w:rtl w:val="true"/>
          <w:lang w:bidi="ar-SA"/>
        </w:rPr>
        <w:t xml:space="preserve">تارة و الثاني </w:t>
      </w:r>
      <w:r>
        <w:rPr>
          <w:rStyle w:val="FootnoteAnchor"/>
          <w:rtl w:val="true"/>
        </w:rPr>
        <w:footnoteReference w:id="1062"/>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بعضهم فهم العكس و النقيض في الخلاف و الوفاق </w:t>
      </w:r>
      <w:r>
        <w:rPr>
          <w:rStyle w:val="FootnoteAnchor"/>
          <w:rtl w:val="true"/>
        </w:rPr>
        <w:footnoteReference w:id="1063"/>
      </w:r>
      <w:r>
        <w:rPr>
          <w:rFonts w:ascii="Amiri" w:hAnsi="Amiri" w:eastAsia="Amiri" w:cs="Amiri"/>
          <w:color w:val="111111"/>
          <w:sz w:val="28"/>
          <w:sz w:val="28"/>
          <w:szCs w:val="28"/>
          <w:rtl w:val="true"/>
          <w:lang w:bidi="ar-SA"/>
        </w:rPr>
        <w:t>، و التتبّع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بعد غسل الظاهر يغسل المستور غالباً، فالخلاف فيه قليل الجدوى،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ظنّ انحصار الخلاف في الثالث </w:t>
      </w:r>
      <w:r>
        <w:rPr>
          <w:rStyle w:val="FootnoteAnchor"/>
          <w:rtl w:val="true"/>
        </w:rPr>
        <w:footnoteReference w:id="1064"/>
      </w:r>
      <w:r>
        <w:rPr>
          <w:rFonts w:ascii="IRNazanin" w:hAnsi="IRNazanin" w:eastAsia="IRNazanin"/>
          <w:color w:val="111111"/>
          <w:sz w:val="28"/>
          <w:sz w:val="28"/>
          <w:szCs w:val="28"/>
          <w:rtl w:val="true"/>
          <w:lang w:bidi="fa-IR"/>
        </w:rPr>
        <w:t>، و وافقهم على دائم الستر و الظهور سقوطاً و وجوباً، و فساده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فالبعض المستور دائماً لا يجب غسله وفاقاً، و يدلّ عليه بعد الإجماع و إطلاق الظواهر عدم صدق الوجه عليه؛ لكونه اسماً لما ظهر، فالمواجهة انتقلت منه إلى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المختار في الظاهر مطلقاً وجوب غسله؛ لنقل الإجماع </w:t>
      </w:r>
      <w:r>
        <w:rPr>
          <w:rStyle w:val="FootnoteAnchor"/>
          <w:rtl w:val="true"/>
        </w:rPr>
        <w:footnoteReference w:id="1065"/>
      </w:r>
      <w:r>
        <w:rPr>
          <w:rFonts w:ascii="Amiri" w:hAnsi="Amiri" w:eastAsia="Amiri" w:cs="Amiri"/>
          <w:color w:val="111111"/>
          <w:sz w:val="28"/>
          <w:sz w:val="28"/>
          <w:szCs w:val="28"/>
          <w:rtl w:val="true"/>
          <w:lang w:bidi="ar-SA"/>
        </w:rPr>
        <w:t xml:space="preserve">، و صريح الخبر </w:t>
      </w:r>
      <w:r>
        <w:rPr>
          <w:rStyle w:val="FootnoteAnchor"/>
          <w:rtl w:val="true"/>
        </w:rPr>
        <w:footnoteReference w:id="1066"/>
      </w:r>
      <w:r>
        <w:rPr>
          <w:rFonts w:ascii="Amiri" w:hAnsi="Amiri" w:eastAsia="Amiri" w:cs="Amiri"/>
          <w:color w:val="111111"/>
          <w:sz w:val="28"/>
          <w:sz w:val="28"/>
          <w:szCs w:val="28"/>
          <w:rtl w:val="true"/>
          <w:lang w:bidi="ar-SA"/>
        </w:rPr>
        <w:t>، و توقّف أحد اليقينين على الآخر، و صدق الوجه عليه فيتناوله المطلقات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دفعها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بين الرجل و المرأة، و شعر اللحية و غيرها؛ لعدم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استحباب تخليل الساتر وجهان، و ظاهر الصحيحين </w:t>
      </w:r>
      <w:r>
        <w:rPr>
          <w:rStyle w:val="FootnoteAnchor"/>
          <w:rtl w:val="true"/>
        </w:rPr>
        <w:footnoteReference w:id="1067"/>
      </w:r>
      <w:r>
        <w:rPr>
          <w:rFonts w:ascii="Amiri" w:hAnsi="Amiri" w:eastAsia="Amiri" w:cs="Amiri"/>
          <w:color w:val="111111"/>
          <w:sz w:val="28"/>
          <w:sz w:val="28"/>
          <w:szCs w:val="28"/>
          <w:rtl w:val="true"/>
          <w:lang w:bidi="ar-SA"/>
        </w:rPr>
        <w:t>، بل أكثر الأخبار البيانيّة عدمه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محلّ الفرض من الكثيف و الخفيف يجب غسله، بخلاف المتجاوز عنه، و وجهه ظاهر</w:t>
      </w:r>
      <w:r>
        <w:rPr>
          <w:rFonts w:eastAsia="Amiri" w:cs="Amiri" w:ascii="Amiri" w:hAnsi="Amiri"/>
          <w:color w:val="111111"/>
          <w:sz w:val="28"/>
          <w:szCs w:val="28"/>
          <w:rtl w:val="true"/>
          <w:lang w:bidi="ar-SA"/>
        </w:rPr>
        <w:t>.</w:t>
      </w:r>
      <w:bookmarkStart w:id="347" w:name="pg2479_11618"/>
    </w:p>
    <w:p>
      <w:pPr>
        <w:pStyle w:val="Heading6"/>
        <w:numPr>
          <w:ilvl w:val="5"/>
          <w:numId w:val="1"/>
        </w:numPr>
        <w:rPr/>
      </w:pPr>
      <w:bookmarkStart w:id="348" w:name="__RefHeading___Toc3732055_3804643083"/>
      <w:bookmarkStart w:id="349" w:name="_Toc133"/>
      <w:bookmarkEnd w:id="347"/>
      <w:bookmarkEnd w:id="348"/>
      <w:r>
        <w:rPr>
          <w:rtl w:val="true"/>
        </w:rPr>
        <w:t>الخامس</w:t>
      </w:r>
      <w:r>
        <w:rPr>
          <w:rtl w:val="true"/>
        </w:rPr>
        <w:t>:</w:t>
      </w:r>
      <w:bookmarkEnd w:id="349"/>
    </w:p>
    <w:p>
      <w:pPr>
        <w:pStyle w:val="BookText"/>
        <w:rPr/>
      </w:pPr>
      <w:r>
        <w:rPr>
          <w:rFonts w:ascii="Amiri" w:hAnsi="Amiri" w:eastAsia="Amiri" w:cs="Amiri"/>
          <w:color w:val="111111"/>
          <w:sz w:val="28"/>
          <w:sz w:val="28"/>
          <w:szCs w:val="28"/>
          <w:rtl w:val="true"/>
          <w:lang w:bidi="ar-SA"/>
        </w:rPr>
        <w:t xml:space="preserve">لا يجب غسل الأُذنين و مسحهما بالإجماع و النصوص </w:t>
      </w:r>
      <w:r>
        <w:rPr>
          <w:rStyle w:val="FootnoteAnchor"/>
          <w:rtl w:val="true"/>
        </w:rPr>
        <w:footnoteReference w:id="1068"/>
      </w:r>
      <w:r>
        <w:rPr>
          <w:rFonts w:ascii="Amiri" w:hAnsi="Amiri" w:eastAsia="Amiri" w:cs="Amiri"/>
          <w:color w:val="111111"/>
          <w:sz w:val="28"/>
          <w:sz w:val="28"/>
          <w:szCs w:val="28"/>
          <w:rtl w:val="true"/>
          <w:lang w:bidi="ar-SA"/>
        </w:rPr>
        <w:t xml:space="preserve">، و المعارض النبوي </w:t>
      </w:r>
      <w:r>
        <w:rPr>
          <w:rStyle w:val="FootnoteAnchor"/>
          <w:rtl w:val="true"/>
        </w:rPr>
        <w:footnoteReference w:id="1069"/>
      </w:r>
      <w:r>
        <w:rPr>
          <w:rFonts w:ascii="Amiri" w:hAnsi="Amiri" w:eastAsia="Amiri" w:cs="Amiri"/>
          <w:color w:val="111111"/>
          <w:sz w:val="28"/>
          <w:sz w:val="28"/>
          <w:szCs w:val="28"/>
          <w:rtl w:val="true"/>
          <w:lang w:bidi="ar-SA"/>
        </w:rPr>
        <w:t xml:space="preserve">غير ثابت، و غيره </w:t>
      </w:r>
      <w:r>
        <w:rPr>
          <w:rStyle w:val="FootnoteAnchor"/>
          <w:rtl w:val="true"/>
        </w:rPr>
        <w:footnoteReference w:id="1070"/>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كونهما بدعة محرّمة مع اعتقاد الشرعيّة، و إن لم يبطل بهما الوضوء؛ لتعلّق النهي بالخارج</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732057_3804643083"/>
      <w:bookmarkStart w:id="351" w:name="_Toc134"/>
      <w:bookmarkEnd w:id="350"/>
      <w:r>
        <w:rPr>
          <w:rtl w:val="true"/>
        </w:rPr>
        <w:t>السادس</w:t>
      </w:r>
      <w:r>
        <w:rPr>
          <w:rtl w:val="true"/>
        </w:rPr>
        <w:t>:</w:t>
      </w:r>
      <w:bookmarkEnd w:id="351"/>
    </w:p>
    <w:p>
      <w:pPr>
        <w:pStyle w:val="BookText"/>
        <w:rPr/>
      </w:pPr>
      <w:r>
        <w:rPr>
          <w:rFonts w:ascii="Amiri" w:hAnsi="Amiri" w:eastAsia="Amiri" w:cs="Amiri"/>
          <w:color w:val="111111"/>
          <w:sz w:val="28"/>
          <w:sz w:val="28"/>
          <w:szCs w:val="28"/>
          <w:rtl w:val="true"/>
          <w:lang w:bidi="ar-SA"/>
        </w:rPr>
        <w:t xml:space="preserve">يستحب إسباغ الوضوء؛ للصحيح </w:t>
      </w:r>
      <w:r>
        <w:rPr>
          <w:rStyle w:val="FootnoteAnchor"/>
          <w:rtl w:val="true"/>
        </w:rPr>
        <w:footnoteReference w:id="1071"/>
      </w:r>
      <w:r>
        <w:rPr>
          <w:rFonts w:ascii="Amiri" w:hAnsi="Amiri" w:eastAsia="Amiri" w:cs="Amiri"/>
          <w:color w:val="111111"/>
          <w:sz w:val="28"/>
          <w:sz w:val="28"/>
          <w:szCs w:val="28"/>
          <w:rtl w:val="true"/>
          <w:lang w:bidi="ar-SA"/>
        </w:rPr>
        <w:t>و فعل النبي صلّى اللّٰه عليه و سلّم، و مسح الساقين استظهاراً في إزالة الرمض إن لم يعلم الحيلولة،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يستحبّ غسل باطن العين؛ للأصل و نقل الإجماع </w:t>
      </w:r>
      <w:r>
        <w:rPr>
          <w:rStyle w:val="FootnoteAnchor"/>
          <w:rtl w:val="true"/>
        </w:rPr>
        <w:footnoteReference w:id="1072"/>
      </w:r>
      <w:r>
        <w:rPr>
          <w:rFonts w:ascii="IRNazanin" w:hAnsi="IRNazanin" w:eastAsia="IRNazanin"/>
          <w:color w:val="111111"/>
          <w:sz w:val="28"/>
          <w:sz w:val="28"/>
          <w:szCs w:val="28"/>
          <w:rtl w:val="true"/>
          <w:lang w:bidi="fa-IR"/>
        </w:rPr>
        <w:t xml:space="preserve">، و المرسل </w:t>
      </w:r>
      <w:r>
        <w:rPr>
          <w:rStyle w:val="FootnoteAnchor"/>
          <w:rtl w:val="true"/>
        </w:rPr>
        <w:footnoteReference w:id="1073"/>
      </w:r>
      <w:r>
        <w:rPr>
          <w:rFonts w:ascii="Amiri" w:hAnsi="Amiri" w:eastAsia="Amiri" w:cs="Amiri"/>
          <w:color w:val="111111"/>
          <w:sz w:val="28"/>
          <w:sz w:val="28"/>
          <w:szCs w:val="28"/>
          <w:rtl w:val="true"/>
          <w:lang w:bidi="ar-SA"/>
        </w:rPr>
        <w:t xml:space="preserve">شاذّ متروك، و فعل ابن عمر </w:t>
      </w:r>
      <w:r>
        <w:rPr>
          <w:rStyle w:val="FootnoteAnchor"/>
          <w:rtl w:val="true"/>
        </w:rPr>
        <w:footnoteReference w:id="1074"/>
      </w:r>
      <w:r>
        <w:rPr>
          <w:rFonts w:ascii="IRNazanin" w:hAnsi="IRNazanin" w:eastAsia="IRNazanin"/>
          <w:color w:val="111111"/>
          <w:sz w:val="28"/>
          <w:sz w:val="28"/>
          <w:szCs w:val="28"/>
          <w:rtl w:val="true"/>
          <w:lang w:bidi="fa-IR"/>
        </w:rPr>
        <w:t>اجتهاد مردود</w:t>
      </w:r>
      <w:r>
        <w:rPr>
          <w:rFonts w:eastAsia="IRNazanin" w:cs="IRNazanin"/>
          <w:color w:val="111111"/>
          <w:sz w:val="28"/>
          <w:szCs w:val="28"/>
          <w:rtl w:val="true"/>
          <w:lang w:bidi="fa-IR"/>
        </w:rPr>
        <w:t>.</w:t>
      </w:r>
    </w:p>
    <w:p>
      <w:pPr>
        <w:pStyle w:val="Heading6"/>
        <w:numPr>
          <w:ilvl w:val="5"/>
          <w:numId w:val="1"/>
        </w:numPr>
        <w:rPr/>
      </w:pPr>
      <w:bookmarkStart w:id="352" w:name="__RefHeading___Toc3732059_3804643083"/>
      <w:bookmarkStart w:id="353" w:name="_Toc135"/>
      <w:bookmarkEnd w:id="352"/>
      <w:r>
        <w:rPr>
          <w:rtl w:val="true"/>
        </w:rPr>
        <w:t>السابع</w:t>
      </w:r>
      <w:r>
        <w:rPr>
          <w:rtl w:val="true"/>
        </w:rPr>
        <w:t>:</w:t>
      </w:r>
      <w:bookmarkEnd w:id="353"/>
    </w:p>
    <w:p>
      <w:pPr>
        <w:pStyle w:val="BookText"/>
        <w:rPr/>
      </w:pPr>
      <w:r>
        <w:rPr>
          <w:rFonts w:ascii="Amiri" w:hAnsi="Amiri" w:eastAsia="Amiri" w:cs="Amiri"/>
          <w:color w:val="111111"/>
          <w:sz w:val="28"/>
          <w:sz w:val="28"/>
          <w:szCs w:val="28"/>
          <w:rtl w:val="true"/>
          <w:lang w:bidi="ar-SA"/>
        </w:rPr>
        <w:t>الوضوء المتضمّن لغسل شعر أو ظفر أو جلد لا يبطل بزواله، و لو أحدث تعلّق الفرض بالمحلّ</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3732061_3804643083"/>
      <w:bookmarkStart w:id="355" w:name="_Toc136"/>
      <w:bookmarkEnd w:id="354"/>
      <w:r>
        <w:rPr>
          <w:rtl w:val="true"/>
        </w:rPr>
        <w:t>الثامن</w:t>
      </w:r>
      <w:r>
        <w:rPr>
          <w:rtl w:val="true"/>
        </w:rPr>
        <w:t>:</w:t>
      </w:r>
      <w:bookmarkEnd w:id="355"/>
    </w:p>
    <w:p>
      <w:pPr>
        <w:pStyle w:val="BookText"/>
        <w:rPr/>
      </w:pPr>
      <w:r>
        <w:rPr>
          <w:rFonts w:ascii="Amiri" w:hAnsi="Amiri" w:eastAsia="Amiri" w:cs="Amiri"/>
          <w:color w:val="111111"/>
          <w:sz w:val="28"/>
          <w:sz w:val="28"/>
          <w:szCs w:val="28"/>
          <w:rtl w:val="true"/>
          <w:lang w:bidi="ar-SA"/>
        </w:rPr>
        <w:t>الكلام في الغسل المعتبر في الطهارتين مسمّاه عرفاً، و يحصل بأقل الجري، و لا يحصل بالبلّ بدونه اختياراً؛ لظاهر الوفاق و الاستصحاب و أوامر الغسل و الصبّ و الإفاضة و نحوها ممّا لا يتحقّق بدونه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يعضده صريح الصحيح و الحسن </w:t>
      </w:r>
      <w:r>
        <w:rPr>
          <w:rStyle w:val="FootnoteAnchor"/>
          <w:rtl w:val="true"/>
        </w:rPr>
        <w:footnoteReference w:id="1075"/>
      </w:r>
      <w:r>
        <w:rPr>
          <w:rFonts w:ascii="IRNazanin" w:hAnsi="IRNazanin" w:eastAsia="IRNazanin"/>
          <w:color w:val="111111"/>
          <w:sz w:val="28"/>
          <w:sz w:val="28"/>
          <w:szCs w:val="28"/>
          <w:rtl w:val="true"/>
          <w:lang w:bidi="fa-IR"/>
        </w:rPr>
        <w:t xml:space="preserve">، و أخبار الدهن </w:t>
      </w:r>
      <w:r>
        <w:rPr>
          <w:rStyle w:val="FootnoteAnchor"/>
          <w:rtl w:val="true"/>
        </w:rPr>
        <w:footnoteReference w:id="1076"/>
      </w:r>
      <w:r>
        <w:rPr>
          <w:rFonts w:ascii="Amiri" w:hAnsi="Amiri" w:eastAsia="Amiri" w:cs="Amiri"/>
          <w:color w:val="111111"/>
          <w:sz w:val="28"/>
          <w:sz w:val="28"/>
          <w:szCs w:val="28"/>
          <w:rtl w:val="true"/>
          <w:lang w:bidi="ar-SA"/>
        </w:rPr>
        <w:t>محمولة على حال</w:t>
      </w:r>
      <w:bookmarkStart w:id="356" w:name="pg2479_11619"/>
    </w:p>
    <w:p>
      <w:pPr>
        <w:pStyle w:val="BookText"/>
        <w:rPr/>
      </w:pPr>
      <w:bookmarkEnd w:id="356"/>
      <w:r>
        <w:rPr>
          <w:rFonts w:ascii="Amiri" w:hAnsi="Amiri" w:eastAsia="Amiri" w:cs="Amiri"/>
          <w:color w:val="111111"/>
          <w:sz w:val="28"/>
          <w:sz w:val="28"/>
          <w:szCs w:val="28"/>
          <w:rtl w:val="true"/>
          <w:lang w:bidi="ar-SA"/>
        </w:rPr>
        <w:t xml:space="preserve">الضرورة، كما اختاره الشيخان </w:t>
      </w:r>
      <w:r>
        <w:rPr>
          <w:rStyle w:val="FootnoteAnchor"/>
          <w:rtl w:val="true"/>
        </w:rPr>
        <w:footnoteReference w:id="1077"/>
      </w:r>
      <w:r>
        <w:rPr>
          <w:rFonts w:ascii="Amiri" w:hAnsi="Amiri" w:eastAsia="Amiri" w:cs="Amiri"/>
          <w:color w:val="111111"/>
          <w:sz w:val="28"/>
          <w:sz w:val="28"/>
          <w:szCs w:val="28"/>
          <w:rtl w:val="true"/>
          <w:lang w:bidi="ar-SA"/>
        </w:rPr>
        <w:t xml:space="preserve">، و يومي إليه ظاهر الصحيح و المرسل و الخبر </w:t>
      </w:r>
      <w:r>
        <w:rPr>
          <w:rStyle w:val="FootnoteAnchor"/>
          <w:rtl w:val="true"/>
        </w:rPr>
        <w:footnoteReference w:id="1078"/>
      </w:r>
      <w:r>
        <w:rPr>
          <w:rFonts w:ascii="Amiri" w:hAnsi="Amiri" w:eastAsia="Amiri" w:cs="Amiri"/>
          <w:color w:val="111111"/>
          <w:sz w:val="28"/>
          <w:sz w:val="28"/>
          <w:szCs w:val="28"/>
          <w:rtl w:val="true"/>
          <w:lang w:bidi="ar-SA"/>
        </w:rPr>
        <w:t>، و ذلك أولى من حمل الدهن على أقل الجري</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732063_3804643083"/>
      <w:bookmarkStart w:id="358" w:name="_Toc137"/>
      <w:bookmarkEnd w:id="357"/>
      <w:r>
        <w:rPr>
          <w:rtl w:val="true"/>
        </w:rPr>
        <w:t>التاسع</w:t>
      </w:r>
      <w:r>
        <w:rPr>
          <w:rtl w:val="true"/>
        </w:rPr>
        <w:t>:</w:t>
      </w:r>
      <w:bookmarkEnd w:id="358"/>
    </w:p>
    <w:p>
      <w:pPr>
        <w:pStyle w:val="BookText"/>
        <w:rPr/>
      </w:pPr>
      <w:r>
        <w:rPr>
          <w:rFonts w:ascii="Amiri" w:hAnsi="Amiri" w:eastAsia="Amiri" w:cs="Amiri"/>
          <w:color w:val="111111"/>
          <w:sz w:val="28"/>
          <w:sz w:val="28"/>
          <w:szCs w:val="28"/>
          <w:rtl w:val="true"/>
          <w:lang w:bidi="ar-SA"/>
        </w:rPr>
        <w:t xml:space="preserve">لا يجب الدلك في الغسل، فيكفي الصبّ و الغمس؛ لإطلاق الأدلّة و صدق الامتثال، و خلاف الإسكافي </w:t>
      </w:r>
      <w:r>
        <w:rPr>
          <w:rStyle w:val="FootnoteAnchor"/>
          <w:rtl w:val="true"/>
        </w:rPr>
        <w:footnoteReference w:id="1079"/>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732065_3804643083"/>
      <w:bookmarkStart w:id="360" w:name="_Toc138"/>
      <w:bookmarkEnd w:id="359"/>
      <w:r>
        <w:rPr>
          <w:rtl w:val="true"/>
        </w:rPr>
        <w:t>الثالث</w:t>
      </w:r>
      <w:r>
        <w:rPr>
          <w:rtl w:val="true"/>
        </w:rPr>
        <w:t xml:space="preserve">: </w:t>
      </w:r>
      <w:r>
        <w:rPr>
          <w:rtl w:val="true"/>
        </w:rPr>
        <w:t>غسل اليدين</w:t>
      </w:r>
      <w:r>
        <w:rPr>
          <w:rtl w:val="true"/>
        </w:rPr>
        <w:t>:</w:t>
      </w:r>
      <w:bookmarkEnd w:id="360"/>
    </w:p>
    <w:p>
      <w:pPr>
        <w:pStyle w:val="Heading6"/>
        <w:numPr>
          <w:ilvl w:val="5"/>
          <w:numId w:val="1"/>
        </w:numPr>
        <w:rPr/>
      </w:pPr>
      <w:bookmarkStart w:id="361" w:name="__RefHeading___Toc3732067_3804643083"/>
      <w:bookmarkStart w:id="362" w:name="_Toc139"/>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و وجوبه ثابت بالثلاثة، و الحقّ وجوب البدأة بالمرفقين، وفاقاً للمعظم؛ للمعتبرة </w:t>
      </w:r>
      <w:r>
        <w:rPr>
          <w:rStyle w:val="FootnoteAnchor"/>
          <w:rtl w:val="true"/>
        </w:rPr>
        <w:footnoteReference w:id="1080"/>
      </w:r>
      <w:r>
        <w:rPr>
          <w:rFonts w:ascii="Amiri" w:hAnsi="Amiri" w:eastAsia="Amiri" w:cs="Amiri"/>
          <w:color w:val="111111"/>
          <w:sz w:val="28"/>
          <w:sz w:val="28"/>
          <w:szCs w:val="28"/>
          <w:rtl w:val="true"/>
          <w:lang w:bidi="ar-SA"/>
        </w:rPr>
        <w:t xml:space="preserve">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للسيّد و الحلّي </w:t>
      </w:r>
      <w:r>
        <w:rPr>
          <w:rStyle w:val="FootnoteAnchor"/>
          <w:rtl w:val="true"/>
        </w:rPr>
        <w:footnoteReference w:id="1082"/>
      </w:r>
      <w:r>
        <w:rPr>
          <w:rFonts w:ascii="Amiri" w:hAnsi="Amiri" w:eastAsia="Amiri" w:cs="Amiri"/>
          <w:color w:val="111111"/>
          <w:sz w:val="28"/>
          <w:sz w:val="28"/>
          <w:szCs w:val="28"/>
          <w:rtl w:val="true"/>
          <w:lang w:bidi="ar-SA"/>
        </w:rPr>
        <w:t xml:space="preserve">لظاهر الآية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بكون التحديد فيها للمغسول دون الغسل كما في الموثّق </w:t>
      </w:r>
      <w:r>
        <w:rPr>
          <w:rStyle w:val="FootnoteAnchor"/>
          <w:rtl w:val="true"/>
        </w:rPr>
        <w:footnoteReference w:id="1084"/>
      </w:r>
      <w:r>
        <w:rPr>
          <w:rFonts w:ascii="Amiri" w:hAnsi="Amiri" w:eastAsia="Amiri" w:cs="Amiri"/>
          <w:color w:val="111111"/>
          <w:sz w:val="28"/>
          <w:sz w:val="28"/>
          <w:szCs w:val="28"/>
          <w:rtl w:val="true"/>
          <w:lang w:bidi="ar-SA"/>
        </w:rPr>
        <w:t>، أو كون إِلى بمعنى مع، و الأخذ بظاهرها يخالف إجماع المسلمين؛ لوفاقهم على جواز النكس</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732069_3804643083"/>
      <w:bookmarkStart w:id="364" w:name="_Toc140"/>
      <w:bookmarkEnd w:id="363"/>
      <w:r>
        <w:rPr>
          <w:rtl w:val="true"/>
        </w:rPr>
        <w:t>فروع</w:t>
      </w:r>
      <w:r>
        <w:rPr>
          <w:rtl w:val="true"/>
        </w:rPr>
        <w:t>:</w:t>
      </w:r>
      <w:bookmarkEnd w:id="364"/>
    </w:p>
    <w:p>
      <w:pPr>
        <w:pStyle w:val="Heading6"/>
        <w:numPr>
          <w:ilvl w:val="5"/>
          <w:numId w:val="1"/>
        </w:numPr>
        <w:rPr/>
      </w:pPr>
      <w:bookmarkStart w:id="365" w:name="__RefHeading___Toc3732071_3804643083"/>
      <w:bookmarkStart w:id="366" w:name="_Toc141"/>
      <w:bookmarkEnd w:id="365"/>
      <w:r>
        <w:rPr>
          <w:rtl w:val="true"/>
        </w:rPr>
        <w:t>الأوّل</w:t>
      </w:r>
      <w:r>
        <w:rPr>
          <w:rtl w:val="true"/>
        </w:rPr>
        <w:t>:</w:t>
      </w:r>
      <w:bookmarkEnd w:id="3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المرفق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الذراع في العضد </w:t>
      </w:r>
      <w:r>
        <w:rPr>
          <w:rStyle w:val="FootnoteAnchor"/>
          <w:rtl w:val="true"/>
        </w:rPr>
        <w:footnoteReference w:id="1085"/>
      </w:r>
      <w:r>
        <w:rPr>
          <w:rFonts w:ascii="Amiri" w:hAnsi="Amiri" w:eastAsia="Amiri" w:cs="Amiri"/>
          <w:color w:val="111111"/>
          <w:sz w:val="28"/>
          <w:sz w:val="28"/>
          <w:szCs w:val="28"/>
          <w:rtl w:val="true"/>
          <w:lang w:bidi="ar-SA"/>
        </w:rPr>
        <w:t>، أي مفصل عظمهما</w:t>
      </w:r>
    </w:p>
    <w:p>
      <w:pPr>
        <w:pStyle w:val="BookText"/>
        <w:rPr/>
      </w:pPr>
      <w:r>
        <w:rPr>
          <w:rFonts w:ascii="Amiri" w:hAnsi="Amiri" w:eastAsia="Amiri" w:cs="Amiri"/>
          <w:color w:val="111111"/>
          <w:sz w:val="28"/>
          <w:sz w:val="28"/>
          <w:szCs w:val="28"/>
          <w:rtl w:val="true"/>
          <w:lang w:bidi="ar-SA"/>
        </w:rPr>
        <w:t xml:space="preserve">و مجمعهما، و ليس المراد حدّهما المشترك الراجع إلى الدائرة، كما فهمه الأكثر؛ لبعده عن فهم اللغوي، بل المراد محلّ الفصل و الوصل من رأسي العظمين الملتقيين كما فهمه الفاضل و الشهيدان </w:t>
      </w:r>
      <w:r>
        <w:rPr>
          <w:rStyle w:val="FootnoteAnchor"/>
          <w:rtl w:val="true"/>
        </w:rPr>
        <w:footnoteReference w:id="1086"/>
      </w:r>
      <w:r>
        <w:rPr>
          <w:rFonts w:ascii="Amiri" w:hAnsi="Amiri" w:eastAsia="Amiri" w:cs="Amiri"/>
          <w:color w:val="111111"/>
          <w:sz w:val="28"/>
          <w:sz w:val="28"/>
          <w:szCs w:val="28"/>
          <w:rtl w:val="true"/>
          <w:lang w:bidi="ar-SA"/>
        </w:rPr>
        <w:t xml:space="preserve">، و يومي إليه الصحيح </w:t>
      </w:r>
      <w:r>
        <w:rPr>
          <w:rStyle w:val="FootnoteAnchor"/>
          <w:rtl w:val="true"/>
        </w:rPr>
        <w:footnoteReference w:id="1087"/>
      </w:r>
      <w:r>
        <w:rPr>
          <w:rFonts w:ascii="Amiri" w:hAnsi="Amiri" w:eastAsia="Amiri" w:cs="Amiri"/>
          <w:color w:val="111111"/>
          <w:sz w:val="28"/>
          <w:sz w:val="28"/>
          <w:szCs w:val="28"/>
          <w:rtl w:val="true"/>
          <w:lang w:bidi="ar-SA"/>
        </w:rPr>
        <w:t>، و لا خلاف في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كونه بالنص، لا للاستنباط من باب المقدّمة؛ لظاهر الأخبار البيانيّة </w:t>
      </w:r>
      <w:r>
        <w:rPr>
          <w:rStyle w:val="FootnoteAnchor"/>
          <w:rtl w:val="true"/>
        </w:rPr>
        <w:footnoteReference w:id="1088"/>
      </w:r>
      <w:r>
        <w:rPr>
          <w:rFonts w:ascii="Amiri" w:hAnsi="Amiri" w:eastAsia="Amiri" w:cs="Amiri"/>
          <w:color w:val="111111"/>
          <w:sz w:val="28"/>
          <w:sz w:val="28"/>
          <w:szCs w:val="28"/>
          <w:rtl w:val="true"/>
          <w:lang w:bidi="ar-SA"/>
        </w:rPr>
        <w:t xml:space="preserve">و نقل الإجماع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و دلالة الصحيحين و الحسنين </w:t>
      </w:r>
      <w:r>
        <w:rPr>
          <w:rStyle w:val="FootnoteAnchor"/>
          <w:rtl w:val="true"/>
        </w:rPr>
        <w:footnoteReference w:id="1090"/>
      </w:r>
      <w:r>
        <w:rPr>
          <w:rFonts w:ascii="Amiri" w:hAnsi="Amiri" w:eastAsia="Amiri" w:cs="Amiri"/>
          <w:color w:val="111111"/>
          <w:sz w:val="28"/>
          <w:sz w:val="28"/>
          <w:szCs w:val="28"/>
          <w:rtl w:val="true"/>
          <w:lang w:bidi="ar-SA"/>
        </w:rPr>
        <w:t>على وجوب غسل رأس العضد الّذي هو بعض المرفق بعد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يجب غسل جزء أزيد من باب المقدّمة، بخلاف ما لو كان وجوبه بالاستنباط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أحد الصحيحين و الحسنين وجوب غسل مجرّد موضع القطع لو قطعت اليد مطلقاً، و يجب تقييدها به بعدم كونه من فوق المرفق؛ لسقوط الغسل حينئذ إجماعاً، و خلاف الإسكافي </w:t>
      </w:r>
      <w:r>
        <w:rPr>
          <w:rStyle w:val="FootnoteAnchor"/>
          <w:rtl w:val="true"/>
        </w:rPr>
        <w:footnoteReference w:id="1091"/>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بغسل ما بقي إلى المرافق معه إن كان من تحته؛ لوجوبه وفاقاً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الصحيح الآخر وجوب موضع القطع مع كونه من المرفق، كما يدلّ عليه إطلاق الثلاثة أيضاً، فالأخذ به متعيّن كما أفتىٰ به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الفاضلين </w:t>
      </w:r>
      <w:r>
        <w:rPr>
          <w:rStyle w:val="FootnoteAnchor"/>
          <w:rtl w:val="true"/>
        </w:rPr>
        <w:footnoteReference w:id="1092"/>
      </w:r>
      <w:bookmarkStart w:id="367" w:name="pg2479_11621"/>
    </w:p>
    <w:p>
      <w:pPr>
        <w:pStyle w:val="BookText"/>
        <w:rPr/>
      </w:pPr>
      <w:bookmarkEnd w:id="367"/>
      <w:r>
        <w:rPr>
          <w:rFonts w:ascii="IRNazanin" w:hAnsi="IRNazanin" w:eastAsia="IRNazanin"/>
          <w:color w:val="111111"/>
          <w:sz w:val="28"/>
          <w:sz w:val="28"/>
          <w:szCs w:val="28"/>
          <w:rtl w:val="true"/>
          <w:lang w:bidi="fa-IR"/>
        </w:rPr>
        <w:t>بسقوط الغسل لفوات المحلّ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الرجل بالقياس إلى الكعب كاليد بالنسبة إلى المرفق لو قطعت في الحكم؛ للصحيح و المرسل و الحسنين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3732073_3804643083"/>
      <w:bookmarkStart w:id="369" w:name="_Toc142"/>
      <w:bookmarkEnd w:id="368"/>
      <w:r>
        <w:rPr>
          <w:rtl w:val="true"/>
        </w:rPr>
        <w:t>الثاني</w:t>
      </w:r>
      <w:r>
        <w:rPr>
          <w:rtl w:val="true"/>
        </w:rPr>
        <w:t>:</w:t>
      </w:r>
      <w:bookmarkEnd w:id="369"/>
    </w:p>
    <w:p>
      <w:pPr>
        <w:pStyle w:val="BookText"/>
        <w:rPr/>
      </w:pPr>
      <w:r>
        <w:rPr>
          <w:rFonts w:ascii="Amiri" w:hAnsi="Amiri" w:eastAsia="Amiri" w:cs="Amiri"/>
          <w:color w:val="111111"/>
          <w:sz w:val="28"/>
          <w:sz w:val="28"/>
          <w:szCs w:val="28"/>
          <w:rtl w:val="true"/>
          <w:lang w:bidi="ar-SA"/>
        </w:rPr>
        <w:t>يجب تخليل شعر اليد و إن كثف؛ لظهورها في العضو الخاص، و المأمور بغسله بتمامه، فيجب تخليل المانع، و مخصّص الغسل بالظاهر بين مخصّص بالوجه و شاذ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غسل الشعر وجهان، و الأصل ينفيه، و الشهيد أثبته للتابعيّة </w:t>
      </w:r>
      <w:r>
        <w:rPr>
          <w:rStyle w:val="FootnoteAnchor"/>
          <w:rtl w:val="true"/>
        </w:rPr>
        <w:footnoteReference w:id="1094"/>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سقوط غسل ما تحته ينتقل الغسل إليه</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732075_3804643083"/>
      <w:bookmarkStart w:id="371" w:name="_Toc143"/>
      <w:bookmarkEnd w:id="370"/>
      <w:r>
        <w:rPr>
          <w:rtl w:val="true"/>
        </w:rPr>
        <w:t>الثالث</w:t>
      </w:r>
      <w:r>
        <w:rPr>
          <w:rtl w:val="true"/>
        </w:rPr>
        <w:t>:</w:t>
      </w:r>
      <w:bookmarkEnd w:id="371"/>
    </w:p>
    <w:p>
      <w:pPr>
        <w:pStyle w:val="BookText"/>
        <w:rPr/>
      </w:pPr>
      <w:r>
        <w:rPr>
          <w:rFonts w:ascii="Amiri" w:hAnsi="Amiri" w:eastAsia="Amiri" w:cs="Amiri"/>
          <w:color w:val="111111"/>
          <w:sz w:val="28"/>
          <w:sz w:val="28"/>
          <w:szCs w:val="28"/>
          <w:rtl w:val="true"/>
          <w:lang w:bidi="ar-SA"/>
        </w:rPr>
        <w:t xml:space="preserve">وجوب غسل الظفر إن لم يخرج عن حدّ اليد مجمع عليه، و إن خرج أصحّ القولين، وفاقاً للفاضل و الشهيد </w:t>
      </w:r>
      <w:r>
        <w:rPr>
          <w:rStyle w:val="FootnoteAnchor"/>
          <w:rtl w:val="true"/>
        </w:rPr>
        <w:footnoteReference w:id="1095"/>
      </w:r>
      <w:r>
        <w:rPr>
          <w:rFonts w:ascii="Amiri" w:hAnsi="Amiri" w:eastAsia="Amiri" w:cs="Amiri"/>
          <w:color w:val="111111"/>
          <w:sz w:val="28"/>
          <w:sz w:val="28"/>
          <w:szCs w:val="28"/>
          <w:rtl w:val="true"/>
          <w:lang w:bidi="ar-SA"/>
        </w:rPr>
        <w:t>للاستصحاب و الجزئيّة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خلافاً لبعضهم </w:t>
      </w:r>
      <w:r>
        <w:rPr>
          <w:rStyle w:val="FootnoteAnchor"/>
          <w:rtl w:val="true"/>
        </w:rPr>
        <w:footnoteReference w:id="1096"/>
      </w:r>
      <w:r>
        <w:rPr>
          <w:rFonts w:ascii="Amiri" w:hAnsi="Amiri" w:eastAsia="Amiri" w:cs="Amiri"/>
          <w:color w:val="111111"/>
          <w:sz w:val="28"/>
          <w:sz w:val="28"/>
          <w:szCs w:val="28"/>
          <w:rtl w:val="true"/>
          <w:lang w:bidi="ar-SA"/>
        </w:rPr>
        <w:t>للأصل و القياس على المسترسل من اللحية، و ردّ الأوّل بوجود الدافع، و الثاني بعدم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منعه غسل البشرة يجب قصّه، و وجهه ظاهر، و المنع لانتقال الغسل إليه كشعر الوجه قياس باطل</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732077_3804643083"/>
      <w:bookmarkStart w:id="373" w:name="_Toc144"/>
      <w:bookmarkEnd w:id="372"/>
      <w:r>
        <w:rPr>
          <w:rtl w:val="true"/>
        </w:rPr>
        <w:t>الرابع</w:t>
      </w:r>
      <w:r>
        <w:rPr>
          <w:rtl w:val="true"/>
        </w:rPr>
        <w:t>:</w:t>
      </w:r>
      <w:bookmarkEnd w:id="3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محلّ الغسل من الثقب يغسل الظاهر منه دون المستور،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إيجاب الشهيد إيصال الماء إليه مطلقاً </w:t>
      </w:r>
      <w:r>
        <w:rPr>
          <w:rStyle w:val="FootnoteAnchor"/>
          <w:rtl w:val="true"/>
        </w:rPr>
        <w:footnoteReference w:id="1097"/>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bookmarkStart w:id="374" w:name="pg2479_11622"/>
    </w:p>
    <w:p>
      <w:pPr>
        <w:pStyle w:val="Heading6"/>
        <w:numPr>
          <w:ilvl w:val="5"/>
          <w:numId w:val="1"/>
        </w:numPr>
        <w:rPr/>
      </w:pPr>
      <w:bookmarkStart w:id="375" w:name="__RefHeading___Toc3732079_3804643083"/>
      <w:bookmarkStart w:id="376" w:name="_Toc145"/>
      <w:bookmarkEnd w:id="374"/>
      <w:bookmarkEnd w:id="375"/>
      <w:r>
        <w:rPr>
          <w:rtl w:val="true"/>
        </w:rPr>
        <w:t>[</w:t>
      </w:r>
      <w:r>
        <w:rPr>
          <w:rtl w:val="true"/>
        </w:rPr>
        <w:t>الخامس</w:t>
      </w:r>
      <w:r>
        <w:rPr>
          <w:rtl w:val="true"/>
        </w:rPr>
        <w:t>:]</w:t>
      </w:r>
      <w:bookmarkEnd w:id="376"/>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سلعة أو إصبع زائدة يجب غسله للجزئيّة، و كذا اليد الزائدة إن كانت تحت المرفق، أو فوقه و أشبهت بالأصليّة بالإجماع، و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غسل الزائدة محمول على المعيّن؛ إذ مع الاشتباه لا يعرف و التخصيص تحكّم، فيجب غسلهما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تميّزت لم يجب غسلها، وفاقاً للأكثر؛ للأصل و انصراف المطلق إلى المتعارف، و 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لصحّة التقسيم و إطلاق الاسم، و دفعهما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فقدها المرفق يكون الحكم أظهر، للأمر بالغسل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لا يمكن الامتثال، و بذلك يلزم الانسحاب إلى الأصليّة مع فقدها له، إلّا أن يثبت الإجماع على خلافه، و حينئذ ففي وجوب غسل الجميع أو المقدّر الغالب وجهان</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732081_3804643083"/>
      <w:bookmarkStart w:id="378" w:name="_Toc146"/>
      <w:bookmarkEnd w:id="377"/>
      <w:r>
        <w:rPr>
          <w:rtl w:val="true"/>
        </w:rPr>
        <w:t>السادس</w:t>
      </w:r>
      <w:r>
        <w:rPr>
          <w:rtl w:val="true"/>
        </w:rPr>
        <w:t>:</w:t>
      </w:r>
      <w:bookmarkEnd w:id="378"/>
    </w:p>
    <w:p>
      <w:pPr>
        <w:pStyle w:val="BookText"/>
        <w:rPr/>
      </w:pPr>
      <w:r>
        <w:rPr>
          <w:rFonts w:ascii="Amiri" w:hAnsi="Amiri" w:eastAsia="Amiri" w:cs="Amiri"/>
          <w:color w:val="111111"/>
          <w:sz w:val="28"/>
          <w:sz w:val="28"/>
          <w:szCs w:val="28"/>
          <w:rtl w:val="true"/>
          <w:lang w:bidi="ar-SA"/>
        </w:rPr>
        <w:t xml:space="preserve">العاجز عن التطهير يلزمه الاستنابة و لو بأُجرة زائدة عن المتعارف مع التمكّن؛ لتوقّف الواجب المطلق عليه، و في الصحيح </w:t>
      </w:r>
      <w:r>
        <w:rPr>
          <w:rStyle w:val="FootnoteAnchor"/>
          <w:rtl w:val="true"/>
        </w:rPr>
        <w:footnoteReference w:id="1100"/>
      </w:r>
      <w:r>
        <w:rPr>
          <w:rFonts w:ascii="Amiri" w:hAnsi="Amiri" w:eastAsia="Amiri" w:cs="Amiri"/>
          <w:color w:val="111111"/>
          <w:sz w:val="28"/>
          <w:sz w:val="28"/>
          <w:szCs w:val="28"/>
          <w:rtl w:val="true"/>
          <w:lang w:bidi="ar-SA"/>
        </w:rPr>
        <w:t>إيماء إليه، و تحقّق المكنة بعدم الضرر عرفاً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3732083_3804643083"/>
      <w:bookmarkStart w:id="380" w:name="_Toc147"/>
      <w:bookmarkEnd w:id="379"/>
      <w:r>
        <w:rPr>
          <w:rtl w:val="true"/>
        </w:rPr>
        <w:t>الرابع</w:t>
      </w:r>
      <w:r>
        <w:rPr>
          <w:rtl w:val="true"/>
        </w:rPr>
        <w:t xml:space="preserve">: </w:t>
      </w:r>
      <w:r>
        <w:rPr>
          <w:rtl w:val="true"/>
        </w:rPr>
        <w:t>مسح الرأس</w:t>
      </w:r>
      <w:r>
        <w:rPr>
          <w:rtl w:val="true"/>
        </w:rPr>
        <w:t>:</w:t>
      </w:r>
      <w:bookmarkEnd w:id="380"/>
    </w:p>
    <w:p>
      <w:pPr>
        <w:pStyle w:val="Heading6"/>
        <w:numPr>
          <w:ilvl w:val="5"/>
          <w:numId w:val="1"/>
        </w:numPr>
        <w:rPr/>
      </w:pPr>
      <w:bookmarkStart w:id="381" w:name="__RefHeading___Toc3732085_3804643083"/>
      <w:bookmarkStart w:id="382" w:name="_Toc148"/>
      <w:bookmarkEnd w:id="381"/>
      <w:r>
        <w:rPr>
          <w:rtl w:val="true"/>
        </w:rPr>
        <w:t>اشارة</w:t>
      </w:r>
      <w:bookmarkEnd w:id="38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وجوبه ثابت بالثلاثة، و يختصّ بمقدّمه إجماعاً؛ للمستفيضة من الصحاح و غيرها </w:t>
      </w:r>
      <w:r>
        <w:rPr>
          <w:rStyle w:val="FootnoteAnchor"/>
          <w:rtl w:val="true"/>
        </w:rPr>
        <w:footnoteReference w:id="1101"/>
      </w:r>
      <w:r>
        <w:rPr>
          <w:rFonts w:ascii="Amiri" w:hAnsi="Amiri" w:eastAsia="Amiri" w:cs="Amiri"/>
          <w:color w:val="111111"/>
          <w:sz w:val="28"/>
          <w:sz w:val="28"/>
          <w:szCs w:val="28"/>
          <w:rtl w:val="true"/>
          <w:lang w:bidi="ar-SA"/>
        </w:rPr>
        <w:t xml:space="preserve">، و يؤيّده فعل الحجج عليهم السّلام كما في الأخبار البيانيّة </w:t>
      </w:r>
      <w:r>
        <w:rPr>
          <w:rStyle w:val="FootnoteAnchor"/>
          <w:rtl w:val="true"/>
        </w:rPr>
        <w:footnoteReference w:id="1102"/>
      </w:r>
      <w:r>
        <w:rPr>
          <w:rFonts w:ascii="Amiri" w:hAnsi="Amiri" w:eastAsia="Amiri" w:cs="Amiri"/>
          <w:color w:val="111111"/>
          <w:sz w:val="28"/>
          <w:sz w:val="28"/>
          <w:szCs w:val="28"/>
          <w:rtl w:val="true"/>
          <w:lang w:bidi="ar-SA"/>
        </w:rPr>
        <w:t>، و بها يقيّد إطلاق</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المسح على مقدّمه و مؤخّره </w:t>
      </w:r>
      <w:r>
        <w:rPr>
          <w:rStyle w:val="FootnoteAnchor"/>
          <w:rtl w:val="true"/>
        </w:rPr>
        <w:footnoteReference w:id="1104"/>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كفاية المسمّى، وفاقاً للمعظم، فلا يلزم ثلاث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عند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صدق الامتثال، و المستفيض من النص، و نقل الإجماع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كون الباء في الآية للتبعيض نصّاً و لغة </w:t>
      </w:r>
      <w:r>
        <w:rPr>
          <w:rStyle w:val="FootnoteAnchor"/>
          <w:rtl w:val="true"/>
        </w:rPr>
        <w:footnoteReference w:id="1108"/>
      </w:r>
      <w:r>
        <w:rPr>
          <w:rFonts w:ascii="Amiri" w:hAnsi="Amiri" w:eastAsia="Amiri" w:cs="Amiri"/>
          <w:color w:val="111111"/>
          <w:sz w:val="28"/>
          <w:sz w:val="28"/>
          <w:szCs w:val="28"/>
          <w:rtl w:val="true"/>
          <w:lang w:bidi="ar-SA"/>
        </w:rPr>
        <w:t xml:space="preserve">، فيقيّد كفاية المسمّى، و إنكار سيبويه مجيئها له </w:t>
      </w:r>
      <w:r>
        <w:rPr>
          <w:rStyle w:val="FootnoteAnchor"/>
          <w:rtl w:val="true"/>
        </w:rPr>
        <w:footnoteReference w:id="1109"/>
      </w:r>
      <w:r>
        <w:rPr>
          <w:rFonts w:ascii="Amiri" w:hAnsi="Amiri" w:eastAsia="Amiri" w:cs="Amiri"/>
          <w:color w:val="111111"/>
          <w:sz w:val="28"/>
          <w:sz w:val="28"/>
          <w:szCs w:val="28"/>
          <w:rtl w:val="true"/>
          <w:lang w:bidi="ar-SA"/>
        </w:rPr>
        <w:t>مع نصّ الإمام و تصريح الأكثر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 و الحسن و الخبر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مع تسليم الدلالة بالحمل على الندب، و الأخذ بظاهرها و تقيّد أدلّتنا بها أو بالضرورة ترجيح للأضعف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حصول المسمّى ببعض الإصبع، فلا يتقدّر بتمامها، وفاقاً للأكثر؛ للأصل 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لظاهر المرسل و الخبر </w:t>
      </w:r>
      <w:r>
        <w:rPr>
          <w:rStyle w:val="FootnoteAnchor"/>
          <w:rtl w:val="true"/>
        </w:rPr>
        <w:footnoteReference w:id="1111"/>
      </w:r>
      <w:r>
        <w:rPr>
          <w:rFonts w:ascii="Amiri" w:hAnsi="Amiri" w:eastAsia="Amiri" w:cs="Amiri"/>
          <w:color w:val="111111"/>
          <w:sz w:val="28"/>
          <w:sz w:val="28"/>
          <w:szCs w:val="28"/>
          <w:rtl w:val="true"/>
          <w:lang w:bidi="ar-SA"/>
        </w:rPr>
        <w:t>، و لا دلالة لهما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الزائد على المسمّى يوصف بالوجوب مع المعيّة، و بالندب مع التدريج، و وجهه ظاهر</w:t>
      </w:r>
      <w:r>
        <w:rPr>
          <w:rFonts w:eastAsia="Amiri" w:cs="Amiri" w:ascii="Amiri" w:hAnsi="Amiri"/>
          <w:color w:val="111111"/>
          <w:sz w:val="28"/>
          <w:szCs w:val="28"/>
          <w:rtl w:val="true"/>
          <w:lang w:bidi="ar-SA"/>
        </w:rPr>
        <w:t>.</w:t>
      </w:r>
      <w:bookmarkStart w:id="383" w:name="pg2479_11624"/>
    </w:p>
    <w:p>
      <w:pPr>
        <w:pStyle w:val="Heading6"/>
        <w:numPr>
          <w:ilvl w:val="5"/>
          <w:numId w:val="1"/>
        </w:numPr>
        <w:rPr/>
      </w:pPr>
      <w:bookmarkStart w:id="384" w:name="__RefHeading___Toc3732087_3804643083"/>
      <w:bookmarkStart w:id="385" w:name="_Toc149"/>
      <w:bookmarkEnd w:id="383"/>
      <w:bookmarkEnd w:id="384"/>
      <w:r>
        <w:rPr>
          <w:rtl w:val="true"/>
        </w:rPr>
        <w:t>فروع</w:t>
      </w:r>
      <w:r>
        <w:rPr>
          <w:rtl w:val="true"/>
        </w:rPr>
        <w:t>:</w:t>
      </w:r>
      <w:bookmarkEnd w:id="385"/>
    </w:p>
    <w:p>
      <w:pPr>
        <w:pStyle w:val="Heading6"/>
        <w:numPr>
          <w:ilvl w:val="5"/>
          <w:numId w:val="1"/>
        </w:numPr>
        <w:rPr/>
      </w:pPr>
      <w:bookmarkStart w:id="386" w:name="__RefHeading___Toc3732089_3804643083"/>
      <w:bookmarkStart w:id="387" w:name="_Toc150"/>
      <w:bookmarkEnd w:id="386"/>
      <w:r>
        <w:rPr>
          <w:rtl w:val="true"/>
        </w:rPr>
        <w:t>الأوّل</w:t>
      </w:r>
      <w:r>
        <w:rPr>
          <w:rtl w:val="true"/>
        </w:rPr>
        <w:t>:</w:t>
      </w:r>
      <w:bookmarkEnd w:id="387"/>
    </w:p>
    <w:p>
      <w:pPr>
        <w:pStyle w:val="BookText"/>
        <w:rPr/>
      </w:pPr>
      <w:r>
        <w:rPr>
          <w:rFonts w:ascii="Amiri" w:hAnsi="Amiri" w:eastAsia="Amiri" w:cs="Amiri"/>
          <w:color w:val="111111"/>
          <w:sz w:val="28"/>
          <w:sz w:val="28"/>
          <w:szCs w:val="28"/>
          <w:rtl w:val="true"/>
          <w:lang w:bidi="ar-SA"/>
        </w:rPr>
        <w:t xml:space="preserve">الحقّ جواز المسح مدبراً، وفاقاً للعماني و الحلّيّين </w:t>
      </w:r>
      <w:r>
        <w:rPr>
          <w:rStyle w:val="FootnoteAnchor"/>
          <w:rtl w:val="true"/>
        </w:rPr>
        <w:footnoteReference w:id="1112"/>
      </w:r>
      <w:r>
        <w:rPr>
          <w:rFonts w:ascii="Amiri" w:hAnsi="Amiri" w:eastAsia="Amiri" w:cs="Amiri"/>
          <w:color w:val="111111"/>
          <w:sz w:val="28"/>
          <w:sz w:val="28"/>
          <w:szCs w:val="28"/>
          <w:rtl w:val="true"/>
          <w:lang w:bidi="ar-SA"/>
        </w:rPr>
        <w:t xml:space="preserve">، و وافقهم الكركي </w:t>
      </w:r>
      <w:r>
        <w:rPr>
          <w:rStyle w:val="FootnoteAnchor"/>
          <w:rtl w:val="true"/>
        </w:rPr>
        <w:footnoteReference w:id="1113"/>
      </w:r>
      <w:r>
        <w:rPr>
          <w:rFonts w:ascii="Amiri" w:hAnsi="Amiri" w:eastAsia="Amiri" w:cs="Amiri"/>
          <w:color w:val="111111"/>
          <w:sz w:val="28"/>
          <w:sz w:val="28"/>
          <w:szCs w:val="28"/>
          <w:rtl w:val="true"/>
          <w:lang w:bidi="ar-SA"/>
        </w:rPr>
        <w:t>و جلّ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للصدوق و المرتضى و ابن حمزة </w:t>
      </w:r>
      <w:r>
        <w:rPr>
          <w:rStyle w:val="FootnoteAnchor"/>
          <w:rtl w:val="true"/>
        </w:rPr>
        <w:footnoteReference w:id="1114"/>
      </w:r>
      <w:r>
        <w:rPr>
          <w:rFonts w:ascii="Amiri" w:hAnsi="Amiri" w:eastAsia="Amiri" w:cs="Amiri"/>
          <w:color w:val="111111"/>
          <w:sz w:val="28"/>
          <w:sz w:val="28"/>
          <w:szCs w:val="28"/>
          <w:rtl w:val="true"/>
          <w:lang w:bidi="ar-SA"/>
        </w:rPr>
        <w:t xml:space="preserve">، و للشيخ القولان </w:t>
      </w:r>
      <w:r>
        <w:rPr>
          <w:rStyle w:val="FootnoteAnchor"/>
          <w:rtl w:val="true"/>
        </w:rPr>
        <w:footnoteReference w:id="11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متعاكسان في العكس إثباتاً و نفياً في 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فقد الشهرة من الطرفين أو ثبوتها في الجواز، فدعوى ثبوتها في نفيها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الامتثال، و إطلاق الأمر و الفعل في النصوص القوليّة و الفعليّة </w:t>
      </w:r>
      <w:r>
        <w:rPr>
          <w:rStyle w:val="FootnoteAnchor"/>
          <w:rtl w:val="true"/>
        </w:rPr>
        <w:footnoteReference w:id="1117"/>
      </w:r>
      <w:r>
        <w:rPr>
          <w:rFonts w:ascii="Amiri" w:hAnsi="Amiri" w:eastAsia="Amiri" w:cs="Amiri"/>
          <w:color w:val="111111"/>
          <w:sz w:val="28"/>
          <w:sz w:val="28"/>
          <w:szCs w:val="28"/>
          <w:rtl w:val="true"/>
          <w:lang w:bidi="ar-SA"/>
        </w:rPr>
        <w:t xml:space="preserve">، و يعضدها صريح الصحيح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اليقين بالبراءة عليه، و جوابه ظاهر</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3732091_3804643083"/>
      <w:bookmarkStart w:id="389" w:name="_Toc151"/>
      <w:bookmarkEnd w:id="388"/>
      <w:r>
        <w:rPr>
          <w:rtl w:val="true"/>
        </w:rPr>
        <w:t>الثاني</w:t>
      </w:r>
      <w:r>
        <w:rPr>
          <w:rtl w:val="true"/>
        </w:rPr>
        <w:t>:</w:t>
      </w:r>
      <w:bookmarkEnd w:id="389"/>
    </w:p>
    <w:p>
      <w:pPr>
        <w:pStyle w:val="BookText"/>
        <w:rPr/>
      </w:pPr>
      <w:r>
        <w:rPr>
          <w:rFonts w:ascii="Amiri" w:hAnsi="Amiri" w:eastAsia="Amiri" w:cs="Amiri"/>
          <w:color w:val="111111"/>
          <w:sz w:val="28"/>
          <w:sz w:val="28"/>
          <w:szCs w:val="28"/>
          <w:rtl w:val="true"/>
          <w:lang w:bidi="ar-SA"/>
        </w:rPr>
        <w:t xml:space="preserve">يصحّ المسح على البشرة إجماعاً؛ لبعض الظواهر </w:t>
      </w:r>
      <w:r>
        <w:rPr>
          <w:rStyle w:val="FootnoteAnchor"/>
          <w:rtl w:val="true"/>
        </w:rPr>
        <w:footnoteReference w:id="1119"/>
      </w:r>
      <w:r>
        <w:rPr>
          <w:rFonts w:ascii="Amiri" w:hAnsi="Amiri" w:eastAsia="Amiri" w:cs="Amiri"/>
          <w:color w:val="111111"/>
          <w:sz w:val="28"/>
          <w:sz w:val="28"/>
          <w:szCs w:val="28"/>
          <w:rtl w:val="true"/>
          <w:lang w:bidi="ar-SA"/>
        </w:rPr>
        <w:t>، و فعل الحجج عليهم السّلام و نفي الحرج</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الشعر المختصّ بالمقدّم دون غيره من النابت عن غيره مطلقاً، و عنه مع استرساله أو خروجه بالمدّ عن حدّه؛ لظاهر الوفاق، و عدم صدق المناط</w:t>
      </w:r>
      <w:r>
        <w:rPr>
          <w:rFonts w:eastAsia="Amiri" w:cs="Amiri" w:ascii="Amiri" w:hAnsi="Amiri"/>
          <w:color w:val="111111"/>
          <w:sz w:val="28"/>
          <w:szCs w:val="28"/>
          <w:rtl w:val="true"/>
          <w:lang w:bidi="ar-SA"/>
        </w:rPr>
        <w:t>.</w:t>
      </w:r>
      <w:bookmarkStart w:id="390" w:name="pg2479_11625"/>
    </w:p>
    <w:p>
      <w:pPr>
        <w:pStyle w:val="BookText"/>
        <w:rPr/>
      </w:pPr>
      <w:bookmarkEnd w:id="390"/>
      <w:r>
        <w:rPr>
          <w:rFonts w:ascii="Amiri" w:hAnsi="Amiri" w:eastAsia="Amiri" w:cs="Amiri"/>
          <w:color w:val="111111"/>
          <w:sz w:val="28"/>
          <w:sz w:val="28"/>
          <w:szCs w:val="28"/>
          <w:rtl w:val="true"/>
          <w:lang w:bidi="ar-SA"/>
        </w:rPr>
        <w:t xml:space="preserve">و لا يجوز على الحائل بالإجماعين و المستفيضة </w:t>
      </w:r>
      <w:r>
        <w:rPr>
          <w:rStyle w:val="FootnoteAnchor"/>
          <w:rtl w:val="true"/>
        </w:rPr>
        <w:footnoteReference w:id="1120"/>
      </w:r>
      <w:r>
        <w:rPr>
          <w:rFonts w:ascii="Amiri" w:hAnsi="Amiri" w:eastAsia="Amiri" w:cs="Amiri"/>
          <w:color w:val="111111"/>
          <w:sz w:val="28"/>
          <w:sz w:val="28"/>
          <w:szCs w:val="28"/>
          <w:rtl w:val="true"/>
          <w:lang w:bidi="ar-SA"/>
        </w:rPr>
        <w:t>، و يعضده عدم 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تجويزه في الصحيحين </w:t>
      </w:r>
      <w:r>
        <w:rPr>
          <w:rStyle w:val="FootnoteAnchor"/>
          <w:rtl w:val="true"/>
        </w:rPr>
        <w:footnoteReference w:id="1121"/>
      </w:r>
      <w:r>
        <w:rPr>
          <w:rFonts w:ascii="IRNazanin" w:hAnsi="IRNazanin" w:eastAsia="IRNazanin"/>
          <w:color w:val="111111"/>
          <w:sz w:val="28"/>
          <w:sz w:val="28"/>
          <w:szCs w:val="28"/>
          <w:rtl w:val="true"/>
          <w:lang w:bidi="fa-IR"/>
        </w:rPr>
        <w:t>على فوق الحنّاء محمول على لونه</w:t>
      </w:r>
      <w:r>
        <w:rPr>
          <w:rFonts w:eastAsia="IRNazanin" w:cs="IRNazanin"/>
          <w:color w:val="111111"/>
          <w:sz w:val="28"/>
          <w:szCs w:val="28"/>
          <w:rtl w:val="true"/>
          <w:lang w:bidi="fa-IR"/>
        </w:rPr>
        <w:t>.</w:t>
      </w:r>
    </w:p>
    <w:p>
      <w:pPr>
        <w:pStyle w:val="Heading6"/>
        <w:numPr>
          <w:ilvl w:val="5"/>
          <w:numId w:val="1"/>
        </w:numPr>
        <w:rPr/>
      </w:pPr>
      <w:bookmarkStart w:id="391" w:name="__RefHeading___Toc3732093_3804643083"/>
      <w:bookmarkStart w:id="392" w:name="_Toc152"/>
      <w:bookmarkEnd w:id="391"/>
      <w:r>
        <w:rPr>
          <w:rtl w:val="true"/>
        </w:rPr>
        <w:t>الثالث</w:t>
      </w:r>
      <w:r>
        <w:rPr>
          <w:rtl w:val="true"/>
        </w:rPr>
        <w:t>:</w:t>
      </w:r>
      <w:bookmarkEnd w:id="392"/>
    </w:p>
    <w:p>
      <w:pPr>
        <w:pStyle w:val="BookText"/>
        <w:rPr/>
      </w:pPr>
      <w:r>
        <w:rPr>
          <w:rFonts w:ascii="Amiri" w:hAnsi="Amiri" w:eastAsia="Amiri" w:cs="Amiri"/>
          <w:color w:val="111111"/>
          <w:sz w:val="28"/>
          <w:sz w:val="28"/>
          <w:szCs w:val="28"/>
          <w:rtl w:val="true"/>
          <w:lang w:bidi="ar-SA"/>
        </w:rPr>
        <w:t>جوازه بل وجوبه بنداوة الوضوء عندنا مجمع عليه، و فعل الحجج عليهم السّلام يرشد إليه، فلا يجوز بماء جديد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العامّة و الإسكافي </w:t>
      </w:r>
      <w:r>
        <w:rPr>
          <w:rStyle w:val="FootnoteAnchor"/>
          <w:rtl w:val="true"/>
        </w:rPr>
        <w:footnoteReference w:id="1122"/>
      </w:r>
      <w:r>
        <w:rPr>
          <w:rFonts w:ascii="Amiri" w:hAnsi="Amiri" w:eastAsia="Amiri" w:cs="Amiri"/>
          <w:color w:val="111111"/>
          <w:sz w:val="28"/>
          <w:sz w:val="28"/>
          <w:szCs w:val="28"/>
          <w:rtl w:val="true"/>
          <w:lang w:bidi="ar-SA"/>
        </w:rPr>
        <w:t>إيجاباً و تجويزاً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يبطله استفاضة النصوص </w:t>
      </w:r>
      <w:r>
        <w:rPr>
          <w:rStyle w:val="FootnoteAnchor"/>
          <w:rtl w:val="true"/>
        </w:rPr>
        <w:footnoteReference w:id="1123"/>
      </w:r>
      <w:r>
        <w:rPr>
          <w:rFonts w:ascii="Amiri" w:hAnsi="Amiri" w:eastAsia="Amiri" w:cs="Amiri"/>
          <w:color w:val="111111"/>
          <w:sz w:val="28"/>
          <w:sz w:val="28"/>
          <w:szCs w:val="28"/>
          <w:rtl w:val="true"/>
          <w:lang w:bidi="ar-SA"/>
        </w:rPr>
        <w:t xml:space="preserve">، و دعوى الإجماع من السيّدين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المخالفة </w:t>
      </w:r>
      <w:r>
        <w:rPr>
          <w:rStyle w:val="FootnoteAnchor"/>
          <w:rtl w:val="true"/>
        </w:rPr>
        <w:footnoteReference w:id="1125"/>
      </w:r>
      <w:r>
        <w:rPr>
          <w:rFonts w:ascii="Amiri" w:hAnsi="Amiri" w:eastAsia="Amiri" w:cs="Amiri"/>
          <w:color w:val="111111"/>
          <w:sz w:val="28"/>
          <w:sz w:val="28"/>
          <w:szCs w:val="28"/>
          <w:rtl w:val="true"/>
          <w:lang w:bidi="ar-SA"/>
        </w:rPr>
        <w:t>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أخذ البلّة لا يختصّ بالشعر، و لا بحال النسيان أو جفاف اليد؛ لإطلاق الأمر، و صدق الامتثال، و التخصيص في بعض النصوص </w:t>
      </w:r>
      <w:r>
        <w:rPr>
          <w:rStyle w:val="FootnoteAnchor"/>
          <w:rtl w:val="true"/>
        </w:rPr>
        <w:footnoteReference w:id="1126"/>
      </w:r>
      <w:r>
        <w:rPr>
          <w:rFonts w:ascii="IRNazanin" w:hAnsi="IRNazanin" w:eastAsia="IRNazanin"/>
          <w:color w:val="111111"/>
          <w:sz w:val="28"/>
          <w:sz w:val="28"/>
          <w:szCs w:val="28"/>
          <w:rtl w:val="true"/>
          <w:lang w:bidi="fa-IR"/>
        </w:rPr>
        <w:t xml:space="preserve">و الفتاوى </w:t>
      </w:r>
      <w:r>
        <w:rPr>
          <w:rStyle w:val="FootnoteAnchor"/>
          <w:rtl w:val="true"/>
        </w:rPr>
        <w:footnoteReference w:id="1127"/>
      </w:r>
      <w:r>
        <w:rPr>
          <w:rFonts w:ascii="Amiri" w:hAnsi="Amiri" w:eastAsia="Amiri" w:cs="Amiri"/>
          <w:color w:val="111111"/>
          <w:sz w:val="28"/>
          <w:sz w:val="28"/>
          <w:szCs w:val="28"/>
          <w:rtl w:val="true"/>
          <w:lang w:bidi="ar-SA"/>
        </w:rPr>
        <w:t>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أخذها من مسترسل اللحية؛ للأصل و إطلاق الأدلّة و صدق المناط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اللازم كونها من الغسلتين الأُوليين دون الثالثة؛ لأنّها بدعة محرّمة، فما يوجد منها كماء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bookmarkStart w:id="393" w:name="pg2479_11626"/>
    </w:p>
    <w:p>
      <w:pPr>
        <w:pStyle w:val="Heading6"/>
        <w:numPr>
          <w:ilvl w:val="5"/>
          <w:numId w:val="1"/>
        </w:numPr>
        <w:rPr/>
      </w:pPr>
      <w:bookmarkStart w:id="394" w:name="__RefHeading___Toc3732095_3804643083"/>
      <w:bookmarkStart w:id="395" w:name="_Toc153"/>
      <w:bookmarkEnd w:id="393"/>
      <w:bookmarkEnd w:id="394"/>
      <w:r>
        <w:rPr>
          <w:rtl w:val="true"/>
        </w:rPr>
        <w:t>الرابع</w:t>
      </w:r>
      <w:r>
        <w:rPr>
          <w:rtl w:val="true"/>
        </w:rPr>
        <w:t>:</w:t>
      </w:r>
      <w:bookmarkEnd w:id="395"/>
    </w:p>
    <w:p>
      <w:pPr>
        <w:pStyle w:val="BookText"/>
        <w:rPr/>
      </w:pPr>
      <w:r>
        <w:rPr>
          <w:rFonts w:ascii="Amiri" w:hAnsi="Amiri" w:eastAsia="Amiri" w:cs="Amiri"/>
          <w:color w:val="111111"/>
          <w:sz w:val="28"/>
          <w:sz w:val="28"/>
          <w:szCs w:val="28"/>
          <w:rtl w:val="true"/>
          <w:lang w:bidi="ar-SA"/>
        </w:rPr>
        <w:t xml:space="preserve">المستفاد من الصحيح </w:t>
      </w:r>
      <w:r>
        <w:rPr>
          <w:rStyle w:val="FootnoteAnchor"/>
          <w:rtl w:val="true"/>
        </w:rPr>
        <w:footnoteReference w:id="1129"/>
      </w:r>
      <w:r>
        <w:rPr>
          <w:rFonts w:ascii="Amiri" w:hAnsi="Amiri" w:eastAsia="Amiri" w:cs="Amiri"/>
          <w:color w:val="111111"/>
          <w:sz w:val="28"/>
          <w:sz w:val="28"/>
          <w:szCs w:val="28"/>
          <w:rtl w:val="true"/>
          <w:lang w:bidi="ar-SA"/>
        </w:rPr>
        <w:t>كون مسح الناصية و اليمنى باليمنى، و اليسرى باليسرى، و كأنّه محمول على الندب؛ لإطلاق الفتاوىٰ و النصوص</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3732097_3804643083"/>
      <w:bookmarkStart w:id="397" w:name="_Toc154"/>
      <w:bookmarkEnd w:id="396"/>
      <w:r>
        <w:rPr>
          <w:rtl w:val="true"/>
        </w:rPr>
        <w:t>الخامس</w:t>
      </w:r>
      <w:r>
        <w:rPr>
          <w:rtl w:val="true"/>
        </w:rPr>
        <w:t>:</w:t>
      </w:r>
      <w:bookmarkEnd w:id="397"/>
    </w:p>
    <w:p>
      <w:pPr>
        <w:pStyle w:val="BookText"/>
        <w:rPr/>
      </w:pP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بالرطوبة، فلو رفعها بعد الوضع بدونه لم يصحّ</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3732099_3804643083"/>
      <w:bookmarkStart w:id="399" w:name="_Toc155"/>
      <w:bookmarkEnd w:id="398"/>
      <w:r>
        <w:rPr>
          <w:rtl w:val="true"/>
        </w:rPr>
        <w:t>السادس</w:t>
      </w:r>
      <w:r>
        <w:rPr>
          <w:rtl w:val="true"/>
        </w:rPr>
        <w:t>:</w:t>
      </w:r>
      <w:bookmarkEnd w:id="399"/>
    </w:p>
    <w:p>
      <w:pPr>
        <w:pStyle w:val="BookText"/>
        <w:rPr/>
      </w:pPr>
      <w:r>
        <w:rPr>
          <w:rFonts w:ascii="Amiri" w:hAnsi="Amiri" w:eastAsia="Amiri" w:cs="Amiri"/>
          <w:color w:val="111111"/>
          <w:sz w:val="28"/>
          <w:sz w:val="28"/>
          <w:szCs w:val="28"/>
          <w:rtl w:val="true"/>
          <w:lang w:bidi="ar-SA"/>
        </w:rPr>
        <w:t>لو تعذّر المسح بالبقيّة لإفراط الحرّ أو قلّة الماء، فإن أمكنه إبقاء جزء من اليسرى و غمسه فيه أو إكثار صبّه عليه وجب، و إلّا مسح بالجديد وفاقاً؛ لنفي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بالانتقال إلى التيمّم </w:t>
      </w:r>
      <w:r>
        <w:rPr>
          <w:rStyle w:val="FootnoteAnchor"/>
          <w:rtl w:val="true"/>
        </w:rPr>
        <w:footnoteReference w:id="1130"/>
      </w:r>
      <w:r>
        <w:rPr>
          <w:rFonts w:ascii="Amiri" w:hAnsi="Amiri" w:eastAsia="Amiri" w:cs="Amiri"/>
          <w:color w:val="111111"/>
          <w:sz w:val="28"/>
          <w:sz w:val="28"/>
          <w:szCs w:val="28"/>
          <w:rtl w:val="true"/>
          <w:lang w:bidi="ar-SA"/>
        </w:rPr>
        <w:t>، فيبقى عموم النهي عن الاستئناف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عموم الأمر بالمسح، و تخصيص الأوّل به أولى من العكس؛ لاعتضاده بالإجماع، و لزوم التخصيص في العمومين معارض بزيادته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3732101_3804643083"/>
      <w:bookmarkStart w:id="401" w:name="_Toc156"/>
      <w:bookmarkEnd w:id="400"/>
      <w:r>
        <w:rPr>
          <w:rtl w:val="true"/>
        </w:rPr>
        <w:t>السابع</w:t>
      </w:r>
      <w:r>
        <w:rPr>
          <w:rtl w:val="true"/>
        </w:rPr>
        <w:t>:</w:t>
      </w:r>
      <w:bookmarkEnd w:id="401"/>
    </w:p>
    <w:p>
      <w:pPr>
        <w:pStyle w:val="BookText"/>
        <w:rPr/>
      </w:pPr>
      <w:r>
        <w:rPr>
          <w:rFonts w:ascii="Amiri" w:hAnsi="Amiri" w:eastAsia="Amiri" w:cs="Amiri"/>
          <w:color w:val="111111"/>
          <w:sz w:val="28"/>
          <w:sz w:val="28"/>
          <w:szCs w:val="28"/>
          <w:rtl w:val="true"/>
          <w:lang w:bidi="ar-SA"/>
        </w:rPr>
        <w:t xml:space="preserve">المسح بباطن اليد إن أمكن، و إلّا فبظاهره؛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يترك بالمعسور</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و لقوله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ما استطعتم</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تعذّره فبالذراع كما صرّح به الشهيد </w:t>
      </w:r>
      <w:r>
        <w:rPr>
          <w:rStyle w:val="FootnoteAnchor"/>
          <w:rtl w:val="true"/>
        </w:rPr>
        <w:footnoteReference w:id="1134"/>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الانتقال إلى التيمّم باطل؛ إذ لا ينتقل من الأقوىٰ إلى الأضعف و من الأقرب إلى الأصل إلى الأبعد</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3732103_3804643083"/>
      <w:bookmarkStart w:id="403" w:name="_Toc157"/>
      <w:bookmarkEnd w:id="402"/>
      <w:r>
        <w:rPr>
          <w:rtl w:val="true"/>
        </w:rPr>
        <w:t>الثامن</w:t>
      </w:r>
      <w:r>
        <w:rPr>
          <w:rtl w:val="true"/>
        </w:rPr>
        <w:t>:</w:t>
      </w:r>
      <w:bookmarkEnd w:id="40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 جميع الرأس لا يستحبّ عندنا بالإجماع و الظواهر، و في كونه مبطلًا أو محرّماً أو مكروهاً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للإسكافي و الشيخ و الشهيد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bookmarkStart w:id="404" w:name="pg2479_11627"/>
    </w:p>
    <w:p>
      <w:pPr>
        <w:pStyle w:val="BookText"/>
        <w:rPr/>
      </w:pPr>
      <w:bookmarkEnd w:id="404"/>
      <w:r>
        <w:rPr>
          <w:rFonts w:ascii="Amiri" w:hAnsi="Amiri" w:eastAsia="Amiri" w:cs="Amiri"/>
          <w:color w:val="111111"/>
          <w:sz w:val="28"/>
          <w:sz w:val="28"/>
          <w:szCs w:val="28"/>
          <w:rtl w:val="true"/>
          <w:lang w:bidi="ar-SA"/>
        </w:rPr>
        <w:t>و إبطاله الوضوء أو القدر الواجب منه لا وجه له، و إن اعتقد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تحريمه مع اعتقاد الشرعيّة كعدمه مع عدمه ممّا لا ريب فيه، فتبطل الثالث و إطلاق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الثاني مع اعتقاد الشرعيّة،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المسح مقدّم الرأس، و هو من قصاصه إلى فوقه، فيخرج منه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الأصلع و الأغمّ يرجعان إلى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كونه باليد على البشرة، فلا يجزئ بغيرها، و لا بالتقاطر، و لا على حائل و إن لم يمنع الوصول؛ لمخالفة المعهود، و دلالة الباء على اللصوق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التمسّح بخرقة في اليد إلّا لضرورة الحرج، على الأصحّ</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732105_3804643083"/>
      <w:bookmarkStart w:id="406" w:name="_Toc158"/>
      <w:bookmarkEnd w:id="405"/>
      <w:r>
        <w:rPr>
          <w:rtl w:val="true"/>
        </w:rPr>
        <w:t>التاسع</w:t>
      </w:r>
      <w:r>
        <w:rPr>
          <w:rtl w:val="true"/>
        </w:rPr>
        <w:t>:</w:t>
      </w:r>
      <w:bookmarkEnd w:id="406"/>
    </w:p>
    <w:p>
      <w:pPr>
        <w:pStyle w:val="BookText"/>
        <w:rPr/>
      </w:pPr>
      <w:r>
        <w:rPr>
          <w:rFonts w:ascii="Amiri" w:hAnsi="Amiri" w:eastAsia="Amiri" w:cs="Amiri"/>
          <w:color w:val="111111"/>
          <w:sz w:val="28"/>
          <w:sz w:val="28"/>
          <w:szCs w:val="28"/>
          <w:rtl w:val="true"/>
          <w:lang w:bidi="ar-SA"/>
        </w:rPr>
        <w:t>حصول الغسل بغمس العضو مجمع عليه، و إطلاق الأدلّة كصدق الامتثال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إيجاب الإسكافي إمرار اليد فيه </w:t>
      </w:r>
      <w:r>
        <w:rPr>
          <w:rStyle w:val="FootnoteAnchor"/>
          <w:rtl w:val="true"/>
        </w:rPr>
        <w:footnoteReference w:id="1136"/>
      </w:r>
      <w:r>
        <w:rPr>
          <w:rFonts w:ascii="Amiri" w:hAnsi="Amiri" w:eastAsia="Amiri" w:cs="Amiri"/>
          <w:color w:val="111111"/>
          <w:sz w:val="28"/>
          <w:sz w:val="28"/>
          <w:szCs w:val="28"/>
          <w:rtl w:val="true"/>
          <w:lang w:bidi="ar-SA"/>
        </w:rPr>
        <w:t>لا عبرة به، فيجوز التمسّح ببلّته مع إخراجه بعد الغسل بلا فصل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مطلقاً لإيجابه بقائه في الماء بعده آناً </w:t>
      </w:r>
      <w:r>
        <w:rPr>
          <w:rStyle w:val="FootnoteAnchor"/>
          <w:rtl w:val="true"/>
        </w:rPr>
        <w:footnoteReference w:id="113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732107_3804643083"/>
      <w:bookmarkStart w:id="408" w:name="_Toc159"/>
      <w:bookmarkEnd w:id="407"/>
      <w:r>
        <w:rPr>
          <w:rtl w:val="true"/>
        </w:rPr>
        <w:t>العاشر</w:t>
      </w:r>
      <w:r>
        <w:rPr>
          <w:rtl w:val="true"/>
        </w:rPr>
        <w:t>:</w:t>
      </w:r>
      <w:bookmarkEnd w:id="408"/>
    </w:p>
    <w:p>
      <w:pPr>
        <w:pStyle w:val="BookText"/>
        <w:rPr/>
      </w:pPr>
      <w:r>
        <w:rPr>
          <w:rFonts w:ascii="Amiri" w:hAnsi="Amiri" w:eastAsia="Amiri" w:cs="Amiri"/>
          <w:color w:val="111111"/>
          <w:sz w:val="28"/>
          <w:sz w:val="28"/>
          <w:szCs w:val="28"/>
          <w:rtl w:val="true"/>
          <w:lang w:bidi="ar-SA"/>
        </w:rPr>
        <w:t xml:space="preserve">الحقّ عدم صحّة المسح مع بلّة الممسوح مطلقاً، وفاقاً للفاضل و والده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للأكثر مطلقاً، و للشهيد </w:t>
      </w:r>
      <w:r>
        <w:rPr>
          <w:rStyle w:val="FootnoteAnchor"/>
          <w:rtl w:val="true"/>
        </w:rPr>
        <w:footnoteReference w:id="1139"/>
      </w:r>
      <w:r>
        <w:rPr>
          <w:rFonts w:ascii="Amiri" w:hAnsi="Amiri" w:eastAsia="Amiri" w:cs="Amiri"/>
          <w:color w:val="111111"/>
          <w:sz w:val="28"/>
          <w:sz w:val="28"/>
          <w:szCs w:val="28"/>
          <w:rtl w:val="true"/>
          <w:lang w:bidi="ar-SA"/>
        </w:rPr>
        <w:t>مع أغلبية بلّة الماسح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الاستصحاب و فعل الحجج عليهم السّلام كون البلّة من الماء الجديد، فلا يجوز التمسّح به، و الضرورة قاضية بعدم الفرق بين المزج بالصب و المزج بوضع</w:t>
      </w:r>
      <w:bookmarkStart w:id="409" w:name="pg2479_11628"/>
    </w:p>
    <w:p>
      <w:pPr>
        <w:pStyle w:val="BookText"/>
        <w:rPr/>
      </w:pPr>
      <w:bookmarkEnd w:id="409"/>
      <w:r>
        <w:rPr>
          <w:rFonts w:ascii="Amiri" w:hAnsi="Amiri" w:eastAsia="Amiri" w:cs="Amiri"/>
          <w:color w:val="111111"/>
          <w:sz w:val="28"/>
          <w:sz w:val="28"/>
          <w:szCs w:val="28"/>
          <w:rtl w:val="true"/>
          <w:lang w:bidi="ar-SA"/>
        </w:rPr>
        <w:t>اليد على البلّة، فعدم صدق المسح بالبقيّة في الثاني كما في الأوّل ممّا لا ريب فيه؛ إذ المسح بالمركّب غير المسح بجزئه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استهلكت لم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صدق الامتثال، و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المسح بالبقيّة مع الغلبة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لا يصار إليه إلّا بالقرينة، فمناط الصحّة الاستهلاك دون الأقليّة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732109_3804643083"/>
      <w:bookmarkStart w:id="411" w:name="_Toc160"/>
      <w:bookmarkEnd w:id="410"/>
      <w:r>
        <w:rPr>
          <w:rtl w:val="true"/>
        </w:rPr>
        <w:t>الحادي عشر</w:t>
      </w:r>
      <w:r>
        <w:rPr>
          <w:rtl w:val="true"/>
        </w:rPr>
        <w:t>:</w:t>
      </w:r>
      <w:bookmarkEnd w:id="411"/>
    </w:p>
    <w:p>
      <w:pPr>
        <w:pStyle w:val="BookText"/>
        <w:rPr/>
      </w:pPr>
      <w:r>
        <w:rPr>
          <w:rFonts w:ascii="Amiri" w:hAnsi="Amiri" w:eastAsia="Amiri" w:cs="Amiri"/>
          <w:color w:val="111111"/>
          <w:sz w:val="28"/>
          <w:sz w:val="28"/>
          <w:szCs w:val="28"/>
          <w:rtl w:val="true"/>
          <w:lang w:bidi="ar-SA"/>
        </w:rPr>
        <w:t>الغسل لا يجزئ عن المسح، و وجهه ظاهر، إلّا اليسير المجامع له، فإنّ النسبة بينهما بالعموم من وجه، فمادّة الاجتماع تجزئ عن كلّ منهما، و وجود الآخر لا ينافيه</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732111_3804643083"/>
      <w:bookmarkStart w:id="413" w:name="_Toc161"/>
      <w:bookmarkEnd w:id="412"/>
      <w:r>
        <w:rPr>
          <w:rtl w:val="true"/>
        </w:rPr>
        <w:t>الخامس</w:t>
      </w:r>
      <w:r>
        <w:rPr>
          <w:rtl w:val="true"/>
        </w:rPr>
        <w:t xml:space="preserve">: </w:t>
      </w:r>
      <w:r>
        <w:rPr>
          <w:rtl w:val="true"/>
        </w:rPr>
        <w:t>مسح الرجلين</w:t>
      </w:r>
      <w:r>
        <w:rPr>
          <w:rtl w:val="true"/>
        </w:rPr>
        <w:t>:</w:t>
      </w:r>
      <w:bookmarkEnd w:id="413"/>
    </w:p>
    <w:p>
      <w:pPr>
        <w:pStyle w:val="Heading6"/>
        <w:numPr>
          <w:ilvl w:val="5"/>
          <w:numId w:val="1"/>
        </w:numPr>
        <w:rPr/>
      </w:pPr>
      <w:bookmarkStart w:id="414" w:name="__RefHeading___Toc3732113_3804643083"/>
      <w:bookmarkStart w:id="415" w:name="_Toc162"/>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و وجوبه ثابت عندنا بالإجماع، و ظاهر الكتاب </w:t>
      </w:r>
      <w:r>
        <w:rPr>
          <w:rStyle w:val="FootnoteAnchor"/>
          <w:rtl w:val="true"/>
        </w:rPr>
        <w:footnoteReference w:id="1141"/>
      </w:r>
      <w:r>
        <w:rPr>
          <w:rFonts w:ascii="Amiri" w:hAnsi="Amiri" w:eastAsia="Amiri" w:cs="Amiri"/>
          <w:color w:val="111111"/>
          <w:sz w:val="28"/>
          <w:sz w:val="28"/>
          <w:szCs w:val="28"/>
          <w:rtl w:val="true"/>
          <w:lang w:bidi="ar-SA"/>
        </w:rPr>
        <w:t xml:space="preserve">، و صريح النصوص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العامّة بغسلهما </w:t>
      </w:r>
      <w:r>
        <w:rPr>
          <w:rStyle w:val="FootnoteAnchor"/>
          <w:rtl w:val="true"/>
        </w:rPr>
        <w:footnoteReference w:id="1143"/>
      </w:r>
      <w:r>
        <w:rPr>
          <w:rFonts w:ascii="Amiri" w:hAnsi="Amiri" w:eastAsia="Amiri" w:cs="Amiri"/>
          <w:color w:val="111111"/>
          <w:sz w:val="28"/>
          <w:sz w:val="28"/>
          <w:szCs w:val="28"/>
          <w:rtl w:val="true"/>
          <w:lang w:bidi="ar-SA"/>
        </w:rPr>
        <w:t xml:space="preserve">باطل، و الأخبار الواردة بمسحهما </w:t>
      </w:r>
      <w:r>
        <w:rPr>
          <w:rStyle w:val="FootnoteAnchor"/>
          <w:rtl w:val="true"/>
        </w:rPr>
        <w:footnoteReference w:id="1144"/>
      </w:r>
      <w:r>
        <w:rPr>
          <w:rFonts w:ascii="Amiri" w:hAnsi="Amiri" w:eastAsia="Amiri" w:cs="Amiri"/>
          <w:color w:val="111111"/>
          <w:sz w:val="28"/>
          <w:sz w:val="28"/>
          <w:szCs w:val="28"/>
          <w:rtl w:val="true"/>
          <w:lang w:bidi="ar-SA"/>
        </w:rPr>
        <w:t xml:space="preserve">من طرقهم كثيرة، و المخالفة لها منها عندنا غير ثابتة، و من طريقنا </w:t>
      </w:r>
      <w:r>
        <w:rPr>
          <w:rStyle w:val="FootnoteAnchor"/>
          <w:rtl w:val="true"/>
        </w:rPr>
        <w:footnoteReference w:id="1145"/>
      </w:r>
      <w:r>
        <w:rPr>
          <w:rFonts w:ascii="Amiri" w:hAnsi="Amiri" w:eastAsia="Amiri" w:cs="Amiri"/>
          <w:color w:val="111111"/>
          <w:sz w:val="28"/>
          <w:sz w:val="28"/>
          <w:szCs w:val="28"/>
          <w:rtl w:val="true"/>
          <w:lang w:bidi="ar-SA"/>
        </w:rPr>
        <w:t>محمولة على التقيّة</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3732115_3804643083"/>
      <w:bookmarkStart w:id="417" w:name="_Toc163"/>
      <w:bookmarkEnd w:id="416"/>
      <w:r>
        <w:rPr>
          <w:rtl w:val="true"/>
        </w:rPr>
        <w:t>فروع</w:t>
      </w:r>
      <w:r>
        <w:rPr>
          <w:rtl w:val="true"/>
        </w:rPr>
        <w:t>:</w:t>
      </w:r>
      <w:bookmarkEnd w:id="417"/>
    </w:p>
    <w:p>
      <w:pPr>
        <w:pStyle w:val="Heading6"/>
        <w:numPr>
          <w:ilvl w:val="5"/>
          <w:numId w:val="1"/>
        </w:numPr>
        <w:rPr/>
      </w:pPr>
      <w:bookmarkStart w:id="418" w:name="__RefHeading___Toc3732117_3804643083"/>
      <w:bookmarkStart w:id="419" w:name="_Toc164"/>
      <w:bookmarkEnd w:id="418"/>
      <w:r>
        <w:rPr>
          <w:rtl w:val="true"/>
        </w:rPr>
        <w:t>الأوّل</w:t>
      </w:r>
      <w:r>
        <w:rPr>
          <w:rtl w:val="true"/>
        </w:rPr>
        <w:t>:</w:t>
      </w:r>
      <w:bookmarkEnd w:id="41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المسح ظاهر القدم، دون باطنه، بالإجماع، و المستفيضة </w:t>
      </w:r>
      <w:r>
        <w:rPr>
          <w:rStyle w:val="FootnoteAnchor"/>
          <w:rtl w:val="true"/>
        </w:rPr>
        <w:footnoteReference w:id="1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إطلاق الآية </w:t>
      </w:r>
      <w:r>
        <w:rPr>
          <w:rStyle w:val="FootnoteAnchor"/>
          <w:rtl w:val="true"/>
        </w:rPr>
        <w:footnoteReference w:id="1147"/>
      </w:r>
      <w:r>
        <w:rPr>
          <w:rFonts w:ascii="Amiri" w:hAnsi="Amiri" w:eastAsia="Amiri" w:cs="Amiri"/>
          <w:color w:val="111111"/>
          <w:sz w:val="28"/>
          <w:sz w:val="28"/>
          <w:szCs w:val="28"/>
          <w:rtl w:val="true"/>
          <w:lang w:bidi="ar-SA"/>
        </w:rPr>
        <w:t>و بعض الأخبار مقيّد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مسحهما </w:t>
      </w:r>
      <w:r>
        <w:rPr>
          <w:rStyle w:val="FootnoteAnchor"/>
          <w:rtl w:val="true"/>
        </w:rPr>
        <w:footnoteReference w:id="1148"/>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كإطلاق الأدلّة يعطي جواز المسح على الشعر ما لم يكثر بحيث يخرج عن المعتاد، و كأنّ تخصيص الأكثر محلّه بالبشرة بعد تعميمهم في مسح الرأس للاحتراز عن مثل الخفّ دون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فيه الاستيعاب عرضاً، بالإجماع، و الإطلاقات، و صريح المعتبرة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في الصحيحين </w:t>
      </w:r>
      <w:r>
        <w:rPr>
          <w:rStyle w:val="FootnoteAnchor"/>
          <w:rtl w:val="true"/>
        </w:rPr>
        <w:footnoteReference w:id="1150"/>
      </w:r>
      <w:r>
        <w:rPr>
          <w:rFonts w:ascii="Amiri" w:hAnsi="Amiri" w:eastAsia="Amiri" w:cs="Amiri"/>
          <w:color w:val="111111"/>
          <w:sz w:val="28"/>
          <w:sz w:val="28"/>
          <w:szCs w:val="28"/>
          <w:rtl w:val="true"/>
          <w:lang w:bidi="ar-SA"/>
        </w:rPr>
        <w:t>محمول على الندب جمعاً، و تقيّدها بهما باطل؛ لفقد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المشهور كفاية المسمّى و لو بإصبع واحدة أو بعضها؛ لما مرّ، فلا يجب كونه بثلاث مضمومة، كما قيل </w:t>
      </w:r>
      <w:r>
        <w:rPr>
          <w:rStyle w:val="FootnoteAnchor"/>
          <w:rtl w:val="true"/>
        </w:rPr>
        <w:footnoteReference w:id="1151"/>
      </w:r>
      <w:r>
        <w:rPr>
          <w:rFonts w:ascii="IRNazanin" w:hAnsi="IRNazanin" w:eastAsia="IRNazanin"/>
          <w:color w:val="111111"/>
          <w:sz w:val="28"/>
          <w:sz w:val="28"/>
          <w:szCs w:val="28"/>
          <w:rtl w:val="true"/>
          <w:lang w:bidi="fa-IR"/>
        </w:rPr>
        <w:t xml:space="preserve">، و الخبر </w:t>
      </w:r>
      <w:r>
        <w:rPr>
          <w:rStyle w:val="FootnoteAnchor"/>
          <w:rtl w:val="true"/>
        </w:rPr>
        <w:footnoteReference w:id="1152"/>
      </w:r>
      <w:r>
        <w:rPr>
          <w:rFonts w:ascii="IRNazanin" w:hAnsi="IRNazanin" w:eastAsia="IRNazanin"/>
          <w:color w:val="111111"/>
          <w:sz w:val="28"/>
          <w:sz w:val="28"/>
          <w:szCs w:val="28"/>
          <w:rtl w:val="true"/>
          <w:lang w:bidi="fa-IR"/>
        </w:rPr>
        <w:t>محمول على الندب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طولًا من رؤوس الأصابع إلى الكعب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قبّة القدم وفاقاً للمعظم، لا المفصل بين الساق و القدم أو العظم الواقع بينهما، كالفاضل و بعض الثالثة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الأشهريّة في اللغة </w:t>
      </w:r>
      <w:r>
        <w:rPr>
          <w:rStyle w:val="FootnoteAnchor"/>
          <w:rtl w:val="true"/>
        </w:rPr>
        <w:footnoteReference w:id="1154"/>
      </w:r>
      <w:r>
        <w:rPr>
          <w:rFonts w:ascii="Amiri" w:hAnsi="Amiri" w:eastAsia="Amiri" w:cs="Amiri"/>
          <w:color w:val="111111"/>
          <w:sz w:val="28"/>
          <w:sz w:val="28"/>
          <w:szCs w:val="28"/>
          <w:rtl w:val="true"/>
          <w:lang w:bidi="ar-SA"/>
        </w:rPr>
        <w:t>، و المناسبة لمأخذ الاشتقاق، و الوفاق المحقّق</w:t>
      </w:r>
    </w:p>
    <w:p>
      <w:pPr>
        <w:pStyle w:val="BookText"/>
        <w:rPr/>
      </w:pPr>
      <w:r>
        <w:rPr>
          <w:rFonts w:ascii="Amiri" w:hAnsi="Amiri" w:eastAsia="Amiri" w:cs="Amiri"/>
          <w:color w:val="111111"/>
          <w:sz w:val="28"/>
          <w:sz w:val="28"/>
          <w:szCs w:val="28"/>
          <w:rtl w:val="true"/>
          <w:lang w:bidi="ar-SA"/>
        </w:rPr>
        <w:t xml:space="preserve">و المحكي من كبراء الأصحاب، و المستفيضة الصريحة و الظاهرة </w:t>
      </w:r>
      <w:r>
        <w:rPr>
          <w:rStyle w:val="FootnoteAnchor"/>
          <w:rtl w:val="true"/>
        </w:rPr>
        <w:footnoteReference w:id="1155"/>
      </w:r>
      <w:r>
        <w:rPr>
          <w:rFonts w:ascii="IRNazanin" w:hAnsi="IRNazanin" w:eastAsia="IRNazanin"/>
          <w:color w:val="111111"/>
          <w:sz w:val="28"/>
          <w:sz w:val="28"/>
          <w:szCs w:val="28"/>
          <w:rtl w:val="true"/>
          <w:lang w:bidi="fa-IR"/>
        </w:rPr>
        <w:t>، و ردّ بعضها بالصرف عن الظاهر تعسّف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 و الحسن </w:t>
      </w:r>
      <w:r>
        <w:rPr>
          <w:rStyle w:val="FootnoteAnchor"/>
          <w:rtl w:val="true"/>
        </w:rPr>
        <w:footnoteReference w:id="1156"/>
      </w:r>
      <w:r>
        <w:rPr>
          <w:rFonts w:ascii="Amiri" w:hAnsi="Amiri" w:eastAsia="Amiri" w:cs="Amiri"/>
          <w:color w:val="111111"/>
          <w:sz w:val="28"/>
          <w:sz w:val="28"/>
          <w:szCs w:val="28"/>
          <w:rtl w:val="true"/>
          <w:lang w:bidi="ar-SA"/>
        </w:rPr>
        <w:t>، و ردّ بمنع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فأين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التحديد هنا على أصله من كونه للمسح دون الممسوح للتبادر؛ إذ الظاهر من تحديد فعل من مبدإ إلى غاية كونه لنفس الفعل دون المفعول، و يلزمه الاستيعاب و البدأة من المبدأ و الختم بالغاية، و التخلّف في الغسل لازم في الثاني بالتعاكس للمعارض، فأوّل اللازمين لازم في التحديدين، و إنّما الفرق بينهما في ثانيهما لو لم يجوّز النكس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جوّز نظراً إلى بعض الأخبار لم يبق بينهما فرق إلّا أنّ التخلّف عن الأصل في أحد اللازمين للمعارض لا يوجب التخلّف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الاحتجاج به على كون التحديد للممسوح و عدم وجوب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كونه له، فاللازم انتفاء الثاني دون الأوّل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فلا يكفي التمسّح في التحديد الثاني بجزء بين الحدّين و إن ابتدأ من</w:t>
      </w:r>
      <w:bookmarkStart w:id="420" w:name="pg2479_11631"/>
    </w:p>
    <w:p>
      <w:pPr>
        <w:pStyle w:val="BookText"/>
        <w:rPr/>
      </w:pPr>
      <w:bookmarkEnd w:id="420"/>
      <w:r>
        <w:rPr>
          <w:rFonts w:ascii="Amiri" w:hAnsi="Amiri" w:eastAsia="Amiri" w:cs="Amiri"/>
          <w:color w:val="111111"/>
          <w:sz w:val="28"/>
          <w:sz w:val="28"/>
          <w:szCs w:val="28"/>
          <w:rtl w:val="true"/>
          <w:lang w:bidi="ar-SA"/>
        </w:rPr>
        <w:t>أحدهما أو انتهى إلى الآخر، فتوهّم كفايته لكونه للمفعول كالأوّل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الآية و بعض الظواهر كالصحيحين و الحسن </w:t>
      </w:r>
      <w:r>
        <w:rPr>
          <w:rStyle w:val="FootnoteAnchor"/>
          <w:rtl w:val="true"/>
        </w:rPr>
        <w:footnoteReference w:id="1157"/>
      </w:r>
      <w:r>
        <w:rPr>
          <w:rFonts w:ascii="Amiri" w:hAnsi="Amiri" w:eastAsia="Amiri" w:cs="Amiri"/>
          <w:color w:val="111111"/>
          <w:sz w:val="28"/>
          <w:sz w:val="28"/>
          <w:szCs w:val="28"/>
          <w:rtl w:val="true"/>
          <w:lang w:bidi="ar-SA"/>
        </w:rPr>
        <w:t xml:space="preserve">، ظاهر الوفاق المحقّق و المحكي من الفاضل و الشهيد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بعضهم مع ترجيحه المختار بالقوّة أو الاحتياط لا يقدح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إلىٰ بمعنى مع مخصوص بالأُولىٰ، و لو عمّ الثانية اندفع به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التحديد للمسح لم يفد أزيد من المسح على البعض المنتهى إلى الكعبين؛ لكون الباء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به أوجب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فمع كون الباء للتبعيض و جرّ الرجلين لا بدّ أن يخصّص التبعيض بالعرض و ما ينفي الاستيعاب؛ لظاهر الصحيح و الحسن، و الخبر </w:t>
      </w:r>
      <w:r>
        <w:rPr>
          <w:rStyle w:val="FootnoteAnchor"/>
          <w:rtl w:val="true"/>
        </w:rPr>
        <w:footnoteReference w:id="1159"/>
      </w:r>
      <w:r>
        <w:rPr>
          <w:rFonts w:ascii="Amiri" w:hAnsi="Amiri" w:eastAsia="Amiri" w:cs="Amiri"/>
          <w:color w:val="111111"/>
          <w:sz w:val="28"/>
          <w:sz w:val="28"/>
          <w:szCs w:val="28"/>
          <w:rtl w:val="true"/>
          <w:lang w:bidi="ar-SA"/>
        </w:rPr>
        <w:t>مؤوّل أو مخصّص بالعرض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حكم الكعب في دخوله في المسح و عدمه كالمرفق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الدخول يرتفع الخلاف بين الفاضل و الجماعة؛ لأنّه يبتدئ من العظم الثاني و ينتهي إلى المفصل</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3732119_3804643083"/>
      <w:bookmarkStart w:id="422" w:name="_Toc165"/>
      <w:bookmarkEnd w:id="421"/>
      <w:r>
        <w:rPr>
          <w:rtl w:val="true"/>
        </w:rPr>
        <w:t>الثاني</w:t>
      </w:r>
      <w:r>
        <w:rPr>
          <w:rtl w:val="true"/>
        </w:rPr>
        <w:t>:</w:t>
      </w:r>
      <w:bookmarkEnd w:id="422"/>
    </w:p>
    <w:p>
      <w:pPr>
        <w:pStyle w:val="BookText"/>
        <w:rPr/>
      </w:pPr>
      <w:r>
        <w:rPr>
          <w:rFonts w:ascii="Amiri" w:hAnsi="Amiri" w:eastAsia="Amiri" w:cs="Amiri"/>
          <w:color w:val="111111"/>
          <w:sz w:val="28"/>
          <w:sz w:val="28"/>
          <w:szCs w:val="28"/>
          <w:rtl w:val="true"/>
          <w:lang w:bidi="ar-SA"/>
        </w:rPr>
        <w:t xml:space="preserve">الحقّ جواز النكس فيهما، وفاقاً للمشهور؛ للإطلاقات، و خصوص الصحيحين، و الخبر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خلافاً للحلّي </w:t>
      </w:r>
      <w:r>
        <w:rPr>
          <w:rStyle w:val="FootnoteAnchor"/>
          <w:rtl w:val="true"/>
        </w:rPr>
        <w:footnoteReference w:id="1161"/>
      </w:r>
      <w:r>
        <w:rPr>
          <w:rFonts w:ascii="IRNazanin" w:hAnsi="IRNazanin" w:eastAsia="IRNazanin"/>
          <w:color w:val="111111"/>
          <w:sz w:val="28"/>
          <w:sz w:val="28"/>
          <w:szCs w:val="28"/>
          <w:rtl w:val="true"/>
          <w:lang w:bidi="fa-IR"/>
        </w:rPr>
        <w:t xml:space="preserve">، و ظاهر الصدوق و المرتضىٰ </w:t>
      </w:r>
      <w:r>
        <w:rPr>
          <w:rStyle w:val="FootnoteAnchor"/>
          <w:rtl w:val="true"/>
        </w:rPr>
        <w:footnoteReference w:id="1162"/>
      </w:r>
      <w:r>
        <w:rPr>
          <w:rFonts w:ascii="Amiri" w:hAnsi="Amiri" w:eastAsia="Amiri" w:cs="Amiri"/>
          <w:color w:val="111111"/>
          <w:sz w:val="28"/>
          <w:sz w:val="28"/>
          <w:szCs w:val="28"/>
          <w:rtl w:val="true"/>
          <w:lang w:bidi="ar-SA"/>
        </w:rPr>
        <w:t xml:space="preserve">لفعل الحجج عليهم السّلام و ظاهر الآية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بالحمل على الندب، و بيان الكمّية دون الكيفيّة جمعاً</w:t>
      </w:r>
      <w:r>
        <w:rPr>
          <w:rFonts w:eastAsia="Amiri" w:cs="Amiri" w:ascii="Amiri" w:hAnsi="Amiri"/>
          <w:color w:val="111111"/>
          <w:sz w:val="28"/>
          <w:szCs w:val="28"/>
          <w:rtl w:val="true"/>
          <w:lang w:bidi="ar-SA"/>
        </w:rPr>
        <w:t>.</w:t>
      </w:r>
      <w:bookmarkStart w:id="423" w:name="pg2479_11632"/>
    </w:p>
    <w:p>
      <w:pPr>
        <w:pStyle w:val="Heading6"/>
        <w:numPr>
          <w:ilvl w:val="5"/>
          <w:numId w:val="1"/>
        </w:numPr>
        <w:rPr/>
      </w:pPr>
      <w:bookmarkStart w:id="424" w:name="__RefHeading___Toc3732121_3804643083"/>
      <w:bookmarkStart w:id="425" w:name="_Toc166"/>
      <w:bookmarkEnd w:id="423"/>
      <w:bookmarkEnd w:id="424"/>
      <w:r>
        <w:rPr>
          <w:rtl w:val="true"/>
        </w:rPr>
        <w:t>الثالث</w:t>
      </w:r>
      <w:r>
        <w:rPr>
          <w:rtl w:val="true"/>
        </w:rPr>
        <w:t>:</w:t>
      </w:r>
      <w:bookmarkEnd w:id="425"/>
    </w:p>
    <w:p>
      <w:pPr>
        <w:pStyle w:val="BookText"/>
        <w:rPr/>
      </w:pPr>
      <w:r>
        <w:rPr>
          <w:rFonts w:ascii="Amiri" w:hAnsi="Amiri" w:eastAsia="Amiri" w:cs="Amiri"/>
          <w:color w:val="111111"/>
          <w:sz w:val="28"/>
          <w:sz w:val="28"/>
          <w:szCs w:val="28"/>
          <w:rtl w:val="true"/>
          <w:lang w:bidi="ar-SA"/>
        </w:rPr>
        <w:t>لا ترتيب بينهما، وفاقاً للمشهور؛ لإطلاق الأمر، و 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بوجوب تقديم اليمنىٰ </w:t>
      </w:r>
      <w:r>
        <w:rPr>
          <w:rStyle w:val="FootnoteAnchor"/>
          <w:rtl w:val="true"/>
        </w:rPr>
        <w:footnoteReference w:id="1164"/>
      </w:r>
      <w:r>
        <w:rPr>
          <w:rFonts w:ascii="IRNazanin" w:hAnsi="IRNazanin" w:eastAsia="IRNazanin"/>
          <w:color w:val="111111"/>
          <w:sz w:val="28"/>
          <w:sz w:val="28"/>
          <w:szCs w:val="28"/>
          <w:rtl w:val="true"/>
          <w:lang w:bidi="fa-IR"/>
        </w:rPr>
        <w:t xml:space="preserve">لفعل الحجج </w:t>
      </w:r>
      <w:r>
        <w:rPr>
          <w:rStyle w:val="FootnoteAnchor"/>
          <w:rtl w:val="true"/>
        </w:rPr>
        <w:footnoteReference w:id="1165"/>
      </w:r>
      <w:r>
        <w:rPr>
          <w:rFonts w:ascii="Amiri" w:hAnsi="Amiri" w:eastAsia="Amiri" w:cs="Amiri"/>
          <w:color w:val="111111"/>
          <w:sz w:val="28"/>
          <w:sz w:val="28"/>
          <w:szCs w:val="28"/>
          <w:rtl w:val="true"/>
          <w:lang w:bidi="ar-SA"/>
        </w:rPr>
        <w:t xml:space="preserve">عليهم السّلام و ظاهر الحسن و الخبر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بنفي تقديم اليسرىٰ </w:t>
      </w:r>
      <w:r>
        <w:rPr>
          <w:rStyle w:val="FootnoteAnchor"/>
          <w:rtl w:val="true"/>
        </w:rPr>
        <w:footnoteReference w:id="1167"/>
      </w:r>
      <w:r>
        <w:rPr>
          <w:rFonts w:ascii="Amiri" w:hAnsi="Amiri" w:eastAsia="Amiri" w:cs="Amiri"/>
          <w:color w:val="111111"/>
          <w:sz w:val="28"/>
          <w:sz w:val="28"/>
          <w:szCs w:val="28"/>
          <w:rtl w:val="true"/>
          <w:lang w:bidi="ar-SA"/>
        </w:rPr>
        <w:t xml:space="preserve">للمكاتبة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أُجيب عن الكل بالحمل على الندب جمعاً، و الأصل مسح اليمنىٰ باليمنى و اليسرى باليسرى؛ للصحيح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3732123_3804643083"/>
      <w:bookmarkStart w:id="427" w:name="_Toc167"/>
      <w:bookmarkEnd w:id="426"/>
      <w:r>
        <w:rPr>
          <w:rtl w:val="true"/>
        </w:rPr>
        <w:t>الرابع</w:t>
      </w:r>
      <w:r>
        <w:rPr>
          <w:rtl w:val="true"/>
        </w:rPr>
        <w:t>:</w:t>
      </w:r>
      <w:bookmarkEnd w:id="427"/>
    </w:p>
    <w:p>
      <w:pPr>
        <w:pStyle w:val="BookText"/>
        <w:rPr/>
      </w:pPr>
      <w:r>
        <w:rPr>
          <w:rFonts w:ascii="Amiri" w:hAnsi="Amiri" w:eastAsia="Amiri" w:cs="Amiri"/>
          <w:color w:val="111111"/>
          <w:sz w:val="28"/>
          <w:sz w:val="28"/>
          <w:szCs w:val="28"/>
          <w:rtl w:val="true"/>
          <w:lang w:bidi="ar-SA"/>
        </w:rPr>
        <w:t xml:space="preserve">لا يجوز المسح على الحائل اختياراً؛ للإجماع و ظاهر الآية، و أوامر المسح على ظهر القدمين </w:t>
      </w:r>
      <w:r>
        <w:rPr>
          <w:rStyle w:val="FootnoteAnchor"/>
          <w:rtl w:val="true"/>
        </w:rPr>
        <w:footnoteReference w:id="1170"/>
      </w:r>
      <w:r>
        <w:rPr>
          <w:rFonts w:ascii="Amiri" w:hAnsi="Amiri" w:eastAsia="Amiri" w:cs="Amiri"/>
          <w:color w:val="111111"/>
          <w:sz w:val="28"/>
          <w:sz w:val="28"/>
          <w:szCs w:val="28"/>
          <w:rtl w:val="true"/>
          <w:lang w:bidi="ar-SA"/>
        </w:rPr>
        <w:t xml:space="preserve">، و نواهيه على الخفّين </w:t>
      </w:r>
      <w:r>
        <w:rPr>
          <w:rStyle w:val="FootnoteAnchor"/>
          <w:rtl w:val="true"/>
        </w:rPr>
        <w:footnoteReference w:id="1171"/>
      </w:r>
      <w:r>
        <w:rPr>
          <w:rFonts w:ascii="Amiri" w:hAnsi="Amiri" w:eastAsia="Amiri" w:cs="Amiri"/>
          <w:color w:val="111111"/>
          <w:sz w:val="28"/>
          <w:sz w:val="28"/>
          <w:szCs w:val="28"/>
          <w:rtl w:val="true"/>
          <w:lang w:bidi="ar-SA"/>
        </w:rPr>
        <w:t xml:space="preserve">و هي مستفيضة من الطريقين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لضرورة البرد أو التقيّة؛ لظاهر الوفاق، و الخبرين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الاحتجاج بلزوم الضرر لولاه مردود بزواله بالانتقال إلى التيمّم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دلّ على عدم التقيّة في مسح الخفّ </w:t>
      </w:r>
      <w:r>
        <w:rPr>
          <w:rStyle w:val="FootnoteAnchor"/>
          <w:rtl w:val="true"/>
        </w:rPr>
        <w:footnoteReference w:id="1174"/>
      </w:r>
      <w:r>
        <w:rPr>
          <w:rFonts w:ascii="Amiri" w:hAnsi="Amiri" w:eastAsia="Amiri" w:cs="Amiri"/>
          <w:color w:val="111111"/>
          <w:sz w:val="28"/>
          <w:sz w:val="28"/>
          <w:szCs w:val="28"/>
          <w:rtl w:val="true"/>
          <w:lang w:bidi="ar-SA"/>
        </w:rPr>
        <w:t>محمول على ما لم يبلغ حدّ الخوف</w:t>
      </w:r>
    </w:p>
    <w:p>
      <w:pPr>
        <w:pStyle w:val="BookText"/>
        <w:rPr/>
      </w:pPr>
      <w:r>
        <w:rPr>
          <w:rFonts w:ascii="Amiri" w:hAnsi="Amiri" w:eastAsia="Amiri" w:cs="Amiri"/>
          <w:color w:val="111111"/>
          <w:sz w:val="28"/>
          <w:sz w:val="28"/>
          <w:szCs w:val="28"/>
          <w:rtl w:val="true"/>
          <w:lang w:bidi="ar-SA"/>
        </w:rPr>
        <w:t>على محترم، أو وجود المندوحة عنه و لو بالغسل؛ إذ الظاهر تقديمه مع الاضطرار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الانسحاب إلى كلّ ضرورة؛ لاتّحاد الطريق، و صريح الرضوي </w:t>
      </w:r>
      <w:r>
        <w:rPr>
          <w:rStyle w:val="FootnoteAnchor"/>
          <w:rtl w:val="true"/>
        </w:rPr>
        <w:footnoteReference w:id="1175"/>
      </w:r>
      <w:r>
        <w:rPr>
          <w:rFonts w:ascii="Amiri" w:hAnsi="Amiri" w:eastAsia="Amiri" w:cs="Amiri"/>
          <w:color w:val="111111"/>
          <w:sz w:val="28"/>
          <w:sz w:val="28"/>
          <w:szCs w:val="28"/>
          <w:rtl w:val="true"/>
          <w:lang w:bidi="ar-SA"/>
        </w:rPr>
        <w:t>، و ما شرع للضرورة لا ينتقض بزوالها وفاقاً للأكثر؛ لأنه طهارة شرعيّة رافعة للحدث فيستصحب إلى القطع بالناقض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الموثّق </w:t>
      </w:r>
      <w:r>
        <w:rPr>
          <w:rStyle w:val="FootnoteAnchor"/>
          <w:rtl w:val="true"/>
        </w:rPr>
        <w:footnoteReference w:id="1176"/>
      </w:r>
      <w:r>
        <w:rPr>
          <w:rFonts w:ascii="IRNazanin" w:hAnsi="IRNazanin" w:eastAsia="IRNazanin"/>
          <w:color w:val="111111"/>
          <w:sz w:val="28"/>
          <w:sz w:val="28"/>
          <w:szCs w:val="28"/>
          <w:rtl w:val="true"/>
          <w:lang w:bidi="fa-IR"/>
        </w:rPr>
        <w:t xml:space="preserve">و حاصرات </w:t>
      </w:r>
      <w:r>
        <w:rPr>
          <w:rStyle w:val="FootnoteAnchor"/>
          <w:rtl w:val="true"/>
        </w:rPr>
        <w:footnoteReference w:id="1177"/>
      </w:r>
      <w:r>
        <w:rPr>
          <w:rFonts w:ascii="IRNazanin" w:hAnsi="IRNazanin" w:eastAsia="IRNazanin"/>
          <w:color w:val="111111"/>
          <w:sz w:val="28"/>
          <w:sz w:val="28"/>
          <w:szCs w:val="28"/>
          <w:rtl w:val="true"/>
          <w:lang w:bidi="fa-IR"/>
        </w:rPr>
        <w:t>النقض بالأحداث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خلافاً لبعضهم </w:t>
      </w:r>
      <w:r>
        <w:rPr>
          <w:rStyle w:val="FootnoteAnchor"/>
          <w:rtl w:val="true"/>
        </w:rPr>
        <w:footnoteReference w:id="1178"/>
      </w:r>
      <w:r>
        <w:rPr>
          <w:rFonts w:ascii="Amiri" w:hAnsi="Amiri" w:eastAsia="Amiri" w:cs="Amiri"/>
          <w:color w:val="111111"/>
          <w:sz w:val="28"/>
          <w:sz w:val="28"/>
          <w:szCs w:val="28"/>
          <w:rtl w:val="true"/>
          <w:lang w:bidi="ar-SA"/>
        </w:rPr>
        <w:t xml:space="preserve">لعموم الأمر بالوضوء عند كلّ صلاة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 الإجماع بالمحدث، و الموثّق بالقيام من النوم </w:t>
      </w:r>
      <w:r>
        <w:rPr>
          <w:rStyle w:val="FootnoteAnchor"/>
          <w:rtl w:val="true"/>
        </w:rPr>
        <w:footnoteReference w:id="1180"/>
      </w:r>
      <w:r>
        <w:rPr>
          <w:rFonts w:ascii="Amiri" w:hAnsi="Amiri" w:eastAsia="Amiri" w:cs="Amiri"/>
          <w:color w:val="111111"/>
          <w:sz w:val="28"/>
          <w:sz w:val="28"/>
          <w:szCs w:val="28"/>
          <w:rtl w:val="true"/>
          <w:lang w:bidi="ar-SA"/>
        </w:rPr>
        <w:t>، على أنّ عمومه بالعرف دون الوضع، فانصرافه إلى الغالب ممكن، و كون شرعيّته للضرورة فتقدّر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إن أُريد بها زوال الحكم بزوالها، و عدم النفع لو أُريد بها عدم العود إلى مثلها بعد ارتفاعها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المخالف الماسح على الخفّين إن استبصر لم يعد صلاته؛ للحسن </w:t>
      </w:r>
      <w:r>
        <w:rPr>
          <w:rStyle w:val="FootnoteAnchor"/>
          <w:rtl w:val="true"/>
        </w:rPr>
        <w:footnoteReference w:id="1181"/>
      </w:r>
      <w:r>
        <w:rPr>
          <w:rFonts w:ascii="IRNazanin" w:hAnsi="IRNazanin" w:eastAsia="IRNazanin"/>
          <w:color w:val="111111"/>
          <w:sz w:val="28"/>
          <w:sz w:val="28"/>
          <w:szCs w:val="28"/>
          <w:rtl w:val="true"/>
          <w:lang w:bidi="fa-IR"/>
        </w:rPr>
        <w:t xml:space="preserve">، و نقل الإجماع </w:t>
      </w:r>
      <w:r>
        <w:rPr>
          <w:rStyle w:val="FootnoteAnchor"/>
          <w:rtl w:val="true"/>
        </w:rPr>
        <w:footnoteReference w:id="1182"/>
      </w:r>
      <w:r>
        <w:rPr>
          <w:rFonts w:ascii="Amiri" w:hAnsi="Amiri" w:eastAsia="Amiri" w:cs="Amiri"/>
          <w:color w:val="111111"/>
          <w:sz w:val="28"/>
          <w:sz w:val="28"/>
          <w:szCs w:val="28"/>
          <w:rtl w:val="true"/>
          <w:lang w:bidi="ar-SA"/>
        </w:rPr>
        <w:t xml:space="preserve">، خلافاً للمرتضىٰ </w:t>
      </w:r>
      <w:r>
        <w:rPr>
          <w:rStyle w:val="FootnoteAnchor"/>
          <w:rtl w:val="true"/>
        </w:rPr>
        <w:footnoteReference w:id="1183"/>
      </w:r>
      <w:r>
        <w:rPr>
          <w:rFonts w:ascii="Amiri" w:hAnsi="Amiri" w:eastAsia="Amiri" w:cs="Amiri"/>
          <w:color w:val="111111"/>
          <w:sz w:val="28"/>
          <w:sz w:val="28"/>
          <w:szCs w:val="28"/>
          <w:rtl w:val="true"/>
          <w:lang w:bidi="ar-SA"/>
        </w:rPr>
        <w:t>لحجّة ضعفها ظاهر</w:t>
      </w:r>
      <w:r>
        <w:rPr>
          <w:rFonts w:eastAsia="Amiri" w:cs="Amiri" w:ascii="Amiri" w:hAnsi="Amiri"/>
          <w:color w:val="111111"/>
          <w:sz w:val="28"/>
          <w:szCs w:val="28"/>
          <w:rtl w:val="true"/>
          <w:lang w:bidi="ar-SA"/>
        </w:rPr>
        <w:t>.</w:t>
      </w:r>
      <w:bookmarkStart w:id="428" w:name="pg2479_11634"/>
    </w:p>
    <w:p>
      <w:pPr>
        <w:pStyle w:val="Heading6"/>
        <w:numPr>
          <w:ilvl w:val="5"/>
          <w:numId w:val="1"/>
        </w:numPr>
        <w:rPr/>
      </w:pPr>
      <w:bookmarkStart w:id="429" w:name="__RefHeading___Toc3732125_3804643083"/>
      <w:bookmarkStart w:id="430" w:name="_Toc168"/>
      <w:bookmarkEnd w:id="428"/>
      <w:bookmarkEnd w:id="429"/>
      <w:r>
        <w:rPr>
          <w:rtl w:val="true"/>
        </w:rPr>
        <w:t>الخامس</w:t>
      </w:r>
      <w:r>
        <w:rPr>
          <w:rtl w:val="true"/>
        </w:rPr>
        <w:t>:</w:t>
      </w:r>
      <w:bookmarkEnd w:id="430"/>
    </w:p>
    <w:p>
      <w:pPr>
        <w:pStyle w:val="BookText"/>
        <w:rPr/>
      </w:pPr>
      <w:r>
        <w:rPr>
          <w:rFonts w:ascii="Amiri" w:hAnsi="Amiri" w:eastAsia="Amiri" w:cs="Amiri"/>
          <w:color w:val="111111"/>
          <w:sz w:val="28"/>
          <w:sz w:val="28"/>
          <w:szCs w:val="28"/>
          <w:rtl w:val="true"/>
          <w:lang w:bidi="ar-SA"/>
        </w:rPr>
        <w:t xml:space="preserve">مقتضى المستفيضة </w:t>
      </w:r>
      <w:r>
        <w:rPr>
          <w:rStyle w:val="FootnoteAnchor"/>
          <w:rtl w:val="true"/>
        </w:rPr>
        <w:footnoteReference w:id="1184"/>
      </w:r>
      <w:r>
        <w:rPr>
          <w:rFonts w:ascii="Amiri" w:hAnsi="Amiri" w:eastAsia="Amiri" w:cs="Amiri"/>
          <w:color w:val="111111"/>
          <w:sz w:val="28"/>
          <w:sz w:val="28"/>
          <w:szCs w:val="28"/>
          <w:rtl w:val="true"/>
          <w:lang w:bidi="ar-SA"/>
        </w:rPr>
        <w:t xml:space="preserve">جواز المسح على النعل العربي، و إن لم يستبطن، و يعضده فعل الحجج عليهم السّلام، و فتوى الجماعة </w:t>
      </w:r>
      <w:r>
        <w:rPr>
          <w:rStyle w:val="FootnoteAnchor"/>
          <w:rtl w:val="true"/>
        </w:rPr>
        <w:footnoteReference w:id="1185"/>
      </w:r>
      <w:r>
        <w:rPr>
          <w:rFonts w:ascii="Amiri" w:hAnsi="Amiri" w:eastAsia="Amiri" w:cs="Amiri"/>
          <w:color w:val="111111"/>
          <w:sz w:val="28"/>
          <w:sz w:val="28"/>
          <w:szCs w:val="28"/>
          <w:rtl w:val="true"/>
          <w:lang w:bidi="ar-SA"/>
        </w:rPr>
        <w:t>، و مبناها على كون الشراك فوق القبّة، كما هو الغالب، فلا يلزم سقوط مسح ما تحته من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حجّة على الفاضل؛ لكونه ما تحت المفصل بمعنييه، و لإيجابه الاستيعاب طولًا لا يمكنه حملها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مخصّصة للعموم كما ترى</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732127_3804643083"/>
      <w:bookmarkStart w:id="432" w:name="_Toc169"/>
      <w:bookmarkEnd w:id="431"/>
      <w:r>
        <w:rPr>
          <w:rtl w:val="true"/>
        </w:rPr>
        <w:t>السادس</w:t>
      </w:r>
      <w:r>
        <w:rPr>
          <w:rtl w:val="true"/>
        </w:rPr>
        <w:t xml:space="preserve">: </w:t>
      </w:r>
      <w:r>
        <w:rPr>
          <w:rtl w:val="true"/>
        </w:rPr>
        <w:t>الترتيب</w:t>
      </w:r>
      <w:r>
        <w:rPr>
          <w:rtl w:val="true"/>
        </w:rPr>
        <w:t>:</w:t>
      </w:r>
      <w:bookmarkEnd w:id="432"/>
    </w:p>
    <w:p>
      <w:pPr>
        <w:pStyle w:val="BookText"/>
        <w:rPr/>
      </w:pPr>
      <w:r>
        <w:rPr>
          <w:rFonts w:ascii="Amiri" w:hAnsi="Amiri" w:eastAsia="Amiri" w:cs="Amiri"/>
          <w:color w:val="111111"/>
          <w:sz w:val="28"/>
          <w:sz w:val="28"/>
          <w:szCs w:val="28"/>
          <w:rtl w:val="true"/>
          <w:lang w:bidi="ar-SA"/>
        </w:rPr>
        <w:t xml:space="preserve">كما ذكر؛ للإجماع، و الاستصحاب، و ظاهر الآية </w:t>
      </w:r>
      <w:r>
        <w:rPr>
          <w:rStyle w:val="FootnoteAnchor"/>
          <w:rtl w:val="true"/>
        </w:rPr>
        <w:footnoteReference w:id="1186"/>
      </w:r>
      <w:r>
        <w:rPr>
          <w:rFonts w:ascii="Amiri" w:hAnsi="Amiri" w:eastAsia="Amiri" w:cs="Amiri"/>
          <w:color w:val="111111"/>
          <w:sz w:val="28"/>
          <w:sz w:val="28"/>
          <w:szCs w:val="28"/>
          <w:rtl w:val="true"/>
          <w:lang w:bidi="ar-SA"/>
        </w:rPr>
        <w:t xml:space="preserve">، و صريح النصوص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خالفه أعاد الوضوء مع الجفاف؛ لفوات الموالاة، و ما يحصّله بدونه فيحصل بإعادة ما قدّمه بما بعده دون ما قبله لو غسله بعده؛ لظاهر الوفاق و المستفيضة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يغسله بعد غسله مقدّماً،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عبرة بما يسبق أوّل الأعضاء، فلو بدأ بآخرها إليه لم يحصل له غيره، و لو نكس ثانياً حصل له الثاني، و ثالثاً الثالث، و هكذا إلى أن يحصل له الكلّ بشرط بقاء الموالاة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فيه تقديم المقدّم؛ لأنّه المفهوم منه عرفاً، و يعضده ظاهر الأخبار،</w:t>
      </w:r>
      <w:bookmarkStart w:id="433" w:name="pg2479_11635"/>
    </w:p>
    <w:p>
      <w:pPr>
        <w:pStyle w:val="BookText"/>
        <w:rPr/>
      </w:pPr>
      <w:bookmarkEnd w:id="433"/>
      <w:r>
        <w:rPr>
          <w:rFonts w:ascii="Amiri" w:hAnsi="Amiri" w:eastAsia="Amiri" w:cs="Amiri"/>
          <w:color w:val="111111"/>
          <w:sz w:val="28"/>
          <w:sz w:val="28"/>
          <w:szCs w:val="28"/>
          <w:rtl w:val="true"/>
          <w:lang w:bidi="ar-SA"/>
        </w:rPr>
        <w:t>فالمعيّة غير كافية، فلا يحصل له من غسل الكلّ دفعة في كلّ مرّة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ارتمس ناوياً حصل له الوجه، فإن أخرج بالنيّة يديه مرتّباً حصل غسلهما، و دفعة حصل اليمنى، و لو تعاقبت عليه بعد النيّة في الجاري جريات ثلاث حصل له غسل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الترتيب ركن، تركه مبطل، إلّا أن يتدارك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يأثم العامد دون الناسي، و لا يعذر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ذو الشبهة لا يعيد صلاته؛ لأنّه لا يقضي بعد الاستبصار سوىٰ الركن؛ لظاهر الوفاق، و صريح الحسن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3732129_3804643083"/>
      <w:bookmarkStart w:id="435" w:name="_Toc170"/>
      <w:bookmarkEnd w:id="434"/>
      <w:r>
        <w:rPr>
          <w:rtl w:val="true"/>
        </w:rPr>
        <w:t>السابع</w:t>
      </w:r>
      <w:r>
        <w:rPr>
          <w:rtl w:val="true"/>
        </w:rPr>
        <w:t xml:space="preserve">: </w:t>
      </w:r>
      <w:r>
        <w:rPr>
          <w:rtl w:val="true"/>
        </w:rPr>
        <w:t>الموالاة</w:t>
      </w:r>
      <w:r>
        <w:rPr>
          <w:rtl w:val="true"/>
        </w:rPr>
        <w:t>:</w:t>
      </w:r>
      <w:bookmarkEnd w:id="435"/>
    </w:p>
    <w:p>
      <w:pPr>
        <w:pStyle w:val="BookText"/>
        <w:rPr/>
      </w:pPr>
      <w:r>
        <w:rPr>
          <w:rFonts w:ascii="Amiri" w:hAnsi="Amiri" w:eastAsia="Amiri" w:cs="Amiri"/>
          <w:color w:val="111111"/>
          <w:sz w:val="28"/>
          <w:sz w:val="28"/>
          <w:szCs w:val="28"/>
          <w:rtl w:val="true"/>
          <w:lang w:bidi="ar-SA"/>
        </w:rPr>
        <w:t>و وجوبه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مراعاة الجفاف مطلقاً، وفاقاً للأكثر، لا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التابعيّة العرفيّة اختياراً مع التأثيم بالترك، و إن صحّ كالفاضل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 أو البطلان 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المختار يلزمه عدم شي‌ء منهما </w:t>
      </w:r>
      <w:r>
        <w:rPr>
          <w:rStyle w:val="FootnoteAnchor"/>
          <w:rtl w:val="true"/>
        </w:rPr>
        <w:footnoteReference w:id="1192"/>
      </w:r>
      <w:r>
        <w:rPr>
          <w:rFonts w:ascii="Amiri" w:hAnsi="Amiri" w:eastAsia="Amiri" w:cs="Amiri"/>
          <w:color w:val="111111"/>
          <w:sz w:val="28"/>
          <w:sz w:val="28"/>
          <w:szCs w:val="28"/>
          <w:rtl w:val="true"/>
          <w:lang w:bidi="ar-SA"/>
        </w:rPr>
        <w:t>بتركها مطلقاً، و البطلان بالجفاف كذلك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بعد الأصل صدق الامتثال، و إطلاق الظواهر، و مصحّحات الوضوء إذا ترك بعضه و أتى 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بعضها الناسي مع عموم المورد لا يخصّصها بالمضطر، و حمل الفصل المفهوم منه على ما لا يبطل التابعيّة العرفيّة تقييد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صريح الرضوي </w:t>
      </w:r>
      <w:r>
        <w:rPr>
          <w:rStyle w:val="FootnoteAnchor"/>
          <w:rtl w:val="true"/>
        </w:rPr>
        <w:footnoteReference w:id="1193"/>
      </w:r>
      <w:r>
        <w:rPr>
          <w:rFonts w:ascii="Amiri" w:hAnsi="Amiri" w:eastAsia="Amiri" w:cs="Amiri"/>
          <w:color w:val="111111"/>
          <w:sz w:val="28"/>
          <w:sz w:val="28"/>
          <w:szCs w:val="28"/>
          <w:rtl w:val="true"/>
          <w:lang w:bidi="ar-SA"/>
        </w:rPr>
        <w:t xml:space="preserve">، و إطلاق الأمر في الصحيح بمسح الرجلين بعد غسلهما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الثاني بعد الإجماع و فعل الحجج عليهم السّلام صريح الصحيح، و الموثّق </w:t>
      </w:r>
      <w:r>
        <w:rPr>
          <w:rStyle w:val="FootnoteAnchor"/>
          <w:rtl w:val="true"/>
        </w:rPr>
        <w:footnoteReference w:id="1195"/>
      </w:r>
      <w:r>
        <w:rPr>
          <w:rFonts w:ascii="Amiri" w:hAnsi="Amiri" w:eastAsia="Amiri" w:cs="Amiri"/>
          <w:color w:val="111111"/>
          <w:sz w:val="28"/>
          <w:sz w:val="28"/>
          <w:szCs w:val="28"/>
          <w:rtl w:val="true"/>
          <w:lang w:bidi="ar-SA"/>
        </w:rPr>
        <w:t xml:space="preserve">، و ما ورد في المسح بالبقيّة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 المجوّز لغسل الباقي و إن جفّ سابقه </w:t>
      </w:r>
      <w:r>
        <w:rPr>
          <w:rStyle w:val="FootnoteAnchor"/>
          <w:rtl w:val="true"/>
        </w:rPr>
        <w:footnoteReference w:id="1197"/>
      </w:r>
      <w:r>
        <w:rPr>
          <w:rFonts w:ascii="Amiri" w:hAnsi="Amiri" w:eastAsia="Amiri" w:cs="Amiri"/>
          <w:color w:val="111111"/>
          <w:sz w:val="28"/>
          <w:sz w:val="28"/>
          <w:szCs w:val="28"/>
          <w:rtl w:val="true"/>
          <w:lang w:bidi="ar-SA"/>
        </w:rPr>
        <w:t xml:space="preserve">محمول على التقيّة، و مصحّحات الوضوء بمسح المتروك أو غسله مطلقاً </w:t>
      </w:r>
      <w:r>
        <w:rPr>
          <w:rStyle w:val="FootnoteAnchor"/>
          <w:rtl w:val="true"/>
        </w:rPr>
        <w:footnoteReference w:id="1198"/>
      </w:r>
      <w:r>
        <w:rPr>
          <w:rFonts w:ascii="Amiri" w:hAnsi="Amiri" w:eastAsia="Amiri" w:cs="Amiri"/>
          <w:color w:val="111111"/>
          <w:sz w:val="28"/>
          <w:sz w:val="28"/>
          <w:szCs w:val="28"/>
          <w:rtl w:val="true"/>
          <w:lang w:bidi="ar-SA"/>
        </w:rPr>
        <w:t xml:space="preserve">مقيّدة بوجود البلّة جمعاً للخصمين على ما به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الأمر، و النصوص البيانيّة، و موجبات المتابعة و الإعادة بترك البعض، و أنّها بزعمهما متّفقة الدلالة على وجوب المتابعة، إلّا أنّ الإخلال بها لا يوجب البطلان عند الأوّل؛ لحصول الامتثال، و يوجبه عند الثاني للتنافي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بالمنع، و عن الثانية كالرابعة بعدم الدلالة، و عن الثالثة بالحمل على المختار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فالتفريق بدون الجفاف لا يبطل و إن تفاحش، ما لم يبطل الوحدة، فخلاف الشهيد </w:t>
      </w:r>
      <w:r>
        <w:rPr>
          <w:rStyle w:val="FootnoteAnchor"/>
          <w:rtl w:val="true"/>
        </w:rPr>
        <w:footnoteReference w:id="1199"/>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المبطل من الجفاف ما خلى عن المتابعة، لا معها أيضاً، وفاقاً</w:t>
      </w:r>
    </w:p>
    <w:p>
      <w:pPr>
        <w:pStyle w:val="BookText"/>
        <w:rPr/>
      </w:pPr>
      <w:r>
        <w:rPr>
          <w:rFonts w:ascii="Amiri" w:hAnsi="Amiri" w:eastAsia="Amiri" w:cs="Amiri"/>
          <w:color w:val="111111"/>
          <w:sz w:val="28"/>
          <w:sz w:val="28"/>
          <w:szCs w:val="28"/>
          <w:rtl w:val="true"/>
          <w:lang w:bidi="ar-SA"/>
        </w:rPr>
        <w:t xml:space="preserve">للصدوقين </w:t>
      </w:r>
      <w:r>
        <w:rPr>
          <w:rStyle w:val="FootnoteAnchor"/>
          <w:rtl w:val="true"/>
        </w:rPr>
        <w:footnoteReference w:id="1200"/>
      </w:r>
      <w:r>
        <w:rPr>
          <w:rFonts w:ascii="Amiri" w:hAnsi="Amiri" w:eastAsia="Amiri" w:cs="Amiri"/>
          <w:color w:val="111111"/>
          <w:sz w:val="28"/>
          <w:sz w:val="28"/>
          <w:szCs w:val="28"/>
          <w:rtl w:val="true"/>
          <w:lang w:bidi="ar-SA"/>
        </w:rPr>
        <w:t xml:space="preserve">للأصل، و صدق الامتثال، و إطلاق الظواهر، و صريح الرضوي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للشهيدين </w:t>
      </w:r>
      <w:r>
        <w:rPr>
          <w:rStyle w:val="FootnoteAnchor"/>
          <w:rtl w:val="true"/>
        </w:rPr>
        <w:footnoteReference w:id="1202"/>
      </w:r>
      <w:r>
        <w:rPr>
          <w:rFonts w:ascii="IRNazanin" w:hAnsi="IRNazanin" w:eastAsia="IRNazanin"/>
          <w:color w:val="111111"/>
          <w:sz w:val="28"/>
          <w:sz w:val="28"/>
          <w:szCs w:val="28"/>
          <w:rtl w:val="true"/>
          <w:lang w:bidi="fa-IR"/>
        </w:rPr>
        <w:t xml:space="preserve">لأخبار البطلان بالجفاف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ردّت باختصاصها بصورة التفريق و الصحّة إنّما هو إذا لم يتمّ الغسلات؛ إذ الحكم بها بعد تمامها يتوقّف على استئناف ماء جديد للمسح، و لم يجوّزه أحد، و جفاف الكلّ وفاقاً للمشهور، لا البعض كالإسكافي </w:t>
      </w:r>
      <w:r>
        <w:rPr>
          <w:rStyle w:val="FootnoteAnchor"/>
          <w:rtl w:val="true"/>
        </w:rPr>
        <w:footnoteReference w:id="1204"/>
      </w:r>
      <w:r>
        <w:rPr>
          <w:rFonts w:ascii="Amiri" w:hAnsi="Amiri" w:eastAsia="Amiri" w:cs="Amiri"/>
          <w:color w:val="111111"/>
          <w:sz w:val="28"/>
          <w:sz w:val="28"/>
          <w:szCs w:val="28"/>
          <w:rtl w:val="true"/>
          <w:lang w:bidi="ar-SA"/>
        </w:rPr>
        <w:t xml:space="preserve">، و لا العضو السابق كالسيّد و الحلّي </w:t>
      </w:r>
      <w:r>
        <w:rPr>
          <w:rStyle w:val="FootnoteAnchor"/>
          <w:rtl w:val="true"/>
        </w:rPr>
        <w:footnoteReference w:id="1205"/>
      </w:r>
      <w:r>
        <w:rPr>
          <w:rFonts w:ascii="Amiri" w:hAnsi="Amiri" w:eastAsia="Amiri" w:cs="Amiri"/>
          <w:color w:val="111111"/>
          <w:sz w:val="28"/>
          <w:sz w:val="28"/>
          <w:szCs w:val="28"/>
          <w:rtl w:val="true"/>
          <w:lang w:bidi="ar-SA"/>
        </w:rPr>
        <w:t xml:space="preserve">، و لا الوجه عند غسل اليدين، و هما عند المسحين كالديلمي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بعض الظواهر أدلّة أخذ البلّة من مظانّها للمسح، و الاقتصار فيما خالف الأصل على المتيقّن، و ما دلّ على الإعادة بالجفاف ظاهر في جفاف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فاحتجاج المخالفين به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منه الحسّي دون التقديري؛ للتبادر، فمع بطئه عند الرطوبة أو الإسباغ لا يبطل الفصل و إن تفاحش كما مرّ، و مع سرعته في الحر يبطل لو فقد المتابعة و إن كان أقل منه عند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 به كالأكثر اقتصاراً فيما خالف الأصل على المتيقّن، يدفعه إطلاق الأخبار، و التمسّك بنفي الحرج ضعيف، و بالتبادر و الظهور ممنوع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التوجيه بجعله لإخراج إفراط الحرارة دون الرطوبة إن أُريد به الإخراج</w:t>
      </w:r>
    </w:p>
    <w:p>
      <w:pPr>
        <w:pStyle w:val="BookText"/>
        <w:rPr/>
      </w:pPr>
      <w:r>
        <w:rPr>
          <w:rFonts w:ascii="Amiri" w:hAnsi="Amiri" w:eastAsia="Amiri" w:cs="Amiri"/>
          <w:color w:val="111111"/>
          <w:sz w:val="28"/>
          <w:sz w:val="28"/>
          <w:szCs w:val="28"/>
          <w:rtl w:val="true"/>
          <w:lang w:bidi="ar-SA"/>
        </w:rPr>
        <w:t>مع حصول المتابعة ممنوع؛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الأعمّ فمردود؛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تعذّر بقاء البلّة و إن لم يبطل الغسلات مع رعاية المتابعة، إلّا أنّها تبطل؛ لتعذّر المسح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الاستئناف؛ للضرورة و نفي الحرج و تمكّن الانتقال إلى التيمّم، و لو أمكن إبقاؤها بالغمس أو الإسباغ تعيّن، و لم يجز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إنّما يحصل بالفصل بلا اشتغال بواجب أو مندوب أو بفعل مع القطع بحصول التكليف؛ لكونه وسوسة خارجة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حصوله بفعل في زمان مع إمكان إيقاعه في زمان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أولويّة ترك الإطالة بتكرّر الإمرار 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نذر المتابعة في وضوء معيّن أو مطلق؛ للقطع برجحانها؛ فيتعلّق النذر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البطلان مع الإخلال به وجهان، و الظاهر عدمه في المعيّن؛ لخروج المنذور عن حقيقة المأمور به؛ لعدم تقييد الأمر به، فالإخلال به لا يؤثّر في صحّته، كنذر الزائد من التسبيح و القنوت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بالبطلان </w:t>
      </w:r>
      <w:r>
        <w:rPr>
          <w:rStyle w:val="FootnoteAnchor"/>
          <w:rtl w:val="true"/>
        </w:rPr>
        <w:footnoteReference w:id="1207"/>
      </w:r>
      <w:r>
        <w:rPr>
          <w:rFonts w:ascii="Amiri" w:hAnsi="Amiri" w:eastAsia="Amiri" w:cs="Amiri"/>
          <w:color w:val="111111"/>
          <w:sz w:val="28"/>
          <w:sz w:val="28"/>
          <w:szCs w:val="28"/>
          <w:rtl w:val="true"/>
          <w:lang w:bidi="ar-SA"/>
        </w:rPr>
        <w:t>، فاللازم مجرّد الإثم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المطلق، فيبطل به؛ لحصول التكليف و تعيّن حقيقته بمجرّد النذر، من دون تعلّق طلب مطلق به، فالإخلال بها يرفع المطابقة بين المكلّف به و ما أتى به، و إن لم يشترط في أصل الفعل و جاز ارتفاعه بدونها في محلّ آخر، كنذر ركعتين من قيام إذا أتى بهما من جلوس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إمّا يتعيّن الزمان أو لا، فعلى الأوّل إن أتى فيه بوضوء آخر أجزأ، و إلّا أثم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فيمكنه الإيقاع في كلّ وقت من عمره، و لا حنث إلّا بالترك أو الإخلال عند التضيّق بظنّ الوفاة</w:t>
      </w:r>
      <w:r>
        <w:rPr>
          <w:rFonts w:eastAsia="Amiri" w:cs="Amiri" w:ascii="Amiri" w:hAnsi="Amiri"/>
          <w:color w:val="111111"/>
          <w:sz w:val="28"/>
          <w:szCs w:val="28"/>
          <w:rtl w:val="true"/>
          <w:lang w:bidi="ar-SA"/>
        </w:rPr>
        <w:t>.</w:t>
      </w:r>
      <w:bookmarkStart w:id="436" w:name="pg2479_11639"/>
    </w:p>
    <w:p>
      <w:pPr>
        <w:pStyle w:val="Heading6"/>
        <w:numPr>
          <w:ilvl w:val="5"/>
          <w:numId w:val="1"/>
        </w:numPr>
        <w:rPr/>
      </w:pPr>
      <w:bookmarkStart w:id="437" w:name="__RefHeading___Toc3732131_3804643083"/>
      <w:bookmarkStart w:id="438" w:name="_Toc171"/>
      <w:bookmarkEnd w:id="436"/>
      <w:bookmarkEnd w:id="437"/>
      <w:r>
        <w:rPr>
          <w:rtl w:val="true"/>
        </w:rPr>
        <w:t>الثامن</w:t>
      </w:r>
      <w:r>
        <w:rPr>
          <w:rtl w:val="true"/>
        </w:rPr>
        <w:t xml:space="preserve">: </w:t>
      </w:r>
      <w:r>
        <w:rPr>
          <w:rtl w:val="true"/>
        </w:rPr>
        <w:t>المباشرة بنفسه مع الاختيار</w:t>
      </w:r>
      <w:r>
        <w:rPr>
          <w:rtl w:val="true"/>
        </w:rPr>
        <w:t>:</w:t>
      </w:r>
      <w:bookmarkEnd w:id="438"/>
    </w:p>
    <w:p>
      <w:pPr>
        <w:pStyle w:val="BookText"/>
        <w:rPr/>
      </w:pPr>
      <w:r>
        <w:rPr>
          <w:rFonts w:ascii="Amiri" w:hAnsi="Amiri" w:eastAsia="Amiri" w:cs="Amiri"/>
          <w:color w:val="111111"/>
          <w:sz w:val="28"/>
          <w:sz w:val="28"/>
          <w:szCs w:val="28"/>
          <w:rtl w:val="true"/>
          <w:lang w:bidi="ar-SA"/>
        </w:rPr>
        <w:t xml:space="preserve">بالإجماعين، و ظاهر الأوامر، و صريح الخبر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الإسكافي بعدّها من السنن </w:t>
      </w:r>
      <w:r>
        <w:rPr>
          <w:rStyle w:val="FootnoteAnchor"/>
          <w:rtl w:val="true"/>
        </w:rPr>
        <w:footnoteReference w:id="1209"/>
      </w:r>
      <w:r>
        <w:rPr>
          <w:rFonts w:ascii="Amiri" w:hAnsi="Amiri" w:eastAsia="Amiri" w:cs="Amiri"/>
          <w:color w:val="111111"/>
          <w:sz w:val="28"/>
          <w:sz w:val="28"/>
          <w:szCs w:val="28"/>
          <w:rtl w:val="true"/>
          <w:lang w:bidi="ar-SA"/>
        </w:rPr>
        <w:t>لا عبرة به، و تمسّكه بالأصل ضعيف، و قياسه على إزالة الخبث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الضرورة يجوز تولية الغير؛ للصحيح </w:t>
      </w:r>
      <w:r>
        <w:rPr>
          <w:rStyle w:val="FootnoteAnchor"/>
          <w:rtl w:val="true"/>
        </w:rPr>
        <w:footnoteReference w:id="1210"/>
      </w:r>
      <w:r>
        <w:rPr>
          <w:rFonts w:ascii="IRNazanin" w:hAnsi="IRNazanin" w:eastAsia="IRNazanin"/>
          <w:color w:val="111111"/>
          <w:sz w:val="28"/>
          <w:sz w:val="28"/>
          <w:szCs w:val="28"/>
          <w:rtl w:val="true"/>
          <w:lang w:bidi="fa-IR"/>
        </w:rPr>
        <w:t xml:space="preserve">، و نقل الإجماع </w:t>
      </w:r>
      <w:r>
        <w:rPr>
          <w:rStyle w:val="FootnoteAnchor"/>
          <w:rtl w:val="true"/>
        </w:rPr>
        <w:footnoteReference w:id="1211"/>
      </w:r>
      <w:r>
        <w:rPr>
          <w:rFonts w:ascii="Amiri" w:hAnsi="Amiri" w:eastAsia="Amiri" w:cs="Amiri"/>
          <w:color w:val="111111"/>
          <w:sz w:val="28"/>
          <w:sz w:val="28"/>
          <w:szCs w:val="28"/>
          <w:rtl w:val="true"/>
          <w:lang w:bidi="ar-SA"/>
        </w:rPr>
        <w:t>، و قد استدلّ بلزوم أحد المحالين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أو التكليف بالمحال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 استحالة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الأوامر ظاهرة في المباشرة، فتختصّ بالمختار، و تعميمهما بحيث تعمّ التولية يتوقّف على ارتكاب عموم المجاز أو الاستعمال في الحقيقة و المجاز، و كلاهما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مراعاة الأقرب إلى الحقيقة مع تعدّدها لازمة، فلو أمكن المباشرة في البعض أو المشاركة فيه أو في الكلّ لم يجز تفرّد الغير بالتولية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التولية المحرّمة هي غسل العضو دون الإعانة بمثل الصب على اليد؛ لظاهر الوفاق، و صريح الصحيح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يكره؛ للخبر و المرسل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3732133_3804643083"/>
      <w:bookmarkStart w:id="440" w:name="_Toc172"/>
      <w:bookmarkEnd w:id="439"/>
      <w:r>
        <w:rPr>
          <w:rtl w:val="true"/>
        </w:rPr>
        <w:t>التاسع</w:t>
      </w:r>
      <w:r>
        <w:rPr>
          <w:rtl w:val="true"/>
        </w:rPr>
        <w:t>:</w:t>
      </w:r>
      <w:bookmarkEnd w:id="4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كسائر الطهارات بالماء المطلق أو المباح بالملك أو الإذن صريحاً أو</w:t>
      </w:r>
      <w:bookmarkStart w:id="441" w:name="pg2479_11640"/>
    </w:p>
    <w:p>
      <w:pPr>
        <w:pStyle w:val="BookText"/>
        <w:rPr/>
      </w:pPr>
      <w:bookmarkEnd w:id="441"/>
      <w:r>
        <w:rPr>
          <w:rFonts w:ascii="IRNazanin" w:hAnsi="IRNazanin" w:eastAsia="IRNazanin"/>
          <w:color w:val="111111"/>
          <w:sz w:val="28"/>
          <w:sz w:val="28"/>
          <w:szCs w:val="28"/>
          <w:rtl w:val="true"/>
          <w:lang w:bidi="fa-IR"/>
        </w:rPr>
        <w:t>فحوى، بالإجماع و الظواهر</w:t>
      </w:r>
      <w:r>
        <w:rPr>
          <w:rFonts w:eastAsia="IRNazanin" w:cs="IRNazanin"/>
          <w:color w:val="111111"/>
          <w:sz w:val="28"/>
          <w:szCs w:val="28"/>
          <w:rtl w:val="true"/>
          <w:lang w:bidi="fa-IR"/>
        </w:rPr>
        <w:t>.</w:t>
      </w:r>
    </w:p>
    <w:p>
      <w:pPr>
        <w:pStyle w:val="Heading5"/>
        <w:numPr>
          <w:ilvl w:val="4"/>
          <w:numId w:val="1"/>
        </w:numPr>
        <w:rPr/>
      </w:pPr>
      <w:bookmarkStart w:id="442" w:name="__RefHeading___Toc3732135_3804643083"/>
      <w:bookmarkStart w:id="443" w:name="_Toc173"/>
      <w:bookmarkEnd w:id="442"/>
      <w:r>
        <w:rPr>
          <w:rtl w:val="true"/>
        </w:rPr>
        <w:t>فصل يستحبّ فيه</w:t>
      </w:r>
      <w:r>
        <w:rPr>
          <w:rtl w:val="true"/>
        </w:rPr>
        <w:t>:</w:t>
      </w:r>
      <w:bookmarkEnd w:id="443"/>
    </w:p>
    <w:p>
      <w:pPr>
        <w:pStyle w:val="BookText"/>
        <w:rPr/>
      </w:pPr>
      <w:r>
        <w:rPr>
          <w:rFonts w:ascii="Amiri" w:hAnsi="Amiri" w:eastAsia="Amiri" w:cs="Amiri"/>
          <w:color w:val="111111"/>
          <w:sz w:val="28"/>
          <w:sz w:val="28"/>
          <w:szCs w:val="28"/>
          <w:rtl w:val="true"/>
          <w:lang w:bidi="ar-SA"/>
        </w:rPr>
        <w:t xml:space="preserve">وضع الإناء في اليمين؛ لظاهر الوفاق، و إطلاق النبويّ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المرجّح لوضعه بين يديه </w:t>
      </w:r>
      <w:r>
        <w:rPr>
          <w:rStyle w:val="FootnoteAnchor"/>
          <w:rtl w:val="true"/>
        </w:rPr>
        <w:footnoteReference w:id="1215"/>
      </w:r>
      <w:r>
        <w:rPr>
          <w:rFonts w:ascii="Amiri" w:hAnsi="Amiri" w:eastAsia="Amiri" w:cs="Amiri"/>
          <w:color w:val="111111"/>
          <w:sz w:val="28"/>
          <w:sz w:val="28"/>
          <w:szCs w:val="28"/>
          <w:rtl w:val="true"/>
          <w:lang w:bidi="ar-SA"/>
        </w:rPr>
        <w:t>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بالإناء هنا ما يغترف منه؛ إذ السنّة فيما يصبّ منه الوضع على اليسار و الاغتراف منه باليمنى؛ لفعل الحجج عليهم السّلام و إطلاق النبويّ، و النصوص البيانيّة </w:t>
      </w:r>
      <w:r>
        <w:rPr>
          <w:rStyle w:val="FootnoteAnchor"/>
          <w:rtl w:val="true"/>
        </w:rPr>
        <w:footnoteReference w:id="1216"/>
      </w:r>
      <w:r>
        <w:rPr>
          <w:rFonts w:ascii="Amiri" w:hAnsi="Amiri" w:eastAsia="Amiri" w:cs="Amiri"/>
          <w:color w:val="111111"/>
          <w:sz w:val="28"/>
          <w:sz w:val="28"/>
          <w:szCs w:val="28"/>
          <w:rtl w:val="true"/>
          <w:lang w:bidi="ar-SA"/>
        </w:rPr>
        <w:t>مطابقة في الأخذ بها لغسل الوجه و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لغسل نفسها فالوارد في أكثرها الأخذ باليسرى </w:t>
      </w:r>
      <w:r>
        <w:rPr>
          <w:rStyle w:val="FootnoteAnchor"/>
          <w:rtl w:val="true"/>
        </w:rPr>
        <w:footnoteReference w:id="1217"/>
      </w:r>
      <w:r>
        <w:rPr>
          <w:rFonts w:ascii="Amiri" w:hAnsi="Amiri" w:eastAsia="Amiri" w:cs="Amiri"/>
          <w:color w:val="111111"/>
          <w:sz w:val="28"/>
          <w:sz w:val="28"/>
          <w:szCs w:val="28"/>
          <w:rtl w:val="true"/>
          <w:lang w:bidi="ar-SA"/>
        </w:rPr>
        <w:t xml:space="preserve">، و في بعضها </w:t>
      </w:r>
      <w:r>
        <w:rPr>
          <w:rStyle w:val="FootnoteAnchor"/>
          <w:rtl w:val="true"/>
        </w:rPr>
        <w:footnoteReference w:id="1218"/>
      </w:r>
      <w:r>
        <w:rPr>
          <w:rFonts w:ascii="Amiri" w:hAnsi="Amiri" w:eastAsia="Amiri" w:cs="Amiri"/>
          <w:color w:val="111111"/>
          <w:sz w:val="28"/>
          <w:sz w:val="28"/>
          <w:szCs w:val="28"/>
          <w:rtl w:val="true"/>
          <w:lang w:bidi="ar-SA"/>
        </w:rPr>
        <w:t>باليمنى و الصبّ في اليسرى ثمّ الصبّ على اليمنى، و لعلّ الجمع بالحمل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التسمية، بالإجماع و المستفيضة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نسيها في الابتداء تدارك في الأثناء؛ للمطلقات، كما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في كلّ فعل بالمأثور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السواك؛ للصحيح و المرسل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المضمضة و الاستنشاق، بالإجماعين و المستفيضة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نفى كونهما من الوضوء أو السنّة </w:t>
      </w:r>
      <w:r>
        <w:rPr>
          <w:rStyle w:val="FootnoteAnchor"/>
          <w:rtl w:val="true"/>
        </w:rPr>
        <w:footnoteReference w:id="1222"/>
      </w:r>
      <w:r>
        <w:rPr>
          <w:rFonts w:ascii="Amiri" w:hAnsi="Amiri" w:eastAsia="Amiri" w:cs="Amiri"/>
          <w:color w:val="111111"/>
          <w:sz w:val="28"/>
          <w:sz w:val="28"/>
          <w:szCs w:val="28"/>
          <w:rtl w:val="true"/>
          <w:lang w:bidi="ar-SA"/>
        </w:rPr>
        <w:t xml:space="preserve">محمول على نفي الحتميّة، و إليه يؤوّل قول العماني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تثليثهما؛ لنقل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 و خبرين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 و الأصل فيهما التثليث بثلاث أكفّ، و لكن ينادي السنّة بكف تثليثاً، و مرّة لإطلاق الأخبار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استحباب تقديم المضمضة، و الفاضل جوّز الجمع </w:t>
      </w:r>
      <w:r>
        <w:rPr>
          <w:rStyle w:val="FootnoteAnchor"/>
          <w:rtl w:val="true"/>
        </w:rPr>
        <w:footnoteReference w:id="1227"/>
      </w:r>
      <w:r>
        <w:rPr>
          <w:rFonts w:ascii="Amiri" w:hAnsi="Amiri" w:eastAsia="Amiri" w:cs="Amiri"/>
          <w:color w:val="111111"/>
          <w:sz w:val="28"/>
          <w:sz w:val="28"/>
          <w:szCs w:val="28"/>
          <w:rtl w:val="true"/>
          <w:lang w:bidi="ar-SA"/>
        </w:rPr>
        <w:t xml:space="preserve">، و الشيخ منع العكس </w:t>
      </w:r>
      <w:r>
        <w:rPr>
          <w:rStyle w:val="FootnoteAnchor"/>
          <w:rtl w:val="true"/>
        </w:rPr>
        <w:footnoteReference w:id="1228"/>
      </w:r>
      <w:r>
        <w:rPr>
          <w:rFonts w:ascii="Amiri" w:hAnsi="Amiri" w:eastAsia="Amiri" w:cs="Amiri"/>
          <w:color w:val="111111"/>
          <w:sz w:val="28"/>
          <w:sz w:val="28"/>
          <w:szCs w:val="28"/>
          <w:rtl w:val="true"/>
          <w:lang w:bidi="ar-SA"/>
        </w:rPr>
        <w:t>لإيجابه تغيير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عدم الحرمة، و تأدية السنة بكلّ واحد؛ إذ هيئة العبادة إن لم تثبت فلا معنى لوجوب الخصوصيّة، و إنّما اللازم مجرّد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ثبتت، فإن تعلّقت بالواجب فلا ريب في حرمة التغيّر؛ لإيجابه البطلان، و إن تعلّقت بالمستحب فلا تحريم فيه؛ لجواز ترك الأصل، إلّا إذا اعتقد الشرعيّة بلا شبهة طارئة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ثبوت الهيئة إنّما هو بالنص، و الأمر المطلق لا يثبتها، بل الثابت فيه مجرّد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ورد معه أمر مقيّد أيضاً فاللازم التقييد مع التقاوم، و بدونه يكفي المسمّى أيضاً، و هنا أكثر الأوامر الواردة بهما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إيماء إلى تقديم</w:t>
      </w:r>
    </w:p>
    <w:p>
      <w:pPr>
        <w:pStyle w:val="BookText"/>
        <w:rPr/>
      </w:pPr>
      <w:r>
        <w:rPr>
          <w:rFonts w:ascii="Amiri" w:hAnsi="Amiri" w:eastAsia="Amiri" w:cs="Amiri"/>
          <w:color w:val="111111"/>
          <w:sz w:val="28"/>
          <w:sz w:val="28"/>
          <w:szCs w:val="28"/>
          <w:rtl w:val="true"/>
          <w:lang w:bidi="ar-SA"/>
        </w:rPr>
        <w:t xml:space="preserve">المضمضة </w:t>
      </w:r>
      <w:r>
        <w:rPr>
          <w:rStyle w:val="FootnoteAnchor"/>
          <w:rtl w:val="true"/>
        </w:rPr>
        <w:footnoteReference w:id="1229"/>
      </w:r>
      <w:r>
        <w:rPr>
          <w:rFonts w:ascii="Amiri" w:hAnsi="Amiri" w:eastAsia="Amiri" w:cs="Amiri"/>
          <w:color w:val="111111"/>
          <w:sz w:val="28"/>
          <w:sz w:val="28"/>
          <w:szCs w:val="28"/>
          <w:rtl w:val="true"/>
          <w:lang w:bidi="ar-SA"/>
        </w:rPr>
        <w:t>، و صلاحيّة مثله لتقييدها محلّ نظر، فالظاهر كفاية المسمّى بأيّ طريق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استحباب تقديمها؛ لإيماء الخبر، و تقديمها ذكراً في الأوامر، و الترتيب الذكري و إن لم يفد الواقعي لغة؛ لكنّه يومي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تثنية الغسلات في الأعضاء الثلاثة؛ للمستفيضة </w:t>
      </w:r>
      <w:r>
        <w:rPr>
          <w:rStyle w:val="FootnoteAnchor"/>
          <w:rtl w:val="true"/>
        </w:rPr>
        <w:footnoteReference w:id="1230"/>
      </w:r>
      <w:r>
        <w:rPr>
          <w:rFonts w:ascii="Amiri" w:hAnsi="Amiri" w:eastAsia="Amiri" w:cs="Amiri"/>
          <w:color w:val="111111"/>
          <w:sz w:val="28"/>
          <w:sz w:val="28"/>
          <w:szCs w:val="28"/>
          <w:rtl w:val="true"/>
          <w:lang w:bidi="ar-SA"/>
        </w:rPr>
        <w:t xml:space="preserve">، و دعوى الإجماع من السيّدين و الحلّي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الصدوق جواز الثانية بلا ندب و حرمة </w:t>
      </w:r>
      <w:r>
        <w:rPr>
          <w:rStyle w:val="FootnoteAnchor"/>
          <w:rtl w:val="true"/>
        </w:rPr>
        <w:footnoteReference w:id="1232"/>
      </w:r>
      <w:r>
        <w:rPr>
          <w:rFonts w:ascii="Amiri" w:hAnsi="Amiri" w:eastAsia="Amiri" w:cs="Amiri"/>
          <w:color w:val="111111"/>
          <w:sz w:val="28"/>
          <w:sz w:val="28"/>
          <w:szCs w:val="28"/>
          <w:rtl w:val="true"/>
          <w:lang w:bidi="ar-SA"/>
        </w:rPr>
        <w:t xml:space="preserve">لفعل الحجج عليهم السّلام و ردّ بمنع الدلالة، و أخبار المرّة </w:t>
      </w:r>
      <w:r>
        <w:rPr>
          <w:rStyle w:val="FootnoteAnchor"/>
          <w:rtl w:val="true"/>
        </w:rPr>
        <w:footnoteReference w:id="1233"/>
      </w:r>
      <w:r>
        <w:rPr>
          <w:rFonts w:ascii="Amiri" w:hAnsi="Amiri" w:eastAsia="Amiri" w:cs="Amiri"/>
          <w:color w:val="111111"/>
          <w:sz w:val="28"/>
          <w:sz w:val="28"/>
          <w:szCs w:val="28"/>
          <w:rtl w:val="true"/>
          <w:lang w:bidi="ar-SA"/>
        </w:rPr>
        <w:t xml:space="preserve">و نفي الأجر على المرّتين </w:t>
      </w:r>
      <w:r>
        <w:rPr>
          <w:rStyle w:val="FootnoteAnchor"/>
          <w:rtl w:val="true"/>
        </w:rPr>
        <w:footnoteReference w:id="1234"/>
      </w:r>
      <w:r>
        <w:rPr>
          <w:rFonts w:ascii="Amiri" w:hAnsi="Amiri" w:eastAsia="Amiri" w:cs="Amiri"/>
          <w:color w:val="111111"/>
          <w:sz w:val="28"/>
          <w:sz w:val="28"/>
          <w:szCs w:val="28"/>
          <w:rtl w:val="true"/>
          <w:lang w:bidi="ar-SA"/>
        </w:rPr>
        <w:t>و حملت على بيان الفرض و اعتقاد شرعيّة الوجوب، مع أنّ اتّصاف العبارة بمجرّد الإباحة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تحريمها إليه مع صراحة عبارته كعبارة الكلّ في نفيه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البزنطي و الكليني </w:t>
      </w:r>
      <w:r>
        <w:rPr>
          <w:rStyle w:val="FootnoteAnchor"/>
          <w:rtl w:val="true"/>
        </w:rPr>
        <w:footnoteReference w:id="1235"/>
      </w:r>
      <w:r>
        <w:rPr>
          <w:rFonts w:ascii="Amiri" w:hAnsi="Amiri" w:eastAsia="Amiri" w:cs="Amiri"/>
          <w:color w:val="111111"/>
          <w:sz w:val="28"/>
          <w:sz w:val="28"/>
          <w:szCs w:val="28"/>
          <w:rtl w:val="true"/>
          <w:lang w:bidi="ar-SA"/>
        </w:rPr>
        <w:t xml:space="preserve">لا ينفي الاستحباب، بل يثبته، و إنّما يرجع إلى ما في بعض النصوص </w:t>
      </w:r>
      <w:r>
        <w:rPr>
          <w:rStyle w:val="FootnoteAnchor"/>
          <w:rtl w:val="true"/>
        </w:rPr>
        <w:footnoteReference w:id="1236"/>
      </w:r>
      <w:r>
        <w:rPr>
          <w:rFonts w:ascii="Amiri" w:hAnsi="Amiri" w:eastAsia="Amiri" w:cs="Amiri"/>
          <w:color w:val="111111"/>
          <w:sz w:val="28"/>
          <w:sz w:val="28"/>
          <w:szCs w:val="28"/>
          <w:rtl w:val="true"/>
          <w:lang w:bidi="ar-SA"/>
        </w:rPr>
        <w:t>من أنّ الفرض من اللّٰه هو المرّة و الثانية أضافها النبي صلّى اللّٰه عليه و سلّم لتقصير الناس، فنسبة نفيه إليهما غير جيّد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بأفضليّة المرّة بغرفتين </w:t>
      </w:r>
      <w:r>
        <w:rPr>
          <w:rStyle w:val="FootnoteAnchor"/>
          <w:rtl w:val="true"/>
        </w:rPr>
        <w:footnoteReference w:id="1237"/>
      </w:r>
      <w:r>
        <w:rPr>
          <w:rFonts w:ascii="Amiri" w:hAnsi="Amiri" w:eastAsia="Amiri" w:cs="Amiri"/>
          <w:color w:val="111111"/>
          <w:sz w:val="28"/>
          <w:sz w:val="28"/>
          <w:szCs w:val="28"/>
          <w:rtl w:val="true"/>
          <w:lang w:bidi="ar-SA"/>
        </w:rPr>
        <w:t>ضعيف، و مبناه على جمع فاسد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غير مستحبّة، بالإجماع و النصوص، و محرّمة على الحقّ المشهور؛ لكونها بدعة بالنصوص </w:t>
      </w:r>
      <w:r>
        <w:rPr>
          <w:rStyle w:val="FootnoteAnchor"/>
          <w:rtl w:val="true"/>
        </w:rPr>
        <w:footnoteReference w:id="1238"/>
      </w:r>
      <w:r>
        <w:rPr>
          <w:rFonts w:ascii="Amiri" w:hAnsi="Amiri" w:eastAsia="Amiri" w:cs="Amiri"/>
          <w:color w:val="111111"/>
          <w:sz w:val="28"/>
          <w:sz w:val="28"/>
          <w:szCs w:val="28"/>
          <w:rtl w:val="true"/>
          <w:lang w:bidi="ar-SA"/>
        </w:rPr>
        <w:t>، فتحرم؛ للظواهر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الأوّلين و المفيد </w:t>
      </w:r>
      <w:r>
        <w:rPr>
          <w:rStyle w:val="FootnoteAnchor"/>
          <w:rtl w:val="true"/>
        </w:rPr>
        <w:footnoteReference w:id="1239"/>
      </w:r>
      <w:r>
        <w:rPr>
          <w:rFonts w:ascii="Amiri" w:hAnsi="Amiri" w:eastAsia="Amiri" w:cs="Amiri"/>
          <w:color w:val="111111"/>
          <w:sz w:val="28"/>
          <w:sz w:val="28"/>
          <w:szCs w:val="28"/>
          <w:rtl w:val="true"/>
          <w:lang w:bidi="ar-SA"/>
        </w:rPr>
        <w:t>لمستند لا 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يمنع مخالفتهم؛ لما في عبارتهم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إبطالها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و هو المختار الإبطال إن مسح بمائها مطلقاً، و رابعها إن كانت في 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خروجها عن الحقيقة تعلّق النهي بالخارج فلا تبطل، و كون مائها كالجديد فالتمسّح به استئناف مبطل بالإجماع، و لزومه مع كونها في اليسرى الماسحة كلّي، و في غيرها يتصوّر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ضعفها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الغرفة الثالثة قبل إكمال الغسل، و لا يبطل التمسّح بمائها؛ إذ الغرفات الثلاث لغسلة واحدة كماء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يستحبّ التكرار في المسح إجماعاً؛ لفعل الحجج عليهم السّلام و صريح الخبر </w:t>
      </w:r>
      <w:r>
        <w:rPr>
          <w:rStyle w:val="FootnoteAnchor"/>
          <w:rtl w:val="true"/>
        </w:rPr>
        <w:footnoteReference w:id="1240"/>
      </w:r>
      <w:r>
        <w:rPr>
          <w:rFonts w:ascii="Amiri" w:hAnsi="Amiri" w:eastAsia="Amiri" w:cs="Amiri"/>
          <w:color w:val="111111"/>
          <w:sz w:val="28"/>
          <w:sz w:val="28"/>
          <w:szCs w:val="28"/>
          <w:rtl w:val="true"/>
          <w:lang w:bidi="ar-SA"/>
        </w:rPr>
        <w:t>، و صدق الامتثال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كراهته؛ لظاهر الوفاق، دون الحرمة؛ للأصل و عدم المقتضي، إلّا أن يعتقد الشرعيّة فيأثم مع الصحّة، لتعلّق النهي بالخارج</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بدأة الرجل بظاهر ذراعيه، و المرأة بباطنهما؛ للخبر و المرسل </w:t>
      </w:r>
      <w:r>
        <w:rPr>
          <w:rStyle w:val="FootnoteAnchor"/>
          <w:rtl w:val="true"/>
        </w:rPr>
        <w:footnoteReference w:id="1241"/>
      </w:r>
      <w:r>
        <w:rPr>
          <w:rFonts w:ascii="Amiri" w:hAnsi="Amiri" w:eastAsia="Amiri" w:cs="Amiri"/>
          <w:color w:val="111111"/>
          <w:sz w:val="28"/>
          <w:sz w:val="28"/>
          <w:szCs w:val="28"/>
          <w:rtl w:val="true"/>
          <w:lang w:bidi="ar-SA"/>
        </w:rPr>
        <w:t>، و المشهور عدم الفرق في ذلك بين الغسلتين؛ لإطلاقهما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عكس الحكم فيهما في الثانية </w:t>
      </w:r>
      <w:r>
        <w:rPr>
          <w:rStyle w:val="FootnoteAnchor"/>
          <w:rtl w:val="true"/>
        </w:rPr>
        <w:footnoteReference w:id="1242"/>
      </w:r>
      <w:r>
        <w:rPr>
          <w:rFonts w:ascii="Amiri" w:hAnsi="Amiri" w:eastAsia="Amiri" w:cs="Amiri"/>
          <w:color w:val="111111"/>
          <w:sz w:val="28"/>
          <w:sz w:val="28"/>
          <w:szCs w:val="28"/>
          <w:rtl w:val="true"/>
          <w:lang w:bidi="ar-SA"/>
        </w:rPr>
        <w:t>، و لا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فتح العين، بما يدفع القذى و لا يوجب الأذى؛ للمرسل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 الوضوء بمُدّ؛ للإجماع، و فعل النبي صلّى اللّٰه عليه و سلّم كما في المستفيضة </w:t>
      </w:r>
      <w:r>
        <w:rPr>
          <w:rStyle w:val="FootnoteAnchor"/>
          <w:rtl w:val="true"/>
        </w:rPr>
        <w:footnoteReference w:id="1244"/>
      </w:r>
      <w:r>
        <w:rPr>
          <w:rFonts w:ascii="Amiri" w:hAnsi="Amiri" w:eastAsia="Amiri" w:cs="Amiri"/>
          <w:color w:val="111111"/>
          <w:sz w:val="28"/>
          <w:sz w:val="28"/>
          <w:szCs w:val="28"/>
          <w:rtl w:val="true"/>
          <w:lang w:bidi="ar-SA"/>
        </w:rPr>
        <w:t xml:space="preserve">، و يعضده المرسل و الخبر </w:t>
      </w:r>
      <w:r>
        <w:rPr>
          <w:rStyle w:val="FootnoteAnchor"/>
          <w:rtl w:val="true"/>
        </w:rPr>
        <w:footnoteReference w:id="1245"/>
      </w:r>
      <w:r>
        <w:rPr>
          <w:rFonts w:ascii="Amiri" w:hAnsi="Amiri" w:eastAsia="Amiri" w:cs="Amiri"/>
          <w:color w:val="111111"/>
          <w:sz w:val="28"/>
          <w:sz w:val="28"/>
          <w:szCs w:val="28"/>
          <w:rtl w:val="true"/>
          <w:lang w:bidi="ar-SA"/>
        </w:rPr>
        <w:t xml:space="preserve">و في الصحيح </w:t>
      </w:r>
      <w:r>
        <w:rPr>
          <w:rStyle w:val="FootnoteAnchor"/>
          <w:rtl w:val="true"/>
        </w:rPr>
        <w:footnoteReference w:id="12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 رطل و نصف</w:t>
      </w:r>
      <w:r>
        <w:rPr>
          <w:rFonts w:eastAsia="IRNazanin" w:cs="IRNazanin"/>
          <w:color w:val="111111"/>
          <w:sz w:val="28"/>
          <w:szCs w:val="28"/>
          <w:rtl w:val="true"/>
          <w:lang w:bidi="fa-IR"/>
        </w:rPr>
        <w:t xml:space="preserve">» </w:t>
      </w:r>
      <w:r>
        <w:rPr>
          <w:rStyle w:val="FootnoteAnchor"/>
          <w:rtl w:val="true"/>
        </w:rPr>
        <w:footnoteReference w:id="1247"/>
      </w:r>
      <w:r>
        <w:rPr>
          <w:rFonts w:ascii="Amiri" w:hAnsi="Amiri" w:eastAsia="Amiri" w:cs="Amiri"/>
          <w:color w:val="111111"/>
          <w:sz w:val="28"/>
          <w:sz w:val="28"/>
          <w:szCs w:val="28"/>
          <w:rtl w:val="true"/>
          <w:lang w:bidi="ar-SA"/>
        </w:rPr>
        <w:t>أي بالمدني، و في المكاتبة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 ستة أرطال بالمدني، و تسعة بالعراقي</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و في 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ربع الصاع</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و مقتضاها ما هو المشهور من كونه رطلًا و نصفاً بالمدني و رطلين و ربعاً بالعراقي، و كون المدني مثلًا و نصفاً للعراقي، و كون الصاع ستة أرطال بالمدني و تسعة بالعراقي، و كون المدّ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البزنطي بكونه رطلًا و ربعاً </w:t>
      </w:r>
      <w:r>
        <w:rPr>
          <w:rStyle w:val="FootnoteAnchor"/>
          <w:rtl w:val="true"/>
        </w:rPr>
        <w:footnoteReference w:id="1250"/>
      </w:r>
      <w:r>
        <w:rPr>
          <w:rFonts w:ascii="Amiri" w:hAnsi="Amiri" w:eastAsia="Amiri" w:cs="Amiri"/>
          <w:color w:val="111111"/>
          <w:sz w:val="28"/>
          <w:sz w:val="28"/>
          <w:szCs w:val="28"/>
          <w:rtl w:val="true"/>
          <w:lang w:bidi="ar-SA"/>
        </w:rPr>
        <w:t xml:space="preserve">شاذّ، و المضمرة </w:t>
      </w:r>
      <w:r>
        <w:rPr>
          <w:rStyle w:val="FootnoteAnchor"/>
          <w:rtl w:val="true"/>
        </w:rPr>
        <w:footnoteReference w:id="1251"/>
      </w:r>
      <w:r>
        <w:rPr>
          <w:rFonts w:ascii="Amiri" w:hAnsi="Amiri" w:eastAsia="Amiri" w:cs="Amiri"/>
          <w:color w:val="111111"/>
          <w:sz w:val="28"/>
          <w:sz w:val="28"/>
          <w:szCs w:val="28"/>
          <w:rtl w:val="true"/>
          <w:lang w:bidi="ar-SA"/>
        </w:rPr>
        <w:t>مع ضعفها و مخالفة بعضها الإجماع لا 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الصاع ألف و مائة و سبعون درهماً، وفاقاً للمشهور؛ للمكاتبتين </w:t>
      </w:r>
      <w:r>
        <w:rPr>
          <w:rStyle w:val="FootnoteAnchor"/>
          <w:rtl w:val="true"/>
        </w:rPr>
        <w:footnoteReference w:id="1252"/>
      </w:r>
      <w:r>
        <w:rPr>
          <w:rFonts w:ascii="Amiri" w:hAnsi="Amiri" w:eastAsia="Amiri" w:cs="Amiri"/>
          <w:color w:val="111111"/>
          <w:sz w:val="28"/>
          <w:sz w:val="28"/>
          <w:szCs w:val="28"/>
          <w:rtl w:val="true"/>
          <w:lang w:bidi="ar-SA"/>
        </w:rPr>
        <w:t xml:space="preserve">فالعراقي مائة و ثلاثون، و المدني مائة و خمسة و تسعون؛ لصريح المكاتبة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المثقال الشرعي درهم و ثلاثة أسباع، و هو ثلاثة أرباع الصيرفي، فهو مثله و ثلثه، و الدرهم نصف الشرعي و خمسه و نصف الصيرفي و ربع عشره</w:t>
      </w:r>
      <w:r>
        <w:rPr>
          <w:rFonts w:eastAsia="Amiri" w:cs="Amiri" w:ascii="Amiri" w:hAnsi="Amiri"/>
          <w:color w:val="111111"/>
          <w:sz w:val="28"/>
          <w:szCs w:val="28"/>
          <w:rtl w:val="true"/>
          <w:lang w:bidi="ar-SA"/>
        </w:rPr>
        <w:t>.</w:t>
      </w:r>
      <w:bookmarkStart w:id="444" w:name="pg2479_11645"/>
    </w:p>
    <w:p>
      <w:pPr>
        <w:pStyle w:val="BookText"/>
        <w:rPr/>
      </w:pPr>
      <w:bookmarkEnd w:id="444"/>
      <w:r>
        <w:rPr>
          <w:rFonts w:ascii="Amiri" w:hAnsi="Amiri" w:eastAsia="Amiri" w:cs="Amiri"/>
          <w:color w:val="111111"/>
          <w:sz w:val="28"/>
          <w:sz w:val="28"/>
          <w:szCs w:val="28"/>
          <w:rtl w:val="true"/>
          <w:lang w:bidi="ar-SA"/>
        </w:rPr>
        <w:t>فالعراقي بالشرعيّة أحد و تسعون، و بالصيرفيّة ثمانية و ستّون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 بالدراهم مائتان و اثنان و تسعون و نصف، و بالشرعيّة مائتان و أربعة و ثلاثة أرباع، و بالصيرفيّة مائة و ثلاثة و خمسون و نصف و نصف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فالصاع بالصيرفيّة ستمائة و أربعة عشر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 التبريزي القديم ستمائة صيرفي، فالمدّ يزيد على ربعه بثلاثة و نصف و نصف خمس، إلّا أنّهم أخذوه ربع المنّ الوافي؛ لقلّة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إمرار اليد بالغسل؛ للتأسّي، و 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أوجبه الإسكافي </w:t>
      </w:r>
      <w:r>
        <w:rPr>
          <w:rStyle w:val="FootnoteAnchor"/>
          <w:rtl w:val="true"/>
        </w:rPr>
        <w:footnoteReference w:id="1255"/>
      </w:r>
      <w:r>
        <w:rPr>
          <w:rFonts w:ascii="Amiri" w:hAnsi="Amiri" w:eastAsia="Amiri" w:cs="Amiri"/>
          <w:color w:val="111111"/>
          <w:sz w:val="28"/>
          <w:sz w:val="28"/>
          <w:szCs w:val="28"/>
          <w:rtl w:val="true"/>
          <w:lang w:bidi="ar-SA"/>
        </w:rPr>
        <w:t xml:space="preserve">لفعل الحجج عليهم السّلام و هو لا يفيد أزيد من الندب، و الإطلاقات و صريح الخبر </w:t>
      </w:r>
      <w:r>
        <w:rPr>
          <w:rStyle w:val="FootnoteAnchor"/>
          <w:rtl w:val="true"/>
        </w:rPr>
        <w:footnoteReference w:id="1256"/>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الجلوس في مظانّ النجاسة عند الوضوء؛ للعام المشهور، و رجحان التنزّه عن نجاسة مظنونة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732137_3804643083"/>
      <w:bookmarkStart w:id="446" w:name="_Toc174"/>
      <w:bookmarkEnd w:id="445"/>
      <w:r>
        <w:rPr>
          <w:rtl w:val="true"/>
        </w:rPr>
        <w:t>فصل و يكره</w:t>
      </w:r>
      <w:r>
        <w:rPr>
          <w:rtl w:val="true"/>
        </w:rPr>
        <w:t>:</w:t>
      </w:r>
      <w:bookmarkEnd w:id="4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الوضوء في المسجد من الأخبثين؛ للخبر </w:t>
      </w:r>
      <w:r>
        <w:rPr>
          <w:rStyle w:val="FootnoteAnchor"/>
          <w:rtl w:val="true"/>
        </w:rPr>
        <w:footnoteReference w:id="1257"/>
      </w:r>
      <w:r>
        <w:rPr>
          <w:rFonts w:ascii="Amiri" w:hAnsi="Amiri" w:eastAsia="Amiri" w:cs="Amiri"/>
          <w:color w:val="111111"/>
          <w:sz w:val="28"/>
          <w:sz w:val="28"/>
          <w:szCs w:val="28"/>
          <w:rtl w:val="true"/>
          <w:lang w:bidi="ar-SA"/>
        </w:rPr>
        <w:t xml:space="preserve">، و من النوم الواقع في غيره لا فيه؛ لمفهوم الآخر </w:t>
      </w:r>
      <w:r>
        <w:rPr>
          <w:rStyle w:val="FootnoteAnchor"/>
          <w:rtl w:val="true"/>
        </w:rPr>
        <w:footnoteReference w:id="1258"/>
      </w:r>
      <w:r>
        <w:rPr>
          <w:rFonts w:ascii="Amiri" w:hAnsi="Amiri" w:eastAsia="Amiri" w:cs="Amiri"/>
          <w:color w:val="111111"/>
          <w:sz w:val="28"/>
          <w:sz w:val="28"/>
          <w:szCs w:val="28"/>
          <w:rtl w:val="true"/>
          <w:lang w:bidi="ar-SA"/>
        </w:rPr>
        <w:t>، و هو يعمّ الأوّلين، فيعارض منطوق الأوّل، و لعلّ باعث</w:t>
      </w:r>
      <w:bookmarkStart w:id="447" w:name="pg2479_11646"/>
    </w:p>
    <w:p>
      <w:pPr>
        <w:pStyle w:val="BookText"/>
        <w:rPr/>
      </w:pPr>
      <w:bookmarkEnd w:id="447"/>
      <w:r>
        <w:rPr>
          <w:rFonts w:ascii="Amiri" w:hAnsi="Amiri" w:eastAsia="Amiri" w:cs="Amiri"/>
          <w:color w:val="111111"/>
          <w:sz w:val="28"/>
          <w:sz w:val="28"/>
          <w:szCs w:val="28"/>
          <w:rtl w:val="true"/>
          <w:lang w:bidi="ar-SA"/>
        </w:rPr>
        <w:t>كراهته إيجابه زيادة الكون فيه محدثاً، و هو يخصّ بالواقع في غيره، فالظاهر تقييد المنطوق بالمفهوم، و يعضده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في أثنائه؛ لمنعه 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كراهة التمندل؛ للخبرين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نفاها السيّد </w:t>
      </w:r>
      <w:r>
        <w:rPr>
          <w:rStyle w:val="FootnoteAnchor"/>
          <w:rtl w:val="true"/>
        </w:rPr>
        <w:footnoteReference w:id="1260"/>
      </w:r>
      <w:r>
        <w:rPr>
          <w:rFonts w:ascii="Amiri" w:hAnsi="Amiri" w:eastAsia="Amiri" w:cs="Amiri"/>
          <w:color w:val="111111"/>
          <w:sz w:val="28"/>
          <w:sz w:val="28"/>
          <w:szCs w:val="28"/>
          <w:rtl w:val="true"/>
          <w:lang w:bidi="ar-SA"/>
        </w:rPr>
        <w:t xml:space="preserve">للأصل و المستفيضة </w:t>
      </w:r>
      <w:r>
        <w:rPr>
          <w:rStyle w:val="FootnoteAnchor"/>
          <w:rtl w:val="true"/>
        </w:rPr>
        <w:footnoteReference w:id="1261"/>
      </w:r>
      <w:r>
        <w:rPr>
          <w:rFonts w:ascii="Amiri" w:hAnsi="Amiri" w:eastAsia="Amiri" w:cs="Amiri"/>
          <w:color w:val="111111"/>
          <w:sz w:val="28"/>
          <w:sz w:val="28"/>
          <w:szCs w:val="28"/>
          <w:rtl w:val="true"/>
          <w:lang w:bidi="ar-SA"/>
        </w:rPr>
        <w:t>، و أُجيب بعدم منافاتها الكراهة، و فيه أنّ بعضها مصرّح بصدوره من الإمام عليه السّلام و هو ينافيها، فاللازم حمله على وجود عذر له، و لو لا الشهرة العظيمة لكان الأخذ بظاهرها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اختصاص الحكم بمورد النص، فلا ينسحب إلى التمسّح بمثل الذيل و الكمّ، و قيل بالتعدية لاتّحاد الطريق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732139_3804643083"/>
      <w:bookmarkStart w:id="449" w:name="_Toc175"/>
      <w:bookmarkEnd w:id="448"/>
      <w:r>
        <w:rPr>
          <w:rtl w:val="true"/>
        </w:rPr>
        <w:t xml:space="preserve">فصل </w:t>
      </w:r>
      <w:r>
        <w:rPr>
          <w:rtl w:val="true"/>
        </w:rPr>
        <w:t>[</w:t>
      </w:r>
      <w:r>
        <w:rPr>
          <w:rtl w:val="true"/>
        </w:rPr>
        <w:t>حكم الشك في الوضوء</w:t>
      </w:r>
      <w:r>
        <w:rPr>
          <w:rtl w:val="true"/>
        </w:rPr>
        <w:t>]</w:t>
      </w:r>
      <w:bookmarkEnd w:id="449"/>
    </w:p>
    <w:p>
      <w:pPr>
        <w:pStyle w:val="BookText"/>
        <w:rPr/>
      </w:pPr>
      <w:r>
        <w:rPr>
          <w:rFonts w:ascii="Amiri" w:hAnsi="Amiri" w:eastAsia="Amiri" w:cs="Amiri"/>
          <w:color w:val="111111"/>
          <w:sz w:val="28"/>
          <w:sz w:val="28"/>
          <w:szCs w:val="28"/>
          <w:rtl w:val="true"/>
          <w:lang w:bidi="ar-SA"/>
        </w:rPr>
        <w:t>الشكّ في فعل إمّا قبل الفراغ أو بعده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يأتي به و بما بعده و لا يستأنف؛ للإجماع في الكلّ، و الاستصحاب في الأوّل، و أدلّة الترتيب في الثاني، و الأصل و عدم المقتضي في الثالث، و الصحيح </w:t>
      </w:r>
      <w:r>
        <w:rPr>
          <w:rStyle w:val="FootnoteAnchor"/>
          <w:rtl w:val="true"/>
        </w:rPr>
        <w:footnoteReference w:id="1263"/>
      </w:r>
      <w:r>
        <w:rPr>
          <w:rFonts w:ascii="Amiri" w:hAnsi="Amiri" w:eastAsia="Amiri" w:cs="Amiri"/>
          <w:color w:val="111111"/>
          <w:sz w:val="28"/>
          <w:sz w:val="28"/>
          <w:szCs w:val="28"/>
          <w:rtl w:val="true"/>
          <w:lang w:bidi="ar-SA"/>
        </w:rPr>
        <w:t>بإحدى الطرق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الموثّق الخاص </w:t>
      </w:r>
      <w:r>
        <w:rPr>
          <w:rStyle w:val="FootnoteAnchor"/>
          <w:rtl w:val="true"/>
        </w:rPr>
        <w:footnoteReference w:id="1264"/>
      </w:r>
      <w:r>
        <w:rPr>
          <w:rFonts w:ascii="Amiri" w:hAnsi="Amiri" w:eastAsia="Amiri" w:cs="Amiri"/>
          <w:color w:val="111111"/>
          <w:sz w:val="28"/>
          <w:sz w:val="28"/>
          <w:szCs w:val="28"/>
          <w:rtl w:val="true"/>
          <w:lang w:bidi="ar-SA"/>
        </w:rPr>
        <w:t>لا يعارضه؛ لعدم</w:t>
      </w:r>
    </w:p>
    <w:p>
      <w:pPr>
        <w:pStyle w:val="BookText"/>
        <w:rPr/>
      </w:pPr>
      <w:r>
        <w:rPr>
          <w:rFonts w:ascii="IRNazanin" w:hAnsi="IRNazanin" w:eastAsia="IRNazanin"/>
          <w:color w:val="111111"/>
          <w:sz w:val="28"/>
          <w:sz w:val="28"/>
          <w:szCs w:val="28"/>
          <w:rtl w:val="true"/>
          <w:lang w:bidi="fa-IR"/>
        </w:rPr>
        <w:t xml:space="preserve">صراحته، و العام </w:t>
      </w:r>
      <w:r>
        <w:rPr>
          <w:rStyle w:val="FootnoteAnchor"/>
          <w:rtl w:val="true"/>
        </w:rPr>
        <w:footnoteReference w:id="1265"/>
      </w:r>
      <w:r>
        <w:rPr>
          <w:rFonts w:ascii="Amiri" w:hAnsi="Amiri" w:eastAsia="Amiri" w:cs="Amiri"/>
          <w:color w:val="111111"/>
          <w:sz w:val="28"/>
          <w:sz w:val="28"/>
          <w:szCs w:val="28"/>
          <w:rtl w:val="true"/>
          <w:lang w:bidi="ar-SA"/>
        </w:rPr>
        <w:t>كالصحيح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لا يلتفت إليه؛ للإجماع و المعتبرة </w:t>
      </w:r>
      <w:r>
        <w:rPr>
          <w:rStyle w:val="FootnoteAnchor"/>
          <w:rtl w:val="true"/>
        </w:rPr>
        <w:footnoteReference w:id="1266"/>
      </w:r>
      <w:r>
        <w:rPr>
          <w:rFonts w:ascii="Amiri" w:hAnsi="Amiri" w:eastAsia="Amiri" w:cs="Amiri"/>
          <w:color w:val="111111"/>
          <w:sz w:val="28"/>
          <w:sz w:val="28"/>
          <w:szCs w:val="28"/>
          <w:rtl w:val="true"/>
          <w:lang w:bidi="ar-SA"/>
        </w:rPr>
        <w:t xml:space="preserve">، و لو قبل القيام؛ لنقل الإجماع </w:t>
      </w:r>
      <w:r>
        <w:rPr>
          <w:rStyle w:val="FootnoteAnchor"/>
          <w:rtl w:val="true"/>
        </w:rPr>
        <w:footnoteReference w:id="1267"/>
      </w:r>
      <w:r>
        <w:rPr>
          <w:rFonts w:ascii="Amiri" w:hAnsi="Amiri" w:eastAsia="Amiri" w:cs="Amiri"/>
          <w:color w:val="111111"/>
          <w:sz w:val="28"/>
          <w:sz w:val="28"/>
          <w:szCs w:val="28"/>
          <w:rtl w:val="true"/>
          <w:lang w:bidi="ar-SA"/>
        </w:rPr>
        <w:t xml:space="preserve">، و ظاهر الموثّقين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للشهيد </w:t>
      </w:r>
      <w:r>
        <w:rPr>
          <w:rStyle w:val="FootnoteAnchor"/>
          <w:rtl w:val="true"/>
        </w:rPr>
        <w:footnoteReference w:id="1269"/>
      </w:r>
      <w:r>
        <w:rPr>
          <w:rFonts w:ascii="Amiri" w:hAnsi="Amiri" w:eastAsia="Amiri" w:cs="Amiri"/>
          <w:color w:val="111111"/>
          <w:sz w:val="28"/>
          <w:sz w:val="28"/>
          <w:szCs w:val="28"/>
          <w:rtl w:val="true"/>
          <w:lang w:bidi="ar-SA"/>
        </w:rPr>
        <w:t xml:space="preserve">للصحيح </w:t>
      </w:r>
      <w:r>
        <w:rPr>
          <w:rStyle w:val="FootnoteAnchor"/>
          <w:rtl w:val="true"/>
        </w:rPr>
        <w:footnoteReference w:id="1270"/>
      </w:r>
      <w:r>
        <w:rPr>
          <w:rFonts w:ascii="Amiri" w:hAnsi="Amiri" w:eastAsia="Amiri" w:cs="Amiri"/>
          <w:color w:val="111111"/>
          <w:sz w:val="28"/>
          <w:sz w:val="28"/>
          <w:szCs w:val="28"/>
          <w:rtl w:val="true"/>
          <w:lang w:bidi="ar-SA"/>
        </w:rPr>
        <w:t>، و لا صراحة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تحقّق الفراغ مع الشكّ في العضو الأخير؛ لاستلزامه الشكّ في الفراغ و توقّف الحكم على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النيّة من الأفعال، فمع الشكّ فيها يستأنف الوضوء؛ للاستصحاب و ظاهر الوفاق، فعدم وروده في الصحيح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كثر شكّه لم يلتفت إليه؛ لنفي الحرج، و إيماء الصحيحين </w:t>
      </w:r>
      <w:r>
        <w:rPr>
          <w:rStyle w:val="FootnoteAnchor"/>
          <w:rtl w:val="true"/>
        </w:rPr>
        <w:footnoteReference w:id="1271"/>
      </w:r>
      <w:r>
        <w:rPr>
          <w:rFonts w:ascii="Amiri" w:hAnsi="Amiri" w:eastAsia="Amiri" w:cs="Amiri"/>
          <w:color w:val="111111"/>
          <w:sz w:val="28"/>
          <w:sz w:val="28"/>
          <w:szCs w:val="28"/>
          <w:rtl w:val="true"/>
          <w:lang w:bidi="ar-SA"/>
        </w:rPr>
        <w:t>و يؤيّده فتوى جماعة به، مع عدم مصرّح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تيقّن ترك عضو أتى به و بما بعده مطلقاً؛ للمستفيضة </w:t>
      </w:r>
      <w:r>
        <w:rPr>
          <w:rStyle w:val="FootnoteAnchor"/>
          <w:rtl w:val="true"/>
        </w:rPr>
        <w:footnoteReference w:id="1272"/>
      </w:r>
      <w:r>
        <w:rPr>
          <w:rFonts w:ascii="IRNazanin" w:hAnsi="IRNazanin" w:eastAsia="IRNazanin"/>
          <w:color w:val="111111"/>
          <w:sz w:val="28"/>
          <w:sz w:val="28"/>
          <w:szCs w:val="28"/>
          <w:rtl w:val="true"/>
          <w:lang w:bidi="fa-IR"/>
        </w:rPr>
        <w:t xml:space="preserve">، و ظاهر المحقّق </w:t>
      </w:r>
      <w:r>
        <w:rPr>
          <w:rStyle w:val="FootnoteAnchor"/>
          <w:rtl w:val="true"/>
        </w:rPr>
        <w:footnoteReference w:id="1273"/>
      </w:r>
      <w:r>
        <w:rPr>
          <w:rFonts w:ascii="Amiri" w:hAnsi="Amiri" w:eastAsia="Amiri" w:cs="Amiri"/>
          <w:color w:val="111111"/>
          <w:sz w:val="28"/>
          <w:sz w:val="28"/>
          <w:szCs w:val="28"/>
          <w:rtl w:val="true"/>
          <w:lang w:bidi="ar-SA"/>
        </w:rPr>
        <w:t xml:space="preserve">، و صريح المحكي </w:t>
      </w:r>
      <w:r>
        <w:rPr>
          <w:rStyle w:val="FootnoteAnchor"/>
          <w:rtl w:val="true"/>
        </w:rPr>
        <w:footnoteReference w:id="1274"/>
      </w:r>
      <w:r>
        <w:rPr>
          <w:rFonts w:ascii="IRNazanin" w:hAnsi="IRNazanin" w:eastAsia="IRNazanin"/>
          <w:color w:val="111111"/>
          <w:sz w:val="28"/>
          <w:sz w:val="28"/>
          <w:szCs w:val="28"/>
          <w:rtl w:val="true"/>
          <w:lang w:bidi="fa-IR"/>
        </w:rPr>
        <w:t xml:space="preserve">، و الخبر المعارض </w:t>
      </w:r>
      <w:r>
        <w:rPr>
          <w:rStyle w:val="FootnoteAnchor"/>
          <w:rtl w:val="true"/>
        </w:rPr>
        <w:footnoteReference w:id="1275"/>
      </w:r>
      <w:r>
        <w:rPr>
          <w:rFonts w:ascii="IRNazanin" w:hAnsi="IRNazanin" w:eastAsia="IRNazanin"/>
          <w:color w:val="111111"/>
          <w:sz w:val="28"/>
          <w:sz w:val="28"/>
          <w:szCs w:val="28"/>
          <w:rtl w:val="true"/>
          <w:lang w:bidi="fa-IR"/>
        </w:rPr>
        <w:t>مؤوّل؛ لضعفه و شذوذه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الجفاف يعيد؛ لوجوب الموالاة، و إطلاق الإعادة في الموثّق </w:t>
      </w:r>
      <w:r>
        <w:rPr>
          <w:rStyle w:val="FootnoteAnchor"/>
          <w:rtl w:val="true"/>
        </w:rPr>
        <w:footnoteReference w:id="1276"/>
      </w:r>
      <w:r>
        <w:rPr>
          <w:rFonts w:ascii="Amiri" w:hAnsi="Amiri" w:eastAsia="Amiri" w:cs="Amiri"/>
          <w:color w:val="111111"/>
          <w:sz w:val="28"/>
          <w:sz w:val="28"/>
          <w:szCs w:val="28"/>
          <w:rtl w:val="true"/>
          <w:lang w:bidi="ar-SA"/>
        </w:rPr>
        <w:t>مقيّد به</w:t>
      </w:r>
      <w:r>
        <w:rPr>
          <w:rFonts w:eastAsia="Amiri" w:cs="Amiri" w:ascii="Amiri" w:hAnsi="Amiri"/>
          <w:color w:val="111111"/>
          <w:sz w:val="28"/>
          <w:szCs w:val="28"/>
          <w:rtl w:val="true"/>
          <w:lang w:bidi="ar-SA"/>
        </w:rPr>
        <w:t>.</w:t>
      </w:r>
      <w:bookmarkStart w:id="450" w:name="pg2479_11648"/>
    </w:p>
    <w:p>
      <w:pPr>
        <w:pStyle w:val="Heading5"/>
        <w:numPr>
          <w:ilvl w:val="4"/>
          <w:numId w:val="1"/>
        </w:numPr>
        <w:rPr/>
      </w:pPr>
      <w:bookmarkStart w:id="451" w:name="__RefHeading___Toc3732141_3804643083"/>
      <w:bookmarkStart w:id="452" w:name="_Toc176"/>
      <w:bookmarkEnd w:id="450"/>
      <w:bookmarkEnd w:id="451"/>
      <w:r>
        <w:rPr>
          <w:rtl w:val="true"/>
        </w:rPr>
        <w:t xml:space="preserve">فصل </w:t>
      </w:r>
      <w:r>
        <w:rPr>
          <w:rtl w:val="true"/>
        </w:rPr>
        <w:t>[</w:t>
      </w:r>
      <w:r>
        <w:rPr>
          <w:rtl w:val="true"/>
        </w:rPr>
        <w:t>استصحاب الطهارة أو الحدث</w:t>
      </w:r>
      <w:r>
        <w:rPr>
          <w:rtl w:val="true"/>
        </w:rPr>
        <w:t>]</w:t>
      </w:r>
      <w:bookmarkEnd w:id="452"/>
    </w:p>
    <w:p>
      <w:pPr>
        <w:pStyle w:val="BookText"/>
        <w:rPr/>
      </w:pPr>
      <w:r>
        <w:rPr>
          <w:rFonts w:ascii="Amiri" w:hAnsi="Amiri" w:eastAsia="Amiri" w:cs="Amiri"/>
          <w:color w:val="111111"/>
          <w:sz w:val="28"/>
          <w:sz w:val="28"/>
          <w:szCs w:val="28"/>
          <w:rtl w:val="true"/>
          <w:lang w:bidi="ar-SA"/>
        </w:rPr>
        <w:t xml:space="preserve">لو تيقّن الطهارة أو الحدث و شكّ في الآخر، بنى على المتيقّن، بالإجماعين و المستفيضة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لزوم الحرج في بعض الموارد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إلحاق الظنّ بالشكّ في الأوّل موضع القطع؛ للأصل و ظاهر الصحيح و الموثّق و الخبر </w:t>
      </w:r>
      <w:r>
        <w:rPr>
          <w:rStyle w:val="FootnoteAnchor"/>
          <w:rtl w:val="true"/>
        </w:rPr>
        <w:footnoteReference w:id="1278"/>
      </w:r>
      <w:r>
        <w:rPr>
          <w:rFonts w:ascii="Amiri" w:hAnsi="Amiri" w:eastAsia="Amiri" w:cs="Amiri"/>
          <w:color w:val="111111"/>
          <w:sz w:val="28"/>
          <w:sz w:val="28"/>
          <w:szCs w:val="28"/>
          <w:rtl w:val="true"/>
          <w:lang w:bidi="ar-SA"/>
        </w:rPr>
        <w:t>، و يؤيّده عموم المنع عن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أصحّ الوجهين؛ للاستصحاب، و عموم الآية </w:t>
      </w:r>
      <w:r>
        <w:rPr>
          <w:rStyle w:val="FootnoteAnchor"/>
          <w:rtl w:val="true"/>
        </w:rPr>
        <w:footnoteReference w:id="1279"/>
      </w:r>
      <w:r>
        <w:rPr>
          <w:rFonts w:ascii="Amiri" w:hAnsi="Amiri" w:eastAsia="Amiri" w:cs="Amiri"/>
          <w:color w:val="111111"/>
          <w:sz w:val="28"/>
          <w:sz w:val="28"/>
          <w:szCs w:val="28"/>
          <w:rtl w:val="true"/>
          <w:lang w:bidi="ar-SA"/>
        </w:rPr>
        <w:t xml:space="preserve">، 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ينقضه بيقين آخر</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 و ربّما يدّعى عليه الوفاق </w:t>
      </w:r>
      <w:r>
        <w:rPr>
          <w:rStyle w:val="FootnoteAnchor"/>
          <w:rtl w:val="true"/>
        </w:rPr>
        <w:footnoteReference w:id="128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اجتماع اليقين بأحد النقيضين و الشكّ في الآخر مع اختلافهما في زمان الحصول جائز، و إن اتّحد في زمان الحكم، و حمل اليقين على الظنّ أو تخصيص الحدث بالسبب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تيقّنهما و شكّ في المتأخّر، تطهّر مطلقاً وفاقاً للمشهور، لا إن لم يعلم حاله السابق و إلّا أخذ بضدّه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أو بمثله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أفاد الاتّحاد و التعاقب الأخذ به بنى عليه، و إن خرج عن المبحث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الأمر بالوضوء على المحدث و مريد الصلاة، خرج ما خرج، فيبقى</w:t>
      </w:r>
      <w:bookmarkStart w:id="453" w:name="pg2479_11649"/>
    </w:p>
    <w:p>
      <w:pPr>
        <w:pStyle w:val="BookText"/>
        <w:rPr/>
      </w:pPr>
      <w:bookmarkEnd w:id="453"/>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صريح الرضوي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مع علمه بالحالة السابقة قد يعلم الأخذ بها من الاتّحاد و التعاقب، أي استوائهما في العدد و كون كلّ منهما عقيب الآخر أو مثله، فإنّه إمّا يعلم من حاله تعاقب كلّ منهما الآخر و مثله أو الأخر دون مثله حتّى يلزمهما الرافعيّة و الناقضيّة أو تعاقب الطهارتين دون الحدثين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إفادة، و الثاني يفيد الأخذ بها، و الثالث مع سبقها كالأوّل و مع سبقه كالثاني، و الرابع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السابق بورود ضدّ لا يعلم ارتفاعه </w:t>
      </w:r>
      <w:r>
        <w:rPr>
          <w:rStyle w:val="FootnoteAnchor"/>
          <w:rtl w:val="true"/>
        </w:rPr>
        <w:footnoteReference w:id="1285"/>
      </w:r>
      <w:r>
        <w:rPr>
          <w:rFonts w:ascii="Amiri" w:hAnsi="Amiri" w:eastAsia="Amiri" w:cs="Amiri"/>
          <w:color w:val="111111"/>
          <w:sz w:val="28"/>
          <w:sz w:val="28"/>
          <w:szCs w:val="28"/>
          <w:rtl w:val="true"/>
          <w:lang w:bidi="ar-SA"/>
        </w:rPr>
        <w:t>لجواز تعاقب المثلين، فيجب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مطلق الورود، و هو غير نافع، و النافع وروده على الضدّ، و هو غير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تعارضهما، فيلزم التساقط و استصحاب السابق </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بارتفاعه بورود الضدّ، فلا معنى لاستصحابه</w:t>
      </w:r>
      <w:r>
        <w:rPr>
          <w:rFonts w:eastAsia="IRNazanin" w:cs="IRNazanin"/>
          <w:color w:val="111111"/>
          <w:sz w:val="28"/>
          <w:szCs w:val="28"/>
          <w:rtl w:val="true"/>
          <w:lang w:bidi="fa-IR"/>
        </w:rPr>
        <w:t>.</w:t>
      </w:r>
    </w:p>
    <w:p>
      <w:pPr>
        <w:pStyle w:val="Heading5"/>
        <w:numPr>
          <w:ilvl w:val="4"/>
          <w:numId w:val="1"/>
        </w:numPr>
        <w:rPr/>
      </w:pPr>
      <w:bookmarkStart w:id="454" w:name="__RefHeading___Toc3732143_3804643083"/>
      <w:bookmarkStart w:id="455" w:name="_Toc177"/>
      <w:bookmarkEnd w:id="454"/>
      <w:r>
        <w:rPr>
          <w:rtl w:val="true"/>
        </w:rPr>
        <w:t xml:space="preserve">فصل </w:t>
      </w:r>
      <w:r>
        <w:rPr>
          <w:rtl w:val="true"/>
        </w:rPr>
        <w:t>[</w:t>
      </w:r>
      <w:r>
        <w:rPr>
          <w:rtl w:val="true"/>
        </w:rPr>
        <w:t>تذكّر الخلل بعد الصلاة</w:t>
      </w:r>
      <w:r>
        <w:rPr>
          <w:rtl w:val="true"/>
        </w:rPr>
        <w:t>]</w:t>
      </w:r>
      <w:bookmarkEnd w:id="4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ذكر بعد صلاته ترك واجب منه، أعادهما؛ للموثّق </w:t>
      </w:r>
      <w:r>
        <w:rPr>
          <w:rStyle w:val="FootnoteAnchor"/>
          <w:rtl w:val="true"/>
        </w:rPr>
        <w:footnoteReference w:id="1287"/>
      </w:r>
      <w:r>
        <w:rPr>
          <w:rFonts w:ascii="IRNazanin" w:hAnsi="IRNazanin" w:eastAsia="IRNazanin"/>
          <w:color w:val="111111"/>
          <w:sz w:val="28"/>
          <w:sz w:val="28"/>
          <w:szCs w:val="28"/>
          <w:rtl w:val="true"/>
          <w:lang w:bidi="fa-IR"/>
        </w:rPr>
        <w:t>، و عدم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ذكره في أثنائها قطعها و استأنفها بعد إعادته؛ للمستفيضة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ذكره بعدها في أحد الوضوئين لا بعينه، فإمّا أن يكونا واجبين و الثاني غير مجدّد أو مجدّد، أو مندوبين كذلك، أو الأوّل مندوباً أو واجباً و الثاني واجباً أو مندوباً مجدّداً أو غير 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 على الأوّل و الثالث قطعيّة؛ لضرورة بقاء أحدهما و حصول الإباحة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ظاهرة على ما اخترناه من رافعية المجدّد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على الرابع إن وقعا عند عدم وجوب طهارة، و إلّا فقيل بالبطلان </w:t>
      </w:r>
      <w:r>
        <w:rPr>
          <w:rStyle w:val="FootnoteAnchor"/>
          <w:rtl w:val="true"/>
        </w:rPr>
        <w:footnoteReference w:id="1289"/>
      </w:r>
      <w:r>
        <w:rPr>
          <w:rFonts w:ascii="Amiri" w:hAnsi="Amiri" w:eastAsia="Amiri" w:cs="Amiri"/>
          <w:color w:val="111111"/>
          <w:sz w:val="28"/>
          <w:sz w:val="28"/>
          <w:szCs w:val="28"/>
          <w:rtl w:val="true"/>
          <w:lang w:bidi="ar-SA"/>
        </w:rPr>
        <w:t>لاقتضاء إيقاع المندوب مع الشغل بواجب تغيّر الوجه، و ردّ بعدم دلالة على إبطاله، مع أنّ إطلاق الأمر بالمندوب من المجدّد و غيره يصحّحه، و اشتراط صحّته بعدم خلل في الأوّل باعتقاد المكلّف ممنوع، و الشرط حاصل، و في الواقع ممنوع؛ إذ مناط التكليف ما هو الظاهر عنده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صحّة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كالرابع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كالثالث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الكلّ ظاهر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بكلّ منهما صلاة، فحكم الثانية كما مرّ؛ لوقوعها بعدهما، و يعيد الاولى وفاقاً؛ لإمكان الخلل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الخمس بخمس، و ذكر الخلل في أحدها، فإن لم يحدث بينهما أعاد الأُولى؛ لاحتمال كونه في الأوّل، و البواقي صحيحة؛ لما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أحدث </w:t>
      </w:r>
      <w:r>
        <w:rPr>
          <w:rStyle w:val="FootnoteAnchor"/>
          <w:rtl w:val="true"/>
        </w:rPr>
        <w:footnoteReference w:id="1290"/>
      </w:r>
      <w:r>
        <w:rPr>
          <w:rFonts w:ascii="Amiri" w:hAnsi="Amiri" w:eastAsia="Amiri" w:cs="Amiri"/>
          <w:color w:val="111111"/>
          <w:sz w:val="28"/>
          <w:sz w:val="28"/>
          <w:szCs w:val="28"/>
          <w:rtl w:val="true"/>
          <w:lang w:bidi="ar-SA"/>
        </w:rPr>
        <w:t>بعد كلّ صلاة، فالمتمّم على الحقّ المشهور يعيد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و ثلاثيّة، و رباعيّة مطلقة بين الثلاث الرباعيّة؛ لانحصار طهارة كلّ صلاة حينئذٍ بواحدة يحتمل كون الخلل فيها، فيلزم إعادة الكلّ، إلّا أنّه اكتفي في الرباعيّة بواحدة؛ للأصل و المرسل، و يعضده الحسن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ترتيب هنا، لاتّحاد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الشيخ و الحلبيّين الخمس </w:t>
      </w:r>
      <w:r>
        <w:rPr>
          <w:rStyle w:val="FootnoteAnchor"/>
          <w:rtl w:val="true"/>
        </w:rPr>
        <w:footnoteReference w:id="1292"/>
      </w:r>
      <w:r>
        <w:rPr>
          <w:rFonts w:ascii="Amiri" w:hAnsi="Amiri" w:eastAsia="Amiri" w:cs="Amiri"/>
          <w:color w:val="111111"/>
          <w:sz w:val="28"/>
          <w:sz w:val="28"/>
          <w:szCs w:val="28"/>
          <w:rtl w:val="true"/>
          <w:lang w:bidi="ar-SA"/>
        </w:rPr>
        <w:t>لتوقّف يقين البراءة عليه، و وقوف الجزم في النيّة،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كما فاتته</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و الفائتة كانت بنيّة معيّنة لا مردّدة، و اختلاف الظهرين و العشاء في الجهر و الإخفات، فلا يكفي الوحدة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 بحصول البراءة بالثلاث على كلّ احتمال؛ للقطع بأنّ المطلق من الرباعيّة لا يزيد على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بالمنع، و لو سلّم فمع إمكانه، و هنا غير ممكن، و فعل الخمس يعيّن الوقت دون الوجه، و الواحدة بالعكس، و تقديم أحد الجزمين </w:t>
      </w:r>
      <w:r>
        <w:rPr>
          <w:rStyle w:val="FootnoteAnchor"/>
          <w:rtl w:val="true"/>
        </w:rPr>
        <w:footnoteReference w:id="1294"/>
      </w:r>
      <w:r>
        <w:rPr>
          <w:rFonts w:ascii="Amiri" w:hAnsi="Amiri" w:eastAsia="Amiri" w:cs="Amiri"/>
          <w:color w:val="111111"/>
          <w:sz w:val="28"/>
          <w:sz w:val="28"/>
          <w:szCs w:val="28"/>
          <w:rtl w:val="true"/>
          <w:lang w:bidi="ar-SA"/>
        </w:rPr>
        <w:t>على الآخر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بالنقض بالوجه، فإنّ الفائتة كانت معيّنة باعتباره، و اليقين به هنا لا يتأتّى بالخمس، فالمراد بالتثنية المساواة الجزئيّة دون الكلّية، و هي حاصلة في الواحدة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بوفاقهم بالتخيّر بين الأمرين عند التردّد؛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بالإطلاق قصد ما في الذمّة أو وظيفة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المقصّر، فيعد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مغرباً و ثنائيّة مطلقة بين الأربع، و الحلّي هنا وافق الشيخ في إيجاب الخمس </w:t>
      </w:r>
      <w:r>
        <w:rPr>
          <w:rStyle w:val="FootnoteAnchor"/>
          <w:rtl w:val="true"/>
        </w:rPr>
        <w:footnoteReference w:id="1295"/>
      </w:r>
      <w:r>
        <w:rPr>
          <w:rFonts w:ascii="Amiri" w:hAnsi="Amiri" w:eastAsia="Amiri" w:cs="Amiri"/>
          <w:color w:val="111111"/>
          <w:sz w:val="28"/>
          <w:sz w:val="28"/>
          <w:szCs w:val="28"/>
          <w:rtl w:val="true"/>
          <w:lang w:bidi="ar-SA"/>
        </w:rPr>
        <w:t>لأصالة وجوب التعيين، و اختصاص النصّ بصورة التمام، و جوابه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المخيّر على تحتّم القصر في القضاء كالمقصّر، و على تابعيّته للأداء يتبع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الخلل بلا حدث في ثنتين أعاد ثنتين، و في الثلاث ثلاثاً، و الأربع أربعاً، و الخمس خمساً مع مراعاة الترتيب، بأن يعيد في الأوّل الأوليتين، و في الثاني الثلاث الأُول، و في الثالث الأربع الأُول، و في الرابع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الحدث بعد الصلاة يجب إعادة ما يحتمل تركه على ما يحصل به الترتيب، ففي الأوّل من يوم يصلّي المتمّم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 رباعيّة مردّدة بين الظهرين، و مغرباً ثمّ رباعيّة بين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بين الصبح و الظهرين، و مغرباً، ثمّ ثنائيّة بين الثلاث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المشتبه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بين الصبح و الظهرين، و رباعيّة بين الظهرين، و مغرباً، و ثنائيّة بين الرباعيّة الثلاث، و رباعيّة بين العصر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الشيخ من وجوب التعيين </w:t>
      </w:r>
      <w:r>
        <w:rPr>
          <w:rStyle w:val="FootnoteAnchor"/>
          <w:rtl w:val="true"/>
        </w:rPr>
        <w:footnoteReference w:id="1296"/>
      </w:r>
      <w:r>
        <w:rPr>
          <w:rFonts w:ascii="Amiri" w:hAnsi="Amiri" w:eastAsia="Amiri" w:cs="Amiri"/>
          <w:color w:val="111111"/>
          <w:sz w:val="28"/>
          <w:sz w:val="28"/>
          <w:szCs w:val="28"/>
          <w:rtl w:val="true"/>
          <w:lang w:bidi="ar-SA"/>
        </w:rPr>
        <w:t>يجب الخمس على النحو المعهود، و حصول تعيين الفائتين مع الترتيب بها ظاهر، فاحتمال وجوب العشر على قوله ممّا لا وجه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صورة الاشتباه لا بدّ من تكرير الرباعيّات ثنائيّة؛ ليحصل القطع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على المشهور من شرعيّة الترديد جواز التعيين بالخمس أيضاً؛ إذ الظاهر كون الترديد رخصة، فالأصل أولى منه بالكفاية، و إمكان الأداء بفعل واحد رخصة لا يوجب حرمة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الجمع بين التعيين و الترديد؛ إذ الاجتماع لا يصلح علّة للمنع، و حينئذ يجب ثالثة معيّنة، أو مردّدة؛ لاحتمال كون الفائت غير ما عيّنه من رباعيّتين أو ثنائيّتين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منه يجب الخمس في التمام؛ لاحتمال فساد الرباعيّات، و الأربع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الأخيرين يجب الخمس مطلقاً،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من يومين يصلّي المتمّم لكلّ منهما صبحاً و رباعيّة مردّدة، ثلاثيّاً و مغرباً مرتّباً بينهما، لا في كلّ منهما؛ لاتّحاد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 مغرباً و ثنائيّة رباعيّاً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المتبعّض الوظيفتين مرتّباً بينهما إن علم السابق، و إلّا ثنائيّة رباعيّاً و رباعيّة ثلاثيّاً، و مغرباً ثمّ ثنائيّة رباعيّاً، و مغرباً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كونهما في يوم أو يومين، وجب وظيفتهما مع مراعاة الترتيبين؛ لتوقّف يقين البراءة عليه، فيصلّي المتمّم صبحاً و رباعيّة ثلاثياً، و مغرباً، ثمّ رباعيّة كذلك، ثمّ صبحاً و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 مغرباً بين ثنائيّتين، و مغرباً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البواقي من يومين، و كلّ واحد في الأكثر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الكلّ على مساواة أجزاء يوم واحد في القصر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تبعّضت اختلف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الإحاطة بما ذكر لا يخفى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حكم الحدث قبل الصلاة كحكم الخلل مع الحدث بعدها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الخمس بثلاث و ذكر الحدث قبل الصلاة أو الخلل مع الحدث</w:t>
      </w:r>
      <w:bookmarkStart w:id="456" w:name="pg2479_11654"/>
    </w:p>
    <w:p>
      <w:pPr>
        <w:pStyle w:val="BookText"/>
        <w:rPr/>
      </w:pPr>
      <w:bookmarkEnd w:id="456"/>
      <w:r>
        <w:rPr>
          <w:rFonts w:ascii="Amiri" w:hAnsi="Amiri" w:eastAsia="Amiri" w:cs="Amiri"/>
          <w:color w:val="111111"/>
          <w:sz w:val="28"/>
          <w:sz w:val="28"/>
          <w:szCs w:val="28"/>
          <w:rtl w:val="true"/>
          <w:lang w:bidi="ar-SA"/>
        </w:rPr>
        <w:t>بعدها في إحداهما، فإن جمع بين رباعيّتين بواحدة صلّى صبحاً و مغرباً بين رباعيّتين في بعض الصور، و بعدهما في بعض آخر؛ لاحتمال فساد طهارتهما، فلا يقطع بالبراءة بدون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يجمع بينهما كفى الثلاث،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الجمع و عدمه، وجب الأربع؛ لتوقّف البراءة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حكم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في ثنتين من الثلاث في 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ذكر ما نسيه، فمع التعيين لا إعادة، و مع الترديد إن كان في الأثناء فعدل إليه، و إلّا فالظاهر عدم الإعادة، وفاقاً للشهيد؛ للامتثال </w:t>
      </w:r>
      <w:r>
        <w:rPr>
          <w:rStyle w:val="FootnoteAnchor"/>
          <w:rtl w:val="true"/>
        </w:rPr>
        <w:footnoteReference w:id="1297"/>
      </w:r>
      <w:r>
        <w:rPr>
          <w:rFonts w:ascii="Amiri" w:hAnsi="Amiri" w:eastAsia="Amiri" w:cs="Amiri"/>
          <w:color w:val="111111"/>
          <w:sz w:val="28"/>
          <w:sz w:val="28"/>
          <w:szCs w:val="28"/>
          <w:rtl w:val="true"/>
          <w:lang w:bidi="ar-SA"/>
        </w:rPr>
        <w:t>، و إيجاب الإعادة ضعيف و تعليله عليل</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732145_3804643083"/>
      <w:bookmarkStart w:id="458" w:name="_Toc178"/>
      <w:bookmarkEnd w:id="457"/>
      <w:r>
        <w:rPr>
          <w:rtl w:val="true"/>
        </w:rPr>
        <w:t xml:space="preserve">فصل </w:t>
      </w:r>
      <w:r>
        <w:rPr>
          <w:rtl w:val="true"/>
        </w:rPr>
        <w:t>[</w:t>
      </w:r>
      <w:r>
        <w:rPr>
          <w:rtl w:val="true"/>
        </w:rPr>
        <w:t>أحكام الجبيرة</w:t>
      </w:r>
      <w:r>
        <w:rPr>
          <w:rtl w:val="true"/>
        </w:rPr>
        <w:t>]</w:t>
      </w:r>
      <w:bookmarkEnd w:id="458"/>
    </w:p>
    <w:p>
      <w:pPr>
        <w:pStyle w:val="BookText"/>
        <w:rPr/>
      </w:pPr>
      <w:r>
        <w:rPr>
          <w:rFonts w:ascii="Amiri" w:hAnsi="Amiri" w:eastAsia="Amiri" w:cs="Amiri"/>
          <w:color w:val="111111"/>
          <w:sz w:val="28"/>
          <w:sz w:val="28"/>
          <w:szCs w:val="28"/>
          <w:rtl w:val="true"/>
          <w:lang w:bidi="ar-SA"/>
        </w:rPr>
        <w:t xml:space="preserve">الجبيرة في موضع الغسل يغسل تحتها مع الإمكان بنزع أو وضع أو تكرير؛ للإجماع، و النصوص </w:t>
      </w:r>
      <w:r>
        <w:rPr>
          <w:rStyle w:val="FootnoteAnchor"/>
          <w:rtl w:val="true"/>
        </w:rPr>
        <w:footnoteReference w:id="1298"/>
      </w:r>
      <w:r>
        <w:rPr>
          <w:rFonts w:ascii="Amiri" w:hAnsi="Amiri" w:eastAsia="Amiri" w:cs="Amiri"/>
          <w:color w:val="111111"/>
          <w:sz w:val="28"/>
          <w:sz w:val="28"/>
          <w:szCs w:val="28"/>
          <w:rtl w:val="true"/>
          <w:lang w:bidi="ar-SA"/>
        </w:rPr>
        <w:t>، و إطلاق الأمر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بمجرّد الأوّل في الحسن </w:t>
      </w:r>
      <w:r>
        <w:rPr>
          <w:rStyle w:val="FootnoteAnchor"/>
          <w:rtl w:val="true"/>
        </w:rPr>
        <w:footnoteReference w:id="1299"/>
      </w:r>
      <w:r>
        <w:rPr>
          <w:rFonts w:ascii="Amiri" w:hAnsi="Amiri" w:eastAsia="Amiri" w:cs="Amiri"/>
          <w:color w:val="111111"/>
          <w:sz w:val="28"/>
          <w:sz w:val="28"/>
          <w:szCs w:val="28"/>
          <w:rtl w:val="true"/>
          <w:lang w:bidi="ar-SA"/>
        </w:rPr>
        <w:t xml:space="preserve">و الثاني في الموثّق </w:t>
      </w:r>
      <w:r>
        <w:rPr>
          <w:rStyle w:val="FootnoteAnchor"/>
          <w:rtl w:val="true"/>
        </w:rPr>
        <w:footnoteReference w:id="1300"/>
      </w:r>
      <w:r>
        <w:rPr>
          <w:rFonts w:ascii="Amiri" w:hAnsi="Amiri" w:eastAsia="Amiri" w:cs="Amiri"/>
          <w:color w:val="111111"/>
          <w:sz w:val="28"/>
          <w:sz w:val="28"/>
          <w:szCs w:val="28"/>
          <w:rtl w:val="true"/>
          <w:lang w:bidi="ar-SA"/>
        </w:rPr>
        <w:t>لا يفيد اليقين، فاللازم التخيير بين الثلاثة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تعذّر بعضها تعيّن الباقي؛ لتوقّف الواجب عليه، و بدونه و لو لتعذّر تطهيره المعتبر فيه يمسح عليها و لو بوضع طاهر، و يغسل ما حولها، بالإجماع و المستفيضة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موضع المسح يمسح عليه إن أمكن، و إلّا فعليها، للإجماع و الحسنين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مجرّد الجرح أو الكسر بلا جبيرة مثلها فيما ذكر من التفصيل، وفاقاً للأكثر؛ لنقل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و إطلاق الأمر بالغسل، مع تعيّن أقرب المجازات إلى الحقيقة عند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ظاهر الرضوي </w:t>
      </w:r>
      <w:r>
        <w:rPr>
          <w:rStyle w:val="FootnoteAnchor"/>
          <w:rtl w:val="true"/>
        </w:rPr>
        <w:footnoteReference w:id="1304"/>
      </w:r>
      <w:r>
        <w:rPr>
          <w:rFonts w:ascii="Amiri" w:hAnsi="Amiri" w:eastAsia="Amiri" w:cs="Amiri"/>
          <w:color w:val="111111"/>
          <w:sz w:val="28"/>
          <w:sz w:val="28"/>
          <w:szCs w:val="28"/>
          <w:rtl w:val="true"/>
          <w:lang w:bidi="ar-SA"/>
        </w:rPr>
        <w:t xml:space="preserve">، و ما ورد من عدم سقوط الميسور بالمعسور </w:t>
      </w:r>
      <w:r>
        <w:rPr>
          <w:rStyle w:val="FootnoteAnchor"/>
          <w:rtl w:val="true"/>
        </w:rPr>
        <w:footnoteReference w:id="1305"/>
      </w:r>
      <w:r>
        <w:rPr>
          <w:rFonts w:ascii="Amiri" w:hAnsi="Amiri" w:eastAsia="Amiri" w:cs="Amiri"/>
          <w:color w:val="111111"/>
          <w:sz w:val="28"/>
          <w:sz w:val="28"/>
          <w:szCs w:val="28"/>
          <w:rtl w:val="true"/>
          <w:lang w:bidi="ar-SA"/>
        </w:rPr>
        <w:t>، و الإتيان بقدر القوّة بالمأمور و بالبعض إذا تعذّر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بكفاية غسل ما حوله </w:t>
      </w:r>
      <w:r>
        <w:rPr>
          <w:rStyle w:val="FootnoteAnchor"/>
          <w:rtl w:val="true"/>
        </w:rPr>
        <w:footnoteReference w:id="1306"/>
      </w:r>
      <w:r>
        <w:rPr>
          <w:rFonts w:ascii="Amiri" w:hAnsi="Amiri" w:eastAsia="Amiri" w:cs="Amiri"/>
          <w:color w:val="111111"/>
          <w:sz w:val="28"/>
          <w:sz w:val="28"/>
          <w:szCs w:val="28"/>
          <w:rtl w:val="true"/>
          <w:lang w:bidi="ar-SA"/>
        </w:rPr>
        <w:t xml:space="preserve">لظاهر الصحيح و الحسن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بحملهما على تعذّر المسح أو الاكتفاء بأحد الفردين؛ لظهور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بالتخيير بينه و بين التيمّم </w:t>
      </w:r>
      <w:r>
        <w:rPr>
          <w:rStyle w:val="FootnoteAnchor"/>
          <w:rtl w:val="true"/>
        </w:rPr>
        <w:footnoteReference w:id="1308"/>
      </w:r>
      <w:r>
        <w:rPr>
          <w:rFonts w:ascii="Amiri" w:hAnsi="Amiri" w:eastAsia="Amiri" w:cs="Amiri"/>
          <w:color w:val="111111"/>
          <w:sz w:val="28"/>
          <w:sz w:val="28"/>
          <w:szCs w:val="28"/>
          <w:rtl w:val="true"/>
          <w:lang w:bidi="ar-SA"/>
        </w:rPr>
        <w:t xml:space="preserve">للجمع بين ما مرّ، و ما دلّ </w:t>
      </w:r>
      <w:r>
        <w:rPr>
          <w:rStyle w:val="FootnoteAnchor"/>
          <w:rtl w:val="true"/>
        </w:rPr>
        <w:footnoteReference w:id="1309"/>
      </w:r>
      <w:r>
        <w:rPr>
          <w:rFonts w:ascii="Amiri" w:hAnsi="Amiri" w:eastAsia="Amiri" w:cs="Amiri"/>
          <w:color w:val="111111"/>
          <w:sz w:val="28"/>
          <w:sz w:val="28"/>
          <w:szCs w:val="28"/>
          <w:rtl w:val="true"/>
          <w:lang w:bidi="ar-SA"/>
        </w:rPr>
        <w:t xml:space="preserve">علىٰ تيمّم الجنب المجروح أو الكسير </w:t>
      </w:r>
      <w:r>
        <w:rPr>
          <w:rStyle w:val="FootnoteAnchor"/>
          <w:rtl w:val="true"/>
        </w:rPr>
        <w:footnoteReference w:id="1310"/>
      </w:r>
      <w:r>
        <w:rPr>
          <w:rFonts w:ascii="Amiri" w:hAnsi="Amiri" w:eastAsia="Amiri" w:cs="Amiri"/>
          <w:color w:val="111111"/>
          <w:sz w:val="28"/>
          <w:sz w:val="28"/>
          <w:szCs w:val="28"/>
          <w:rtl w:val="true"/>
          <w:lang w:bidi="ar-SA"/>
        </w:rPr>
        <w:t>، بملاحظة عدم الفرق بين المحدث بالأكبر و الأصغر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بحمل الثاني على حال تعذّر الغسل و المسح أولىٰ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يحمل كلام الجماعة في بحث التيمّم، حيث جعلوهما من أسبابه، فلا يدافع ما ذكروه هنا من إلحاقهما بالجبيرة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ممّا ذكر أنّ صور المسألة كثيرة، و استخراج الكلّ مع حكم كلّ منهما</w:t>
      </w:r>
    </w:p>
    <w:p>
      <w:pPr>
        <w:pStyle w:val="BookText"/>
        <w:rPr/>
      </w:pPr>
      <w:r>
        <w:rPr>
          <w:rFonts w:ascii="Amiri" w:hAnsi="Amiri" w:eastAsia="Amiri" w:cs="Amiri"/>
          <w:color w:val="111111"/>
          <w:sz w:val="28"/>
          <w:sz w:val="28"/>
          <w:szCs w:val="28"/>
          <w:rtl w:val="true"/>
          <w:lang w:bidi="ar-SA"/>
        </w:rPr>
        <w:t>لا يخفى بعد الإحاطة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المسح كما مر إمّا مجرّد إمرار اليد برطوبة، أو الأعم منه و ممّا كان بجريان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منه في محل المسح من الجبيرة هو المعتبر فيه من غيرها، و قد ظهر جليّة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محلّ الغسل منهما هو الأعمّ؛ إذ الأصل فيه هو الغسل، و مع تعذّره فالأقرب إليه أولى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الاستيعاب في الثاني </w:t>
      </w:r>
      <w:r>
        <w:rPr>
          <w:rStyle w:val="FootnoteAnchor"/>
          <w:rtl w:val="true"/>
        </w:rPr>
        <w:footnoteReference w:id="1311"/>
      </w:r>
      <w:r>
        <w:rPr>
          <w:rFonts w:ascii="Amiri" w:hAnsi="Amiri" w:eastAsia="Amiri" w:cs="Amiri"/>
          <w:color w:val="111111"/>
          <w:sz w:val="28"/>
          <w:sz w:val="28"/>
          <w:szCs w:val="28"/>
          <w:rtl w:val="true"/>
          <w:lang w:bidi="ar-SA"/>
        </w:rPr>
        <w:t>دون الأوّل؛ لتابعيّة البدل لمبدله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الأوّل ظاهر الحسنين </w:t>
      </w:r>
      <w:r>
        <w:rPr>
          <w:rStyle w:val="FootnoteAnchor"/>
          <w:rtl w:val="true"/>
        </w:rPr>
        <w:footnoteReference w:id="13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اللصوق و الطلاء كالجبيرة؛ للإجماع و الحسنين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عمّت العضو أو الأعضاء مسح الجميع؛ لإطلاقهما، و لو تعذّر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الزائد عن محلّ الجرح كغيره </w:t>
      </w:r>
      <w:r>
        <w:rPr>
          <w:rStyle w:val="FootnoteAnchor"/>
          <w:rtl w:val="true"/>
        </w:rPr>
        <w:footnoteReference w:id="1314"/>
      </w:r>
      <w:r>
        <w:rPr>
          <w:rFonts w:ascii="Amiri" w:hAnsi="Amiri" w:eastAsia="Amiri" w:cs="Amiri"/>
          <w:color w:val="111111"/>
          <w:sz w:val="28"/>
          <w:sz w:val="28"/>
          <w:szCs w:val="28"/>
          <w:rtl w:val="true"/>
          <w:lang w:bidi="ar-SA"/>
        </w:rPr>
        <w:t>في وجوب الغسل مع الإمكان و المسح بدونه؛ لإطلاقهما، مع توقّفهما غالباً على زائد لا يمكن غسل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اتّفقت في غير موضع الحاجة وجب النزع، و لو تعذّر وجب المسح؛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إعادة الصلاة حينئذ؛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لمستند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في مواضع التيمّم مسحها بالتراب لا بالماء؛ إذ البدل لا يجامع مبدله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ينسحب حكمها إلى العضو المريض و خائف البرد؛ لعموم أدلّة التيمّم،</w:t>
      </w:r>
      <w:bookmarkStart w:id="459" w:name="pg2479_11657"/>
    </w:p>
    <w:p>
      <w:pPr>
        <w:pStyle w:val="BookText"/>
        <w:rPr/>
      </w:pPr>
      <w:bookmarkEnd w:id="459"/>
      <w:r>
        <w:rPr>
          <w:rFonts w:ascii="Amiri" w:hAnsi="Amiri" w:eastAsia="Amiri" w:cs="Amiri"/>
          <w:color w:val="111111"/>
          <w:sz w:val="28"/>
          <w:sz w:val="28"/>
          <w:szCs w:val="28"/>
          <w:rtl w:val="true"/>
          <w:lang w:bidi="ar-SA"/>
        </w:rPr>
        <w:t>و خروجهما عن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لهما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زوال العذر في وضوء الجبيرة لا يوجب إعادة الصلاة مع خروج الوقت عن أدائهما إجماعاً، و بدونهما على الأصح، وفاقاً لجماعة؛ للأصل و الاستصحاب و صدق الامتثال و عدم المدرك مع عموم البلوىٰ، خلافاً لبعضهم </w:t>
      </w:r>
      <w:r>
        <w:rPr>
          <w:rStyle w:val="FootnoteAnchor"/>
          <w:rtl w:val="true"/>
        </w:rPr>
        <w:footnoteReference w:id="1316"/>
      </w:r>
      <w:r>
        <w:rPr>
          <w:rFonts w:ascii="Amiri" w:hAnsi="Amiri" w:eastAsia="Amiri" w:cs="Amiri"/>
          <w:color w:val="111111"/>
          <w:sz w:val="28"/>
          <w:sz w:val="28"/>
          <w:szCs w:val="28"/>
          <w:rtl w:val="true"/>
          <w:lang w:bidi="ar-SA"/>
        </w:rPr>
        <w:t>لحجّة ضعفها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عدم وجوب إعادة أيضاً لما ذكر، خلافاً للشيخ </w:t>
      </w:r>
      <w:r>
        <w:rPr>
          <w:rStyle w:val="FootnoteAnchor"/>
          <w:rtl w:val="true"/>
        </w:rPr>
        <w:footnoteReference w:id="1317"/>
      </w:r>
      <w:r>
        <w:rPr>
          <w:rFonts w:ascii="Amiri" w:hAnsi="Amiri" w:eastAsia="Amiri" w:cs="Amiri"/>
          <w:color w:val="111111"/>
          <w:sz w:val="28"/>
          <w:sz w:val="28"/>
          <w:szCs w:val="28"/>
          <w:rtl w:val="true"/>
          <w:lang w:bidi="ar-SA"/>
        </w:rPr>
        <w:t>لوجوه ضعيفة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3732147_3804643083"/>
      <w:bookmarkStart w:id="461" w:name="_Toc179"/>
      <w:bookmarkEnd w:id="460"/>
      <w:r>
        <w:rPr>
          <w:rtl w:val="true"/>
        </w:rPr>
        <w:t xml:space="preserve">فصل </w:t>
      </w:r>
      <w:r>
        <w:rPr>
          <w:rtl w:val="true"/>
        </w:rPr>
        <w:t>[</w:t>
      </w:r>
      <w:r>
        <w:rPr>
          <w:rtl w:val="true"/>
        </w:rPr>
        <w:t>حكم السلس</w:t>
      </w:r>
      <w:r>
        <w:rPr>
          <w:rtl w:val="true"/>
        </w:rPr>
        <w:t>]</w:t>
      </w:r>
      <w:bookmarkEnd w:id="461"/>
    </w:p>
    <w:p>
      <w:pPr>
        <w:pStyle w:val="BookText"/>
        <w:rPr/>
      </w:pPr>
      <w:r>
        <w:rPr>
          <w:rFonts w:ascii="Amiri" w:hAnsi="Amiri" w:eastAsia="Amiri" w:cs="Amiri"/>
          <w:color w:val="111111"/>
          <w:sz w:val="28"/>
          <w:sz w:val="28"/>
          <w:szCs w:val="28"/>
          <w:rtl w:val="true"/>
          <w:lang w:bidi="ar-SA"/>
        </w:rPr>
        <w:t xml:space="preserve">السلس يتوضّأ لكلّ صلاة، و لا يلتفت إلى التقاطر في الأثناء، و الشيخ اكتفى بواحد للكثير </w:t>
      </w:r>
      <w:r>
        <w:rPr>
          <w:rStyle w:val="FootnoteAnchor"/>
          <w:rtl w:val="true"/>
        </w:rPr>
        <w:footnoteReference w:id="1318"/>
      </w:r>
      <w:r>
        <w:rPr>
          <w:rFonts w:ascii="Amiri" w:hAnsi="Amiri" w:eastAsia="Amiri" w:cs="Amiri"/>
          <w:color w:val="111111"/>
          <w:sz w:val="28"/>
          <w:sz w:val="28"/>
          <w:szCs w:val="28"/>
          <w:rtl w:val="true"/>
          <w:lang w:bidi="ar-SA"/>
        </w:rPr>
        <w:t xml:space="preserve">لزعمه عدم كون المطلق أو المتقاطر حدثاً في حقّه، و الفاضل في الخمس بثلاثة و في غيرها كالمعظم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الكلّ، و نفي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وجوبه بالحدث، و بإرادة الصلاة، خرج من العمومين ما خرج فبقي الباقي، و منعهما ضعيف كما مرّ، و يعضده ظاهر المضمر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الحسن و المضمر و الخبر </w:t>
      </w:r>
      <w:r>
        <w:rPr>
          <w:rStyle w:val="FootnoteAnchor"/>
          <w:rtl w:val="true"/>
        </w:rPr>
        <w:footnoteReference w:id="1321"/>
      </w:r>
      <w:r>
        <w:rPr>
          <w:rFonts w:ascii="Amiri" w:hAnsi="Amiri" w:eastAsia="Amiri" w:cs="Amiri"/>
          <w:color w:val="111111"/>
          <w:sz w:val="28"/>
          <w:sz w:val="28"/>
          <w:szCs w:val="28"/>
          <w:rtl w:val="true"/>
          <w:lang w:bidi="ar-SA"/>
        </w:rPr>
        <w:t>، و لا دلالة لها</w:t>
      </w:r>
      <w:r>
        <w:rPr>
          <w:rFonts w:eastAsia="Amiri" w:cs="Amiri" w:ascii="Amiri" w:hAnsi="Amiri"/>
          <w:color w:val="111111"/>
          <w:sz w:val="28"/>
          <w:szCs w:val="28"/>
          <w:rtl w:val="true"/>
          <w:lang w:bidi="ar-SA"/>
        </w:rPr>
        <w:t>.</w:t>
      </w:r>
      <w:bookmarkStart w:id="462" w:name="pg2479_11658"/>
    </w:p>
    <w:p>
      <w:pPr>
        <w:pStyle w:val="BookText"/>
        <w:rPr/>
      </w:pPr>
      <w:bookmarkEnd w:id="462"/>
      <w:r>
        <w:rPr>
          <w:rFonts w:ascii="Amiri" w:hAnsi="Amiri" w:eastAsia="Amiri" w:cs="Amiri"/>
          <w:color w:val="111111"/>
          <w:sz w:val="28"/>
          <w:sz w:val="28"/>
          <w:szCs w:val="28"/>
          <w:rtl w:val="true"/>
          <w:lang w:bidi="ar-SA"/>
        </w:rPr>
        <w:t>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 </w:t>
      </w:r>
      <w:r>
        <w:rPr>
          <w:rStyle w:val="FootnoteAnchor"/>
          <w:rtl w:val="true"/>
        </w:rPr>
        <w:footnoteReference w:id="1322"/>
      </w:r>
      <w:r>
        <w:rPr>
          <w:rFonts w:ascii="Amiri" w:hAnsi="Amiri" w:eastAsia="Amiri" w:cs="Amiri"/>
          <w:color w:val="111111"/>
          <w:sz w:val="28"/>
          <w:sz w:val="28"/>
          <w:szCs w:val="28"/>
          <w:rtl w:val="true"/>
          <w:lang w:bidi="ar-SA"/>
        </w:rPr>
        <w:t>، و لا صراحة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اتّصل التقاطر، و مع كونه ذا فترة تسعهما يتعيّن إيقاعهما فيه؛ لزوال الضرورة الموجبة للرخصة، و احتمال عدم التعيّن؛ لعموم أدلّة الأوقات ضعيف، و ذا فترات يسع كلّ منها البعض يلزم التطهّر و البناء؛ لصريح الخبر </w:t>
      </w:r>
      <w:r>
        <w:rPr>
          <w:rStyle w:val="FootnoteAnchor"/>
          <w:rtl w:val="true"/>
        </w:rPr>
        <w:footnoteReference w:id="1323"/>
      </w:r>
      <w:r>
        <w:rPr>
          <w:rFonts w:ascii="Amiri" w:hAnsi="Amiri" w:eastAsia="Amiri" w:cs="Amiri"/>
          <w:color w:val="111111"/>
          <w:sz w:val="28"/>
          <w:sz w:val="28"/>
          <w:szCs w:val="28"/>
          <w:rtl w:val="true"/>
          <w:lang w:bidi="ar-SA"/>
        </w:rPr>
        <w:t xml:space="preserve">و إيماء ما ورد في المبطون من الصحيح و الموثّق </w:t>
      </w:r>
      <w:r>
        <w:rPr>
          <w:rStyle w:val="FootnoteAnchor"/>
          <w:rtl w:val="true"/>
        </w:rPr>
        <w:footnoteReference w:id="132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بالاستمرار </w:t>
      </w:r>
      <w:r>
        <w:rPr>
          <w:rStyle w:val="FootnoteAnchor"/>
          <w:rtl w:val="true"/>
        </w:rPr>
        <w:footnoteReference w:id="1325"/>
      </w:r>
      <w:r>
        <w:rPr>
          <w:rFonts w:ascii="Amiri" w:hAnsi="Amiri" w:eastAsia="Amiri" w:cs="Amiri"/>
          <w:color w:val="111111"/>
          <w:sz w:val="28"/>
          <w:sz w:val="28"/>
          <w:szCs w:val="28"/>
          <w:rtl w:val="true"/>
          <w:lang w:bidi="ar-SA"/>
        </w:rPr>
        <w:t>ضعيف، و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يبادر بعد الوضوء إلى الصلاة، و لا يضرّ التخلّل بمثل الأذان و الإقامة و انتظار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لزوم التحفّظ في منع التعدّي بقدر الإمكان، كما يظهر من ظواهر الفتاوى و النصوص، و يؤيّده أخبار الخريطة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تغييرها أو تطهيرها فلا دليل له</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732149_3804643083"/>
      <w:bookmarkStart w:id="464" w:name="_Toc180"/>
      <w:bookmarkEnd w:id="463"/>
      <w:r>
        <w:rPr>
          <w:rtl w:val="true"/>
        </w:rPr>
        <w:t xml:space="preserve">فصل </w:t>
      </w:r>
      <w:r>
        <w:rPr>
          <w:rtl w:val="true"/>
        </w:rPr>
        <w:t>[</w:t>
      </w:r>
      <w:r>
        <w:rPr>
          <w:rtl w:val="true"/>
        </w:rPr>
        <w:t>حكم البطن</w:t>
      </w:r>
      <w:r>
        <w:rPr>
          <w:rtl w:val="true"/>
        </w:rPr>
        <w:t>]</w:t>
      </w:r>
      <w:bookmarkEnd w:id="46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البطن إمّا ذو فترة تسعهما، أو فترات يسع كلّ منهما البعض، أو تواتر لا يعرضه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إيقاعهما في زمن الفترة إجماعاً؛ لزوال الضرورة الموجبة للرخصة، فإن تخلّف عمداً و فجأه الحدث استأنف مع إمكان التحفّظ، و لو لم يتخلّف و فجأه لتعيّن وقت الفترة تطهّر و بنى وفاقاً للمشهور؛ للأصل و إطلاق أخبار المبطون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الاستئناف بعد التطهّر </w:t>
      </w:r>
      <w:r>
        <w:rPr>
          <w:rStyle w:val="FootnoteAnchor"/>
          <w:rtl w:val="true"/>
        </w:rPr>
        <w:footnoteReference w:id="1328"/>
      </w:r>
      <w:r>
        <w:rPr>
          <w:rFonts w:ascii="Amiri" w:hAnsi="Amiri" w:eastAsia="Amiri" w:cs="Amiri"/>
          <w:color w:val="111111"/>
          <w:sz w:val="28"/>
          <w:sz w:val="28"/>
          <w:szCs w:val="28"/>
          <w:rtl w:val="true"/>
          <w:lang w:bidi="ar-SA"/>
        </w:rPr>
        <w:t>لبطلان الصلاة بالحدث و تمكّنه من فعلها بالوضوء، و أُجيب عن الأوّل بالتخصيص للمعارض، و عن الثاني بالمنع لو أُريد بالوضوء الواحد و عدم النفع لو أُريد به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الخلاف يجري في هذا القسم من السلس أيضاً اختياراً و احتجاجاً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بعضهم فيه وجوب الاستمرار بلا إعادة للوضوء؛ للأصل،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مع تعيّن ما يسعهما من وقت الفترة واحداً أو متعدداً و إن كان فترات جزئيّة أيضاً أو انحصاره به و إن 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ذا فترات جزئيّة و كلّية مبهمة أوقعهما في أحدهما فظهر كونه ممّا لا يسعهما، فالحقّ كونه كالمعيّن و المبهم المنحصر أو لا مع التخلّف؛ لإطلاق الأدلّة، فيتوضّأ و يبني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وجوب تكرّر الاستئناف حتّى يقع في المتّسع مع عدم دليل عليه يؤدّي غالباً إلى العسر و الحرج، بل لو كرّره حتّى يقع فيه لم يصحّ صلاته؛ لتعلّق نيّة فعل المنافي، أو يكون حينئذٍ بإبطال ما سبقه من الصلاة؛ إذ تأدّي القطع و الاستئناف مع حدوثه في قصده إبطال ما فعل، فيقع بغير نيّة جارية، فيبطل،</w:t>
      </w:r>
    </w:p>
    <w:p>
      <w:pPr>
        <w:pStyle w:val="BookText"/>
        <w:rPr/>
      </w:pPr>
      <w:r>
        <w:rPr>
          <w:rFonts w:ascii="Amiri" w:hAnsi="Amiri" w:eastAsia="Amiri" w:cs="Amiri"/>
          <w:color w:val="111111"/>
          <w:sz w:val="28"/>
          <w:sz w:val="28"/>
          <w:szCs w:val="28"/>
          <w:rtl w:val="true"/>
          <w:lang w:bidi="ar-SA"/>
        </w:rPr>
        <w:t>بخلاف تأدّي القطع و البناء، فإنّه نوىٰ صحّة ما فعل، فلا يكون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يتوضّأ لكلّ صلاة، و لا يلتفت إلى ما يحدث في الأثناء، كما في السلس؛ لنفي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يتوضّأ و يبني وفاقاً للمشهور؛ لصريح المستفيضة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الاستمرار من دون إعادة للوضوء </w:t>
      </w:r>
      <w:r>
        <w:rPr>
          <w:rStyle w:val="FootnoteAnchor"/>
          <w:rtl w:val="true"/>
        </w:rPr>
        <w:footnoteReference w:id="1330"/>
      </w:r>
      <w:r>
        <w:rPr>
          <w:rFonts w:ascii="Amiri" w:hAnsi="Amiri" w:eastAsia="Amiri" w:cs="Amiri"/>
          <w:color w:val="111111"/>
          <w:sz w:val="28"/>
          <w:sz w:val="28"/>
          <w:szCs w:val="28"/>
          <w:rtl w:val="true"/>
          <w:lang w:bidi="ar-SA"/>
        </w:rPr>
        <w:t>لاشتراط الصلاة باستمرار الوضوء، فلو انتقض بالحدث المتكرّر بطلت، و الفرض عدم البطلان، فيلزم عدم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المعتضد بالعمل أبطل الاشتراط و الملازمة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الصلاة الاتّصال، و القطع مع البناء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عن الأصل للمعارض جائز، ثمّ ظاهر الأكثر اشتراط البناء بعدم إيجابه المنافي، فظاهر الصحيح و الخبر </w:t>
      </w:r>
      <w:r>
        <w:rPr>
          <w:rStyle w:val="FootnoteAnchor"/>
          <w:rtl w:val="true"/>
        </w:rPr>
        <w:footnoteReference w:id="1331"/>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ذكر ظهر عدم الفرق في السلَس و البطن في أحكام النظائر، لكن لاختلافهما في أغلبيّة التواتر و الفترة أطلقوا أوّلًا عدم الالتفات في الأوّل و التطهّر و البناء في الثاني، ثمّ صرّحوا بتعاكسهما في الحكم مع تعاكسهما في الحال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المتمكّن من ضبط الأحداث مع التضرّر به كالعاجز عنه في الحكم، فيجري فيه ما ذكر من التفصيل</w:t>
      </w:r>
      <w:r>
        <w:rPr>
          <w:rFonts w:eastAsia="Amiri" w:cs="Amiri" w:ascii="Amiri" w:hAnsi="Amiri"/>
          <w:color w:val="111111"/>
          <w:sz w:val="28"/>
          <w:szCs w:val="28"/>
          <w:rtl w:val="true"/>
          <w:lang w:bidi="ar-SA"/>
        </w:rPr>
        <w:t>.</w:t>
      </w:r>
      <w:bookmarkStart w:id="465" w:name="pg2479_11661"/>
    </w:p>
    <w:p>
      <w:pPr>
        <w:pStyle w:val="Heading4"/>
        <w:numPr>
          <w:ilvl w:val="3"/>
          <w:numId w:val="1"/>
        </w:numPr>
        <w:rPr/>
      </w:pPr>
      <w:bookmarkStart w:id="466" w:name="__RefHeading___Toc3732151_3804643083"/>
      <w:bookmarkStart w:id="467" w:name="_Toc181"/>
      <w:bookmarkEnd w:id="465"/>
      <w:bookmarkEnd w:id="466"/>
      <w:r>
        <w:rPr>
          <w:rtl w:val="true"/>
        </w:rPr>
        <w:t>[</w:t>
      </w:r>
      <w:r>
        <w:rPr>
          <w:rtl w:val="true"/>
        </w:rPr>
        <w:t>مباحث الغسل</w:t>
      </w:r>
      <w:r>
        <w:rPr>
          <w:rtl w:val="true"/>
        </w:rPr>
        <w:t>]</w:t>
      </w:r>
      <w:bookmarkEnd w:id="467"/>
    </w:p>
    <w:p>
      <w:pPr>
        <w:pStyle w:val="Heading5"/>
        <w:numPr>
          <w:ilvl w:val="4"/>
          <w:numId w:val="1"/>
        </w:numPr>
        <w:rPr/>
      </w:pPr>
      <w:bookmarkStart w:id="468" w:name="__RefHeading___Toc3732153_3804643083"/>
      <w:bookmarkStart w:id="469" w:name="_Toc182"/>
      <w:bookmarkEnd w:id="468"/>
      <w:r>
        <w:rPr>
          <w:rtl w:val="true"/>
        </w:rPr>
        <w:t>بحث غسل الجنابة</w:t>
      </w:r>
      <w:bookmarkEnd w:id="469"/>
    </w:p>
    <w:p>
      <w:pPr>
        <w:pStyle w:val="Heading6"/>
        <w:numPr>
          <w:ilvl w:val="5"/>
          <w:numId w:val="1"/>
        </w:numPr>
        <w:rPr/>
      </w:pPr>
      <w:bookmarkStart w:id="470" w:name="__RefHeading___Toc3732155_3804643083"/>
      <w:bookmarkStart w:id="471" w:name="_Toc183"/>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 هو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لواجب الصلاة، و جزئها المنسي بالثلاثة، و للمرغمتين إن ثبت الجزئيّة، و التعليل بإيجابهما الكمال عليل؛ و عدم وجوبه لصلاة الميّت؛ للمعارض أو انتفاء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لواجب الطواف، بالإجماع و المستفيضة </w:t>
      </w:r>
      <w:r>
        <w:rPr>
          <w:rStyle w:val="FootnoteAnchor"/>
          <w:rtl w:val="true"/>
        </w:rPr>
        <w:footnoteReference w:id="1332"/>
      </w:r>
      <w:r>
        <w:rPr>
          <w:rFonts w:ascii="IRNazanin" w:hAnsi="IRNazanin" w:eastAsia="IRNazanin"/>
          <w:color w:val="111111"/>
          <w:sz w:val="28"/>
          <w:sz w:val="28"/>
          <w:szCs w:val="28"/>
          <w:rtl w:val="true"/>
          <w:lang w:bidi="fa-IR"/>
        </w:rPr>
        <w:t>، دون مندوبه على الأقوى؛ للأصل و إن وجب للازمه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للواجب من المسّ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دخول المسجدين و اللبث في كلّ مسجد؛ لتحريمهما على الجنب،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بالنذر و شبهه؛ للإجماع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بالتحمّل من الغير،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لصوم رمضان إذا لم يبق أزيد من وقته، وفاقاً للمشهور، و خلافاً للصدوق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w:t>
      </w:r>
      <w:r>
        <w:rPr>
          <w:rStyle w:val="FootnoteAnchor"/>
          <w:rtl w:val="true"/>
        </w:rPr>
        <w:footnoteReference w:id="1334"/>
      </w:r>
      <w:r>
        <w:rPr>
          <w:rFonts w:ascii="Amiri" w:hAnsi="Amiri" w:eastAsia="Amiri" w:cs="Amiri"/>
          <w:color w:val="111111"/>
          <w:sz w:val="28"/>
          <w:sz w:val="28"/>
          <w:szCs w:val="28"/>
          <w:rtl w:val="true"/>
          <w:lang w:bidi="ar-SA"/>
        </w:rPr>
        <w:t xml:space="preserve">، و الصحاح الموجبة للقضاء بالإصباح جنباً </w:t>
      </w:r>
      <w:r>
        <w:rPr>
          <w:rStyle w:val="FootnoteAnchor"/>
          <w:rtl w:val="true"/>
        </w:rPr>
        <w:footnoteReference w:id="1335"/>
      </w:r>
      <w:r>
        <w:rPr>
          <w:rFonts w:ascii="Amiri" w:hAnsi="Amiri" w:eastAsia="Amiri" w:cs="Amiri"/>
          <w:color w:val="111111"/>
          <w:sz w:val="28"/>
          <w:sz w:val="28"/>
          <w:szCs w:val="28"/>
          <w:rtl w:val="true"/>
          <w:lang w:bidi="ar-SA"/>
        </w:rPr>
        <w:t>، و الموثّق</w:t>
      </w:r>
      <w:bookmarkStart w:id="472" w:name="pg2479_11662"/>
    </w:p>
    <w:p>
      <w:pPr>
        <w:pStyle w:val="BookText"/>
        <w:rPr/>
      </w:pPr>
      <w:bookmarkEnd w:id="472"/>
      <w:r>
        <w:rPr>
          <w:rFonts w:ascii="Amiri" w:hAnsi="Amiri" w:eastAsia="Amiri" w:cs="Amiri"/>
          <w:color w:val="111111"/>
          <w:sz w:val="28"/>
          <w:sz w:val="28"/>
          <w:szCs w:val="28"/>
          <w:rtl w:val="true"/>
          <w:lang w:bidi="ar-SA"/>
        </w:rPr>
        <w:t xml:space="preserve">الموجب للكفارة به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الليلة، و قوله تعالىٰ حَتّٰى يَتَبَيَّنَ </w:t>
      </w:r>
      <w:r>
        <w:rPr>
          <w:rStyle w:val="FootnoteAnchor"/>
          <w:rtl w:val="true"/>
        </w:rPr>
        <w:footnoteReference w:id="1337"/>
      </w:r>
      <w:r>
        <w:rPr>
          <w:rFonts w:ascii="Amiri" w:hAnsi="Amiri" w:eastAsia="Amiri" w:cs="Amiri"/>
          <w:color w:val="111111"/>
          <w:sz w:val="28"/>
          <w:sz w:val="28"/>
          <w:szCs w:val="28"/>
          <w:rtl w:val="true"/>
          <w:lang w:bidi="ar-SA"/>
        </w:rPr>
        <w:t xml:space="preserve">و الصحيح الوارد في فعل النبيّ صلّى اللّٰه عليه و سلّم </w:t>
      </w:r>
      <w:r>
        <w:rPr>
          <w:rStyle w:val="FootnoteAnchor"/>
          <w:rtl w:val="true"/>
        </w:rPr>
        <w:footnoteReference w:id="1338"/>
      </w:r>
      <w:r>
        <w:rPr>
          <w:rFonts w:ascii="Amiri" w:hAnsi="Amiri" w:eastAsia="Amiri" w:cs="Amiri"/>
          <w:color w:val="111111"/>
          <w:sz w:val="28"/>
          <w:sz w:val="28"/>
          <w:szCs w:val="28"/>
          <w:rtl w:val="true"/>
          <w:lang w:bidi="ar-SA"/>
        </w:rPr>
        <w:t xml:space="preserve">، و المعتبرة المصحّحة لصوم من أصبح جنباً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بالتخصيص؛ لقوّة المعارض، و الثاني برجوعه إلى الجملة الأخيرة أخذاً بالمتيقّن، و الثالث بالحمل على التقيّة، و الرابع على عدم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الصحاح لاختصاصها بصوم رمضان لا تتناول غيره، إلّا أنّ الوجوب في قضائه كعدمه في المستحب ممّا لا ريب فيه؛ للصحيحين </w:t>
      </w:r>
      <w:r>
        <w:rPr>
          <w:rStyle w:val="FootnoteAnchor"/>
          <w:rtl w:val="true"/>
        </w:rPr>
        <w:footnoteReference w:id="1340"/>
      </w:r>
      <w:r>
        <w:rPr>
          <w:rFonts w:ascii="Amiri" w:hAnsi="Amiri" w:eastAsia="Amiri" w:cs="Amiri"/>
          <w:color w:val="111111"/>
          <w:sz w:val="28"/>
          <w:sz w:val="28"/>
          <w:szCs w:val="28"/>
          <w:rtl w:val="true"/>
          <w:lang w:bidi="ar-SA"/>
        </w:rPr>
        <w:t xml:space="preserve">في الأوّل، و الأصل و الصحيح </w:t>
      </w:r>
      <w:r>
        <w:rPr>
          <w:rStyle w:val="FootnoteAnchor"/>
          <w:rtl w:val="true"/>
        </w:rPr>
        <w:footnoteReference w:id="1341"/>
      </w:r>
      <w:r>
        <w:rPr>
          <w:rFonts w:ascii="Amiri" w:hAnsi="Amiri" w:eastAsia="Amiri" w:cs="Amiri"/>
          <w:color w:val="111111"/>
          <w:sz w:val="28"/>
          <w:sz w:val="28"/>
          <w:szCs w:val="28"/>
          <w:rtl w:val="true"/>
          <w:lang w:bidi="ar-SA"/>
        </w:rPr>
        <w:t>في الثاني، و في البواقي محلّ كلام، و 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الحائض و النفساء في الحكم كالجنب على الأصح،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المغتسل قبل التضيّق على الغيري ينوي القربة أو الندب، و ناوي الوجوب إن لم يرد الشرطي فقد غفل</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732157_3804643083"/>
      <w:bookmarkStart w:id="474" w:name="_Toc184"/>
      <w:bookmarkEnd w:id="473"/>
      <w:r>
        <w:rPr>
          <w:rtl w:val="true"/>
        </w:rPr>
        <w:t xml:space="preserve">فصل </w:t>
      </w:r>
      <w:r>
        <w:rPr>
          <w:rtl w:val="true"/>
        </w:rPr>
        <w:t>[</w:t>
      </w:r>
      <w:r>
        <w:rPr>
          <w:rtl w:val="true"/>
        </w:rPr>
        <w:t>غسل الجنابة واجب غيري</w:t>
      </w:r>
      <w:r>
        <w:rPr>
          <w:rtl w:val="true"/>
        </w:rPr>
        <w:t>]</w:t>
      </w:r>
      <w:bookmarkEnd w:id="47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وجوبه ينحصر بالغيري، فلا يجب لنفسه، وفاقاً للمعظم؛ للأصل</w:t>
      </w:r>
      <w:bookmarkStart w:id="475" w:name="pg2479_11663"/>
    </w:p>
    <w:p>
      <w:pPr>
        <w:pStyle w:val="BookText"/>
        <w:rPr/>
      </w:pPr>
      <w:bookmarkEnd w:id="475"/>
      <w:r>
        <w:rPr>
          <w:rFonts w:ascii="Amiri" w:hAnsi="Amiri" w:eastAsia="Amiri" w:cs="Amiri"/>
          <w:color w:val="111111"/>
          <w:sz w:val="28"/>
          <w:sz w:val="28"/>
          <w:szCs w:val="28"/>
          <w:rtl w:val="true"/>
          <w:lang w:bidi="ar-SA"/>
        </w:rPr>
        <w:t xml:space="preserve">و الاستصحاب و الآية و الصحيحين </w:t>
      </w:r>
      <w:r>
        <w:rPr>
          <w:rStyle w:val="FootnoteAnchor"/>
          <w:rtl w:val="true"/>
        </w:rPr>
        <w:footnoteReference w:id="1342"/>
      </w:r>
      <w:r>
        <w:rPr>
          <w:rFonts w:ascii="Amiri" w:hAnsi="Amiri" w:eastAsia="Amiri" w:cs="Amiri"/>
          <w:color w:val="111111"/>
          <w:sz w:val="28"/>
          <w:sz w:val="28"/>
          <w:szCs w:val="28"/>
          <w:rtl w:val="true"/>
          <w:lang w:bidi="ar-SA"/>
        </w:rPr>
        <w:t xml:space="preserve">، و خلافاً للفاضل و الراوندي </w:t>
      </w:r>
      <w:r>
        <w:rPr>
          <w:rStyle w:val="FootnoteAnchor"/>
          <w:rtl w:val="true"/>
        </w:rPr>
        <w:footnoteReference w:id="1343"/>
      </w:r>
      <w:r>
        <w:rPr>
          <w:rFonts w:ascii="Amiri" w:hAnsi="Amiri" w:eastAsia="Amiri" w:cs="Amiri"/>
          <w:color w:val="111111"/>
          <w:sz w:val="28"/>
          <w:sz w:val="28"/>
          <w:szCs w:val="28"/>
          <w:rtl w:val="true"/>
          <w:lang w:bidi="ar-SA"/>
        </w:rPr>
        <w:t xml:space="preserve">لإطلاق إيجابه في الصحاح </w:t>
      </w:r>
      <w:r>
        <w:rPr>
          <w:rStyle w:val="FootnoteAnchor"/>
          <w:rtl w:val="true"/>
        </w:rPr>
        <w:footnoteReference w:id="1344"/>
      </w:r>
      <w:r>
        <w:rPr>
          <w:rFonts w:ascii="Amiri" w:hAnsi="Amiri" w:eastAsia="Amiri" w:cs="Amiri"/>
          <w:color w:val="111111"/>
          <w:sz w:val="28"/>
          <w:sz w:val="28"/>
          <w:szCs w:val="28"/>
          <w:rtl w:val="true"/>
          <w:lang w:bidi="ar-SA"/>
        </w:rPr>
        <w:t xml:space="preserve">بمجرّد الجنابة، و في الخبرين </w:t>
      </w:r>
      <w:r>
        <w:rPr>
          <w:rStyle w:val="FootnoteAnchor"/>
          <w:rtl w:val="true"/>
        </w:rPr>
        <w:footnoteReference w:id="1345"/>
      </w:r>
      <w:r>
        <w:rPr>
          <w:rFonts w:ascii="Amiri" w:hAnsi="Amiri" w:eastAsia="Amiri" w:cs="Amiri"/>
          <w:color w:val="111111"/>
          <w:sz w:val="28"/>
          <w:sz w:val="28"/>
          <w:szCs w:val="28"/>
          <w:rtl w:val="true"/>
          <w:lang w:bidi="ar-SA"/>
        </w:rPr>
        <w:t xml:space="preserve">بالموت عليها، و في الصحيح </w:t>
      </w:r>
      <w:r>
        <w:rPr>
          <w:rStyle w:val="FootnoteAnchor"/>
          <w:rtl w:val="true"/>
        </w:rPr>
        <w:footnoteReference w:id="1346"/>
      </w:r>
      <w:r>
        <w:rPr>
          <w:rFonts w:ascii="Amiri" w:hAnsi="Amiri" w:eastAsia="Amiri" w:cs="Amiri"/>
          <w:color w:val="111111"/>
          <w:sz w:val="28"/>
          <w:sz w:val="28"/>
          <w:szCs w:val="28"/>
          <w:rtl w:val="true"/>
          <w:lang w:bidi="ar-SA"/>
        </w:rPr>
        <w:t>بالنوم عليها معلّلًا بإمكان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بالتقييد في الأوّل، و الحمل على الندب في الأخيرين؛ لشيوعهما كما في مطلقات الوضوء و إزالة الخبث، و قد يستدلّ بأنّه شرط الواجب المطلق؛ لقوله حَتَّىٰ تَغْتَسِلُوا </w:t>
      </w:r>
      <w:r>
        <w:rPr>
          <w:rStyle w:val="FootnoteAnchor"/>
          <w:rtl w:val="true"/>
        </w:rPr>
        <w:footnoteReference w:id="13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فتحصيله بقدر المكنة واجب، فيجب مع إمكانه قبل الوقت و تعذّره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وجوب الشرط بعد وجوب المشروط فلا يجب قبله و إن علم تعذّره بعده؛ لحصول الامتثال معه بالبدل و سقوط التكليف مع تعذّره أيضاً</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3732159_3804643083"/>
      <w:bookmarkStart w:id="477" w:name="_Toc185"/>
      <w:bookmarkEnd w:id="476"/>
      <w:r>
        <w:rPr>
          <w:rtl w:val="true"/>
        </w:rPr>
        <w:t xml:space="preserve">فصل </w:t>
      </w:r>
      <w:r>
        <w:rPr>
          <w:rtl w:val="true"/>
        </w:rPr>
        <w:t>[</w:t>
      </w:r>
      <w:r>
        <w:rPr>
          <w:rtl w:val="true"/>
        </w:rPr>
        <w:t>موجبات الجنابة</w:t>
      </w:r>
      <w:r>
        <w:rPr>
          <w:rtl w:val="true"/>
        </w:rPr>
        <w:t>]</w:t>
      </w:r>
      <w:bookmarkEnd w:id="477"/>
    </w:p>
    <w:p>
      <w:pPr>
        <w:pStyle w:val="Heading6"/>
        <w:numPr>
          <w:ilvl w:val="5"/>
          <w:numId w:val="1"/>
        </w:numPr>
        <w:rPr/>
      </w:pPr>
      <w:bookmarkStart w:id="478" w:name="__RefHeading___Toc3732161_3804643083"/>
      <w:bookmarkStart w:id="479" w:name="_Toc186"/>
      <w:bookmarkEnd w:id="478"/>
      <w:r>
        <w:rPr>
          <w:rtl w:val="true"/>
        </w:rPr>
        <w:t>اشارة</w:t>
      </w:r>
      <w:bookmarkEnd w:id="47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الجنابة توجب الغسل بالثلاثة، و تحصل بالإنزال مطلقاً و الالتقاء بالإجماع و المستفيضة من الصحاح و غيرها </w:t>
      </w:r>
      <w:r>
        <w:rPr>
          <w:rStyle w:val="FootnoteAnchor"/>
          <w:rtl w:val="true"/>
        </w:rPr>
        <w:footnoteReference w:id="1349"/>
      </w:r>
      <w:r>
        <w:rPr>
          <w:rFonts w:ascii="Amiri" w:hAnsi="Amiri" w:eastAsia="Amiri" w:cs="Amiri"/>
          <w:color w:val="111111"/>
          <w:sz w:val="28"/>
          <w:sz w:val="28"/>
          <w:szCs w:val="28"/>
          <w:rtl w:val="true"/>
          <w:lang w:bidi="ar-SA"/>
        </w:rPr>
        <w:t>، و لو علم كون الخارج منيّاً وجب الغسل و إن</w:t>
      </w:r>
      <w:bookmarkStart w:id="480" w:name="pg2479_11664"/>
    </w:p>
    <w:p>
      <w:pPr>
        <w:pStyle w:val="BookText"/>
        <w:rPr/>
      </w:pPr>
      <w:bookmarkEnd w:id="480"/>
      <w:r>
        <w:rPr>
          <w:rFonts w:ascii="Amiri" w:hAnsi="Amiri" w:eastAsia="Amiri" w:cs="Amiri"/>
          <w:color w:val="111111"/>
          <w:sz w:val="28"/>
          <w:sz w:val="28"/>
          <w:szCs w:val="28"/>
          <w:rtl w:val="true"/>
          <w:lang w:bidi="ar-SA"/>
        </w:rPr>
        <w:t xml:space="preserve">فقد الأوصاف؛ للإجماع و تعليقه في المستفيضة </w:t>
      </w:r>
      <w:r>
        <w:rPr>
          <w:rStyle w:val="FootnoteAnchor"/>
          <w:rtl w:val="true"/>
        </w:rPr>
        <w:footnoteReference w:id="1350"/>
      </w:r>
      <w:r>
        <w:rPr>
          <w:rFonts w:ascii="IRNazanin" w:hAnsi="IRNazanin" w:eastAsia="IRNazanin"/>
          <w:color w:val="111111"/>
          <w:sz w:val="28"/>
          <w:sz w:val="28"/>
          <w:szCs w:val="28"/>
          <w:rtl w:val="true"/>
          <w:lang w:bidi="fa-IR"/>
        </w:rPr>
        <w:t>على مجرّد الإنزال و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اشتبه ففي اعتباره بالثلاثة المشهورة كلّاً، أو بها و برائحة الطلع و العجين رطباً و بياض البيض جافّاً بعضاً،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للأكثر، و الثاني للشهيدين و الكركي </w:t>
      </w:r>
      <w:r>
        <w:rPr>
          <w:rStyle w:val="FootnoteAnchor"/>
          <w:rtl w:val="true"/>
        </w:rPr>
        <w:footnoteReference w:id="1351"/>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بين النصوص يرجّح الأوّل، كما قرّرناه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القولين لا يعتبر الدفق في المريض؛ للمستفيضة </w:t>
      </w:r>
      <w:r>
        <w:rPr>
          <w:rStyle w:val="FootnoteAnchor"/>
          <w:rtl w:val="true"/>
        </w:rPr>
        <w:footnoteReference w:id="1353"/>
      </w:r>
      <w:r>
        <w:rPr>
          <w:rFonts w:ascii="Amiri" w:hAnsi="Amiri" w:eastAsia="Amiri" w:cs="Amiri"/>
          <w:color w:val="111111"/>
          <w:sz w:val="28"/>
          <w:sz w:val="28"/>
          <w:szCs w:val="28"/>
          <w:rtl w:val="true"/>
          <w:lang w:bidi="ar-SA"/>
        </w:rPr>
        <w:t>، و الأحوط أن لا يترك الغسل مع البعض سيّما الشهوة؛ لقوّة الظن بالدوران</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3732163_3804643083"/>
      <w:bookmarkStart w:id="482" w:name="_Toc187"/>
      <w:bookmarkEnd w:id="481"/>
      <w:r>
        <w:rPr>
          <w:rtl w:val="true"/>
        </w:rPr>
        <w:t>فروع</w:t>
      </w:r>
      <w:r>
        <w:rPr>
          <w:rtl w:val="true"/>
        </w:rPr>
        <w:t>:</w:t>
      </w:r>
      <w:bookmarkEnd w:id="482"/>
    </w:p>
    <w:p>
      <w:pPr>
        <w:pStyle w:val="Heading6"/>
        <w:numPr>
          <w:ilvl w:val="5"/>
          <w:numId w:val="1"/>
        </w:numPr>
        <w:rPr/>
      </w:pPr>
      <w:bookmarkStart w:id="483" w:name="__RefHeading___Toc3732165_3804643083"/>
      <w:bookmarkStart w:id="484" w:name="_Toc188"/>
      <w:bookmarkEnd w:id="483"/>
      <w:r>
        <w:rPr>
          <w:rtl w:val="true"/>
        </w:rPr>
        <w:t>الأوّل</w:t>
      </w:r>
      <w:r>
        <w:rPr>
          <w:rtl w:val="true"/>
        </w:rPr>
        <w:t>:</w:t>
      </w:r>
      <w:bookmarkEnd w:id="484"/>
    </w:p>
    <w:p>
      <w:pPr>
        <w:pStyle w:val="BookText"/>
        <w:rPr/>
      </w:pPr>
      <w:r>
        <w:rPr>
          <w:rFonts w:ascii="Amiri" w:hAnsi="Amiri" w:eastAsia="Amiri" w:cs="Amiri"/>
          <w:color w:val="111111"/>
          <w:sz w:val="28"/>
          <w:sz w:val="28"/>
          <w:szCs w:val="28"/>
          <w:rtl w:val="true"/>
          <w:lang w:bidi="ar-SA"/>
        </w:rPr>
        <w:t xml:space="preserve">رأيي الاحتلام إن لم يجد البلل لا غسل عليه مطلقاً؛ للإجماع و الحسن </w:t>
      </w:r>
      <w:r>
        <w:rPr>
          <w:rStyle w:val="FootnoteAnchor"/>
          <w:rtl w:val="true"/>
        </w:rPr>
        <w:footnoteReference w:id="1354"/>
      </w:r>
      <w:r>
        <w:rPr>
          <w:rFonts w:ascii="Amiri" w:hAnsi="Amiri" w:eastAsia="Amiri" w:cs="Amiri"/>
          <w:color w:val="111111"/>
          <w:sz w:val="28"/>
          <w:sz w:val="28"/>
          <w:szCs w:val="28"/>
          <w:rtl w:val="true"/>
          <w:lang w:bidi="ar-SA"/>
        </w:rPr>
        <w:t xml:space="preserve">و تعليقه في النصوص </w:t>
      </w:r>
      <w:r>
        <w:rPr>
          <w:rStyle w:val="FootnoteAnchor"/>
          <w:rtl w:val="true"/>
        </w:rPr>
        <w:footnoteReference w:id="1355"/>
      </w:r>
      <w:r>
        <w:rPr>
          <w:rFonts w:ascii="Amiri" w:hAnsi="Amiri" w:eastAsia="Amiri" w:cs="Amiri"/>
          <w:color w:val="111111"/>
          <w:sz w:val="28"/>
          <w:sz w:val="28"/>
          <w:szCs w:val="28"/>
          <w:rtl w:val="true"/>
          <w:lang w:bidi="ar-SA"/>
        </w:rPr>
        <w:t>على مثل الخروج و الرؤية، و إلّا يغسل في المتيقّن، و يرجع في المشتبه إلى الأوصاف كما مرّ</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3732167_3804643083"/>
      <w:bookmarkStart w:id="486" w:name="_Toc189"/>
      <w:bookmarkEnd w:id="485"/>
      <w:r>
        <w:rPr>
          <w:rtl w:val="true"/>
        </w:rPr>
        <w:t>الثاني</w:t>
      </w:r>
      <w:r>
        <w:rPr>
          <w:rtl w:val="true"/>
        </w:rPr>
        <w:t>:</w:t>
      </w:r>
      <w:bookmarkEnd w:id="486"/>
    </w:p>
    <w:p>
      <w:pPr>
        <w:pStyle w:val="BookText"/>
        <w:rPr/>
      </w:pPr>
      <w:r>
        <w:rPr>
          <w:rFonts w:ascii="Amiri" w:hAnsi="Amiri" w:eastAsia="Amiri" w:cs="Amiri"/>
          <w:color w:val="111111"/>
          <w:sz w:val="28"/>
          <w:sz w:val="28"/>
          <w:szCs w:val="28"/>
          <w:rtl w:val="true"/>
          <w:lang w:bidi="ar-SA"/>
        </w:rPr>
        <w:t>المني الخارج من غير الطبيعي لا ينقض؛ لانصراف الإطلاق إليه، إلّا مع انسداده؛ لظاهر الوفاق كالأصغر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بالنقض مطلقاً أو مع الاعتياد، أو كونه في الصلب، أو الإحليل، أو البيضتين لا عبرة به، و مستند الكلّ ضعيف</w:t>
      </w:r>
      <w:r>
        <w:rPr>
          <w:rFonts w:eastAsia="Amiri" w:cs="Amiri" w:ascii="Amiri" w:hAnsi="Amiri"/>
          <w:color w:val="111111"/>
          <w:sz w:val="28"/>
          <w:szCs w:val="28"/>
          <w:rtl w:val="true"/>
          <w:lang w:bidi="ar-SA"/>
        </w:rPr>
        <w:t>.</w:t>
      </w:r>
      <w:bookmarkStart w:id="487" w:name="pg2479_11665"/>
    </w:p>
    <w:p>
      <w:pPr>
        <w:pStyle w:val="BookText"/>
        <w:rPr/>
      </w:pPr>
      <w:bookmarkEnd w:id="487"/>
      <w:r>
        <w:rPr>
          <w:rFonts w:ascii="Amiri" w:hAnsi="Amiri" w:eastAsia="Amiri" w:cs="Amiri"/>
          <w:color w:val="111111"/>
          <w:sz w:val="28"/>
          <w:sz w:val="28"/>
          <w:szCs w:val="28"/>
          <w:rtl w:val="true"/>
          <w:lang w:bidi="ar-SA"/>
        </w:rPr>
        <w:t xml:space="preserve">و من فرج المرأة إن علم كونه منها وجب به الغسل وفاقاً، و وجهه ظاهر، و من الرجل لم يجب؛ للإجماع و الخبر </w:t>
      </w:r>
      <w:r>
        <w:rPr>
          <w:rStyle w:val="FootnoteAnchor"/>
          <w:rtl w:val="true"/>
        </w:rPr>
        <w:footnoteReference w:id="1356"/>
      </w:r>
      <w:r>
        <w:rPr>
          <w:rFonts w:ascii="Amiri" w:hAnsi="Amiri" w:eastAsia="Amiri" w:cs="Amiri"/>
          <w:color w:val="111111"/>
          <w:sz w:val="28"/>
          <w:sz w:val="28"/>
          <w:szCs w:val="28"/>
          <w:rtl w:val="true"/>
          <w:lang w:bidi="ar-SA"/>
        </w:rPr>
        <w:t xml:space="preserve">، و كذا مع الشكّ على المشهور؛ للأصل و الاستصحاب و ظاهر الصحيح و الخبر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وجوبه لذي الوصف و إن احمرّ لكثرة الوقاع؛ لوجود المقتضي و عدم مانعيّة اللون، و احتمال المنع </w:t>
      </w:r>
      <w:r>
        <w:rPr>
          <w:rStyle w:val="FootnoteAnchor"/>
          <w:rtl w:val="true"/>
        </w:rPr>
        <w:footnoteReference w:id="1358"/>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3732169_3804643083"/>
      <w:bookmarkStart w:id="489" w:name="_Toc190"/>
      <w:bookmarkEnd w:id="488"/>
      <w:r>
        <w:rPr>
          <w:rtl w:val="true"/>
        </w:rPr>
        <w:t>الثالث</w:t>
      </w:r>
      <w:r>
        <w:rPr>
          <w:rtl w:val="true"/>
        </w:rPr>
        <w:t>:</w:t>
      </w:r>
      <w:bookmarkEnd w:id="489"/>
    </w:p>
    <w:p>
      <w:pPr>
        <w:pStyle w:val="BookText"/>
        <w:rPr/>
      </w:pPr>
      <w:r>
        <w:rPr>
          <w:rFonts w:ascii="Amiri" w:hAnsi="Amiri" w:eastAsia="Amiri" w:cs="Amiri"/>
          <w:color w:val="111111"/>
          <w:sz w:val="28"/>
          <w:sz w:val="28"/>
          <w:szCs w:val="28"/>
          <w:rtl w:val="true"/>
          <w:lang w:bidi="ar-SA"/>
        </w:rPr>
        <w:t>الالتقاء التحاذي؛ لتعذّر الحقيقة، و يكفي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لتعسّر دركه حدّ في الصحيح </w:t>
      </w:r>
      <w:r>
        <w:rPr>
          <w:rStyle w:val="FootnoteAnchor"/>
          <w:rtl w:val="true"/>
        </w:rPr>
        <w:footnoteReference w:id="1359"/>
      </w:r>
      <w:r>
        <w:rPr>
          <w:rFonts w:ascii="Amiri" w:hAnsi="Amiri" w:eastAsia="Amiri" w:cs="Amiri"/>
          <w:color w:val="111111"/>
          <w:sz w:val="28"/>
          <w:sz w:val="28"/>
          <w:szCs w:val="28"/>
          <w:rtl w:val="true"/>
          <w:lang w:bidi="ar-SA"/>
        </w:rPr>
        <w:t xml:space="preserve">بغيبوبة الحشفة، و يقرّره الإجماع على نفي الزائد و عدم كفاية الناقص </w:t>
      </w:r>
      <w:r>
        <w:rPr>
          <w:rStyle w:val="FootnoteAnchor"/>
          <w:rtl w:val="true"/>
        </w:rPr>
        <w:footnoteReference w:id="1360"/>
      </w:r>
      <w:r>
        <w:rPr>
          <w:rFonts w:ascii="Amiri" w:hAnsi="Amiri" w:eastAsia="Amiri" w:cs="Amiri"/>
          <w:color w:val="111111"/>
          <w:sz w:val="28"/>
          <w:sz w:val="28"/>
          <w:szCs w:val="28"/>
          <w:rtl w:val="true"/>
          <w:lang w:bidi="ar-SA"/>
        </w:rPr>
        <w:t>في وجوب الغسل، و الثاني مقتضى الأصل أيضاً، و لو عدمت فالمعتبر قدرها بالإجماع</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732171_3804643083"/>
      <w:bookmarkStart w:id="491" w:name="_Toc191"/>
      <w:bookmarkEnd w:id="490"/>
      <w:r>
        <w:rPr>
          <w:rtl w:val="true"/>
        </w:rPr>
        <w:t>الرابع</w:t>
      </w:r>
      <w:r>
        <w:rPr>
          <w:rtl w:val="true"/>
        </w:rPr>
        <w:t>:</w:t>
      </w:r>
      <w:bookmarkEnd w:id="491"/>
    </w:p>
    <w:p>
      <w:pPr>
        <w:pStyle w:val="BookText"/>
        <w:rPr/>
      </w:pPr>
      <w:r>
        <w:rPr>
          <w:rFonts w:ascii="Amiri" w:hAnsi="Amiri" w:eastAsia="Amiri" w:cs="Amiri"/>
          <w:color w:val="111111"/>
          <w:sz w:val="28"/>
          <w:sz w:val="28"/>
          <w:szCs w:val="28"/>
          <w:rtl w:val="true"/>
          <w:lang w:bidi="ar-SA"/>
        </w:rPr>
        <w:t xml:space="preserve">وطء المرأة في دبرها يوجب الغسل و إن لم ينزل، وفاقاً للمعظم، 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و ظاهر الديلمي </w:t>
      </w:r>
      <w:r>
        <w:rPr>
          <w:rStyle w:val="FootnoteAnchor"/>
          <w:rtl w:val="true"/>
        </w:rPr>
        <w:footnoteReference w:id="1362"/>
      </w:r>
      <w:r>
        <w:rPr>
          <w:rFonts w:ascii="Amiri" w:hAnsi="Amiri" w:eastAsia="Amiri" w:cs="Amiri"/>
          <w:color w:val="111111"/>
          <w:sz w:val="28"/>
          <w:sz w:val="28"/>
          <w:szCs w:val="28"/>
          <w:rtl w:val="true"/>
          <w:lang w:bidi="ar-SA"/>
        </w:rPr>
        <w:t xml:space="preserve">، و إيراد الصدوق ما ينفي الوجوب </w:t>
      </w:r>
      <w:r>
        <w:rPr>
          <w:rStyle w:val="FootnoteAnchor"/>
          <w:rtl w:val="true"/>
        </w:rPr>
        <w:footnoteReference w:id="1363"/>
      </w:r>
      <w:r>
        <w:rPr>
          <w:rFonts w:ascii="Amiri" w:hAnsi="Amiri" w:eastAsia="Amiri" w:cs="Amiri"/>
          <w:color w:val="111111"/>
          <w:sz w:val="28"/>
          <w:sz w:val="28"/>
          <w:szCs w:val="28"/>
          <w:rtl w:val="true"/>
          <w:lang w:bidi="ar-SA"/>
        </w:rPr>
        <w:t xml:space="preserve">لا يوجب الإفتاء، فنسبة الخلاف إليه لذلك </w:t>
      </w:r>
      <w:r>
        <w:rPr>
          <w:rStyle w:val="FootnoteAnchor"/>
          <w:rtl w:val="true"/>
        </w:rPr>
        <w:footnoteReference w:id="1364"/>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w:t>
      </w:r>
      <w:r>
        <w:rPr>
          <w:rStyle w:val="FootnoteAnchor"/>
          <w:rtl w:val="true"/>
        </w:rPr>
        <w:footnoteReference w:id="1365"/>
      </w:r>
      <w:r>
        <w:rPr>
          <w:rFonts w:ascii="Amiri" w:hAnsi="Amiri" w:eastAsia="Amiri" w:cs="Amiri"/>
          <w:color w:val="111111"/>
          <w:sz w:val="28"/>
          <w:sz w:val="28"/>
          <w:szCs w:val="28"/>
          <w:rtl w:val="true"/>
          <w:lang w:bidi="ar-SA"/>
        </w:rPr>
        <w:t>، و صدق الملامسة و الإدخال، فيشمله الآية</w:t>
      </w:r>
    </w:p>
    <w:p>
      <w:pPr>
        <w:pStyle w:val="BookText"/>
        <w:rPr/>
      </w:pPr>
      <w:r>
        <w:rPr>
          <w:rFonts w:ascii="IRNazanin" w:hAnsi="IRNazanin" w:eastAsia="IRNazanin"/>
          <w:color w:val="111111"/>
          <w:sz w:val="28"/>
          <w:sz w:val="28"/>
          <w:szCs w:val="28"/>
          <w:rtl w:val="true"/>
          <w:lang w:bidi="fa-IR"/>
        </w:rPr>
        <w:t xml:space="preserve">و الصحاح </w:t>
      </w:r>
      <w:r>
        <w:rPr>
          <w:rStyle w:val="FootnoteAnchor"/>
          <w:rtl w:val="true"/>
        </w:rPr>
        <w:footnoteReference w:id="1366"/>
      </w:r>
      <w:r>
        <w:rPr>
          <w:rFonts w:ascii="Amiri" w:hAnsi="Amiri" w:eastAsia="Amiri" w:cs="Amiri"/>
          <w:color w:val="111111"/>
          <w:sz w:val="28"/>
          <w:sz w:val="28"/>
          <w:szCs w:val="28"/>
          <w:rtl w:val="true"/>
          <w:lang w:bidi="ar-SA"/>
        </w:rPr>
        <w:t>، و التخصّص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ظاهر الصحيح </w:t>
      </w:r>
      <w:r>
        <w:rPr>
          <w:rStyle w:val="FootnoteAnchor"/>
          <w:rtl w:val="true"/>
        </w:rPr>
        <w:footnoteReference w:id="1367"/>
      </w:r>
      <w:r>
        <w:rPr>
          <w:rFonts w:ascii="Amiri" w:hAnsi="Amiri" w:eastAsia="Amiri" w:cs="Amiri"/>
          <w:color w:val="111111"/>
          <w:sz w:val="28"/>
          <w:sz w:val="28"/>
          <w:szCs w:val="28"/>
          <w:rtl w:val="true"/>
          <w:lang w:bidi="ar-SA"/>
        </w:rPr>
        <w:t xml:space="preserve">و صريح الخبر </w:t>
      </w:r>
      <w:r>
        <w:rPr>
          <w:rStyle w:val="FootnoteAnchor"/>
          <w:rtl w:val="true"/>
        </w:rPr>
        <w:footnoteReference w:id="1368"/>
      </w:r>
      <w:r>
        <w:rPr>
          <w:rFonts w:ascii="IRNazanin" w:hAnsi="IRNazanin" w:eastAsia="IRNazanin"/>
          <w:color w:val="111111"/>
          <w:sz w:val="28"/>
          <w:sz w:val="28"/>
          <w:szCs w:val="28"/>
          <w:rtl w:val="true"/>
          <w:lang w:bidi="fa-IR"/>
        </w:rPr>
        <w:t xml:space="preserve">و فحوى الآخر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مفهوم أخبار الالتقاء </w:t>
      </w:r>
      <w:r>
        <w:rPr>
          <w:rStyle w:val="FootnoteAnchor"/>
          <w:rtl w:val="true"/>
        </w:rPr>
        <w:footnoteReference w:id="1370"/>
      </w:r>
      <w:r>
        <w:rPr>
          <w:rFonts w:ascii="IRNazanin" w:hAnsi="IRNazanin" w:eastAsia="IRNazanin"/>
          <w:color w:val="111111"/>
          <w:sz w:val="28"/>
          <w:sz w:val="28"/>
          <w:szCs w:val="28"/>
          <w:rtl w:val="true"/>
          <w:lang w:bidi="fa-IR"/>
        </w:rPr>
        <w:t xml:space="preserve">و ظاهر الخبر </w:t>
      </w:r>
      <w:r>
        <w:rPr>
          <w:rStyle w:val="FootnoteAnchor"/>
          <w:rtl w:val="true"/>
        </w:rPr>
        <w:footnoteReference w:id="1371"/>
      </w:r>
      <w:r>
        <w:rPr>
          <w:rFonts w:ascii="Amiri" w:hAnsi="Amiri" w:eastAsia="Amiri" w:cs="Amiri"/>
          <w:color w:val="111111"/>
          <w:sz w:val="28"/>
          <w:sz w:val="28"/>
          <w:szCs w:val="28"/>
          <w:rtl w:val="true"/>
          <w:lang w:bidi="ar-SA"/>
        </w:rPr>
        <w:t xml:space="preserve">و صريح المرفوع و المرسلين </w:t>
      </w:r>
      <w:r>
        <w:rPr>
          <w:rStyle w:val="FootnoteAnchor"/>
          <w:rtl w:val="true"/>
        </w:rPr>
        <w:footnoteReference w:id="1372"/>
      </w:r>
      <w:r>
        <w:rPr>
          <w:rFonts w:ascii="Amiri" w:hAnsi="Amiri" w:eastAsia="Amiri" w:cs="Amiri"/>
          <w:color w:val="111111"/>
          <w:sz w:val="28"/>
          <w:sz w:val="28"/>
          <w:szCs w:val="28"/>
          <w:rtl w:val="true"/>
          <w:lang w:bidi="ar-SA"/>
        </w:rPr>
        <w:t xml:space="preserve">، و ردّ الأوّل بوجود الناقل، و الثاني بإطلاق الالتقاء في عرفهم على الأعم كما في الصحيح </w:t>
      </w:r>
      <w:r>
        <w:rPr>
          <w:rStyle w:val="FootnoteAnchor"/>
          <w:rtl w:val="true"/>
        </w:rPr>
        <w:footnoteReference w:id="1373"/>
      </w:r>
      <w:r>
        <w:rPr>
          <w:rFonts w:ascii="Amiri" w:hAnsi="Amiri" w:eastAsia="Amiri" w:cs="Amiri"/>
          <w:color w:val="111111"/>
          <w:sz w:val="28"/>
          <w:sz w:val="28"/>
          <w:szCs w:val="28"/>
          <w:rtl w:val="true"/>
          <w:lang w:bidi="ar-SA"/>
        </w:rPr>
        <w:t>، فهو يؤيّد المختار، و الثالث بمنع الدلالة، و البواقي بفقد المقاومة فتطرح أو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دبر الذكر كالأُنثى في الحكم، خلافاً 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استدلّ المرتضىٰ بالمركّب </w:t>
      </w:r>
      <w:r>
        <w:rPr>
          <w:rStyle w:val="FootnoteAnchor"/>
          <w:rtl w:val="true"/>
        </w:rPr>
        <w:footnoteReference w:id="1374"/>
      </w:r>
      <w:r>
        <w:rPr>
          <w:rFonts w:ascii="Amiri" w:hAnsi="Amiri" w:eastAsia="Amiri" w:cs="Amiri"/>
          <w:color w:val="111111"/>
          <w:sz w:val="28"/>
          <w:sz w:val="28"/>
          <w:szCs w:val="28"/>
          <w:rtl w:val="true"/>
          <w:lang w:bidi="ar-SA"/>
        </w:rPr>
        <w:t xml:space="preserve">، و كأنّه مع احتجاجه بالبسيط للتقوية، و توقّف المحقّق </w:t>
      </w:r>
      <w:r>
        <w:rPr>
          <w:rStyle w:val="FootnoteAnchor"/>
          <w:rtl w:val="true"/>
        </w:rPr>
        <w:footnoteReference w:id="1375"/>
      </w:r>
      <w:r>
        <w:rPr>
          <w:rFonts w:ascii="Amiri" w:hAnsi="Amiri" w:eastAsia="Amiri" w:cs="Amiri"/>
          <w:color w:val="111111"/>
          <w:sz w:val="28"/>
          <w:sz w:val="28"/>
          <w:szCs w:val="28"/>
          <w:rtl w:val="true"/>
          <w:lang w:bidi="ar-SA"/>
        </w:rPr>
        <w:t xml:space="preserve">بعد ثبوت الوفاق بالنقل و التصفّح لا وجه له، على أنّ بعض الظواهر كفحوىٰ قول عليّ عليه السّلام ردّاً على الأنصار </w:t>
      </w:r>
      <w:r>
        <w:rPr>
          <w:rStyle w:val="FootnoteAnchor"/>
          <w:rtl w:val="true"/>
        </w:rPr>
        <w:footnoteReference w:id="1376"/>
      </w:r>
      <w:r>
        <w:rPr>
          <w:rFonts w:ascii="Amiri" w:hAnsi="Amiri" w:eastAsia="Amiri" w:cs="Amiri"/>
          <w:color w:val="111111"/>
          <w:sz w:val="28"/>
          <w:sz w:val="28"/>
          <w:szCs w:val="28"/>
          <w:rtl w:val="true"/>
          <w:lang w:bidi="ar-SA"/>
        </w:rPr>
        <w:t>يقرّره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القابل كالفاعل؛ لعموم أكثر الأدلّة، فتردّد الفاضل </w:t>
      </w:r>
      <w:r>
        <w:rPr>
          <w:rStyle w:val="FootnoteAnchor"/>
          <w:rtl w:val="true"/>
        </w:rPr>
        <w:footnoteReference w:id="1377"/>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bookmarkStart w:id="492" w:name="pg2479_11667"/>
    </w:p>
    <w:p>
      <w:pPr>
        <w:pStyle w:val="Heading6"/>
        <w:numPr>
          <w:ilvl w:val="5"/>
          <w:numId w:val="1"/>
        </w:numPr>
        <w:rPr/>
      </w:pPr>
      <w:bookmarkStart w:id="493" w:name="__RefHeading___Toc3732173_3804643083"/>
      <w:bookmarkStart w:id="494" w:name="_Toc192"/>
      <w:bookmarkEnd w:id="492"/>
      <w:bookmarkEnd w:id="493"/>
      <w:r>
        <w:rPr>
          <w:rtl w:val="true"/>
        </w:rPr>
        <w:t>الخامس</w:t>
      </w:r>
      <w:r>
        <w:rPr>
          <w:rtl w:val="true"/>
        </w:rPr>
        <w:t>:</w:t>
      </w:r>
      <w:bookmarkEnd w:id="494"/>
    </w:p>
    <w:p>
      <w:pPr>
        <w:pStyle w:val="BookText"/>
        <w:rPr/>
      </w:pPr>
      <w:r>
        <w:rPr>
          <w:rFonts w:ascii="Amiri" w:hAnsi="Amiri" w:eastAsia="Amiri" w:cs="Amiri"/>
          <w:color w:val="111111"/>
          <w:sz w:val="28"/>
          <w:sz w:val="28"/>
          <w:szCs w:val="28"/>
          <w:rtl w:val="true"/>
          <w:lang w:bidi="ar-SA"/>
        </w:rPr>
        <w:t xml:space="preserve">المعروف منهم وجوب الغسل بوطء الميّت؛ للاستصحاب و قضيّة الأنصار </w:t>
      </w:r>
      <w:r>
        <w:rPr>
          <w:rStyle w:val="FootnoteAnchor"/>
          <w:rtl w:val="true"/>
        </w:rPr>
        <w:footnoteReference w:id="1378"/>
      </w:r>
      <w:r>
        <w:rPr>
          <w:rFonts w:ascii="Amiri" w:hAnsi="Amiri" w:eastAsia="Amiri" w:cs="Amiri"/>
          <w:color w:val="111111"/>
          <w:sz w:val="28"/>
          <w:sz w:val="28"/>
          <w:szCs w:val="28"/>
          <w:rtl w:val="true"/>
          <w:lang w:bidi="ar-SA"/>
        </w:rPr>
        <w:t>و ظواهر الالتقاء و الإدخال، و نقل الإجماع و هو المناط؛ لإمكان ردّ الأوّل بتغيّر الموضوع، و البواقي بالحمل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وفاقهم على سقوطه عن الميّت؛ لانتفاء التكليف</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732175_3804643083"/>
      <w:bookmarkStart w:id="496" w:name="_Toc193"/>
      <w:bookmarkEnd w:id="495"/>
      <w:r>
        <w:rPr>
          <w:rtl w:val="true"/>
        </w:rPr>
        <w:t>السادس</w:t>
      </w:r>
      <w:r>
        <w:rPr>
          <w:rtl w:val="true"/>
        </w:rPr>
        <w:t>:</w:t>
      </w:r>
      <w:bookmarkEnd w:id="496"/>
    </w:p>
    <w:p>
      <w:pPr>
        <w:pStyle w:val="BookText"/>
        <w:rPr/>
      </w:pPr>
      <w:r>
        <w:rPr>
          <w:rFonts w:ascii="Amiri" w:hAnsi="Amiri" w:eastAsia="Amiri" w:cs="Amiri"/>
          <w:color w:val="111111"/>
          <w:sz w:val="28"/>
          <w:sz w:val="28"/>
          <w:szCs w:val="28"/>
          <w:rtl w:val="true"/>
          <w:lang w:bidi="ar-SA"/>
        </w:rPr>
        <w:t>النائم كالمستيقظ مطلقاً؛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الوقاع معه لا تثبت الغسل و سائر الأحكام 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السكران و الغافل و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المكره كالطائع؛ للعموم</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732177_3804643083"/>
      <w:bookmarkStart w:id="498" w:name="_Toc194"/>
      <w:bookmarkEnd w:id="497"/>
      <w:r>
        <w:rPr>
          <w:rtl w:val="true"/>
        </w:rPr>
        <w:t>السابع</w:t>
      </w:r>
      <w:r>
        <w:rPr>
          <w:rtl w:val="true"/>
        </w:rPr>
        <w:t>:</w:t>
      </w:r>
      <w:bookmarkEnd w:id="498"/>
    </w:p>
    <w:p>
      <w:pPr>
        <w:pStyle w:val="BookText"/>
        <w:rPr/>
      </w:pPr>
      <w:r>
        <w:rPr>
          <w:rFonts w:ascii="Amiri" w:hAnsi="Amiri" w:eastAsia="Amiri" w:cs="Amiri"/>
          <w:color w:val="111111"/>
          <w:sz w:val="28"/>
          <w:sz w:val="28"/>
          <w:szCs w:val="28"/>
          <w:rtl w:val="true"/>
          <w:lang w:bidi="ar-SA"/>
        </w:rPr>
        <w:t xml:space="preserve">و يجب بوطء البهيمة، وفاقاً للأكثر؛ لثبوت التلازم بين الغسل و الحدّ بالخاصّي و العامّي </w:t>
      </w:r>
      <w:r>
        <w:rPr>
          <w:rStyle w:val="FootnoteAnchor"/>
          <w:rtl w:val="true"/>
        </w:rPr>
        <w:footnoteReference w:id="1379"/>
      </w:r>
      <w:r>
        <w:rPr>
          <w:rFonts w:ascii="Amiri" w:hAnsi="Amiri" w:eastAsia="Amiri" w:cs="Amiri"/>
          <w:color w:val="111111"/>
          <w:sz w:val="28"/>
          <w:sz w:val="28"/>
          <w:szCs w:val="28"/>
          <w:rtl w:val="true"/>
          <w:lang w:bidi="ar-SA"/>
        </w:rPr>
        <w:t xml:space="preserve">و ظواهر الإدخال و الالتقاء و دعوى الإجماع من الشيخ و المرتضىٰ </w:t>
      </w:r>
      <w:r>
        <w:rPr>
          <w:rStyle w:val="FootnoteAnchor"/>
          <w:rtl w:val="true"/>
        </w:rPr>
        <w:footnoteReference w:id="1380"/>
      </w:r>
      <w:r>
        <w:rPr>
          <w:rFonts w:ascii="Amiri" w:hAnsi="Amiri" w:eastAsia="Amiri" w:cs="Amiri"/>
          <w:color w:val="111111"/>
          <w:sz w:val="28"/>
          <w:sz w:val="28"/>
          <w:szCs w:val="28"/>
          <w:rtl w:val="true"/>
          <w:lang w:bidi="ar-SA"/>
        </w:rPr>
        <w:t>، و لعلّه الحجّة؛ لإمكان المناقشة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للمحقّقين؛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الاستدخال كالإدخال؛ لإطلاق الأدلّة، فالتفرقة باطلة</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732179_3804643083"/>
      <w:bookmarkStart w:id="500" w:name="_Toc195"/>
      <w:bookmarkEnd w:id="499"/>
      <w:r>
        <w:rPr>
          <w:rtl w:val="true"/>
        </w:rPr>
        <w:t>الثامن</w:t>
      </w:r>
      <w:r>
        <w:rPr>
          <w:rtl w:val="true"/>
        </w:rPr>
        <w:t>:</w:t>
      </w:r>
      <w:bookmarkEnd w:id="500"/>
    </w:p>
    <w:p>
      <w:pPr>
        <w:pStyle w:val="BookText"/>
        <w:rPr/>
      </w:pPr>
      <w:r>
        <w:rPr>
          <w:rFonts w:ascii="Amiri" w:hAnsi="Amiri" w:eastAsia="Amiri" w:cs="Amiri"/>
          <w:color w:val="111111"/>
          <w:sz w:val="28"/>
          <w:sz w:val="28"/>
          <w:szCs w:val="28"/>
          <w:rtl w:val="true"/>
          <w:lang w:bidi="ar-SA"/>
        </w:rPr>
        <w:t>الحقّ وجوبه مع اللف؛ لعموم الأدلّة و ظاهر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العدم مطلقاً أو مع رقّة اللفافة ضعيف، و التعليل بالأصل و فوات اللذّة عليل</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3732181_3804643083"/>
      <w:bookmarkStart w:id="502" w:name="_Toc196"/>
      <w:bookmarkEnd w:id="501"/>
      <w:r>
        <w:rPr>
          <w:rtl w:val="true"/>
        </w:rPr>
        <w:t>التاسع</w:t>
      </w:r>
      <w:r>
        <w:rPr>
          <w:rtl w:val="true"/>
        </w:rPr>
        <w:t>:</w:t>
      </w:r>
      <w:bookmarkEnd w:id="502"/>
    </w:p>
    <w:p>
      <w:pPr>
        <w:pStyle w:val="BookText"/>
        <w:rPr/>
      </w:pPr>
      <w:r>
        <w:rPr>
          <w:rFonts w:ascii="Amiri" w:hAnsi="Amiri" w:eastAsia="Amiri" w:cs="Amiri"/>
          <w:color w:val="111111"/>
          <w:sz w:val="28"/>
          <w:sz w:val="28"/>
          <w:szCs w:val="28"/>
          <w:rtl w:val="true"/>
          <w:lang w:bidi="ar-SA"/>
        </w:rPr>
        <w:t>غير البالغ وطؤه سبب للغسل على الأصح، غير موجب له وفاقاً؛ لتعلّق الوضعي به دون الشرعي، فالأثر يظهر بالبلوغ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السببيّة للأصل، و تعلّقها بفعل المكلّف غالباً كما ترى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بالبلوغ و عدمه تعلّق بكلّ منهما حكمه، وفاقاً</w:t>
      </w:r>
      <w:r>
        <w:rPr>
          <w:rFonts w:eastAsia="Amiri" w:cs="Amiri" w:ascii="Amiri" w:hAnsi="Amiri"/>
          <w:color w:val="111111"/>
          <w:sz w:val="28"/>
          <w:szCs w:val="28"/>
          <w:rtl w:val="true"/>
          <w:lang w:bidi="ar-SA"/>
        </w:rPr>
        <w:t>.</w:t>
      </w:r>
      <w:bookmarkStart w:id="503" w:name="pg2479_11668"/>
    </w:p>
    <w:p>
      <w:pPr>
        <w:pStyle w:val="Heading6"/>
        <w:numPr>
          <w:ilvl w:val="5"/>
          <w:numId w:val="1"/>
        </w:numPr>
        <w:rPr/>
      </w:pPr>
      <w:bookmarkStart w:id="504" w:name="__RefHeading___Toc3732183_3804643083"/>
      <w:bookmarkStart w:id="505" w:name="_Toc197"/>
      <w:bookmarkEnd w:id="503"/>
      <w:bookmarkEnd w:id="504"/>
      <w:r>
        <w:rPr>
          <w:rtl w:val="true"/>
        </w:rPr>
        <w:t>العاشر</w:t>
      </w:r>
      <w:r>
        <w:rPr>
          <w:rtl w:val="true"/>
        </w:rPr>
        <w:t>:</w:t>
      </w:r>
      <w:bookmarkEnd w:id="505"/>
    </w:p>
    <w:p>
      <w:pPr>
        <w:pStyle w:val="BookText"/>
        <w:rPr/>
      </w:pPr>
      <w:r>
        <w:rPr>
          <w:rFonts w:ascii="Amiri" w:hAnsi="Amiri" w:eastAsia="Amiri" w:cs="Amiri"/>
          <w:color w:val="111111"/>
          <w:sz w:val="28"/>
          <w:sz w:val="28"/>
          <w:szCs w:val="28"/>
          <w:rtl w:val="true"/>
          <w:lang w:bidi="ar-SA"/>
        </w:rPr>
        <w:t>وجوب الغسل بإيلاج الذكر في دبر الخنثى كعدمه في قبلها، و الخنثىٰ بالأُنثى أو مثلها موضع القطع، و في إيلاجه في قبل الخنثى و هي في قبل الأُنثى يجب على الخنثى دونهما، و الوجه في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مرادنا بالخنثى هو المشكل؛ إذ الواضح حكمه واضح</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732185_3804643083"/>
      <w:bookmarkStart w:id="507" w:name="_Toc198"/>
      <w:bookmarkEnd w:id="506"/>
      <w:r>
        <w:rPr>
          <w:rtl w:val="true"/>
        </w:rPr>
        <w:t>الحادي عشر</w:t>
      </w:r>
      <w:r>
        <w:rPr>
          <w:rtl w:val="true"/>
        </w:rPr>
        <w:t>:</w:t>
      </w:r>
      <w:bookmarkEnd w:id="507"/>
    </w:p>
    <w:p>
      <w:pPr>
        <w:pStyle w:val="BookText"/>
        <w:rPr/>
      </w:pPr>
      <w:r>
        <w:rPr>
          <w:rFonts w:ascii="Amiri" w:hAnsi="Amiri" w:eastAsia="Amiri" w:cs="Amiri"/>
          <w:color w:val="111111"/>
          <w:sz w:val="28"/>
          <w:sz w:val="28"/>
          <w:szCs w:val="28"/>
          <w:rtl w:val="true"/>
          <w:lang w:bidi="ar-SA"/>
        </w:rPr>
        <w:t xml:space="preserve">يجب الغسل على الكافر إجماعاً؛ لمخاطبته بالفروع، فيتناوله عموم الأدلّة، و لا يصحّ منه حال كفره بالإجماع؛ لاشتراطه بالإسلام، بل الإيمان عند جماعة </w:t>
      </w:r>
      <w:r>
        <w:rPr>
          <w:rStyle w:val="FootnoteAnchor"/>
          <w:rtl w:val="true"/>
        </w:rPr>
        <w:footnoteReference w:id="1381"/>
      </w:r>
      <w:r>
        <w:rPr>
          <w:rFonts w:ascii="IRNazanin" w:hAnsi="IRNazanin" w:eastAsia="IRNazanin"/>
          <w:color w:val="111111"/>
          <w:sz w:val="28"/>
          <w:sz w:val="28"/>
          <w:szCs w:val="28"/>
          <w:rtl w:val="true"/>
          <w:lang w:bidi="fa-IR"/>
        </w:rPr>
        <w:t xml:space="preserve">لنقل الإجماع </w:t>
      </w:r>
      <w:r>
        <w:rPr>
          <w:rStyle w:val="FootnoteAnchor"/>
          <w:rtl w:val="true"/>
        </w:rPr>
        <w:footnoteReference w:id="1382"/>
      </w:r>
      <w:r>
        <w:rPr>
          <w:rFonts w:ascii="Amiri" w:hAnsi="Amiri" w:eastAsia="Amiri" w:cs="Amiri"/>
          <w:color w:val="111111"/>
          <w:sz w:val="28"/>
          <w:sz w:val="28"/>
          <w:szCs w:val="28"/>
          <w:rtl w:val="true"/>
          <w:lang w:bidi="ar-SA"/>
        </w:rPr>
        <w:t xml:space="preserve">و دلالة بعض النصوص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يسقط بالإسلام، فيجب بعده بإجماعنا؛ للعمومات كالوضوء، خلافاً لبعض العامّة </w:t>
      </w:r>
      <w:r>
        <w:rPr>
          <w:rStyle w:val="FootnoteAnchor"/>
          <w:rtl w:val="true"/>
        </w:rPr>
        <w:footnoteReference w:id="1384"/>
      </w:r>
      <w:r>
        <w:rPr>
          <w:rFonts w:ascii="IRNazanin" w:hAnsi="IRNazanin" w:eastAsia="IRNazanin"/>
          <w:color w:val="111111"/>
          <w:sz w:val="28"/>
          <w:sz w:val="28"/>
          <w:szCs w:val="28"/>
          <w:rtl w:val="true"/>
          <w:lang w:bidi="fa-IR"/>
        </w:rPr>
        <w:t xml:space="preserve">للخبر المشهور </w:t>
      </w:r>
      <w:r>
        <w:rPr>
          <w:rStyle w:val="FootnoteAnchor"/>
          <w:rtl w:val="true"/>
        </w:rPr>
        <w:footnoteReference w:id="1385"/>
      </w:r>
      <w:r>
        <w:rPr>
          <w:rFonts w:ascii="Amiri" w:hAnsi="Amiri" w:eastAsia="Amiri" w:cs="Amiri"/>
          <w:color w:val="111111"/>
          <w:sz w:val="28"/>
          <w:sz w:val="28"/>
          <w:szCs w:val="28"/>
          <w:rtl w:val="true"/>
          <w:lang w:bidi="ar-SA"/>
        </w:rPr>
        <w:t>، و هو مخصّص لو ثبت، و عدم معهوديّته ممّن أسلم، و إلّا لنقل لتوفر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من طرقهم في موارد معيّنة </w:t>
      </w:r>
      <w:r>
        <w:rPr>
          <w:rStyle w:val="FootnoteAnchor"/>
          <w:rtl w:val="true"/>
        </w:rPr>
        <w:footnoteReference w:id="1386"/>
      </w:r>
      <w:r>
        <w:rPr>
          <w:rFonts w:ascii="Amiri" w:hAnsi="Amiri" w:eastAsia="Amiri" w:cs="Amiri"/>
          <w:color w:val="111111"/>
          <w:sz w:val="28"/>
          <w:sz w:val="28"/>
          <w:szCs w:val="28"/>
          <w:rtl w:val="true"/>
          <w:lang w:bidi="ar-SA"/>
        </w:rPr>
        <w:t>، و خصوصيّة الأمر و نقله في كلّ مورد جزئي غير لازم</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732187_3804643083"/>
      <w:bookmarkStart w:id="509" w:name="_Toc199"/>
      <w:bookmarkEnd w:id="508"/>
      <w:r>
        <w:rPr>
          <w:rtl w:val="true"/>
        </w:rPr>
        <w:t>مسألة</w:t>
      </w:r>
      <w:r>
        <w:rPr>
          <w:rtl w:val="true"/>
        </w:rPr>
        <w:t>: [</w:t>
      </w:r>
      <w:r>
        <w:rPr>
          <w:rtl w:val="true"/>
        </w:rPr>
        <w:t>واجد المني</w:t>
      </w:r>
      <w:r>
        <w:rPr>
          <w:rtl w:val="true"/>
        </w:rPr>
        <w:t>]</w:t>
      </w:r>
      <w:bookmarkEnd w:id="5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واجد المني في المختصّ يغتسل، بالإجماع و الموثّقين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معيّةً لا يغتسل</w:t>
      </w:r>
      <w:bookmarkStart w:id="510" w:name="pg2479_11669"/>
    </w:p>
    <w:p>
      <w:pPr>
        <w:pStyle w:val="BookText"/>
        <w:rPr/>
      </w:pPr>
      <w:bookmarkEnd w:id="510"/>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نوبةً على الأصحّ؛ للأصل و الاستصحاب، و إيجابه في الباقي على ذي النوبة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و صريح الثانيتين </w:t>
      </w:r>
      <w:r>
        <w:rPr>
          <w:rStyle w:val="FootnoteAnchor"/>
          <w:rtl w:val="true"/>
        </w:rPr>
        <w:footnoteReference w:id="1389"/>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المختصّ مع احتمال كونه من الضرّة كالمشترك؛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الموثّقان؛ لورودهما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يقتصر في حدث الواجد على المتيقّن؛ فلا يقضي إلّا ما قطع بتأخّره؛ لأصالة البقاء و البراءة و تأخّر الحادث و صحّة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المتشاركين يصحّ منه مثل الصلاة و الطواف إجماعاً، و مثل ائتمامه بالآخر، و كونه عدداً للجمعة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للفاضل </w:t>
      </w:r>
      <w:r>
        <w:rPr>
          <w:rStyle w:val="FootnoteAnchor"/>
          <w:rtl w:val="true"/>
        </w:rPr>
        <w:footnoteReference w:id="1390"/>
      </w:r>
      <w:r>
        <w:rPr>
          <w:rFonts w:ascii="Amiri" w:hAnsi="Amiri" w:eastAsia="Amiri" w:cs="Amiri"/>
          <w:color w:val="111111"/>
          <w:sz w:val="28"/>
          <w:sz w:val="28"/>
          <w:szCs w:val="28"/>
          <w:rtl w:val="true"/>
          <w:lang w:bidi="ar-SA"/>
        </w:rPr>
        <w:t>و جلّ الثالثة؛ لسقوط الجنابة عنهما شرعاً، فيصحّ عبادتهما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لجماعة؛ لتيقّنها لواحد، فلا يصحّ عبادته، فلا ينعقد الجمعة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الحكم تيقّنها للمعيّن لا المبهم؛ لتعلّقه بالظاهر دون الواقع و الظاهر</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732189_3804643083"/>
      <w:bookmarkStart w:id="512" w:name="_Toc200"/>
      <w:bookmarkEnd w:id="511"/>
      <w:r>
        <w:rPr>
          <w:rtl w:val="true"/>
        </w:rPr>
        <w:t>فصل</w:t>
      </w:r>
      <w:bookmarkEnd w:id="5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الغسل عليهما خروجاً عن الخلاف، و أخذاً بالاحتياط، و يجزئ لو عرف الجنب؛ لرافعيّته، و توقّفهما على الجزم و التعيين في النيّة ممنوع</w:t>
      </w:r>
      <w:r>
        <w:rPr>
          <w:rFonts w:eastAsia="Amiri" w:cs="Amiri" w:ascii="Amiri" w:hAnsi="Amiri"/>
          <w:color w:val="111111"/>
          <w:sz w:val="28"/>
          <w:szCs w:val="28"/>
          <w:rtl w:val="true"/>
          <w:lang w:bidi="ar-SA"/>
        </w:rPr>
        <w:t>.</w:t>
      </w:r>
      <w:bookmarkStart w:id="513" w:name="pg2479_11670"/>
    </w:p>
    <w:p>
      <w:pPr>
        <w:pStyle w:val="Heading6"/>
        <w:numPr>
          <w:ilvl w:val="5"/>
          <w:numId w:val="1"/>
        </w:numPr>
        <w:rPr/>
      </w:pPr>
      <w:bookmarkStart w:id="514" w:name="__RefHeading___Toc3732191_3804643083"/>
      <w:bookmarkStart w:id="515" w:name="_Toc201"/>
      <w:bookmarkEnd w:id="513"/>
      <w:bookmarkEnd w:id="514"/>
      <w:r>
        <w:rPr>
          <w:rtl w:val="true"/>
        </w:rPr>
        <w:t>فصل يحرم على الجنب</w:t>
      </w:r>
      <w:r>
        <w:rPr>
          <w:rtl w:val="true"/>
        </w:rPr>
        <w:t>:</w:t>
      </w:r>
      <w:bookmarkEnd w:id="515"/>
    </w:p>
    <w:p>
      <w:pPr>
        <w:pStyle w:val="BookText"/>
        <w:rPr/>
      </w:pPr>
      <w:r>
        <w:rPr>
          <w:rFonts w:ascii="Amiri" w:hAnsi="Amiri" w:eastAsia="Amiri" w:cs="Amiri"/>
          <w:color w:val="111111"/>
          <w:sz w:val="28"/>
          <w:sz w:val="28"/>
          <w:szCs w:val="28"/>
          <w:rtl w:val="true"/>
          <w:lang w:bidi="ar-SA"/>
        </w:rPr>
        <w:t xml:space="preserve">الصلاة و الطواف، بالإجماع و المستفيضة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 المصحف؛ للآية </w:t>
      </w:r>
      <w:r>
        <w:rPr>
          <w:rStyle w:val="FootnoteAnchor"/>
          <w:rtl w:val="true"/>
        </w:rPr>
        <w:footnoteReference w:id="1392"/>
      </w:r>
      <w:r>
        <w:rPr>
          <w:rFonts w:ascii="Amiri" w:hAnsi="Amiri" w:eastAsia="Amiri" w:cs="Amiri"/>
          <w:color w:val="111111"/>
          <w:sz w:val="28"/>
          <w:sz w:val="28"/>
          <w:szCs w:val="28"/>
          <w:rtl w:val="true"/>
          <w:lang w:bidi="ar-SA"/>
        </w:rPr>
        <w:t xml:space="preserve">و النقل المستفيض من الإجماع و النصوص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الإسكافي بالكراهة </w:t>
      </w:r>
      <w:r>
        <w:rPr>
          <w:rStyle w:val="FootnoteAnchor"/>
          <w:rtl w:val="true"/>
        </w:rPr>
        <w:footnoteReference w:id="1394"/>
      </w:r>
      <w:r>
        <w:rPr>
          <w:rFonts w:ascii="Amiri" w:hAnsi="Amiri" w:eastAsia="Amiri" w:cs="Amiri"/>
          <w:color w:val="111111"/>
          <w:sz w:val="28"/>
          <w:sz w:val="28"/>
          <w:szCs w:val="28"/>
          <w:rtl w:val="true"/>
          <w:lang w:bidi="ar-SA"/>
        </w:rPr>
        <w:t xml:space="preserve">لا عبرة به، و حملها على التحريم ممكن، و نسبتها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الحكم لكلّ آية و لو في الدرهم؛ لصدق القرآن فيشمله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للشهيد </w:t>
      </w:r>
      <w:r>
        <w:rPr>
          <w:rStyle w:val="FootnoteAnchor"/>
          <w:rtl w:val="true"/>
        </w:rPr>
        <w:footnoteReference w:id="1396"/>
      </w:r>
      <w:r>
        <w:rPr>
          <w:rFonts w:ascii="IRNazanin" w:hAnsi="IRNazanin" w:eastAsia="IRNazanin"/>
          <w:color w:val="111111"/>
          <w:sz w:val="28"/>
          <w:sz w:val="28"/>
          <w:szCs w:val="28"/>
          <w:rtl w:val="true"/>
          <w:lang w:bidi="fa-IR"/>
        </w:rPr>
        <w:t xml:space="preserve">لخبر </w:t>
      </w:r>
      <w:r>
        <w:rPr>
          <w:rStyle w:val="FootnoteAnchor"/>
          <w:rtl w:val="true"/>
        </w:rPr>
        <w:footnoteReference w:id="1397"/>
      </w:r>
      <w:r>
        <w:rPr>
          <w:rFonts w:ascii="Amiri" w:hAnsi="Amiri" w:eastAsia="Amiri" w:cs="Amiri"/>
          <w:color w:val="111111"/>
          <w:sz w:val="28"/>
          <w:sz w:val="28"/>
          <w:szCs w:val="28"/>
          <w:rtl w:val="true"/>
          <w:lang w:bidi="ar-SA"/>
        </w:rPr>
        <w:t>لا دلالة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لاسمه تعالىٰ؛ للموثّق </w:t>
      </w:r>
      <w:r>
        <w:rPr>
          <w:rStyle w:val="FootnoteAnchor"/>
          <w:rtl w:val="true"/>
        </w:rPr>
        <w:footnoteReference w:id="1398"/>
      </w:r>
      <w:r>
        <w:rPr>
          <w:rFonts w:ascii="Amiri" w:hAnsi="Amiri" w:eastAsia="Amiri" w:cs="Amiri"/>
          <w:color w:val="111111"/>
          <w:sz w:val="28"/>
          <w:sz w:val="28"/>
          <w:szCs w:val="28"/>
          <w:rtl w:val="true"/>
          <w:lang w:bidi="ar-SA"/>
        </w:rPr>
        <w:t xml:space="preserve">و التعظيم، و ظاهر الوفاق،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لأسماء الحجج عليهم السّلام عند الشيخين و ابن زهرة </w:t>
      </w:r>
      <w:r>
        <w:rPr>
          <w:rStyle w:val="FootnoteAnchor"/>
          <w:rtl w:val="true"/>
        </w:rPr>
        <w:footnoteReference w:id="1400"/>
      </w:r>
      <w:r>
        <w:rPr>
          <w:rFonts w:ascii="Amiri" w:hAnsi="Amiri" w:eastAsia="Amiri" w:cs="Amiri"/>
          <w:color w:val="111111"/>
          <w:sz w:val="28"/>
          <w:sz w:val="28"/>
          <w:szCs w:val="28"/>
          <w:rtl w:val="true"/>
          <w:lang w:bidi="ar-SA"/>
        </w:rPr>
        <w:t xml:space="preserve">للتعظيم و نقله الإجماع </w:t>
      </w:r>
      <w:r>
        <w:rPr>
          <w:rStyle w:val="FootnoteAnchor"/>
          <w:rtl w:val="true"/>
        </w:rPr>
        <w:footnoteReference w:id="14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لخبر أورده عن كتاب ابن محبوب </w:t>
      </w:r>
      <w:r>
        <w:rPr>
          <w:rStyle w:val="FootnoteAnchor"/>
          <w:rtl w:val="true"/>
        </w:rPr>
        <w:footnoteReference w:id="1402"/>
      </w:r>
      <w:r>
        <w:rPr>
          <w:rFonts w:ascii="Amiri" w:hAnsi="Amiri" w:eastAsia="Amiri" w:cs="Amiri"/>
          <w:color w:val="111111"/>
          <w:sz w:val="28"/>
          <w:sz w:val="28"/>
          <w:szCs w:val="28"/>
          <w:rtl w:val="true"/>
          <w:lang w:bidi="ar-SA"/>
        </w:rPr>
        <w:t>، و وافقه أكثر الثالثة، و ردّ بالضعف، و يمكن حمله على ما يوافق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العزائم، بالإجماعين و المستفيضة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الأدلّة يشمل البعض حتّى المشترك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الجواز في المسجدين، و اللبث في كلّ مسجد، عند المعظم؛ لتكرّر نقل الإجماع </w:t>
      </w:r>
      <w:r>
        <w:rPr>
          <w:rStyle w:val="FootnoteAnchor"/>
          <w:rtl w:val="true"/>
        </w:rPr>
        <w:footnoteReference w:id="1404"/>
      </w:r>
      <w:r>
        <w:rPr>
          <w:rFonts w:ascii="Amiri" w:hAnsi="Amiri" w:eastAsia="Amiri" w:cs="Amiri"/>
          <w:color w:val="111111"/>
          <w:sz w:val="28"/>
          <w:sz w:val="28"/>
          <w:szCs w:val="28"/>
          <w:rtl w:val="true"/>
          <w:lang w:bidi="ar-SA"/>
        </w:rPr>
        <w:t xml:space="preserve">و النصوص فيهما </w:t>
      </w:r>
      <w:r>
        <w:rPr>
          <w:rStyle w:val="FootnoteAnchor"/>
          <w:rtl w:val="true"/>
        </w:rPr>
        <w:footnoteReference w:id="1405"/>
      </w:r>
      <w:r>
        <w:rPr>
          <w:rFonts w:ascii="Amiri" w:hAnsi="Amiri" w:eastAsia="Amiri" w:cs="Amiri"/>
          <w:color w:val="111111"/>
          <w:sz w:val="28"/>
          <w:sz w:val="28"/>
          <w:szCs w:val="28"/>
          <w:rtl w:val="true"/>
          <w:lang w:bidi="ar-SA"/>
        </w:rPr>
        <w:t xml:space="preserve">، و الآية </w:t>
      </w:r>
      <w:r>
        <w:rPr>
          <w:rStyle w:val="FootnoteAnchor"/>
          <w:rtl w:val="true"/>
        </w:rPr>
        <w:footnoteReference w:id="1406"/>
      </w:r>
      <w:r>
        <w:rPr>
          <w:rFonts w:ascii="Amiri" w:hAnsi="Amiri" w:eastAsia="Amiri" w:cs="Amiri"/>
          <w:color w:val="111111"/>
          <w:sz w:val="28"/>
          <w:sz w:val="28"/>
          <w:szCs w:val="28"/>
          <w:rtl w:val="true"/>
          <w:lang w:bidi="ar-SA"/>
        </w:rPr>
        <w:t xml:space="preserve">على الأشهر المروي من تفاسيرها </w:t>
      </w:r>
      <w:r>
        <w:rPr>
          <w:rStyle w:val="FootnoteAnchor"/>
          <w:rtl w:val="true"/>
        </w:rPr>
        <w:footnoteReference w:id="1407"/>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الصدوق </w:t>
      </w:r>
      <w:r>
        <w:rPr>
          <w:rStyle w:val="FootnoteAnchor"/>
          <w:rtl w:val="true"/>
        </w:rPr>
        <w:footnoteReference w:id="1408"/>
      </w:r>
      <w:r>
        <w:rPr>
          <w:rFonts w:ascii="Amiri" w:hAnsi="Amiri" w:eastAsia="Amiri" w:cs="Amiri"/>
          <w:color w:val="111111"/>
          <w:sz w:val="28"/>
          <w:sz w:val="28"/>
          <w:szCs w:val="28"/>
          <w:rtl w:val="true"/>
          <w:lang w:bidi="ar-SA"/>
        </w:rPr>
        <w:t xml:space="preserve">كصريح الديلمي </w:t>
      </w:r>
      <w:r>
        <w:rPr>
          <w:rStyle w:val="FootnoteAnchor"/>
          <w:rtl w:val="true"/>
        </w:rPr>
        <w:footnoteReference w:id="1409"/>
      </w:r>
      <w:r>
        <w:rPr>
          <w:rFonts w:ascii="Amiri" w:hAnsi="Amiri" w:eastAsia="Amiri" w:cs="Amiri"/>
          <w:color w:val="111111"/>
          <w:sz w:val="28"/>
          <w:sz w:val="28"/>
          <w:szCs w:val="28"/>
          <w:rtl w:val="true"/>
          <w:lang w:bidi="ar-SA"/>
        </w:rPr>
        <w:t xml:space="preserve">كراهتهما؛ لإطلاق الآية في الأوّل، و الأصل، و ظاهر الصحيح فيهما </w:t>
      </w:r>
      <w:r>
        <w:rPr>
          <w:rStyle w:val="FootnoteAnchor"/>
          <w:rtl w:val="true"/>
        </w:rPr>
        <w:footnoteReference w:id="1410"/>
      </w:r>
      <w:r>
        <w:rPr>
          <w:rFonts w:ascii="Amiri" w:hAnsi="Amiri" w:eastAsia="Amiri" w:cs="Amiri"/>
          <w:color w:val="111111"/>
          <w:sz w:val="28"/>
          <w:sz w:val="28"/>
          <w:szCs w:val="28"/>
          <w:rtl w:val="true"/>
          <w:lang w:bidi="ar-SA"/>
        </w:rPr>
        <w:t>، و الأوّل مقيّد، و الثاني مندفع، و الثالث محمول على التقيّة، مع أنّ اشتراك بعض رواته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جواز العبور في غيرهما قطعيّ يثبته الثلاثة، و يختصّ بمعناه الظاهر، فلا يتعدّى إلى التردّد و المشي في الجوانب؛ للتبادر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الشهيدين </w:t>
      </w:r>
      <w:r>
        <w:rPr>
          <w:rStyle w:val="FootnoteAnchor"/>
          <w:rtl w:val="true"/>
        </w:rPr>
        <w:footnoteReference w:id="1411"/>
      </w:r>
      <w:r>
        <w:rPr>
          <w:rFonts w:ascii="Amiri" w:hAnsi="Amiri" w:eastAsia="Amiri" w:cs="Amiri"/>
          <w:color w:val="111111"/>
          <w:sz w:val="28"/>
          <w:sz w:val="28"/>
          <w:szCs w:val="28"/>
          <w:rtl w:val="true"/>
          <w:lang w:bidi="ar-SA"/>
        </w:rPr>
        <w:t>التعدية إلى المشاهد المعصوميّة؛ للتعظيم، و فيه تأمّل</w:t>
      </w:r>
    </w:p>
    <w:p>
      <w:pPr>
        <w:pStyle w:val="BookText"/>
        <w:rPr/>
      </w:pP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شي‌ء فيها؛ لنقل الإجماع </w:t>
      </w:r>
      <w:r>
        <w:rPr>
          <w:rStyle w:val="FootnoteAnchor"/>
          <w:rtl w:val="true"/>
        </w:rPr>
        <w:footnoteReference w:id="1412"/>
      </w:r>
      <w:r>
        <w:rPr>
          <w:rFonts w:ascii="Amiri" w:hAnsi="Amiri" w:eastAsia="Amiri" w:cs="Amiri"/>
          <w:color w:val="111111"/>
          <w:sz w:val="28"/>
          <w:sz w:val="28"/>
          <w:szCs w:val="28"/>
          <w:rtl w:val="true"/>
          <w:lang w:bidi="ar-SA"/>
        </w:rPr>
        <w:t xml:space="preserve">و الصحيحين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الديلمي بالكراهة </w:t>
      </w:r>
      <w:r>
        <w:rPr>
          <w:rStyle w:val="FootnoteAnchor"/>
          <w:rtl w:val="true"/>
        </w:rPr>
        <w:footnoteReference w:id="1414"/>
      </w:r>
      <w:r>
        <w:rPr>
          <w:rFonts w:ascii="Amiri" w:hAnsi="Amiri" w:eastAsia="Amiri" w:cs="Amiri"/>
          <w:color w:val="111111"/>
          <w:sz w:val="28"/>
          <w:sz w:val="28"/>
          <w:szCs w:val="28"/>
          <w:rtl w:val="true"/>
          <w:lang w:bidi="ar-SA"/>
        </w:rPr>
        <w:t>للأصل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الأخذ منها إجماعاً؛ للأصل و الصحيحين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لدعوى الإجماع من العدلين </w:t>
      </w:r>
      <w:r>
        <w:rPr>
          <w:rStyle w:val="FootnoteAnchor"/>
          <w:rtl w:val="true"/>
        </w:rPr>
        <w:footnoteReference w:id="1416"/>
      </w:r>
      <w:r>
        <w:rPr>
          <w:rFonts w:ascii="Amiri" w:hAnsi="Amiri" w:eastAsia="Amiri" w:cs="Amiri"/>
          <w:color w:val="111111"/>
          <w:sz w:val="28"/>
          <w:sz w:val="28"/>
          <w:szCs w:val="28"/>
          <w:rtl w:val="true"/>
          <w:lang w:bidi="ar-SA"/>
        </w:rPr>
        <w:t xml:space="preserve">، و الجمع بين الإطلاقين، فقول الصدوق بالتحريم أخذاً بأحدهما </w:t>
      </w:r>
      <w:r>
        <w:rPr>
          <w:rStyle w:val="FootnoteAnchor"/>
          <w:rtl w:val="true"/>
        </w:rPr>
        <w:footnoteReference w:id="141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يزول به الكراهة من الوضوء و المضمضة و غسل اليدين و الوجه إفراداً و تركيباً اختلاف نصّاً و فتوى، و الجمع بين النصوص يعطي التخيير مع نوع مزية الأوّل أو الوسطين أو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النوم، بالإجماعين و الصحيح </w:t>
      </w:r>
      <w:r>
        <w:rPr>
          <w:rStyle w:val="FootnoteAnchor"/>
          <w:rtl w:val="true"/>
        </w:rPr>
        <w:footnoteReference w:id="1418"/>
      </w:r>
      <w:r>
        <w:rPr>
          <w:rFonts w:ascii="Amiri" w:hAnsi="Amiri" w:eastAsia="Amiri" w:cs="Amiri"/>
          <w:color w:val="111111"/>
          <w:sz w:val="28"/>
          <w:sz w:val="28"/>
          <w:szCs w:val="28"/>
          <w:rtl w:val="true"/>
          <w:lang w:bidi="ar-SA"/>
        </w:rPr>
        <w:t xml:space="preserve">، و بها يقيّد إطلاق الجواز في المستفيضة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يزول بالوضوء؛ للإجماع و مفهوم الصحيح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قراءة ما زاد على سبع من غير العزائم، وفاقاً للمعظم؛ للموثّق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تشتدّ الكراهة فيما زاد على سبعين؛ للخبر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 المطلق أو أحد الزائدين مندفع بالعمومات و خصوص النقل المستفيض من النصّ و الإجماع </w:t>
      </w:r>
      <w:r>
        <w:rPr>
          <w:rStyle w:val="FootnoteAnchor"/>
          <w:rtl w:val="true"/>
        </w:rPr>
        <w:footnoteReference w:id="1423"/>
      </w:r>
      <w:r>
        <w:rPr>
          <w:rFonts w:ascii="Amiri" w:hAnsi="Amiri" w:eastAsia="Amiri" w:cs="Amiri"/>
          <w:color w:val="111111"/>
          <w:sz w:val="28"/>
          <w:sz w:val="28"/>
          <w:szCs w:val="28"/>
          <w:rtl w:val="true"/>
          <w:lang w:bidi="ar-SA"/>
        </w:rPr>
        <w:t>، و إطلاق النصّ في بعض الظواهر يحمل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التبادر كالأصل يعطي التوالي و التغاير في السبع، فلا كراهة مع التراخي، و تكرير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المصحف و مسّ جلده و ورقه؛ للتعظيم و عمل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السيّد بتحريم الثاني </w:t>
      </w:r>
      <w:r>
        <w:rPr>
          <w:rStyle w:val="FootnoteAnchor"/>
          <w:rtl w:val="true"/>
        </w:rPr>
        <w:footnoteReference w:id="1424"/>
      </w:r>
      <w:r>
        <w:rPr>
          <w:rFonts w:ascii="Amiri" w:hAnsi="Amiri" w:eastAsia="Amiri" w:cs="Amiri"/>
          <w:color w:val="111111"/>
          <w:sz w:val="28"/>
          <w:sz w:val="28"/>
          <w:szCs w:val="28"/>
          <w:rtl w:val="true"/>
          <w:lang w:bidi="ar-SA"/>
        </w:rPr>
        <w:t xml:space="preserve">مندفع بالأصل، و الآية </w:t>
      </w:r>
      <w:r>
        <w:rPr>
          <w:rStyle w:val="FootnoteAnchor"/>
          <w:rtl w:val="true"/>
        </w:rPr>
        <w:footnoteReference w:id="1425"/>
      </w:r>
      <w:r>
        <w:rPr>
          <w:rFonts w:ascii="Amiri" w:hAnsi="Amiri" w:eastAsia="Amiri" w:cs="Amiri"/>
          <w:color w:val="111111"/>
          <w:sz w:val="28"/>
          <w:sz w:val="28"/>
          <w:szCs w:val="28"/>
          <w:rtl w:val="true"/>
          <w:lang w:bidi="ar-SA"/>
        </w:rPr>
        <w:t xml:space="preserve">ظاهرة في مسّ الخط، و الخبر </w:t>
      </w:r>
      <w:r>
        <w:rPr>
          <w:rStyle w:val="FootnoteAnchor"/>
          <w:rtl w:val="true"/>
        </w:rPr>
        <w:footnoteReference w:id="1426"/>
      </w:r>
      <w:r>
        <w:rPr>
          <w:rFonts w:ascii="Amiri" w:hAnsi="Amiri" w:eastAsia="Amiri" w:cs="Amiri"/>
          <w:color w:val="111111"/>
          <w:sz w:val="28"/>
          <w:sz w:val="28"/>
          <w:szCs w:val="28"/>
          <w:rtl w:val="true"/>
          <w:lang w:bidi="ar-SA"/>
        </w:rPr>
        <w:t>لضعفه و مخالفته العمل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الخضاب؛ للجمع بين الإطلاقين </w:t>
      </w:r>
      <w:r>
        <w:rPr>
          <w:rStyle w:val="FootnoteAnchor"/>
          <w:rtl w:val="true"/>
        </w:rPr>
        <w:footnoteReference w:id="1427"/>
      </w:r>
      <w:r>
        <w:rPr>
          <w:rFonts w:ascii="Amiri" w:hAnsi="Amiri" w:eastAsia="Amiri" w:cs="Amiri"/>
          <w:color w:val="111111"/>
          <w:sz w:val="28"/>
          <w:sz w:val="28"/>
          <w:szCs w:val="28"/>
          <w:rtl w:val="true"/>
          <w:lang w:bidi="ar-SA"/>
        </w:rPr>
        <w:t xml:space="preserve">و ظاهر المكاتبة </w:t>
      </w:r>
      <w:r>
        <w:rPr>
          <w:rStyle w:val="FootnoteAnchor"/>
          <w:rtl w:val="true"/>
        </w:rPr>
        <w:footnoteReference w:id="1428"/>
      </w:r>
      <w:r>
        <w:rPr>
          <w:rFonts w:ascii="Amiri" w:hAnsi="Amiri" w:eastAsia="Amiri" w:cs="Amiri"/>
          <w:color w:val="111111"/>
          <w:sz w:val="28"/>
          <w:sz w:val="28"/>
          <w:szCs w:val="28"/>
          <w:rtl w:val="true"/>
          <w:lang w:bidi="ar-SA"/>
        </w:rPr>
        <w:t xml:space="preserve">و الإجماعين، و فتوى الصدوق بنفي البأس </w:t>
      </w:r>
      <w:r>
        <w:rPr>
          <w:rStyle w:val="FootnoteAnchor"/>
          <w:rtl w:val="true"/>
        </w:rPr>
        <w:footnoteReference w:id="1429"/>
      </w:r>
      <w:r>
        <w:rPr>
          <w:rFonts w:ascii="Amiri" w:hAnsi="Amiri" w:eastAsia="Amiri" w:cs="Amiri"/>
          <w:color w:val="111111"/>
          <w:sz w:val="28"/>
          <w:sz w:val="28"/>
          <w:szCs w:val="28"/>
          <w:rtl w:val="true"/>
          <w:lang w:bidi="ar-SA"/>
        </w:rPr>
        <w:t>لا ينافي الكراهة، فمخالفته غير ظاهرة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الادّهان؛ للنهي عنه في الصحيح </w:t>
      </w:r>
      <w:r>
        <w:rPr>
          <w:rStyle w:val="FootnoteAnchor"/>
          <w:rtl w:val="true"/>
        </w:rPr>
        <w:footnoteReference w:id="1430"/>
      </w:r>
      <w:r>
        <w:rPr>
          <w:rFonts w:ascii="Amiri" w:hAnsi="Amiri" w:eastAsia="Amiri" w:cs="Amiri"/>
          <w:color w:val="111111"/>
          <w:sz w:val="28"/>
          <w:sz w:val="28"/>
          <w:szCs w:val="28"/>
          <w:rtl w:val="true"/>
          <w:lang w:bidi="ar-SA"/>
        </w:rPr>
        <w:t>، و حمل على الكراهة؛ لعدم قائل بالتحريم</w:t>
      </w:r>
      <w:r>
        <w:rPr>
          <w:rFonts w:eastAsia="Amiri" w:cs="Amiri" w:ascii="Amiri" w:hAnsi="Amiri"/>
          <w:color w:val="111111"/>
          <w:sz w:val="28"/>
          <w:szCs w:val="28"/>
          <w:rtl w:val="true"/>
          <w:lang w:bidi="ar-SA"/>
        </w:rPr>
        <w:t>.</w:t>
      </w:r>
      <w:bookmarkStart w:id="516" w:name="pg2479_11674"/>
    </w:p>
    <w:p>
      <w:pPr>
        <w:pStyle w:val="BookText"/>
        <w:rPr/>
      </w:pPr>
      <w:bookmarkEnd w:id="516"/>
      <w:r>
        <w:rPr>
          <w:rFonts w:ascii="Amiri" w:hAnsi="Amiri" w:eastAsia="Amiri" w:cs="Amiri"/>
          <w:color w:val="111111"/>
          <w:sz w:val="28"/>
          <w:sz w:val="28"/>
          <w:szCs w:val="28"/>
          <w:rtl w:val="true"/>
          <w:lang w:bidi="ar-SA"/>
        </w:rPr>
        <w:t xml:space="preserve">و لا يكره له التطيّب، و التنوّر، و الذبح، و الحجامة؛ للأصل و الصحيح و الخبر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3732193_3804643083"/>
      <w:bookmarkStart w:id="518" w:name="_Toc202"/>
      <w:bookmarkEnd w:id="517"/>
      <w:r>
        <w:rPr>
          <w:rtl w:val="true"/>
        </w:rPr>
        <w:t>فصل</w:t>
      </w:r>
      <w:bookmarkEnd w:id="518"/>
    </w:p>
    <w:p>
      <w:pPr>
        <w:pStyle w:val="Heading6"/>
        <w:numPr>
          <w:ilvl w:val="5"/>
          <w:numId w:val="1"/>
        </w:numPr>
        <w:rPr/>
      </w:pPr>
      <w:bookmarkStart w:id="519" w:name="__RefHeading___Toc3732195_3804643083"/>
      <w:bookmarkStart w:id="520" w:name="_Toc203"/>
      <w:bookmarkEnd w:id="519"/>
      <w:r>
        <w:rPr>
          <w:rtl w:val="true"/>
        </w:rPr>
        <w:t>واجباته</w:t>
      </w:r>
      <w:r>
        <w:rPr>
          <w:rtl w:val="true"/>
        </w:rPr>
        <w:t>:</w:t>
      </w:r>
      <w:bookmarkEnd w:id="520"/>
    </w:p>
    <w:p>
      <w:pPr>
        <w:pStyle w:val="Heading6"/>
        <w:numPr>
          <w:ilvl w:val="5"/>
          <w:numId w:val="1"/>
        </w:numPr>
        <w:rPr/>
      </w:pPr>
      <w:bookmarkStart w:id="521" w:name="__RefHeading___Toc3732197_3804643083"/>
      <w:bookmarkStart w:id="522" w:name="_Toc204"/>
      <w:bookmarkEnd w:id="521"/>
      <w:r>
        <w:rPr>
          <w:rtl w:val="true"/>
        </w:rPr>
        <w:t>النية</w:t>
      </w:r>
      <w:r>
        <w:rPr>
          <w:rtl w:val="true"/>
        </w:rPr>
        <w:t>.</w:t>
      </w:r>
      <w:bookmarkEnd w:id="522"/>
    </w:p>
    <w:p>
      <w:pPr>
        <w:pStyle w:val="BookText"/>
        <w:rPr/>
      </w:pPr>
      <w:r>
        <w:rPr>
          <w:rFonts w:ascii="Amiri" w:hAnsi="Amiri" w:eastAsia="Amiri" w:cs="Amiri"/>
          <w:color w:val="111111"/>
          <w:sz w:val="28"/>
          <w:sz w:val="28"/>
          <w:szCs w:val="28"/>
          <w:rtl w:val="true"/>
          <w:lang w:bidi="ar-SA"/>
        </w:rPr>
        <w:t>و كونه بماء طاهر مطلق مباح،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غسل البدن بأسره، بالإجماع و المستفيضة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اشتراط الجري فيه اختياراً موضع الوفاق، و نقله عليه متكرّر </w:t>
      </w:r>
      <w:r>
        <w:rPr>
          <w:rStyle w:val="FootnoteAnchor"/>
          <w:rtl w:val="true"/>
        </w:rPr>
        <w:footnoteReference w:id="1433"/>
      </w:r>
      <w:r>
        <w:rPr>
          <w:rFonts w:ascii="Amiri" w:hAnsi="Amiri" w:eastAsia="Amiri" w:cs="Amiri"/>
          <w:color w:val="111111"/>
          <w:sz w:val="28"/>
          <w:sz w:val="28"/>
          <w:szCs w:val="28"/>
          <w:rtl w:val="true"/>
          <w:lang w:bidi="ar-SA"/>
        </w:rPr>
        <w:t xml:space="preserve">، و اضطراراً قول الأكثر؛ للاستصحاب و مفهوم المستفيضة </w:t>
      </w:r>
      <w:r>
        <w:rPr>
          <w:rStyle w:val="FootnoteAnchor"/>
          <w:rtl w:val="true"/>
        </w:rPr>
        <w:footnoteReference w:id="1434"/>
      </w:r>
      <w:r>
        <w:rPr>
          <w:rFonts w:ascii="Amiri" w:hAnsi="Amiri" w:eastAsia="Amiri" w:cs="Amiri"/>
          <w:color w:val="111111"/>
          <w:sz w:val="28"/>
          <w:sz w:val="28"/>
          <w:szCs w:val="28"/>
          <w:rtl w:val="true"/>
          <w:lang w:bidi="ar-SA"/>
        </w:rPr>
        <w:t xml:space="preserve">و اعتباره لغة </w:t>
      </w:r>
      <w:r>
        <w:rPr>
          <w:rStyle w:val="FootnoteAnchor"/>
          <w:rtl w:val="true"/>
        </w:rPr>
        <w:footnoteReference w:id="1435"/>
      </w:r>
      <w:r>
        <w:rPr>
          <w:rFonts w:ascii="Amiri" w:hAnsi="Amiri" w:eastAsia="Amiri" w:cs="Amiri"/>
          <w:color w:val="111111"/>
          <w:sz w:val="28"/>
          <w:sz w:val="28"/>
          <w:szCs w:val="28"/>
          <w:rtl w:val="true"/>
          <w:lang w:bidi="ar-SA"/>
        </w:rPr>
        <w:t>و عرفاً في الغسل و الصبّ و الإفاضة الواردة في النصوص</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للشيخين </w:t>
      </w:r>
      <w:r>
        <w:rPr>
          <w:rStyle w:val="FootnoteAnchor"/>
          <w:rtl w:val="true"/>
        </w:rPr>
        <w:footnoteReference w:id="1436"/>
      </w:r>
      <w:r>
        <w:rPr>
          <w:rFonts w:ascii="Amiri" w:hAnsi="Amiri" w:eastAsia="Amiri" w:cs="Amiri"/>
          <w:color w:val="111111"/>
          <w:sz w:val="28"/>
          <w:sz w:val="28"/>
          <w:szCs w:val="28"/>
          <w:rtl w:val="true"/>
          <w:lang w:bidi="ar-SA"/>
        </w:rPr>
        <w:t xml:space="preserve">و ظاهر الإسكافي </w:t>
      </w:r>
      <w:r>
        <w:rPr>
          <w:rStyle w:val="FootnoteAnchor"/>
          <w:rtl w:val="true"/>
        </w:rPr>
        <w:footnoteReference w:id="1437"/>
      </w:r>
      <w:r>
        <w:rPr>
          <w:rFonts w:ascii="Amiri" w:hAnsi="Amiri" w:eastAsia="Amiri" w:cs="Amiri"/>
          <w:color w:val="111111"/>
          <w:sz w:val="28"/>
          <w:sz w:val="28"/>
          <w:szCs w:val="28"/>
          <w:rtl w:val="true"/>
          <w:lang w:bidi="ar-SA"/>
        </w:rPr>
        <w:t xml:space="preserve">، فاكتفوا بالمسح عند الضرورة؛ لأخبار الدهن و الأكفّ و الطهارة بالثلج </w:t>
      </w:r>
      <w:r>
        <w:rPr>
          <w:rStyle w:val="FootnoteAnchor"/>
          <w:rtl w:val="true"/>
        </w:rPr>
        <w:footnoteReference w:id="1438"/>
      </w:r>
      <w:r>
        <w:rPr>
          <w:rFonts w:ascii="IRNazanin" w:hAnsi="IRNazanin" w:eastAsia="IRNazanin"/>
          <w:color w:val="111111"/>
          <w:sz w:val="28"/>
          <w:sz w:val="28"/>
          <w:szCs w:val="28"/>
          <w:rtl w:val="true"/>
          <w:lang w:bidi="fa-IR"/>
        </w:rPr>
        <w:t xml:space="preserve">بعد حمل </w:t>
      </w:r>
      <w:r>
        <w:rPr>
          <w:rStyle w:val="FootnoteAnchor"/>
          <w:rtl w:val="true"/>
        </w:rPr>
        <w:footnoteReference w:id="1439"/>
      </w:r>
      <w:r>
        <w:rPr>
          <w:rFonts w:ascii="Amiri" w:hAnsi="Amiri" w:eastAsia="Amiri" w:cs="Amiri"/>
          <w:color w:val="111111"/>
          <w:sz w:val="28"/>
          <w:sz w:val="28"/>
          <w:szCs w:val="28"/>
          <w:rtl w:val="true"/>
          <w:lang w:bidi="ar-SA"/>
        </w:rPr>
        <w:t>الأُولى على حال الاختيار،</w:t>
      </w:r>
      <w:bookmarkStart w:id="523" w:name="pg2479_11675"/>
    </w:p>
    <w:p>
      <w:pPr>
        <w:pStyle w:val="BookText"/>
        <w:rPr/>
      </w:pPr>
      <w:bookmarkEnd w:id="523"/>
      <w:r>
        <w:rPr>
          <w:rFonts w:ascii="Amiri" w:hAnsi="Amiri" w:eastAsia="Amiri" w:cs="Amiri"/>
          <w:color w:val="111111"/>
          <w:sz w:val="28"/>
          <w:sz w:val="28"/>
          <w:szCs w:val="28"/>
          <w:rtl w:val="true"/>
          <w:lang w:bidi="ar-SA"/>
        </w:rPr>
        <w:t>و لعلّه أولى من حمل الثانية على أقل الجري؛ لاعتضاده بكثرتها و شهادة المستفيضة الفارقة بين الحالين، و اعتضاد الثاني بالاستصحاب لا يرجّحه، و نقل الإجماع لا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بالمباشرة؛ وفاقاً؛ لظاهر الآية و النصوص </w:t>
      </w:r>
      <w:r>
        <w:rPr>
          <w:rStyle w:val="FootnoteAnchor"/>
          <w:rtl w:val="true"/>
        </w:rPr>
        <w:footnoteReference w:id="1440"/>
      </w:r>
      <w:r>
        <w:rPr>
          <w:rFonts w:ascii="Amiri" w:hAnsi="Amiri" w:eastAsia="Amiri" w:cs="Amiri"/>
          <w:color w:val="111111"/>
          <w:sz w:val="28"/>
          <w:sz w:val="28"/>
          <w:szCs w:val="28"/>
          <w:rtl w:val="true"/>
          <w:lang w:bidi="ar-SA"/>
        </w:rPr>
        <w:t>، و يكره الاستعانة بنحو الصبّ، لا الإحضار</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732199_3804643083"/>
      <w:bookmarkStart w:id="525" w:name="_Toc205"/>
      <w:bookmarkEnd w:id="524"/>
      <w:r>
        <w:rPr>
          <w:rtl w:val="true"/>
        </w:rPr>
        <w:t>و الترتيب</w:t>
      </w:r>
      <w:bookmarkEnd w:id="525"/>
    </w:p>
    <w:p>
      <w:pPr>
        <w:pStyle w:val="BookText"/>
        <w:rPr/>
      </w:pPr>
      <w:r>
        <w:rPr>
          <w:rFonts w:ascii="Amiri" w:hAnsi="Amiri" w:eastAsia="Amiri" w:cs="Amiri"/>
          <w:color w:val="111111"/>
          <w:sz w:val="28"/>
          <w:sz w:val="28"/>
          <w:szCs w:val="28"/>
          <w:rtl w:val="true"/>
          <w:lang w:bidi="ar-SA"/>
        </w:rPr>
        <w:t xml:space="preserve">، بتقديم الرأس و العنق بالإجماع و المستفيضة </w:t>
      </w:r>
      <w:r>
        <w:rPr>
          <w:rStyle w:val="FootnoteAnchor"/>
          <w:rtl w:val="true"/>
        </w:rPr>
        <w:footnoteReference w:id="1441"/>
      </w:r>
      <w:r>
        <w:rPr>
          <w:rFonts w:ascii="Amiri" w:hAnsi="Amiri" w:eastAsia="Amiri" w:cs="Amiri"/>
          <w:color w:val="111111"/>
          <w:sz w:val="28"/>
          <w:sz w:val="28"/>
          <w:szCs w:val="28"/>
          <w:rtl w:val="true"/>
          <w:lang w:bidi="ar-SA"/>
        </w:rPr>
        <w:t xml:space="preserve">، و لا ترتيب بينهما لظاهر الوفاق، ثمّ الميامن على المياسر؛ لدعوى الإجماع من الطوسي و الحلّي و السيّدين و الفاضلين </w:t>
      </w:r>
      <w:r>
        <w:rPr>
          <w:rStyle w:val="FootnoteAnchor"/>
          <w:rtl w:val="true"/>
        </w:rPr>
        <w:footnoteReference w:id="1442"/>
      </w:r>
      <w:r>
        <w:rPr>
          <w:rFonts w:ascii="Amiri" w:hAnsi="Amiri" w:eastAsia="Amiri" w:cs="Amiri"/>
          <w:color w:val="111111"/>
          <w:sz w:val="28"/>
          <w:sz w:val="28"/>
          <w:szCs w:val="28"/>
          <w:rtl w:val="true"/>
          <w:lang w:bidi="ar-SA"/>
        </w:rPr>
        <w:t xml:space="preserve">، و تيقّن الشغل فيلزم تيقّن البراءة، و ثبوت لزوم التقديم في غسل الميّت بالإجماع و المستفيضة </w:t>
      </w:r>
      <w:r>
        <w:rPr>
          <w:rStyle w:val="FootnoteAnchor"/>
          <w:rtl w:val="true"/>
        </w:rPr>
        <w:footnoteReference w:id="1443"/>
      </w:r>
      <w:r>
        <w:rPr>
          <w:rFonts w:ascii="Amiri" w:hAnsi="Amiri" w:eastAsia="Amiri" w:cs="Amiri"/>
          <w:color w:val="111111"/>
          <w:sz w:val="28"/>
          <w:sz w:val="28"/>
          <w:szCs w:val="28"/>
          <w:rtl w:val="true"/>
          <w:lang w:bidi="ar-SA"/>
        </w:rPr>
        <w:t xml:space="preserve">، فيلزم في غسل الجنابة؛ لتماثلهما بالقوى </w:t>
      </w:r>
      <w:r>
        <w:rPr>
          <w:rStyle w:val="FootnoteAnchor"/>
          <w:rtl w:val="true"/>
        </w:rPr>
        <w:footnoteReference w:id="1444"/>
      </w:r>
      <w:r>
        <w:rPr>
          <w:rFonts w:ascii="Amiri" w:hAnsi="Amiri" w:eastAsia="Amiri" w:cs="Amiri"/>
          <w:color w:val="111111"/>
          <w:sz w:val="28"/>
          <w:sz w:val="28"/>
          <w:szCs w:val="28"/>
          <w:rtl w:val="true"/>
          <w:lang w:bidi="ar-SA"/>
        </w:rPr>
        <w:t xml:space="preserve">، و فعل النبي صلّى اللّٰه عليه و سلّم كما هو المروي </w:t>
      </w:r>
      <w:r>
        <w:rPr>
          <w:rStyle w:val="FootnoteAnchor"/>
          <w:rtl w:val="true"/>
        </w:rPr>
        <w:footnoteReference w:id="1445"/>
      </w:r>
      <w:r>
        <w:rPr>
          <w:rFonts w:ascii="Amiri" w:hAnsi="Amiri" w:eastAsia="Amiri" w:cs="Amiri"/>
          <w:color w:val="111111"/>
          <w:sz w:val="28"/>
          <w:sz w:val="28"/>
          <w:szCs w:val="28"/>
          <w:rtl w:val="true"/>
          <w:lang w:bidi="ar-SA"/>
        </w:rPr>
        <w:t xml:space="preserve">و ظاهر الحسن و الموثّق و الرضوي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الإسكافي عدم الترتيب </w:t>
      </w:r>
      <w:r>
        <w:rPr>
          <w:rStyle w:val="FootnoteAnchor"/>
          <w:rtl w:val="true"/>
        </w:rPr>
        <w:footnoteReference w:id="1447"/>
      </w:r>
      <w:r>
        <w:rPr>
          <w:rFonts w:ascii="Amiri" w:hAnsi="Amiri" w:eastAsia="Amiri" w:cs="Amiri"/>
          <w:color w:val="111111"/>
          <w:sz w:val="28"/>
          <w:sz w:val="28"/>
          <w:szCs w:val="28"/>
          <w:rtl w:val="true"/>
          <w:lang w:bidi="ar-SA"/>
        </w:rPr>
        <w:t xml:space="preserve">بينهما؛ لإطلاق الآية و المستفيضة </w:t>
      </w:r>
      <w:r>
        <w:rPr>
          <w:rStyle w:val="FootnoteAnchor"/>
          <w:rtl w:val="true"/>
        </w:rPr>
        <w:footnoteReference w:id="1448"/>
      </w:r>
      <w:r>
        <w:rPr>
          <w:rFonts w:ascii="Amiri" w:hAnsi="Amiri" w:eastAsia="Amiri" w:cs="Amiri"/>
          <w:color w:val="111111"/>
          <w:sz w:val="28"/>
          <w:sz w:val="28"/>
          <w:szCs w:val="28"/>
          <w:rtl w:val="true"/>
          <w:lang w:bidi="ar-SA"/>
        </w:rPr>
        <w:t xml:space="preserve">، و أُجيب بالتقييد جمعاً و الحدّ المشترك فعل مرتين </w:t>
      </w:r>
      <w:r>
        <w:rPr>
          <w:rStyle w:val="FootnoteAnchor"/>
          <w:rtl w:val="true"/>
        </w:rPr>
        <w:footnoteReference w:id="1449"/>
      </w:r>
      <w:r>
        <w:rPr>
          <w:rFonts w:ascii="Amiri" w:hAnsi="Amiri" w:eastAsia="Amiri" w:cs="Amiri"/>
          <w:color w:val="111111"/>
          <w:sz w:val="28"/>
          <w:sz w:val="28"/>
          <w:szCs w:val="28"/>
          <w:rtl w:val="true"/>
          <w:lang w:bidi="ar-SA"/>
        </w:rPr>
        <w:t>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ترتيب في نفس الأعضاء؛ للأصل و إطلاق النصوص، و إن استحبّ البدأة بالأعلى؛ لفعل الحجج </w:t>
      </w:r>
      <w:r>
        <w:rPr>
          <w:rStyle w:val="FootnoteAnchor"/>
          <w:rtl w:val="true"/>
        </w:rPr>
        <w:footnoteReference w:id="1450"/>
      </w:r>
      <w:r>
        <w:rPr>
          <w:rFonts w:ascii="Amiri" w:hAnsi="Amiri" w:eastAsia="Amiri" w:cs="Amiri"/>
          <w:color w:val="111111"/>
          <w:sz w:val="28"/>
          <w:sz w:val="28"/>
          <w:szCs w:val="28"/>
          <w:rtl w:val="true"/>
          <w:lang w:bidi="ar-SA"/>
        </w:rPr>
        <w:t>عليهم السّلام و أقربيّته إلى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بالترتيب أعاد ما يحصّله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الموالاة، بالإجماع و النصوص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يجزئ الارتماس إجماعاً؛ لإطلاق الآية و صريح المستفيضة </w:t>
      </w:r>
      <w:r>
        <w:rPr>
          <w:rStyle w:val="FootnoteAnchor"/>
          <w:rtl w:val="true"/>
        </w:rPr>
        <w:footnoteReference w:id="1452"/>
      </w:r>
      <w:r>
        <w:rPr>
          <w:rFonts w:ascii="Amiri" w:hAnsi="Amiri" w:eastAsia="Amiri" w:cs="Amiri"/>
          <w:color w:val="111111"/>
          <w:sz w:val="28"/>
          <w:sz w:val="28"/>
          <w:szCs w:val="28"/>
          <w:rtl w:val="true"/>
          <w:lang w:bidi="ar-SA"/>
        </w:rPr>
        <w:t xml:space="preserve">، و أخبار الترتيب </w:t>
      </w:r>
      <w:r>
        <w:rPr>
          <w:rStyle w:val="FootnoteAnchor"/>
          <w:rtl w:val="true"/>
        </w:rPr>
        <w:footnoteReference w:id="1453"/>
      </w:r>
      <w:r>
        <w:rPr>
          <w:rFonts w:ascii="Amiri" w:hAnsi="Amiri" w:eastAsia="Amiri" w:cs="Amiri"/>
          <w:color w:val="111111"/>
          <w:sz w:val="28"/>
          <w:sz w:val="28"/>
          <w:szCs w:val="28"/>
          <w:rtl w:val="true"/>
          <w:lang w:bidi="ar-SA"/>
        </w:rPr>
        <w:t>لا تعارضها، و موردها غسل الجنابة و التعدية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فيه التغطّي بالماء دفعة عرفيّة فيحصل بالدخول مع الخروج، و بالعكس، و بهما معاً، و بالانتقال مع الدخول، و بهما مع الأوّلين، و اشتراط الخروج كلّاً أو بعضاً منفي بالإجماع و 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بالوقوف تحت المطر بالإجماع و الصحيح و المرسل </w:t>
      </w:r>
      <w:r>
        <w:rPr>
          <w:rStyle w:val="FootnoteAnchor"/>
          <w:rtl w:val="true"/>
        </w:rPr>
        <w:footnoteReference w:id="1454"/>
      </w:r>
      <w:r>
        <w:rPr>
          <w:rFonts w:ascii="Amiri" w:hAnsi="Amiri" w:eastAsia="Amiri" w:cs="Amiri"/>
          <w:color w:val="111111"/>
          <w:sz w:val="28"/>
          <w:sz w:val="28"/>
          <w:szCs w:val="28"/>
          <w:rtl w:val="true"/>
          <w:lang w:bidi="ar-SA"/>
        </w:rPr>
        <w:t>، و ظاهرهما لحوقه بالارتماسي كما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الأصل، و إطلاق الآية و كفاية الإتيان بالمتيقّن في موضع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إلحاقه بالترتيبي </w:t>
      </w:r>
      <w:r>
        <w:rPr>
          <w:rStyle w:val="FootnoteAnchor"/>
          <w:rtl w:val="true"/>
        </w:rPr>
        <w:footnoteReference w:id="1455"/>
      </w:r>
      <w:r>
        <w:rPr>
          <w:rFonts w:ascii="Amiri" w:hAnsi="Amiri" w:eastAsia="Amiri" w:cs="Amiri"/>
          <w:color w:val="111111"/>
          <w:sz w:val="28"/>
          <w:sz w:val="28"/>
          <w:szCs w:val="28"/>
          <w:rtl w:val="true"/>
          <w:lang w:bidi="ar-SA"/>
        </w:rPr>
        <w:t>ضعيف، و الاحتجاج بإيجاب أحد اليقينين و الشكّين للآخر عليل، و بأصالة الترتيب في الغسل دعوى بلا دليل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انسحاب الحكم إلى نحو الميزاب و المجرى؛ لإيماء الصحيح </w:t>
      </w:r>
      <w:r>
        <w:rPr>
          <w:rStyle w:val="FootnoteAnchor"/>
          <w:rtl w:val="true"/>
        </w:rPr>
        <w:footnoteReference w:id="1456"/>
      </w:r>
      <w:r>
        <w:rPr>
          <w:rFonts w:ascii="Amiri" w:hAnsi="Amiri" w:eastAsia="Amiri" w:cs="Amiri"/>
          <w:color w:val="111111"/>
          <w:sz w:val="28"/>
          <w:sz w:val="28"/>
          <w:szCs w:val="28"/>
          <w:rtl w:val="true"/>
          <w:lang w:bidi="ar-SA"/>
        </w:rPr>
        <w:t>، فيثبت بتنقيح المناط</w:t>
      </w:r>
      <w:r>
        <w:rPr>
          <w:rFonts w:eastAsia="Amiri" w:cs="Amiri" w:ascii="Amiri" w:hAnsi="Amiri"/>
          <w:color w:val="111111"/>
          <w:sz w:val="28"/>
          <w:szCs w:val="28"/>
          <w:rtl w:val="true"/>
          <w:lang w:bidi="ar-SA"/>
        </w:rPr>
        <w:t>.</w:t>
      </w:r>
      <w:bookmarkStart w:id="526" w:name="pg2479_11677"/>
    </w:p>
    <w:p>
      <w:pPr>
        <w:pStyle w:val="BookText"/>
        <w:rPr/>
      </w:pPr>
      <w:bookmarkEnd w:id="526"/>
      <w:r>
        <w:rPr>
          <w:rFonts w:ascii="Amiri" w:hAnsi="Amiri" w:eastAsia="Amiri" w:cs="Amiri"/>
          <w:color w:val="111111"/>
          <w:sz w:val="28"/>
          <w:sz w:val="28"/>
          <w:szCs w:val="28"/>
          <w:rtl w:val="true"/>
          <w:lang w:bidi="ar-SA"/>
        </w:rPr>
        <w:t>و المرتمس يقارن بالنيّة أوّل الملاقاة، و لا يؤخّرها عنه وفاقاً،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ما ذكره بعضهم </w:t>
      </w:r>
      <w:r>
        <w:rPr>
          <w:rStyle w:val="FootnoteAnchor"/>
          <w:rtl w:val="true"/>
        </w:rPr>
        <w:footnoteReference w:id="1457"/>
      </w:r>
      <w:r>
        <w:rPr>
          <w:rFonts w:ascii="Amiri" w:hAnsi="Amiri" w:eastAsia="Amiri" w:cs="Amiri"/>
          <w:color w:val="111111"/>
          <w:sz w:val="28"/>
          <w:sz w:val="28"/>
          <w:szCs w:val="28"/>
          <w:rtl w:val="true"/>
          <w:lang w:bidi="ar-SA"/>
        </w:rPr>
        <w:t>من مقارنتها لجزء من البدن يرجع إلى هذا، لا إلى تعيينه؛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كصريح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كراهة الارتماس في الراكد مطلقاً و بعض الظواهر يومي إليه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3732201_3804643083"/>
      <w:bookmarkStart w:id="528" w:name="_Toc206"/>
      <w:bookmarkEnd w:id="527"/>
      <w:r>
        <w:rPr>
          <w:rtl w:val="true"/>
        </w:rPr>
        <w:t>و تخليل المانع</w:t>
      </w:r>
      <w:bookmarkEnd w:id="528"/>
    </w:p>
    <w:p>
      <w:pPr>
        <w:pStyle w:val="BookText"/>
        <w:rPr/>
      </w:pPr>
      <w:r>
        <w:rPr>
          <w:rFonts w:ascii="Amiri" w:hAnsi="Amiri" w:eastAsia="Amiri" w:cs="Amiri"/>
          <w:color w:val="111111"/>
          <w:sz w:val="28"/>
          <w:sz w:val="28"/>
          <w:szCs w:val="28"/>
          <w:rtl w:val="true"/>
          <w:lang w:bidi="ar-SA"/>
        </w:rPr>
        <w:t xml:space="preserve">، بالإجماعين و المستفيضة </w:t>
      </w:r>
      <w:r>
        <w:rPr>
          <w:rStyle w:val="FootnoteAnchor"/>
          <w:rtl w:val="true"/>
        </w:rPr>
        <w:footnoteReference w:id="1460"/>
      </w:r>
      <w:r>
        <w:rPr>
          <w:rFonts w:ascii="IRNazanin" w:hAnsi="IRNazanin" w:eastAsia="IRNazanin"/>
          <w:color w:val="111111"/>
          <w:sz w:val="28"/>
          <w:sz w:val="28"/>
          <w:szCs w:val="28"/>
          <w:rtl w:val="true"/>
          <w:lang w:bidi="fa-IR"/>
        </w:rPr>
        <w:t xml:space="preserve">، و الشعر إن توقّف على غسله وجب، و إلّا فلا بالإجماع و النصوص </w:t>
      </w:r>
      <w:r>
        <w:rPr>
          <w:rStyle w:val="FootnoteAnchor"/>
          <w:rtl w:val="true"/>
        </w:rPr>
        <w:footnoteReference w:id="1461"/>
      </w:r>
      <w:r>
        <w:rPr>
          <w:rFonts w:ascii="Amiri" w:hAnsi="Amiri" w:eastAsia="Amiri" w:cs="Amiri"/>
          <w:color w:val="111111"/>
          <w:sz w:val="28"/>
          <w:sz w:val="28"/>
          <w:szCs w:val="28"/>
          <w:rtl w:val="true"/>
          <w:lang w:bidi="ar-SA"/>
        </w:rPr>
        <w:t xml:space="preserve">، 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 المشدود منه </w:t>
      </w:r>
      <w:r>
        <w:rPr>
          <w:rStyle w:val="FootnoteAnchor"/>
          <w:rtl w:val="true"/>
        </w:rPr>
        <w:footnoteReference w:id="1462"/>
      </w:r>
      <w:r>
        <w:rPr>
          <w:rFonts w:ascii="Amiri" w:hAnsi="Amiri" w:eastAsia="Amiri" w:cs="Amiri"/>
          <w:color w:val="111111"/>
          <w:sz w:val="28"/>
          <w:sz w:val="28"/>
          <w:szCs w:val="28"/>
          <w:rtl w:val="true"/>
          <w:lang w:bidi="ar-SA"/>
        </w:rPr>
        <w:t>مقيّد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بدونه يستحب غسله؛ لبعض النصوص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غسل الأهداب و الحاجبين؛ للتوقّف، دون المسترسل من اللحية بإجماعنا؛ لعدمه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اللازم غسل الظواهر دون البواطن إجماعاً؛ للمطلقات و خصوص الخبر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عكن البطن </w:t>
      </w:r>
      <w:r>
        <w:rPr>
          <w:rStyle w:val="FootnoteAnchor"/>
          <w:rtl w:val="true"/>
        </w:rPr>
        <w:footnoteReference w:id="1465"/>
      </w:r>
      <w:r>
        <w:rPr>
          <w:rFonts w:ascii="Amiri" w:hAnsi="Amiri" w:eastAsia="Amiri" w:cs="Amiri"/>
          <w:color w:val="111111"/>
          <w:sz w:val="28"/>
          <w:sz w:val="28"/>
          <w:szCs w:val="28"/>
          <w:rtl w:val="true"/>
          <w:lang w:bidi="ar-SA"/>
        </w:rPr>
        <w:t>و تحت الثدي و معاطف الآباط و الآذان من الاولى وفاقاً،</w:t>
      </w:r>
      <w:bookmarkStart w:id="529" w:name="pg2479_11678"/>
    </w:p>
    <w:p>
      <w:pPr>
        <w:pStyle w:val="BookText"/>
        <w:rPr/>
      </w:pPr>
      <w:bookmarkEnd w:id="529"/>
      <w:r>
        <w:rPr>
          <w:rFonts w:ascii="Amiri" w:hAnsi="Amiri" w:eastAsia="Amiri" w:cs="Amiri"/>
          <w:color w:val="111111"/>
          <w:sz w:val="28"/>
          <w:sz w:val="28"/>
          <w:szCs w:val="28"/>
          <w:rtl w:val="true"/>
          <w:lang w:bidi="ar-SA"/>
        </w:rPr>
        <w:t xml:space="preserve">و دواخل الفم و الأنف و العين و الأُذن من الثانية بالإجماع و المستفيضة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3732203_3804643083"/>
      <w:bookmarkStart w:id="531" w:name="_Toc207"/>
      <w:bookmarkEnd w:id="530"/>
      <w:r>
        <w:rPr>
          <w:rtl w:val="true"/>
        </w:rPr>
        <w:t>و سننه</w:t>
      </w:r>
      <w:r>
        <w:rPr>
          <w:rtl w:val="true"/>
        </w:rPr>
        <w:t>:</w:t>
      </w:r>
      <w:bookmarkEnd w:id="531"/>
    </w:p>
    <w:p>
      <w:pPr>
        <w:pStyle w:val="BookText"/>
        <w:rPr/>
      </w:pPr>
      <w:r>
        <w:rPr>
          <w:rFonts w:ascii="Amiri" w:hAnsi="Amiri" w:eastAsia="Amiri" w:cs="Amiri"/>
          <w:color w:val="111111"/>
          <w:sz w:val="28"/>
          <w:sz w:val="28"/>
          <w:szCs w:val="28"/>
          <w:rtl w:val="true"/>
          <w:lang w:bidi="ar-SA"/>
        </w:rPr>
        <w:t xml:space="preserve">التسمية؛ للعمومات و خصوص الصحيح و الرضوي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غسل اليدين ثلاثاً، بالإجماع و المستفيضة </w:t>
      </w:r>
      <w:r>
        <w:rPr>
          <w:rStyle w:val="FootnoteAnchor"/>
          <w:rtl w:val="true"/>
        </w:rPr>
        <w:footnoteReference w:id="1468"/>
      </w:r>
      <w:r>
        <w:rPr>
          <w:rFonts w:ascii="Amiri" w:hAnsi="Amiri" w:eastAsia="Amiri" w:cs="Amiri"/>
          <w:color w:val="111111"/>
          <w:sz w:val="28"/>
          <w:sz w:val="28"/>
          <w:szCs w:val="28"/>
          <w:rtl w:val="true"/>
          <w:lang w:bidi="ar-SA"/>
        </w:rPr>
        <w:t xml:space="preserve">، و عليها يحمل إطلاقات الغسل، و يعضده استحبابه في غسل الميّت </w:t>
      </w:r>
      <w:r>
        <w:rPr>
          <w:rStyle w:val="FootnoteAnchor"/>
          <w:rtl w:val="true"/>
        </w:rPr>
        <w:footnoteReference w:id="1469"/>
      </w:r>
      <w:r>
        <w:rPr>
          <w:rFonts w:ascii="Amiri" w:hAnsi="Amiri" w:eastAsia="Amiri" w:cs="Amiri"/>
          <w:color w:val="111111"/>
          <w:sz w:val="28"/>
          <w:sz w:val="28"/>
          <w:szCs w:val="28"/>
          <w:rtl w:val="true"/>
          <w:lang w:bidi="ar-SA"/>
        </w:rPr>
        <w:t xml:space="preserve">مع النصّ على التسوية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الأكثر من الزند للصحاح </w:t>
      </w:r>
      <w:r>
        <w:rPr>
          <w:rStyle w:val="FootnoteAnchor"/>
          <w:rtl w:val="true"/>
        </w:rPr>
        <w:footnoteReference w:id="1471"/>
      </w:r>
      <w:r>
        <w:rPr>
          <w:rFonts w:ascii="Amiri" w:hAnsi="Amiri" w:eastAsia="Amiri" w:cs="Amiri"/>
          <w:color w:val="111111"/>
          <w:sz w:val="28"/>
          <w:sz w:val="28"/>
          <w:szCs w:val="28"/>
          <w:rtl w:val="true"/>
          <w:lang w:bidi="ar-SA"/>
        </w:rPr>
        <w:t xml:space="preserve">، و عند الجعفي من المرفق </w:t>
      </w:r>
      <w:r>
        <w:rPr>
          <w:rStyle w:val="FootnoteAnchor"/>
          <w:rtl w:val="true"/>
        </w:rPr>
        <w:footnoteReference w:id="1472"/>
      </w:r>
      <w:r>
        <w:rPr>
          <w:rFonts w:ascii="Amiri" w:hAnsi="Amiri" w:eastAsia="Amiri" w:cs="Amiri"/>
          <w:color w:val="111111"/>
          <w:sz w:val="28"/>
          <w:sz w:val="28"/>
          <w:szCs w:val="28"/>
          <w:rtl w:val="true"/>
          <w:lang w:bidi="ar-SA"/>
        </w:rPr>
        <w:t xml:space="preserve">للصحيحين و الخبرين </w:t>
      </w:r>
      <w:r>
        <w:rPr>
          <w:rStyle w:val="FootnoteAnchor"/>
          <w:rtl w:val="true"/>
        </w:rPr>
        <w:footnoteReference w:id="1473"/>
      </w:r>
      <w:r>
        <w:rPr>
          <w:rFonts w:ascii="Amiri" w:hAnsi="Amiri" w:eastAsia="Amiri" w:cs="Amiri"/>
          <w:color w:val="111111"/>
          <w:sz w:val="28"/>
          <w:sz w:val="28"/>
          <w:szCs w:val="28"/>
          <w:rtl w:val="true"/>
          <w:lang w:bidi="ar-SA"/>
        </w:rPr>
        <w:t xml:space="preserve">، أو ما بينهما للموثّق و الخبر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حسن و إن كان الوسط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المضمضة و الاستنشاق؛ لظاهر الوفاق و صريح الصحيح و الخبر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تثليثهما؛ لنصّ الرضا </w:t>
      </w:r>
      <w:r>
        <w:rPr>
          <w:rStyle w:val="FootnoteAnchor"/>
          <w:rtl w:val="true"/>
        </w:rPr>
        <w:footnoteReference w:id="1476"/>
      </w:r>
      <w:r>
        <w:rPr>
          <w:rFonts w:ascii="Amiri" w:hAnsi="Amiri" w:eastAsia="Amiri" w:cs="Amiri"/>
          <w:color w:val="111111"/>
          <w:sz w:val="28"/>
          <w:sz w:val="28"/>
          <w:szCs w:val="28"/>
          <w:rtl w:val="true"/>
          <w:lang w:bidi="ar-SA"/>
        </w:rPr>
        <w:t xml:space="preserve">عليه السّلام، و لا يجبان بالإجماع و المستفيضة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إمرار اليد على الجسد؛ للإجماع و الاستظهار، و يعضده قول الرضا </w:t>
      </w:r>
      <w:r>
        <w:rPr>
          <w:rStyle w:val="FootnoteAnchor"/>
          <w:rtl w:val="true"/>
        </w:rPr>
        <w:footnoteReference w:id="1478"/>
      </w:r>
      <w:r>
        <w:rPr>
          <w:rFonts w:ascii="Amiri" w:hAnsi="Amiri" w:eastAsia="Amiri" w:cs="Amiri"/>
          <w:color w:val="111111"/>
          <w:sz w:val="28"/>
          <w:sz w:val="28"/>
          <w:szCs w:val="28"/>
          <w:rtl w:val="true"/>
          <w:lang w:bidi="ar-SA"/>
        </w:rPr>
        <w:t>عليه السّلام، و ثبوته في غسل الميّت</w:t>
      </w:r>
      <w:r>
        <w:rPr>
          <w:rFonts w:eastAsia="Amiri" w:cs="Amiri" w:ascii="Amiri" w:hAnsi="Amiri"/>
          <w:color w:val="111111"/>
          <w:sz w:val="28"/>
          <w:szCs w:val="28"/>
          <w:rtl w:val="true"/>
          <w:lang w:bidi="ar-SA"/>
        </w:rPr>
        <w:t>.</w:t>
      </w:r>
      <w:bookmarkStart w:id="532" w:name="pg2479_11679"/>
    </w:p>
    <w:p>
      <w:pPr>
        <w:pStyle w:val="BookText"/>
        <w:rPr/>
      </w:pPr>
      <w:bookmarkEnd w:id="532"/>
      <w:r>
        <w:rPr>
          <w:rFonts w:ascii="IRNazanin" w:hAnsi="IRNazanin" w:eastAsia="IRNazanin"/>
          <w:color w:val="111111"/>
          <w:sz w:val="28"/>
          <w:sz w:val="28"/>
          <w:szCs w:val="28"/>
          <w:rtl w:val="true"/>
          <w:lang w:bidi="fa-IR"/>
        </w:rPr>
        <w:t>و الدعاء بالمأثور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الموالاة؛ لفعل الحجج عليهم السّلام، و لما فيه من المسارعة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تخليل المانع قبل الإفاضة، و غيره عقدها للاستظهار و بعض الصغائر للخبرين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غسل الفرج باليسار؛ للعمومات و خصوص الصحيح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تثليث غسل كلّ عضو، و لو في الارتماسي، حملًا على غسل الميّت، و المنصوص تثليث الصبّ في الرأس، و تثنيته في غيره </w:t>
      </w:r>
      <w:r>
        <w:rPr>
          <w:rStyle w:val="FootnoteAnchor"/>
          <w:rtl w:val="true"/>
        </w:rPr>
        <w:footnoteReference w:id="1481"/>
      </w:r>
      <w:r>
        <w:rPr>
          <w:rFonts w:ascii="Amiri" w:hAnsi="Amiri" w:eastAsia="Amiri" w:cs="Amiri"/>
          <w:color w:val="111111"/>
          <w:sz w:val="28"/>
          <w:sz w:val="28"/>
          <w:szCs w:val="28"/>
          <w:rtl w:val="true"/>
          <w:lang w:bidi="ar-SA"/>
        </w:rPr>
        <w:t>، فلو أُريد به الغسل حمل الأقلّ على غير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الإسباغ بالصاع؛ للإجماع و فعل النبي صلّى اللّٰه عليه و سلّم كما في الصحاح و غيرها </w:t>
      </w:r>
      <w:r>
        <w:rPr>
          <w:rStyle w:val="FootnoteAnchor"/>
          <w:rtl w:val="true"/>
        </w:rPr>
        <w:footnoteReference w:id="1482"/>
      </w:r>
      <w:r>
        <w:rPr>
          <w:rFonts w:ascii="Amiri" w:hAnsi="Amiri" w:eastAsia="Amiri" w:cs="Amiri"/>
          <w:color w:val="111111"/>
          <w:sz w:val="28"/>
          <w:sz w:val="28"/>
          <w:szCs w:val="28"/>
          <w:rtl w:val="true"/>
          <w:lang w:bidi="ar-SA"/>
        </w:rPr>
        <w:t xml:space="preserve">، و ظاهرها عدم رجحان الزائد، إلّا أنّ الفاضلين صرّحا باستحبابه، و نقلا الإجماع عليه </w:t>
      </w:r>
      <w:r>
        <w:rPr>
          <w:rStyle w:val="FootnoteAnchor"/>
          <w:rtl w:val="true"/>
        </w:rPr>
        <w:footnoteReference w:id="1483"/>
      </w:r>
      <w:r>
        <w:rPr>
          <w:rFonts w:ascii="Amiri" w:hAnsi="Amiri" w:eastAsia="Amiri" w:cs="Amiri"/>
          <w:color w:val="111111"/>
          <w:sz w:val="28"/>
          <w:sz w:val="28"/>
          <w:szCs w:val="28"/>
          <w:rtl w:val="true"/>
          <w:lang w:bidi="ar-SA"/>
        </w:rPr>
        <w:t xml:space="preserve">، و الشهيد حكاه عن الشيخ و جماعة </w:t>
      </w:r>
      <w:r>
        <w:rPr>
          <w:rStyle w:val="FootnoteAnchor"/>
          <w:rtl w:val="true"/>
        </w:rPr>
        <w:footnoteReference w:id="1484"/>
      </w:r>
      <w:r>
        <w:rPr>
          <w:rFonts w:ascii="Amiri" w:hAnsi="Amiri" w:eastAsia="Amiri" w:cs="Amiri"/>
          <w:color w:val="111111"/>
          <w:sz w:val="28"/>
          <w:sz w:val="28"/>
          <w:szCs w:val="28"/>
          <w:rtl w:val="true"/>
          <w:lang w:bidi="ar-SA"/>
        </w:rPr>
        <w:t>، فلا يبعد القول به إن لم يؤدّ إلى السرف</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732205_3804643083"/>
      <w:bookmarkStart w:id="534" w:name="_Toc208"/>
      <w:bookmarkEnd w:id="533"/>
      <w:r>
        <w:rPr>
          <w:rtl w:val="true"/>
        </w:rPr>
        <w:t>فروع</w:t>
      </w:r>
      <w:r>
        <w:rPr>
          <w:rtl w:val="true"/>
        </w:rPr>
        <w:t>:</w:t>
      </w:r>
      <w:bookmarkEnd w:id="534"/>
    </w:p>
    <w:p>
      <w:pPr>
        <w:pStyle w:val="Heading6"/>
        <w:numPr>
          <w:ilvl w:val="5"/>
          <w:numId w:val="1"/>
        </w:numPr>
        <w:rPr/>
      </w:pPr>
      <w:bookmarkStart w:id="535" w:name="__RefHeading___Toc3732207_3804643083"/>
      <w:bookmarkStart w:id="536" w:name="_Toc209"/>
      <w:bookmarkEnd w:id="535"/>
      <w:r>
        <w:rPr>
          <w:rtl w:val="true"/>
        </w:rPr>
        <w:t>الأوّل</w:t>
      </w:r>
      <w:r>
        <w:rPr>
          <w:rtl w:val="true"/>
        </w:rPr>
        <w:t>:</w:t>
      </w:r>
      <w:bookmarkEnd w:id="5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يستحب تجديد الغسل؛ للأصل و الإجماع</w:t>
      </w:r>
      <w:r>
        <w:rPr>
          <w:rFonts w:eastAsia="Amiri" w:cs="Amiri" w:ascii="Amiri" w:hAnsi="Amiri"/>
          <w:color w:val="111111"/>
          <w:sz w:val="28"/>
          <w:szCs w:val="28"/>
          <w:rtl w:val="true"/>
          <w:lang w:bidi="ar-SA"/>
        </w:rPr>
        <w:t>.</w:t>
      </w:r>
      <w:bookmarkStart w:id="537" w:name="pg2479_11680"/>
    </w:p>
    <w:p>
      <w:pPr>
        <w:pStyle w:val="Heading6"/>
        <w:numPr>
          <w:ilvl w:val="5"/>
          <w:numId w:val="1"/>
        </w:numPr>
        <w:rPr/>
      </w:pPr>
      <w:bookmarkStart w:id="538" w:name="__RefHeading___Toc3732209_3804643083"/>
      <w:bookmarkStart w:id="539" w:name="_Toc210"/>
      <w:bookmarkEnd w:id="537"/>
      <w:bookmarkEnd w:id="538"/>
      <w:r>
        <w:rPr>
          <w:rtl w:val="true"/>
        </w:rPr>
        <w:t>الثاني</w:t>
      </w:r>
      <w:r>
        <w:rPr>
          <w:rtl w:val="true"/>
        </w:rPr>
        <w:t>:</w:t>
      </w:r>
      <w:bookmarkEnd w:id="539"/>
    </w:p>
    <w:p>
      <w:pPr>
        <w:pStyle w:val="BookText"/>
        <w:rPr/>
      </w:pPr>
      <w:r>
        <w:rPr>
          <w:rFonts w:ascii="Amiri" w:hAnsi="Amiri" w:eastAsia="Amiri" w:cs="Amiri"/>
          <w:color w:val="111111"/>
          <w:sz w:val="28"/>
          <w:sz w:val="28"/>
          <w:szCs w:val="28"/>
          <w:rtl w:val="true"/>
          <w:lang w:bidi="ar-SA"/>
        </w:rPr>
        <w:t xml:space="preserve">يستحبّ قبله الاستبراء بالبول و الاجتهاد، وفاقاً للسيّد و الحلّي و الفاضلين </w:t>
      </w:r>
      <w:r>
        <w:rPr>
          <w:rStyle w:val="FootnoteAnchor"/>
          <w:rtl w:val="true"/>
        </w:rPr>
        <w:footnoteReference w:id="1485"/>
      </w:r>
      <w:r>
        <w:rPr>
          <w:rFonts w:ascii="Amiri" w:hAnsi="Amiri" w:eastAsia="Amiri" w:cs="Amiri"/>
          <w:color w:val="111111"/>
          <w:sz w:val="28"/>
          <w:sz w:val="28"/>
          <w:szCs w:val="28"/>
          <w:rtl w:val="true"/>
          <w:lang w:bidi="ar-SA"/>
        </w:rPr>
        <w:t xml:space="preserve">و جلّ الثالثة، و لا يجب بهما كالجعفي </w:t>
      </w:r>
      <w:r>
        <w:rPr>
          <w:rStyle w:val="FootnoteAnchor"/>
          <w:rtl w:val="true"/>
        </w:rPr>
        <w:footnoteReference w:id="1486"/>
      </w:r>
      <w:r>
        <w:rPr>
          <w:rFonts w:ascii="Amiri" w:hAnsi="Amiri" w:eastAsia="Amiri" w:cs="Amiri"/>
          <w:color w:val="111111"/>
          <w:sz w:val="28"/>
          <w:sz w:val="28"/>
          <w:szCs w:val="28"/>
          <w:rtl w:val="true"/>
          <w:lang w:bidi="ar-SA"/>
        </w:rPr>
        <w:t xml:space="preserve">، و لا بأحدهما كالشيخ و ابني زهرة و حمزة </w:t>
      </w:r>
      <w:r>
        <w:rPr>
          <w:rStyle w:val="FootnoteAnchor"/>
          <w:rtl w:val="true"/>
        </w:rPr>
        <w:footnoteReference w:id="1487"/>
      </w:r>
      <w:r>
        <w:rPr>
          <w:rFonts w:ascii="Amiri" w:hAnsi="Amiri" w:eastAsia="Amiri" w:cs="Amiri"/>
          <w:color w:val="111111"/>
          <w:sz w:val="28"/>
          <w:sz w:val="28"/>
          <w:szCs w:val="28"/>
          <w:rtl w:val="true"/>
          <w:lang w:bidi="ar-SA"/>
        </w:rPr>
        <w:t xml:space="preserve">، و لا بالأوّل إن أمكن و إلّا فبالثاني كالمفيد و القاضي </w:t>
      </w:r>
      <w:r>
        <w:rPr>
          <w:rStyle w:val="FootnoteAnchor"/>
          <w:rtl w:val="true"/>
        </w:rPr>
        <w:footnoteReference w:id="1488"/>
      </w:r>
      <w:r>
        <w:rPr>
          <w:rFonts w:ascii="Amiri" w:hAnsi="Amiri" w:eastAsia="Amiri" w:cs="Amiri"/>
          <w:color w:val="111111"/>
          <w:sz w:val="28"/>
          <w:sz w:val="28"/>
          <w:szCs w:val="28"/>
          <w:rtl w:val="true"/>
          <w:lang w:bidi="ar-SA"/>
        </w:rPr>
        <w:t>، و إطلاق وجوبه من جماعة يرجع إلى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الصدوق و الإسكافي </w:t>
      </w:r>
      <w:r>
        <w:rPr>
          <w:rStyle w:val="FootnoteAnchor"/>
          <w:rtl w:val="true"/>
        </w:rPr>
        <w:footnoteReference w:id="1489"/>
      </w:r>
      <w:r>
        <w:rPr>
          <w:rFonts w:ascii="Amiri" w:hAnsi="Amiri" w:eastAsia="Amiri" w:cs="Amiri"/>
          <w:color w:val="111111"/>
          <w:sz w:val="28"/>
          <w:sz w:val="28"/>
          <w:szCs w:val="28"/>
          <w:rtl w:val="true"/>
          <w:lang w:bidi="ar-SA"/>
        </w:rPr>
        <w:t>يحتمل الحكمين بالنسبة إلى الأوّل أو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إطلاق الكتاب و أكثر النصوص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المستفيضة </w:t>
      </w:r>
      <w:r>
        <w:rPr>
          <w:rStyle w:val="FootnoteAnchor"/>
          <w:rtl w:val="true"/>
        </w:rPr>
        <w:footnoteReference w:id="1491"/>
      </w:r>
      <w:r>
        <w:rPr>
          <w:rFonts w:ascii="Amiri" w:hAnsi="Amiri" w:eastAsia="Amiri" w:cs="Amiri"/>
          <w:color w:val="111111"/>
          <w:sz w:val="28"/>
          <w:sz w:val="28"/>
          <w:szCs w:val="28"/>
          <w:rtl w:val="true"/>
          <w:lang w:bidi="ar-SA"/>
        </w:rPr>
        <w:t>، و هي حجّة الموجب أخذاً بظاهرها و تقييداً للمطلقات بها، إمّا مع تقييد كلّ من القسمين بالآخر كالأوّل، أو الحمل على التخيير لحصول العلّة بأحدهما كالثاني، أو تقديم الأقوى في تحصيلها كالثالث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دلالتها على الوجوب مع ظهور بعضها في الندب، فحمل الكلّ عليه متعيّن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دلالة البعض لظاهر الأمر، فالتأمّل يعطي كونه إرشاداً إلى ما يدفع إعادة الغسل بعد ظهور البلل</w:t>
      </w:r>
      <w:r>
        <w:rPr>
          <w:rFonts w:eastAsia="Amiri" w:cs="Amiri" w:ascii="Amiri" w:hAnsi="Amiri"/>
          <w:color w:val="111111"/>
          <w:sz w:val="28"/>
          <w:szCs w:val="28"/>
          <w:rtl w:val="true"/>
          <w:lang w:bidi="ar-SA"/>
        </w:rPr>
        <w:t>.</w:t>
      </w:r>
      <w:bookmarkStart w:id="540" w:name="pg2479_11681"/>
    </w:p>
    <w:p>
      <w:pPr>
        <w:pStyle w:val="BookText"/>
        <w:rPr/>
      </w:pPr>
      <w:bookmarkEnd w:id="540"/>
      <w:r>
        <w:rPr>
          <w:rFonts w:ascii="Amiri" w:hAnsi="Amiri" w:eastAsia="Amiri" w:cs="Amiri"/>
          <w:color w:val="111111"/>
          <w:sz w:val="28"/>
          <w:sz w:val="28"/>
          <w:szCs w:val="28"/>
          <w:rtl w:val="true"/>
          <w:lang w:bidi="ar-SA"/>
        </w:rPr>
        <w:t xml:space="preserve">و الحقّ اختصاصه بالمنزل؛ لجريان العلّة فيه دون غيره، بحكم العقل و إيماء الخبرين </w:t>
      </w:r>
      <w:r>
        <w:rPr>
          <w:rStyle w:val="FootnoteAnchor"/>
          <w:rtl w:val="true"/>
        </w:rPr>
        <w:footnoteReference w:id="1492"/>
      </w:r>
      <w:r>
        <w:rPr>
          <w:rFonts w:ascii="IRNazanin" w:hAnsi="IRNazanin" w:eastAsia="IRNazanin"/>
          <w:color w:val="111111"/>
          <w:sz w:val="28"/>
          <w:sz w:val="28"/>
          <w:szCs w:val="28"/>
          <w:rtl w:val="true"/>
          <w:lang w:bidi="fa-IR"/>
        </w:rPr>
        <w:t xml:space="preserve">، و بالرجل وفاقاً للمعظم؛ للأصل و نقل الإجماع </w:t>
      </w:r>
      <w:r>
        <w:rPr>
          <w:rStyle w:val="FootnoteAnchor"/>
          <w:rtl w:val="true"/>
        </w:rPr>
        <w:footnoteReference w:id="1493"/>
      </w:r>
      <w:r>
        <w:rPr>
          <w:rFonts w:ascii="Amiri" w:hAnsi="Amiri" w:eastAsia="Amiri" w:cs="Amiri"/>
          <w:color w:val="111111"/>
          <w:sz w:val="28"/>
          <w:sz w:val="28"/>
          <w:szCs w:val="28"/>
          <w:rtl w:val="true"/>
          <w:lang w:bidi="ar-SA"/>
        </w:rPr>
        <w:t xml:space="preserve">و تغاير المخرجين في المرأة، 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للصحيح </w:t>
      </w:r>
      <w:r>
        <w:rPr>
          <w:rStyle w:val="FootnoteAnchor"/>
          <w:rtl w:val="true"/>
        </w:rPr>
        <w:footnoteReference w:id="1495"/>
      </w:r>
      <w:r>
        <w:rPr>
          <w:rFonts w:ascii="Amiri" w:hAnsi="Amiri" w:eastAsia="Amiri" w:cs="Amiri"/>
          <w:color w:val="111111"/>
          <w:sz w:val="28"/>
          <w:sz w:val="28"/>
          <w:szCs w:val="28"/>
          <w:rtl w:val="true"/>
          <w:lang w:bidi="ar-SA"/>
        </w:rPr>
        <w:t>، و هو غير ناهض</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732211_3804643083"/>
      <w:bookmarkStart w:id="542" w:name="_Toc211"/>
      <w:bookmarkEnd w:id="541"/>
      <w:r>
        <w:rPr>
          <w:rtl w:val="true"/>
        </w:rPr>
        <w:t>الثالث</w:t>
      </w:r>
      <w:r>
        <w:rPr>
          <w:rtl w:val="true"/>
        </w:rPr>
        <w:t>:</w:t>
      </w:r>
      <w:bookmarkEnd w:id="542"/>
    </w:p>
    <w:p>
      <w:pPr>
        <w:pStyle w:val="BookText"/>
        <w:rPr/>
      </w:pPr>
      <w:r>
        <w:rPr>
          <w:rFonts w:ascii="Amiri" w:hAnsi="Amiri" w:eastAsia="Amiri" w:cs="Amiri"/>
          <w:color w:val="111111"/>
          <w:sz w:val="28"/>
          <w:sz w:val="28"/>
          <w:szCs w:val="28"/>
          <w:rtl w:val="true"/>
          <w:lang w:bidi="ar-SA"/>
        </w:rPr>
        <w:t>الخارج بعد الغسل إن اتّضح فحكمه واضح، و إن اشتبه فالغسل إمّا بعد البول و الاجتهاد أو الأوّل أو الثاني مع إمكانه أو تعذّره أو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غسل و لا وضوء، بالأصل و الإجماع و الاستصحاب و المستفيضة من الصحاح و غيرها </w:t>
      </w:r>
      <w:r>
        <w:rPr>
          <w:rStyle w:val="FootnoteAnchor"/>
          <w:rtl w:val="true"/>
        </w:rPr>
        <w:footnoteReference w:id="1496"/>
      </w:r>
      <w:r>
        <w:rPr>
          <w:rFonts w:ascii="Amiri" w:hAnsi="Amiri" w:eastAsia="Amiri" w:cs="Amiri"/>
          <w:color w:val="111111"/>
          <w:sz w:val="28"/>
          <w:sz w:val="28"/>
          <w:szCs w:val="28"/>
          <w:rtl w:val="true"/>
          <w:lang w:bidi="ar-SA"/>
        </w:rPr>
        <w:t>، و يؤيّده قوّة الظنّ بإخراجهما بقايا الموجبين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 لا يغتسل؛ لاستفاضة النصوص </w:t>
      </w:r>
      <w:r>
        <w:rPr>
          <w:rStyle w:val="FootnoteAnchor"/>
          <w:rtl w:val="true"/>
        </w:rPr>
        <w:footnoteReference w:id="1497"/>
      </w:r>
      <w:r>
        <w:rPr>
          <w:rFonts w:ascii="IRNazanin" w:hAnsi="IRNazanin" w:eastAsia="IRNazanin"/>
          <w:color w:val="111111"/>
          <w:sz w:val="28"/>
          <w:sz w:val="28"/>
          <w:szCs w:val="28"/>
          <w:rtl w:val="true"/>
          <w:lang w:bidi="fa-IR"/>
        </w:rPr>
        <w:t>، و ظاهر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يعضد الأوّل إطلاق الصحيح </w:t>
      </w:r>
      <w:r>
        <w:rPr>
          <w:rStyle w:val="FootnoteAnchor"/>
          <w:rtl w:val="true"/>
        </w:rPr>
        <w:footnoteReference w:id="1498"/>
      </w:r>
      <w:r>
        <w:rPr>
          <w:rFonts w:ascii="Amiri" w:hAnsi="Amiri" w:eastAsia="Amiri" w:cs="Amiri"/>
          <w:color w:val="111111"/>
          <w:sz w:val="28"/>
          <w:sz w:val="28"/>
          <w:szCs w:val="28"/>
          <w:rtl w:val="true"/>
          <w:lang w:bidi="ar-SA"/>
        </w:rPr>
        <w:t xml:space="preserve">، و مفهوم المعتبرة </w:t>
      </w:r>
      <w:r>
        <w:rPr>
          <w:rStyle w:val="FootnoteAnchor"/>
          <w:rtl w:val="true"/>
        </w:rPr>
        <w:footnoteReference w:id="1499"/>
      </w:r>
      <w:r>
        <w:rPr>
          <w:rFonts w:ascii="Amiri" w:hAnsi="Amiri" w:eastAsia="Amiri" w:cs="Amiri"/>
          <w:color w:val="111111"/>
          <w:sz w:val="28"/>
          <w:sz w:val="28"/>
          <w:szCs w:val="28"/>
          <w:rtl w:val="true"/>
          <w:lang w:bidi="ar-SA"/>
        </w:rPr>
        <w:t xml:space="preserve">، و الثاني الأصل و نقل 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و غلبة الظن بدفع البول بقايا المني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لإطلاق المستفيضة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بعضهم </w:t>
      </w:r>
      <w:r>
        <w:rPr>
          <w:rStyle w:val="FootnoteAnchor"/>
          <w:rtl w:val="true"/>
        </w:rPr>
        <w:footnoteReference w:id="1502"/>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bookmarkStart w:id="543" w:name="pg2479_11682"/>
    </w:p>
    <w:p>
      <w:pPr>
        <w:pStyle w:val="BookText"/>
        <w:rPr/>
      </w:pPr>
      <w:bookmarkEnd w:id="543"/>
      <w:r>
        <w:rPr>
          <w:rFonts w:ascii="Amiri" w:hAnsi="Amiri" w:eastAsia="Amiri" w:cs="Amiri"/>
          <w:color w:val="111111"/>
          <w:sz w:val="28"/>
          <w:sz w:val="28"/>
          <w:szCs w:val="28"/>
          <w:rtl w:val="true"/>
          <w:lang w:bidi="ar-SA"/>
        </w:rPr>
        <w:t xml:space="preserve">و الرابع كالأوّل، وفاقاً للأكثر؛ للأصل و الاستصحاب، و إطلاق المستفيضة </w:t>
      </w:r>
      <w:r>
        <w:rPr>
          <w:rStyle w:val="FootnoteAnchor"/>
          <w:rtl w:val="true"/>
        </w:rPr>
        <w:footnoteReference w:id="1503"/>
      </w:r>
      <w:r>
        <w:rPr>
          <w:rFonts w:ascii="Amiri" w:hAnsi="Amiri" w:eastAsia="Amiri" w:cs="Amiri"/>
          <w:color w:val="111111"/>
          <w:sz w:val="28"/>
          <w:sz w:val="28"/>
          <w:szCs w:val="28"/>
          <w:rtl w:val="true"/>
          <w:lang w:bidi="ar-SA"/>
        </w:rPr>
        <w:t>بعد تقيّده بالتعذّر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w:t>
      </w:r>
      <w:r>
        <w:rPr>
          <w:rStyle w:val="FootnoteAnchor"/>
          <w:rtl w:val="true"/>
        </w:rPr>
        <w:footnoteReference w:id="1504"/>
      </w:r>
      <w:r>
        <w:rPr>
          <w:rFonts w:ascii="Amiri" w:hAnsi="Amiri" w:eastAsia="Amiri" w:cs="Amiri"/>
          <w:color w:val="111111"/>
          <w:sz w:val="28"/>
          <w:sz w:val="28"/>
          <w:szCs w:val="28"/>
          <w:rtl w:val="true"/>
          <w:lang w:bidi="ar-SA"/>
        </w:rPr>
        <w:t xml:space="preserve">لإطلاق الأُخرىٰ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بتقيّدها بالأُولى و إن كانت أكثر منها؛ لاعتضادها بالشهرة و الأصلين في إيجاب العمل بالأُخرىٰ طرح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كالثالث، وفاقاً للمعظم؛ لنقل الإجماع </w:t>
      </w:r>
      <w:r>
        <w:rPr>
          <w:rStyle w:val="FootnoteAnchor"/>
          <w:rtl w:val="true"/>
        </w:rPr>
        <w:footnoteReference w:id="1506"/>
      </w:r>
      <w:r>
        <w:rPr>
          <w:rFonts w:ascii="Amiri" w:hAnsi="Amiri" w:eastAsia="Amiri" w:cs="Amiri"/>
          <w:color w:val="111111"/>
          <w:sz w:val="28"/>
          <w:sz w:val="28"/>
          <w:szCs w:val="28"/>
          <w:rtl w:val="true"/>
          <w:lang w:bidi="ar-SA"/>
        </w:rPr>
        <w:t xml:space="preserve">و المستفيضة </w:t>
      </w:r>
      <w:r>
        <w:rPr>
          <w:rStyle w:val="FootnoteAnchor"/>
          <w:rtl w:val="true"/>
        </w:rPr>
        <w:footnoteReference w:id="1507"/>
      </w:r>
      <w:r>
        <w:rPr>
          <w:rFonts w:ascii="Amiri" w:hAnsi="Amiri" w:eastAsia="Amiri" w:cs="Amiri"/>
          <w:color w:val="111111"/>
          <w:sz w:val="28"/>
          <w:sz w:val="28"/>
          <w:szCs w:val="28"/>
          <w:rtl w:val="true"/>
          <w:lang w:bidi="ar-SA"/>
        </w:rPr>
        <w:t xml:space="preserve">، و الأُخرى </w:t>
      </w:r>
      <w:r>
        <w:rPr>
          <w:rStyle w:val="FootnoteAnchor"/>
          <w:rtl w:val="true"/>
        </w:rPr>
        <w:footnoteReference w:id="1508"/>
      </w:r>
      <w:r>
        <w:rPr>
          <w:rFonts w:ascii="Amiri" w:hAnsi="Amiri" w:eastAsia="Amiri" w:cs="Amiri"/>
          <w:color w:val="111111"/>
          <w:sz w:val="28"/>
          <w:sz w:val="28"/>
          <w:szCs w:val="28"/>
          <w:rtl w:val="true"/>
          <w:lang w:bidi="ar-SA"/>
        </w:rPr>
        <w:t>المعارضة لها مقيّدة بالرابع كما مرّ، و قوّة الظنّ فيهما بالتخلّف تؤكّد الحكم و ثبوته في الرابع مع التخلّف للمعارض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الصدوق كفاية الوضوء </w:t>
      </w:r>
      <w:r>
        <w:rPr>
          <w:rStyle w:val="FootnoteAnchor"/>
          <w:rtl w:val="true"/>
        </w:rPr>
        <w:footnoteReference w:id="1509"/>
      </w:r>
      <w:r>
        <w:rPr>
          <w:rFonts w:ascii="IRNazanin" w:hAnsi="IRNazanin" w:eastAsia="IRNazanin"/>
          <w:color w:val="111111"/>
          <w:sz w:val="28"/>
          <w:sz w:val="28"/>
          <w:szCs w:val="28"/>
          <w:rtl w:val="true"/>
          <w:lang w:bidi="fa-IR"/>
        </w:rPr>
        <w:t xml:space="preserve">للمرسل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بعدم التقاوم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الخارج بعد الغسل حدث جديد، فالعبادة الواقعة بينهما صحيحة؛ لحصول الامتثال، و قيل بالإعادة </w:t>
      </w:r>
      <w:r>
        <w:rPr>
          <w:rStyle w:val="FootnoteAnchor"/>
          <w:rtl w:val="true"/>
        </w:rPr>
        <w:footnoteReference w:id="1511"/>
      </w:r>
      <w:r>
        <w:rPr>
          <w:rFonts w:ascii="Amiri" w:hAnsi="Amiri" w:eastAsia="Amiri" w:cs="Amiri"/>
          <w:color w:val="111111"/>
          <w:sz w:val="28"/>
          <w:sz w:val="28"/>
          <w:szCs w:val="28"/>
          <w:rtl w:val="true"/>
          <w:lang w:bidi="ar-SA"/>
        </w:rPr>
        <w:t xml:space="preserve">لظاهر الصحيح و المضمر </w:t>
      </w:r>
      <w:r>
        <w:rPr>
          <w:rStyle w:val="FootnoteAnchor"/>
          <w:rtl w:val="true"/>
        </w:rPr>
        <w:footnoteReference w:id="1512"/>
      </w:r>
      <w:r>
        <w:rPr>
          <w:rFonts w:ascii="Amiri" w:hAnsi="Amiri" w:eastAsia="Amiri" w:cs="Amiri"/>
          <w:color w:val="111111"/>
          <w:sz w:val="28"/>
          <w:sz w:val="28"/>
          <w:szCs w:val="28"/>
          <w:rtl w:val="true"/>
          <w:lang w:bidi="ar-SA"/>
        </w:rPr>
        <w:t>، و ردّ بعدم الصراحة و الحجّية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732213_3804643083"/>
      <w:bookmarkStart w:id="545" w:name="_Toc212"/>
      <w:bookmarkEnd w:id="544"/>
      <w:r>
        <w:rPr>
          <w:rtl w:val="true"/>
        </w:rPr>
        <w:t>الرابع</w:t>
      </w:r>
      <w:r>
        <w:rPr>
          <w:rtl w:val="true"/>
        </w:rPr>
        <w:t>:</w:t>
      </w:r>
      <w:bookmarkEnd w:id="54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واجد اللمعة في الترتيبي يغسلها بالإجماع و الإطلاقات</w:t>
      </w:r>
      <w:bookmarkStart w:id="546" w:name="pg2479_11683"/>
    </w:p>
    <w:p>
      <w:pPr>
        <w:pStyle w:val="BookText"/>
        <w:rPr/>
      </w:pPr>
      <w:bookmarkEnd w:id="546"/>
      <w:r>
        <w:rPr>
          <w:rFonts w:ascii="IRNazanin" w:hAnsi="IRNazanin" w:eastAsia="IRNazanin"/>
          <w:color w:val="111111"/>
          <w:sz w:val="28"/>
          <w:sz w:val="28"/>
          <w:szCs w:val="28"/>
          <w:rtl w:val="true"/>
          <w:lang w:bidi="fa-IR"/>
        </w:rPr>
        <w:t xml:space="preserve">و خصوص الصحاح </w:t>
      </w:r>
      <w:r>
        <w:rPr>
          <w:rStyle w:val="FootnoteAnchor"/>
          <w:rtl w:val="true"/>
        </w:rPr>
        <w:footnoteReference w:id="1513"/>
      </w:r>
      <w:r>
        <w:rPr>
          <w:rFonts w:ascii="Amiri" w:hAnsi="Amiri" w:eastAsia="Amiri" w:cs="Amiri"/>
          <w:color w:val="111111"/>
          <w:sz w:val="28"/>
          <w:sz w:val="28"/>
          <w:szCs w:val="28"/>
          <w:rtl w:val="true"/>
          <w:lang w:bidi="ar-SA"/>
        </w:rPr>
        <w:t>و ما بعدها؛ لتوقّف الترتيب عليه، و به يقيّد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الارتماسي يعيد مطلقاً، لا إن طال الزمان </w:t>
      </w:r>
      <w:r>
        <w:rPr>
          <w:rStyle w:val="FootnoteAnchor"/>
          <w:rtl w:val="true"/>
        </w:rPr>
        <w:footnoteReference w:id="1514"/>
      </w:r>
      <w:r>
        <w:rPr>
          <w:rFonts w:ascii="Amiri" w:hAnsi="Amiri" w:eastAsia="Amiri" w:cs="Amiri"/>
          <w:color w:val="111111"/>
          <w:sz w:val="28"/>
          <w:sz w:val="28"/>
          <w:szCs w:val="28"/>
          <w:rtl w:val="true"/>
          <w:lang w:bidi="ar-SA"/>
        </w:rPr>
        <w:t xml:space="preserve">، و إلّا غسلها كبعضهم </w:t>
      </w:r>
      <w:r>
        <w:rPr>
          <w:rStyle w:val="FootnoteAnchor"/>
          <w:rtl w:val="true"/>
        </w:rPr>
        <w:footnoteReference w:id="1515"/>
      </w:r>
      <w:r>
        <w:rPr>
          <w:rFonts w:ascii="Amiri" w:hAnsi="Amiri" w:eastAsia="Amiri" w:cs="Amiri"/>
          <w:color w:val="111111"/>
          <w:sz w:val="28"/>
          <w:sz w:val="28"/>
          <w:szCs w:val="28"/>
          <w:rtl w:val="true"/>
          <w:lang w:bidi="ar-SA"/>
        </w:rPr>
        <w:t xml:space="preserve">، و لا يكتفي بغسلها </w:t>
      </w:r>
      <w:r>
        <w:rPr>
          <w:rStyle w:val="FootnoteAnchor"/>
          <w:rtl w:val="true"/>
        </w:rPr>
        <w:footnoteReference w:id="1516"/>
      </w:r>
      <w:r>
        <w:rPr>
          <w:rFonts w:ascii="Amiri" w:hAnsi="Amiri" w:eastAsia="Amiri" w:cs="Amiri"/>
          <w:color w:val="111111"/>
          <w:sz w:val="28"/>
          <w:sz w:val="28"/>
          <w:szCs w:val="28"/>
          <w:rtl w:val="true"/>
          <w:lang w:bidi="ar-SA"/>
        </w:rPr>
        <w:t xml:space="preserve">مطلقاً كآخر </w:t>
      </w:r>
      <w:r>
        <w:rPr>
          <w:rStyle w:val="FootnoteAnchor"/>
          <w:rtl w:val="true"/>
        </w:rPr>
        <w:footnoteReference w:id="1517"/>
      </w:r>
      <w:r>
        <w:rPr>
          <w:rFonts w:ascii="Amiri" w:hAnsi="Amiri" w:eastAsia="Amiri" w:cs="Amiri"/>
          <w:color w:val="111111"/>
          <w:sz w:val="28"/>
          <w:sz w:val="28"/>
          <w:szCs w:val="28"/>
          <w:rtl w:val="true"/>
          <w:lang w:bidi="ar-SA"/>
        </w:rPr>
        <w:t xml:space="preserve">، أو بما بعدها كثالث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الدفعة في الارتماسي و الوصول، و غسلها بعد الفراغ ينافي الثاني، و تخصيص الاشتراط بالأوّل خلاف الظاهر، و 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الوحدة مع قصر الزمان و انتفائها مع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الخروج ينتفي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الصحاح و غيرها، و ردّ بظهورها في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الارتماس حكماً، و ضعفه قد ظهر</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732215_3804643083"/>
      <w:bookmarkStart w:id="548" w:name="_Toc213"/>
      <w:bookmarkEnd w:id="547"/>
      <w:r>
        <w:rPr>
          <w:rtl w:val="true"/>
        </w:rPr>
        <w:t>الخامس</w:t>
      </w:r>
      <w:r>
        <w:rPr>
          <w:rtl w:val="true"/>
        </w:rPr>
        <w:t>:</w:t>
      </w:r>
      <w:bookmarkEnd w:id="548"/>
    </w:p>
    <w:p>
      <w:pPr>
        <w:pStyle w:val="BookText"/>
        <w:rPr/>
      </w:pPr>
      <w:r>
        <w:rPr>
          <w:rFonts w:ascii="Amiri" w:hAnsi="Amiri" w:eastAsia="Amiri" w:cs="Amiri"/>
          <w:color w:val="111111"/>
          <w:sz w:val="28"/>
          <w:sz w:val="28"/>
          <w:szCs w:val="28"/>
          <w:rtl w:val="true"/>
          <w:lang w:bidi="ar-SA"/>
        </w:rPr>
        <w:t xml:space="preserve">يشترط في الصحّة طهر المحلّ، وفاقاً للأكثر؛ للاستصحاب و نقل الإجماع </w:t>
      </w:r>
      <w:r>
        <w:rPr>
          <w:rStyle w:val="FootnoteAnchor"/>
          <w:rtl w:val="true"/>
        </w:rPr>
        <w:footnoteReference w:id="1519"/>
      </w:r>
      <w:r>
        <w:rPr>
          <w:rFonts w:ascii="IRNazanin" w:hAnsi="IRNazanin" w:eastAsia="IRNazanin"/>
          <w:color w:val="111111"/>
          <w:sz w:val="28"/>
          <w:sz w:val="28"/>
          <w:szCs w:val="28"/>
          <w:rtl w:val="true"/>
          <w:lang w:bidi="fa-IR"/>
        </w:rPr>
        <w:t xml:space="preserve">، و ظاهر الصحاح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و بعض الثالثة </w:t>
      </w:r>
      <w:r>
        <w:rPr>
          <w:rStyle w:val="FootnoteAnchor"/>
          <w:rtl w:val="true"/>
        </w:rPr>
        <w:footnoteReference w:id="1521"/>
      </w:r>
      <w:r>
        <w:rPr>
          <w:rFonts w:ascii="Amiri" w:hAnsi="Amiri" w:eastAsia="Amiri" w:cs="Amiri"/>
          <w:color w:val="111111"/>
          <w:sz w:val="28"/>
          <w:sz w:val="28"/>
          <w:szCs w:val="28"/>
          <w:rtl w:val="true"/>
          <w:lang w:bidi="ar-SA"/>
        </w:rPr>
        <w:t>للأصل و إطلاق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بوجود الرافع و المقيّد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الاشتراط يجب تقديم إزالة الخبث على الغسل؛ لظاهر الأدلّة، فلا</w:t>
      </w:r>
      <w:bookmarkStart w:id="549" w:name="pg2479_11684"/>
    </w:p>
    <w:p>
      <w:pPr>
        <w:pStyle w:val="BookText"/>
        <w:rPr/>
      </w:pPr>
      <w:bookmarkEnd w:id="549"/>
      <w:r>
        <w:rPr>
          <w:rFonts w:ascii="Amiri" w:hAnsi="Amiri" w:eastAsia="Amiri" w:cs="Amiri"/>
          <w:color w:val="111111"/>
          <w:sz w:val="28"/>
          <w:sz w:val="28"/>
          <w:szCs w:val="28"/>
          <w:rtl w:val="true"/>
          <w:lang w:bidi="ar-SA"/>
        </w:rPr>
        <w:t xml:space="preserve">يكفي المرّة لهما مطلقاً كالشيخ </w:t>
      </w:r>
      <w:r>
        <w:rPr>
          <w:rStyle w:val="FootnoteAnchor"/>
          <w:rtl w:val="true"/>
        </w:rPr>
        <w:footnoteReference w:id="1522"/>
      </w:r>
      <w:r>
        <w:rPr>
          <w:rFonts w:ascii="Amiri" w:hAnsi="Amiri" w:eastAsia="Amiri" w:cs="Amiri"/>
          <w:color w:val="111111"/>
          <w:sz w:val="28"/>
          <w:sz w:val="28"/>
          <w:szCs w:val="28"/>
          <w:rtl w:val="true"/>
          <w:lang w:bidi="ar-SA"/>
        </w:rPr>
        <w:t xml:space="preserve">، و لا إذا لم ينفعل كالفاضل </w:t>
      </w:r>
      <w:r>
        <w:rPr>
          <w:rStyle w:val="FootnoteAnchor"/>
          <w:rtl w:val="true"/>
        </w:rPr>
        <w:footnoteReference w:id="1523"/>
      </w:r>
      <w:r>
        <w:rPr>
          <w:rFonts w:ascii="Amiri" w:hAnsi="Amiri" w:eastAsia="Amiri" w:cs="Amiri"/>
          <w:color w:val="111111"/>
          <w:sz w:val="28"/>
          <w:sz w:val="28"/>
          <w:szCs w:val="28"/>
          <w:rtl w:val="true"/>
          <w:lang w:bidi="ar-SA"/>
        </w:rPr>
        <w:t>، و احتجاجهما بحصول الغسل بالمرّة المطلقة أو المطهّرة ضعيف</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732217_3804643083"/>
      <w:bookmarkStart w:id="551" w:name="_Toc214"/>
      <w:bookmarkEnd w:id="550"/>
      <w:r>
        <w:rPr>
          <w:rtl w:val="true"/>
        </w:rPr>
        <w:t>السادس</w:t>
      </w:r>
      <w:r>
        <w:rPr>
          <w:rtl w:val="true"/>
        </w:rPr>
        <w:t>:</w:t>
      </w:r>
      <w:bookmarkEnd w:id="551"/>
    </w:p>
    <w:p>
      <w:pPr>
        <w:pStyle w:val="BookText"/>
        <w:rPr/>
      </w:pPr>
      <w:r>
        <w:rPr>
          <w:rFonts w:ascii="Amiri" w:hAnsi="Amiri" w:eastAsia="Amiri" w:cs="Amiri"/>
          <w:color w:val="111111"/>
          <w:sz w:val="28"/>
          <w:sz w:val="28"/>
          <w:szCs w:val="28"/>
          <w:rtl w:val="true"/>
          <w:lang w:bidi="ar-SA"/>
        </w:rPr>
        <w:t xml:space="preserve">المحدث بالأصغر في أثناء الترتيبي يتمّه و يتوضّأ، وفاقاً للسيّد و المحقّق </w:t>
      </w:r>
      <w:r>
        <w:rPr>
          <w:rStyle w:val="FootnoteAnchor"/>
          <w:rtl w:val="true"/>
        </w:rPr>
        <w:footnoteReference w:id="1524"/>
      </w:r>
      <w:r>
        <w:rPr>
          <w:rFonts w:ascii="Amiri" w:hAnsi="Amiri" w:eastAsia="Amiri" w:cs="Amiri"/>
          <w:color w:val="111111"/>
          <w:sz w:val="28"/>
          <w:sz w:val="28"/>
          <w:szCs w:val="28"/>
          <w:rtl w:val="true"/>
          <w:lang w:bidi="ar-SA"/>
        </w:rPr>
        <w:t xml:space="preserve">و أكثر الثالثة، و لا يلزمه الإعادة كالشيخ و الصدوقين و الفاضل و الشهيدين </w:t>
      </w:r>
      <w:r>
        <w:rPr>
          <w:rStyle w:val="FootnoteAnchor"/>
          <w:rtl w:val="true"/>
        </w:rPr>
        <w:footnoteReference w:id="1525"/>
      </w:r>
      <w:r>
        <w:rPr>
          <w:rFonts w:ascii="Amiri" w:hAnsi="Amiri" w:eastAsia="Amiri" w:cs="Amiri"/>
          <w:color w:val="111111"/>
          <w:sz w:val="28"/>
          <w:sz w:val="28"/>
          <w:szCs w:val="28"/>
          <w:rtl w:val="true"/>
          <w:lang w:bidi="ar-SA"/>
        </w:rPr>
        <w:t xml:space="preserve">، و لا يكفيه الإتمام كالقاضي و الحلّي و بعض الثالثة و الكركي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إيجاب الأصغر للغسل بإعادته غير معقولة، و توقّف رفعه على الغسل أو الوضوء، و الأوّل معلوم الانتفاء؛ لتقدّم بعضه،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لا يوجب الغسل، فلا يعيد و لا يرتفع ببقيّته؛ لعدم استقلالها بالرفع، فيتوضّأ، و منع إيجاب الأصغر للصغرى إذا جامع الأكبر بدون الكبرى ساقط؛ لتعيّن رفعه بإحداهما، فإذا انتفت الكبرى تعيّنت الصغرى، و بقاء بعضها لا يفيد؛ لعدم استقلاله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سقوط الأصغر بالأكبر معارض بإطلاق وجوب الصغرى بالأصغر، و تقييد الثاني </w:t>
      </w:r>
      <w:r>
        <w:rPr>
          <w:rStyle w:val="FootnoteAnchor"/>
          <w:rtl w:val="true"/>
        </w:rPr>
        <w:footnoteReference w:id="1527"/>
      </w:r>
      <w:r>
        <w:rPr>
          <w:rFonts w:ascii="Amiri" w:hAnsi="Amiri" w:eastAsia="Amiri" w:cs="Amiri"/>
          <w:color w:val="111111"/>
          <w:sz w:val="28"/>
          <w:sz w:val="28"/>
          <w:szCs w:val="28"/>
          <w:rtl w:val="true"/>
          <w:lang w:bidi="ar-SA"/>
        </w:rPr>
        <w:t>بعدم الأكبر مطلقاً ليس أولى من تقييد الأوّل ببقاء الكبرى بتمامه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ناقضيّة الأصغر للطهارة الكاملة، فينقض الناقصة، و ما هي إلّا بعض الغسل؛ إذ لا وضوء معه، و سببيّته لها لاستقلال كلّ حدث بها، و ما هي إلّا</w:t>
      </w:r>
    </w:p>
    <w:p>
      <w:pPr>
        <w:pStyle w:val="BookText"/>
        <w:rPr/>
      </w:pPr>
      <w:r>
        <w:rPr>
          <w:rFonts w:ascii="Amiri" w:hAnsi="Amiri" w:eastAsia="Amiri" w:cs="Amiri"/>
          <w:color w:val="111111"/>
          <w:sz w:val="28"/>
          <w:sz w:val="28"/>
          <w:szCs w:val="28"/>
          <w:rtl w:val="true"/>
          <w:lang w:bidi="ar-SA"/>
        </w:rPr>
        <w:t>الكبرى الكاملة؛ إذ الناقصة غير مستقلّة، و الصغرى غير 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بمعنى السبب يرفع الحدثين و يحدث الطهارتين بمعنى الأثر، إن كلّاً فكلا و إن جزءً فجزءً، و الأكبر بمعنى السبب بالعكس مع سببيته للكبرى بمعناه أيضاً، و الأصغر بهذا المعنى لا يؤثّر في الكبرى </w:t>
      </w:r>
      <w:r>
        <w:rPr>
          <w:rStyle w:val="FootnoteAnchor"/>
          <w:rtl w:val="true"/>
        </w:rPr>
        <w:footnoteReference w:id="1528"/>
      </w:r>
      <w:r>
        <w:rPr>
          <w:rFonts w:ascii="Amiri" w:hAnsi="Amiri" w:eastAsia="Amiri" w:cs="Amiri"/>
          <w:color w:val="111111"/>
          <w:sz w:val="28"/>
          <w:sz w:val="28"/>
          <w:szCs w:val="28"/>
          <w:rtl w:val="true"/>
          <w:lang w:bidi="ar-SA"/>
        </w:rPr>
        <w:t>، و الكبرىٰ بالمعنيين إحداثاً و رفعاً و سببية، و إنّما يؤثّر في الأصغر، و الصغرى بالمعنيين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ناقضيّة الأصغر و سببيّته إنّما هو للوضوء دون الغسل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له بقول الرضا عليه السّلام </w:t>
      </w:r>
      <w:r>
        <w:rPr>
          <w:rStyle w:val="FootnoteAnchor"/>
          <w:rtl w:val="true"/>
        </w:rPr>
        <w:footnoteReference w:id="1529"/>
      </w:r>
      <w:r>
        <w:rPr>
          <w:rFonts w:ascii="Amiri" w:hAnsi="Amiri" w:eastAsia="Amiri" w:cs="Amiri"/>
          <w:color w:val="111111"/>
          <w:sz w:val="28"/>
          <w:sz w:val="28"/>
          <w:szCs w:val="28"/>
          <w:rtl w:val="true"/>
          <w:lang w:bidi="ar-SA"/>
        </w:rPr>
        <w:t>، و هو يصلح للحجّية، و الشهرة الموجبة للانجبار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الغسل مع التخلّل و كفايته بإطلاق الأمر، فلا يلزم الإعادة، و لا وضوء معه باستفاضة النصوص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موجباته بالأصغر بالعموم من وجه، و تخصّص الاولى بها أولى من العكس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من الخلاف و الترجيح يجري في كلّ غسل إن أجزأ عن الوضوء، و إلّا فالحقّ تعيّنه مع الإتمام كما لا يخفى وجهه، و لذا حكم به الفاضل </w:t>
      </w:r>
      <w:r>
        <w:rPr>
          <w:rStyle w:val="FootnoteAnchor"/>
          <w:rtl w:val="true"/>
        </w:rPr>
        <w:footnoteReference w:id="1531"/>
      </w:r>
      <w:r>
        <w:rPr>
          <w:rFonts w:ascii="Amiri" w:hAnsi="Amiri" w:eastAsia="Amiri" w:cs="Amiri"/>
          <w:color w:val="111111"/>
          <w:sz w:val="28"/>
          <w:sz w:val="28"/>
          <w:szCs w:val="28"/>
          <w:rtl w:val="true"/>
          <w:lang w:bidi="ar-SA"/>
        </w:rPr>
        <w:t>مع اختياره الإعادة في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الجمع حينئذٍ بين الإعادة و الوضوء أو كفاية الإتمام ضعيف، و تعليله عليل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أحدث غير الجنب بعد الوضوء و قبل الغسل أعاده، و بالعكس لم يلزمه إلّا الوضوء، و بقاء الأكبر الموجب لانسحاب الأقوال ممنوع، و لو سلّم فالشرع</w:t>
      </w:r>
      <w:bookmarkStart w:id="552" w:name="pg2479_11686"/>
    </w:p>
    <w:p>
      <w:pPr>
        <w:pStyle w:val="BookText"/>
        <w:rPr/>
      </w:pPr>
      <w:bookmarkEnd w:id="552"/>
      <w:r>
        <w:rPr>
          <w:rFonts w:ascii="Amiri" w:hAnsi="Amiri" w:eastAsia="Amiri" w:cs="Amiri"/>
          <w:color w:val="111111"/>
          <w:sz w:val="28"/>
          <w:sz w:val="28"/>
          <w:szCs w:val="28"/>
          <w:rtl w:val="true"/>
          <w:lang w:bidi="ar-SA"/>
        </w:rPr>
        <w:t>أزاله بالوضوء، و التفرقة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الارتماسي كالترتيبي في إمكان التخلّل، و الدفعة </w:t>
      </w:r>
      <w:r>
        <w:rPr>
          <w:rStyle w:val="FootnoteAnchor"/>
          <w:rtl w:val="true"/>
        </w:rPr>
        <w:footnoteReference w:id="1532"/>
      </w:r>
      <w:r>
        <w:rPr>
          <w:rFonts w:ascii="Amiri" w:hAnsi="Amiri" w:eastAsia="Amiri" w:cs="Amiri"/>
          <w:color w:val="111111"/>
          <w:sz w:val="28"/>
          <w:sz w:val="28"/>
          <w:szCs w:val="28"/>
          <w:rtl w:val="true"/>
          <w:lang w:bidi="ar-SA"/>
        </w:rPr>
        <w:t>العرفيّة لا ينافيه، فيجري فيه ما ذكر قبل حصوله بآخر أجزاء الولوج، و هو 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بكلّها بالتبادر، و هو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أحدث في أثناء غسل الجنابة بها أعاد،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بأكبر غيرها فكالأصغر في عدم النقض؛ لما مضى منه، و إيجابه ما يرفعه من طهارة كاملة؛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 حدوث كلّ أكبر في أثناء كلّ غسل</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3732219_3804643083"/>
      <w:bookmarkStart w:id="554" w:name="_Toc215"/>
      <w:bookmarkEnd w:id="553"/>
      <w:r>
        <w:rPr>
          <w:rtl w:val="true"/>
        </w:rPr>
        <w:t xml:space="preserve">فصل </w:t>
      </w:r>
      <w:r>
        <w:rPr>
          <w:rtl w:val="true"/>
        </w:rPr>
        <w:t>[</w:t>
      </w:r>
      <w:r>
        <w:rPr>
          <w:rtl w:val="true"/>
        </w:rPr>
        <w:t>إجزاء الغسل عن الوضوء</w:t>
      </w:r>
      <w:r>
        <w:rPr>
          <w:rtl w:val="true"/>
        </w:rPr>
        <w:t>]</w:t>
      </w:r>
      <w:bookmarkEnd w:id="554"/>
    </w:p>
    <w:p>
      <w:pPr>
        <w:pStyle w:val="BookText"/>
        <w:rPr/>
      </w:pPr>
      <w:r>
        <w:rPr>
          <w:rFonts w:ascii="Amiri" w:hAnsi="Amiri" w:eastAsia="Amiri" w:cs="Amiri"/>
          <w:color w:val="111111"/>
          <w:sz w:val="28"/>
          <w:sz w:val="28"/>
          <w:szCs w:val="28"/>
          <w:rtl w:val="true"/>
          <w:lang w:bidi="ar-SA"/>
        </w:rPr>
        <w:t xml:space="preserve">لا وضوء مع غسل الجنابة؛ للأصل و الإجماعين و المستفيضة من الصحاح و غيرها </w:t>
      </w:r>
      <w:r>
        <w:rPr>
          <w:rStyle w:val="FootnoteAnchor"/>
          <w:rtl w:val="true"/>
        </w:rPr>
        <w:footnoteReference w:id="1533"/>
      </w:r>
      <w:r>
        <w:rPr>
          <w:rFonts w:ascii="IRNazanin" w:hAnsi="IRNazanin" w:eastAsia="IRNazanin"/>
          <w:color w:val="111111"/>
          <w:sz w:val="28"/>
          <w:sz w:val="28"/>
          <w:szCs w:val="28"/>
          <w:rtl w:val="true"/>
          <w:lang w:bidi="fa-IR"/>
        </w:rPr>
        <w:t xml:space="preserve">، و إطلاق الأمر بالإطهار </w:t>
      </w:r>
      <w:r>
        <w:rPr>
          <w:rStyle w:val="FootnoteAnchor"/>
          <w:rtl w:val="true"/>
        </w:rPr>
        <w:footnoteReference w:id="1534"/>
      </w:r>
      <w:r>
        <w:rPr>
          <w:rFonts w:ascii="IRNazanin" w:hAnsi="IRNazanin" w:eastAsia="IRNazanin"/>
          <w:color w:val="111111"/>
          <w:sz w:val="28"/>
          <w:sz w:val="28"/>
          <w:szCs w:val="28"/>
          <w:rtl w:val="true"/>
          <w:lang w:bidi="fa-IR"/>
        </w:rPr>
        <w:t>، المراد منه الغسل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وجوبه مع باقي الأغسال سوى غسل الميّت، وفاقاً للمعظم، و خلافاً للسيّد و الإسكافي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و دعوى الإجماع من الصدوق </w:t>
      </w:r>
      <w:r>
        <w:rPr>
          <w:rStyle w:val="FootnoteAnchor"/>
          <w:rtl w:val="true"/>
        </w:rPr>
        <w:footnoteReference w:id="1536"/>
      </w:r>
      <w:r>
        <w:rPr>
          <w:rFonts w:ascii="Amiri" w:hAnsi="Amiri" w:eastAsia="Amiri" w:cs="Amiri"/>
          <w:color w:val="111111"/>
          <w:sz w:val="28"/>
          <w:sz w:val="28"/>
          <w:szCs w:val="28"/>
          <w:rtl w:val="true"/>
          <w:lang w:bidi="ar-SA"/>
        </w:rPr>
        <w:t xml:space="preserve">، و عموم الآية </w:t>
      </w:r>
      <w:r>
        <w:rPr>
          <w:rStyle w:val="FootnoteAnchor"/>
          <w:rtl w:val="true"/>
        </w:rPr>
        <w:footnoteReference w:id="1537"/>
      </w:r>
      <w:r>
        <w:rPr>
          <w:rFonts w:ascii="Amiri" w:hAnsi="Amiri" w:eastAsia="Amiri" w:cs="Amiri"/>
          <w:color w:val="111111"/>
          <w:sz w:val="28"/>
          <w:sz w:val="28"/>
          <w:szCs w:val="28"/>
          <w:rtl w:val="true"/>
          <w:lang w:bidi="ar-SA"/>
        </w:rPr>
        <w:t>، خرج الجنب بالنصّ و الإجماع، فبقي الباقي، و إطلاق الأمر به بحصول موجبه،</w:t>
      </w:r>
    </w:p>
    <w:p>
      <w:pPr>
        <w:pStyle w:val="BookText"/>
        <w:rPr/>
      </w:pPr>
      <w:r>
        <w:rPr>
          <w:rFonts w:ascii="Amiri" w:hAnsi="Amiri" w:eastAsia="Amiri" w:cs="Amiri"/>
          <w:color w:val="111111"/>
          <w:sz w:val="28"/>
          <w:sz w:val="28"/>
          <w:szCs w:val="28"/>
          <w:rtl w:val="true"/>
          <w:lang w:bidi="ar-SA"/>
        </w:rPr>
        <w:t xml:space="preserve">و خصوص المستفيضة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إطلاق الأمر بالأغسال بحصول أسبابها من دون تعرّض للوضوء، و خصوص المستفيضة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الأوّل بما مرّ، و الثاني باكتفائهم بالأقوى مع ظهور الأضعف عندهم، و الثالث بدورانه بين ما لا دلالة له و ما له محامل ظاهرة؛ إذ عمدته ما ورد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مع الغسل</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وضوء أطهر منه</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 و المتبادر منه غسل الجنابة، و قد ورد ذلك ردّاً على العامّة في جمعهم الوضوء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وجوب الوضوء معها لصحّة الصلاة، لا صحّتها، فهي تجامع الأصغر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مجامعتها الأكبر؛ لبعض الظواهر و عدم الفائدة إلّا ما خرج بنصّ كغسل الإحرام مع الحيض و النفاس</w:t>
      </w:r>
      <w:r>
        <w:rPr>
          <w:rFonts w:eastAsia="Amiri" w:cs="Amiri" w:ascii="Amiri" w:hAnsi="Amiri"/>
          <w:color w:val="111111"/>
          <w:sz w:val="28"/>
          <w:szCs w:val="28"/>
          <w:rtl w:val="true"/>
          <w:lang w:bidi="ar-SA"/>
        </w:rPr>
        <w:t>.</w:t>
      </w:r>
      <w:bookmarkStart w:id="555" w:name="pg2479_11688"/>
    </w:p>
    <w:p>
      <w:pPr>
        <w:pStyle w:val="Heading5"/>
        <w:numPr>
          <w:ilvl w:val="4"/>
          <w:numId w:val="1"/>
        </w:numPr>
        <w:rPr/>
      </w:pPr>
      <w:bookmarkStart w:id="556" w:name="__RefHeading___Toc3732221_3804643083"/>
      <w:bookmarkStart w:id="557" w:name="_Toc216"/>
      <w:bookmarkEnd w:id="555"/>
      <w:bookmarkEnd w:id="556"/>
      <w:r>
        <w:rPr>
          <w:rtl w:val="true"/>
        </w:rPr>
        <w:t>بحث غسل الحيض</w:t>
      </w:r>
      <w:bookmarkEnd w:id="557"/>
    </w:p>
    <w:p>
      <w:pPr>
        <w:pStyle w:val="Heading6"/>
        <w:numPr>
          <w:ilvl w:val="5"/>
          <w:numId w:val="1"/>
        </w:numPr>
        <w:rPr/>
      </w:pPr>
      <w:bookmarkStart w:id="558" w:name="__RefHeading___Toc3732223_3804643083"/>
      <w:bookmarkStart w:id="559" w:name="_Toc217"/>
      <w:bookmarkEnd w:id="558"/>
      <w:r>
        <w:rPr>
          <w:rtl w:val="true"/>
        </w:rPr>
        <w:t xml:space="preserve">فصل </w:t>
      </w:r>
      <w:r>
        <w:rPr>
          <w:rtl w:val="true"/>
        </w:rPr>
        <w:t>[</w:t>
      </w:r>
      <w:r>
        <w:rPr>
          <w:rtl w:val="true"/>
        </w:rPr>
        <w:t>صفات الحيض</w:t>
      </w:r>
      <w:r>
        <w:rPr>
          <w:rtl w:val="true"/>
        </w:rPr>
        <w:t>]</w:t>
      </w:r>
      <w:bookmarkEnd w:id="559"/>
    </w:p>
    <w:p>
      <w:pPr>
        <w:pStyle w:val="BookText"/>
        <w:rPr/>
      </w:pPr>
      <w:r>
        <w:rPr>
          <w:rFonts w:ascii="Amiri" w:hAnsi="Amiri" w:eastAsia="Amiri" w:cs="Amiri"/>
          <w:color w:val="111111"/>
          <w:sz w:val="28"/>
          <w:sz w:val="28"/>
          <w:szCs w:val="28"/>
          <w:rtl w:val="true"/>
          <w:lang w:bidi="ar-SA"/>
        </w:rPr>
        <w:t xml:space="preserve">دم الحيض غالباً حارّ عبيط أسود له دفع و حرقة، بالإجماع و المستفيضة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اشتبه بدم العذرة فالتميّز بانغماس القطنة و تطوّقها؛ للصحيحين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المحقّق في الأوّل بعد قطعه بالثاني </w:t>
      </w:r>
      <w:r>
        <w:rPr>
          <w:rStyle w:val="FootnoteAnchor"/>
          <w:rtl w:val="true"/>
        </w:rPr>
        <w:footnoteReference w:id="1544"/>
      </w:r>
      <w:r>
        <w:rPr>
          <w:rFonts w:ascii="Amiri" w:hAnsi="Amiri" w:eastAsia="Amiri" w:cs="Amiri"/>
          <w:color w:val="111111"/>
          <w:sz w:val="28"/>
          <w:sz w:val="28"/>
          <w:szCs w:val="28"/>
          <w:rtl w:val="true"/>
          <w:lang w:bidi="ar-SA"/>
        </w:rPr>
        <w:t>مع صراحتهما فيهما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بدم القرحة، فالمشهور أنّ الخارج من الأيسر حيض و من الأيمن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بالعكس </w:t>
      </w:r>
      <w:r>
        <w:rPr>
          <w:rStyle w:val="FootnoteAnchor"/>
          <w:rtl w:val="true"/>
        </w:rPr>
        <w:footnoteReference w:id="1545"/>
      </w:r>
      <w:r>
        <w:rPr>
          <w:rFonts w:ascii="Amiri" w:hAnsi="Amiri" w:eastAsia="Amiri" w:cs="Amiri"/>
          <w:color w:val="111111"/>
          <w:sz w:val="28"/>
          <w:sz w:val="28"/>
          <w:szCs w:val="28"/>
          <w:rtl w:val="true"/>
          <w:lang w:bidi="ar-SA"/>
        </w:rPr>
        <w:t xml:space="preserve">، و حجّة القولين رواية مضطربة </w:t>
      </w:r>
      <w:r>
        <w:rPr>
          <w:rStyle w:val="FootnoteAnchor"/>
          <w:rtl w:val="true"/>
        </w:rPr>
        <w:footnoteReference w:id="1546"/>
      </w:r>
      <w:r>
        <w:rPr>
          <w:rFonts w:ascii="Amiri" w:hAnsi="Amiri" w:eastAsia="Amiri" w:cs="Amiri"/>
          <w:color w:val="111111"/>
          <w:sz w:val="28"/>
          <w:sz w:val="28"/>
          <w:szCs w:val="28"/>
          <w:rtl w:val="true"/>
          <w:lang w:bidi="ar-SA"/>
        </w:rPr>
        <w:t>لا تصلح للتعويل، مع أنّها تكون في الطرفين و الحيض مخرجه الرحم دون شي‌ء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الرجوع إلى الأوصاف، و إلى الأصل إن فقدت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أقلّه ثلاثة، و أكثره عشرة، بالإجماعين و المعتبرة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أكثره في</w:t>
      </w:r>
    </w:p>
    <w:p>
      <w:pPr>
        <w:pStyle w:val="BookText"/>
        <w:rPr/>
      </w:pPr>
      <w:r>
        <w:rPr>
          <w:rFonts w:ascii="Amiri" w:hAnsi="Amiri" w:eastAsia="Amiri" w:cs="Amiri"/>
          <w:color w:val="111111"/>
          <w:sz w:val="28"/>
          <w:sz w:val="28"/>
          <w:szCs w:val="28"/>
          <w:rtl w:val="true"/>
          <w:lang w:bidi="ar-SA"/>
        </w:rPr>
        <w:t xml:space="preserve">الصحيح ثمانية </w:t>
      </w:r>
      <w:r>
        <w:rPr>
          <w:rStyle w:val="FootnoteAnchor"/>
          <w:rtl w:val="true"/>
        </w:rPr>
        <w:footnoteReference w:id="1548"/>
      </w:r>
      <w:r>
        <w:rPr>
          <w:rFonts w:ascii="Amiri" w:hAnsi="Amiri" w:eastAsia="Amiri" w:cs="Amiri"/>
          <w:color w:val="111111"/>
          <w:sz w:val="28"/>
          <w:sz w:val="28"/>
          <w:szCs w:val="28"/>
          <w:rtl w:val="true"/>
          <w:lang w:bidi="ar-SA"/>
        </w:rPr>
        <w:t xml:space="preserve">شاذّ متروك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المشهور اشتراط التوالي في الثلاثة، فلا يكفي كونها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و عموم التكليف بالعبادة، و خصوص الرضوي </w:t>
      </w:r>
      <w:r>
        <w:rPr>
          <w:rStyle w:val="FootnoteAnchor"/>
          <w:rtl w:val="true"/>
        </w:rPr>
        <w:footnoteReference w:id="1551"/>
      </w:r>
      <w:r>
        <w:rPr>
          <w:rFonts w:ascii="Amiri" w:hAnsi="Amiri" w:eastAsia="Amiri" w:cs="Amiri"/>
          <w:color w:val="111111"/>
          <w:sz w:val="28"/>
          <w:sz w:val="28"/>
          <w:szCs w:val="28"/>
          <w:rtl w:val="true"/>
          <w:lang w:bidi="ar-SA"/>
        </w:rPr>
        <w:t>المنجبر بعمل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العبادة بمجرّد الرؤية لذات العادة اعتبار للغالب استظهاراً، فلا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بتبادره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في غير المتجاوز، و اشتراطه فيه مجمع عليه، و الخلاف في المتجاوز، فالأكثر على اشتراطه في الثلاثة الأُول؛ لكون الجميع حيضاً و إن تفرّق في الباقي من العشرة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اكتفىٰ له بوجود الدم في ثلاثة فيها متفرّقة </w:t>
      </w:r>
      <w:r>
        <w:rPr>
          <w:rStyle w:val="FootnoteAnchor"/>
          <w:rtl w:val="true"/>
        </w:rPr>
        <w:footnoteReference w:id="1553"/>
      </w:r>
      <w:r>
        <w:rPr>
          <w:rFonts w:ascii="Amiri" w:hAnsi="Amiri" w:eastAsia="Amiri" w:cs="Amiri"/>
          <w:color w:val="111111"/>
          <w:sz w:val="28"/>
          <w:sz w:val="28"/>
          <w:szCs w:val="28"/>
          <w:rtl w:val="true"/>
          <w:lang w:bidi="ar-SA"/>
        </w:rPr>
        <w:t xml:space="preserve">، و ظاهر أنّ الخبر لا يتناول ذلك، إلّا أن يخصّص الحيض بمجرّد الثلاثة و يجعل ما بينها من أيام النقاء طهراً، كما نسب إليه العاملي </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يلزمه أقلّية الطهر من عشرة، و هو باطل بالنصّ </w:t>
      </w:r>
      <w:r>
        <w:rPr>
          <w:rStyle w:val="FootnoteAnchor"/>
          <w:rtl w:val="true"/>
        </w:rPr>
        <w:footnoteReference w:id="1555"/>
      </w:r>
      <w:r>
        <w:rPr>
          <w:rFonts w:ascii="Amiri" w:hAnsi="Amiri" w:eastAsia="Amiri" w:cs="Amiri"/>
          <w:color w:val="111111"/>
          <w:sz w:val="28"/>
          <w:sz w:val="28"/>
          <w:szCs w:val="28"/>
          <w:rtl w:val="true"/>
          <w:lang w:bidi="ar-SA"/>
        </w:rPr>
        <w:t>و الإجماع، و تجويزها في المتخلّل بين حيضة واحدة، و تخصيص منعها بالمتخلّل بين حيضين باطل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الموثّق </w:t>
      </w:r>
      <w:r>
        <w:rPr>
          <w:rStyle w:val="FootnoteAnchor"/>
          <w:rtl w:val="true"/>
        </w:rPr>
        <w:footnoteReference w:id="1556"/>
      </w:r>
      <w:r>
        <w:rPr>
          <w:rFonts w:ascii="Amiri" w:hAnsi="Amiri" w:eastAsia="Amiri" w:cs="Amiri"/>
          <w:color w:val="111111"/>
          <w:sz w:val="28"/>
          <w:sz w:val="28"/>
          <w:szCs w:val="28"/>
          <w:rtl w:val="true"/>
          <w:lang w:bidi="ar-SA"/>
        </w:rPr>
        <w:t xml:space="preserve">، و لا دلالة لهما، و المرسلة الطويلة </w:t>
      </w:r>
      <w:r>
        <w:rPr>
          <w:rStyle w:val="FootnoteAnchor"/>
          <w:rtl w:val="true"/>
        </w:rPr>
        <w:footnoteReference w:id="1557"/>
      </w:r>
      <w:r>
        <w:rPr>
          <w:rFonts w:ascii="Amiri" w:hAnsi="Amiri" w:eastAsia="Amiri" w:cs="Amiri"/>
          <w:color w:val="111111"/>
          <w:sz w:val="28"/>
          <w:sz w:val="28"/>
          <w:szCs w:val="28"/>
          <w:rtl w:val="true"/>
          <w:lang w:bidi="ar-SA"/>
        </w:rPr>
        <w:t>، و هي مع ضعفها شاذّة متروكة؛ إذ لم يفت بها غيره، و كون ما يقع في العادة أو يتضمّن الوصف أو يحتمل الطمثة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التسليم مشروط بالتوالي؛ للمعارض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عدم دلالة هذه الثلاثة، و لا خبر آخر على كون المتخلّل بين حيضة واحدة من أيّام النقاء طهراً مع كونها أقلّ من العشرة، فتنزيلها عليه بالتكلّف، و تخصّص أخبار عدم كون الطهر أقلّ من عشرة بالطهر المتخلّل بين حيضتين مع مخالفته للإجماع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 الرضا عليه السّلام </w:t>
      </w:r>
      <w:r>
        <w:rPr>
          <w:rStyle w:val="FootnoteAnchor"/>
          <w:rtl w:val="true"/>
        </w:rPr>
        <w:footnoteReference w:id="1558"/>
      </w:r>
      <w:r>
        <w:rPr>
          <w:rFonts w:ascii="Amiri" w:hAnsi="Amiri" w:eastAsia="Amiri" w:cs="Amiri"/>
          <w:color w:val="111111"/>
          <w:sz w:val="28"/>
          <w:sz w:val="28"/>
          <w:szCs w:val="28"/>
          <w:rtl w:val="true"/>
          <w:lang w:bidi="ar-SA"/>
        </w:rPr>
        <w:t xml:space="preserve">ظاهر فيه، فلا بدّ من تأويله أو طرحه؛ لمخالفته القطع، و التأمّل يعطي عدم ظهور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فيه، فحملها عليه و نسبته إليه مع مخالفته الإجماع و النصوص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يحصل التوالي برؤية المسمّى في كلّ يوم، وفاقاً للأكثر؛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الاتّصال في الثلاثة أو الرؤية في أوّل الأوّل و آخر الآخر و جزء من الوسط؛ لعدم الدليل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يشمل ليلته عرفاً أو تغليباً؛ لظاهر المحقّق </w:t>
      </w:r>
      <w:r>
        <w:rPr>
          <w:rStyle w:val="FootnoteAnchor"/>
          <w:rtl w:val="true"/>
        </w:rPr>
        <w:footnoteReference w:id="1559"/>
      </w:r>
      <w:r>
        <w:rPr>
          <w:rFonts w:ascii="Amiri" w:hAnsi="Amiri" w:eastAsia="Amiri" w:cs="Amiri"/>
          <w:color w:val="111111"/>
          <w:sz w:val="28"/>
          <w:sz w:val="28"/>
          <w:szCs w:val="28"/>
          <w:rtl w:val="true"/>
          <w:lang w:bidi="ar-SA"/>
        </w:rPr>
        <w:t xml:space="preserve">، و صريح المحكي </w:t>
      </w:r>
      <w:r>
        <w:rPr>
          <w:rStyle w:val="FootnoteAnchor"/>
          <w:rtl w:val="true"/>
        </w:rPr>
        <w:footnoteReference w:id="1560"/>
      </w:r>
      <w:r>
        <w:rPr>
          <w:rFonts w:ascii="Amiri" w:hAnsi="Amiri" w:eastAsia="Amiri" w:cs="Amiri"/>
          <w:color w:val="111111"/>
          <w:sz w:val="28"/>
          <w:sz w:val="28"/>
          <w:szCs w:val="28"/>
          <w:rtl w:val="true"/>
          <w:lang w:bidi="ar-SA"/>
        </w:rPr>
        <w:t>، فعلى المختار يكفي المسمّى في كلّ يوم أو ليلته، و على الثالث في أوّل أحدهما و آخر الثالث و جزء من الثاني منهما، و على الثاني يشترط الاتّصال في الثلاثة بلياليها</w:t>
      </w:r>
      <w:r>
        <w:rPr>
          <w:rFonts w:eastAsia="Amiri" w:cs="Amiri" w:ascii="Amiri" w:hAnsi="Amiri"/>
          <w:color w:val="111111"/>
          <w:sz w:val="28"/>
          <w:szCs w:val="28"/>
          <w:rtl w:val="true"/>
          <w:lang w:bidi="ar-SA"/>
        </w:rPr>
        <w:t>.</w:t>
      </w:r>
      <w:bookmarkStart w:id="560" w:name="pg2479_11691"/>
    </w:p>
    <w:p>
      <w:pPr>
        <w:pStyle w:val="Heading6"/>
        <w:numPr>
          <w:ilvl w:val="5"/>
          <w:numId w:val="1"/>
        </w:numPr>
        <w:rPr/>
      </w:pPr>
      <w:bookmarkStart w:id="561" w:name="__RefHeading___Toc3732225_3804643083"/>
      <w:bookmarkStart w:id="562" w:name="_Toc218"/>
      <w:bookmarkEnd w:id="560"/>
      <w:bookmarkEnd w:id="561"/>
      <w:r>
        <w:rPr>
          <w:rtl w:val="true"/>
        </w:rPr>
        <w:t xml:space="preserve">فصل </w:t>
      </w:r>
      <w:r>
        <w:rPr>
          <w:rtl w:val="true"/>
        </w:rPr>
        <w:t>[</w:t>
      </w:r>
      <w:r>
        <w:rPr>
          <w:rtl w:val="true"/>
        </w:rPr>
        <w:t>أقلّ الطهر</w:t>
      </w:r>
      <w:r>
        <w:rPr>
          <w:rtl w:val="true"/>
        </w:rPr>
        <w:t>]</w:t>
      </w:r>
      <w:bookmarkEnd w:id="562"/>
    </w:p>
    <w:p>
      <w:pPr>
        <w:pStyle w:val="BookText"/>
        <w:rPr/>
      </w:pPr>
      <w:r>
        <w:rPr>
          <w:rFonts w:ascii="Amiri" w:hAnsi="Amiri" w:eastAsia="Amiri" w:cs="Amiri"/>
          <w:color w:val="111111"/>
          <w:sz w:val="28"/>
          <w:sz w:val="28"/>
          <w:szCs w:val="28"/>
          <w:rtl w:val="true"/>
          <w:lang w:bidi="ar-SA"/>
        </w:rPr>
        <w:t xml:space="preserve">أقلّ الطهر عشرة، بالمستفيض من النصّ </w:t>
      </w:r>
      <w:r>
        <w:rPr>
          <w:rStyle w:val="FootnoteAnchor"/>
          <w:rtl w:val="true"/>
        </w:rPr>
        <w:footnoteReference w:id="1561"/>
      </w:r>
      <w:r>
        <w:rPr>
          <w:rFonts w:ascii="IRNazanin" w:hAnsi="IRNazanin" w:eastAsia="IRNazanin"/>
          <w:color w:val="111111"/>
          <w:sz w:val="28"/>
          <w:sz w:val="28"/>
          <w:szCs w:val="28"/>
          <w:rtl w:val="true"/>
          <w:lang w:bidi="fa-IR"/>
        </w:rPr>
        <w:t xml:space="preserve">، و نقل الإجماع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إطلاقهما يشمل المتخلّل بين حيضة و حيضتين، فالتخصيص بالثاني </w:t>
      </w:r>
      <w:r>
        <w:rPr>
          <w:rStyle w:val="FootnoteAnchor"/>
          <w:rtl w:val="true"/>
        </w:rPr>
        <w:footnoteReference w:id="1563"/>
      </w:r>
      <w:r>
        <w:rPr>
          <w:rFonts w:ascii="Amiri" w:hAnsi="Amiri" w:eastAsia="Amiri" w:cs="Amiri"/>
          <w:color w:val="111111"/>
          <w:sz w:val="28"/>
          <w:sz w:val="28"/>
          <w:szCs w:val="28"/>
          <w:rtl w:val="true"/>
          <w:lang w:bidi="ar-SA"/>
        </w:rPr>
        <w:t xml:space="preserve">بلا مخصّص باطل، و توهّم إيماء الصحيح </w:t>
      </w:r>
      <w:r>
        <w:rPr>
          <w:rStyle w:val="FootnoteAnchor"/>
          <w:rtl w:val="true"/>
        </w:rPr>
        <w:footnoteReference w:id="1564"/>
      </w:r>
      <w:r>
        <w:rPr>
          <w:rFonts w:ascii="IRNazanin" w:hAnsi="IRNazanin" w:eastAsia="IRNazanin"/>
          <w:color w:val="111111"/>
          <w:sz w:val="28"/>
          <w:sz w:val="28"/>
          <w:szCs w:val="28"/>
          <w:rtl w:val="true"/>
          <w:lang w:bidi="fa-IR"/>
        </w:rPr>
        <w:t>إلى الاختصاص فاسد</w:t>
      </w:r>
      <w:r>
        <w:rPr>
          <w:rFonts w:eastAsia="IRNazanin" w:cs="IRNazanin"/>
          <w:color w:val="111111"/>
          <w:sz w:val="28"/>
          <w:szCs w:val="28"/>
          <w:rtl w:val="true"/>
          <w:lang w:bidi="fa-IR"/>
        </w:rPr>
        <w:t>.</w:t>
      </w:r>
    </w:p>
    <w:p>
      <w:pPr>
        <w:pStyle w:val="Heading6"/>
        <w:numPr>
          <w:ilvl w:val="5"/>
          <w:numId w:val="1"/>
        </w:numPr>
        <w:rPr/>
      </w:pPr>
      <w:bookmarkStart w:id="563" w:name="__RefHeading___Toc3732227_3804643083"/>
      <w:bookmarkStart w:id="564" w:name="_Toc219"/>
      <w:bookmarkEnd w:id="563"/>
      <w:r>
        <w:rPr>
          <w:rtl w:val="true"/>
        </w:rPr>
        <w:t xml:space="preserve">فصل </w:t>
      </w:r>
      <w:r>
        <w:rPr>
          <w:rtl w:val="true"/>
        </w:rPr>
        <w:t>[</w:t>
      </w:r>
      <w:r>
        <w:rPr>
          <w:rtl w:val="true"/>
        </w:rPr>
        <w:t>سن الحيض</w:t>
      </w:r>
      <w:r>
        <w:rPr>
          <w:rtl w:val="true"/>
        </w:rPr>
        <w:t>]</w:t>
      </w:r>
      <w:bookmarkEnd w:id="564"/>
    </w:p>
    <w:p>
      <w:pPr>
        <w:pStyle w:val="BookText"/>
        <w:rPr/>
      </w:pPr>
      <w:r>
        <w:rPr>
          <w:rFonts w:ascii="Amiri" w:hAnsi="Amiri" w:eastAsia="Amiri" w:cs="Amiri"/>
          <w:color w:val="111111"/>
          <w:sz w:val="28"/>
          <w:sz w:val="28"/>
          <w:szCs w:val="28"/>
          <w:rtl w:val="true"/>
          <w:lang w:bidi="ar-SA"/>
        </w:rPr>
        <w:t xml:space="preserve">لا حيض قبل التسع بالإجماعين و الموثّق و الخبر </w:t>
      </w:r>
      <w:r>
        <w:rPr>
          <w:rStyle w:val="FootnoteAnchor"/>
          <w:rtl w:val="true"/>
        </w:rPr>
        <w:footnoteReference w:id="1565"/>
      </w:r>
      <w:r>
        <w:rPr>
          <w:rFonts w:ascii="Amiri" w:hAnsi="Amiri" w:eastAsia="Amiri" w:cs="Amiri"/>
          <w:color w:val="111111"/>
          <w:sz w:val="28"/>
          <w:sz w:val="28"/>
          <w:szCs w:val="28"/>
          <w:rtl w:val="true"/>
          <w:lang w:bidi="ar-SA"/>
        </w:rPr>
        <w:t>، و جعل الحيض دليل البلوغ إنّما هو في مجهوله السن مع كون الدم بوصفه،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الدفع بكون الأوّل بحسب الواقع و الثاني بحسب الظاهر كما ترى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بعد اليأس،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حصوله بالستّين مطلقاً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 لا الخمسين كذلك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 و لا الأوّل في القرشيّة و النبطيّة و الثاني في غيرهما كالمفيد </w:t>
      </w:r>
      <w:r>
        <w:rPr>
          <w:rStyle w:val="FootnoteAnchor"/>
          <w:rtl w:val="true"/>
        </w:rPr>
        <w:footnoteReference w:id="1568"/>
      </w:r>
      <w:r>
        <w:rPr>
          <w:rFonts w:ascii="Amiri" w:hAnsi="Amiri" w:eastAsia="Amiri" w:cs="Amiri"/>
          <w:color w:val="111111"/>
          <w:sz w:val="28"/>
          <w:sz w:val="28"/>
          <w:szCs w:val="28"/>
          <w:rtl w:val="true"/>
          <w:lang w:bidi="ar-SA"/>
        </w:rPr>
        <w:t>و الفاضل في أكثر</w:t>
      </w:r>
      <w:bookmarkStart w:id="565" w:name="pg2479_11692"/>
    </w:p>
    <w:p>
      <w:pPr>
        <w:pStyle w:val="BookText"/>
        <w:rPr/>
      </w:pPr>
      <w:bookmarkEnd w:id="565"/>
      <w:r>
        <w:rPr>
          <w:rFonts w:ascii="Amiri" w:hAnsi="Amiri" w:eastAsia="Amiri" w:cs="Amiri"/>
          <w:color w:val="111111"/>
          <w:sz w:val="28"/>
          <w:sz w:val="28"/>
          <w:szCs w:val="28"/>
          <w:rtl w:val="true"/>
          <w:lang w:bidi="ar-SA"/>
        </w:rPr>
        <w:t xml:space="preserve">كتبه </w:t>
      </w:r>
      <w:r>
        <w:rPr>
          <w:rStyle w:val="FootnoteAnchor"/>
          <w:rtl w:val="true"/>
        </w:rPr>
        <w:footnoteReference w:id="1569"/>
      </w:r>
      <w:r>
        <w:rPr>
          <w:rFonts w:ascii="Amiri" w:hAnsi="Amiri" w:eastAsia="Amiri" w:cs="Amiri"/>
          <w:color w:val="111111"/>
          <w:sz w:val="28"/>
          <w:sz w:val="28"/>
          <w:szCs w:val="28"/>
          <w:rtl w:val="true"/>
          <w:lang w:bidi="ar-SA"/>
        </w:rPr>
        <w:t xml:space="preserve">، و لا الأوّل في الأُولى و التالي في غيرها كالصدوق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و المرسل </w:t>
      </w:r>
      <w:r>
        <w:rPr>
          <w:rStyle w:val="FootnoteAnchor"/>
          <w:rtl w:val="true"/>
        </w:rPr>
        <w:footnoteReference w:id="1571"/>
      </w:r>
      <w:r>
        <w:rPr>
          <w:rFonts w:ascii="Amiri" w:hAnsi="Amiri" w:eastAsia="Amiri" w:cs="Amiri"/>
          <w:color w:val="111111"/>
          <w:sz w:val="28"/>
          <w:sz w:val="28"/>
          <w:szCs w:val="28"/>
          <w:rtl w:val="true"/>
          <w:lang w:bidi="ar-SA"/>
        </w:rPr>
        <w:t>، و أصالة عدم اليأس و بقاء العدّة و توابع الزوجيّة، و عموم اعتبار الوصف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المحقّق إجماعهم علىٰ أنّ المحتمل لكونه حيضاً حيض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المرسل و الخبر </w:t>
      </w:r>
      <w:r>
        <w:rPr>
          <w:rStyle w:val="FootnoteAnchor"/>
          <w:rtl w:val="true"/>
        </w:rPr>
        <w:footnoteReference w:id="1573"/>
      </w:r>
      <w:r>
        <w:rPr>
          <w:rFonts w:ascii="Amiri" w:hAnsi="Amiri" w:eastAsia="Amiri" w:cs="Amiri"/>
          <w:color w:val="111111"/>
          <w:sz w:val="28"/>
          <w:sz w:val="28"/>
          <w:szCs w:val="28"/>
          <w:rtl w:val="true"/>
          <w:lang w:bidi="ar-SA"/>
        </w:rPr>
        <w:t>، و أُجيب بالحمل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على حجّة للمفيد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w:t>
      </w:r>
      <w:r>
        <w:rPr>
          <w:rStyle w:val="FootnoteAnchor"/>
          <w:rtl w:val="true"/>
        </w:rPr>
        <w:footnoteReference w:id="1574"/>
      </w:r>
      <w:r>
        <w:rPr>
          <w:rFonts w:ascii="Amiri" w:hAnsi="Amiri" w:eastAsia="Amiri" w:cs="Amiri"/>
          <w:color w:val="111111"/>
          <w:sz w:val="28"/>
          <w:sz w:val="28"/>
          <w:szCs w:val="28"/>
          <w:rtl w:val="true"/>
          <w:lang w:bidi="ar-SA"/>
        </w:rPr>
        <w:t>، و لا يفيد تمام المطلوب، و حمله على الغالب ممكن</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732229_3804643083"/>
      <w:bookmarkStart w:id="567" w:name="_Toc220"/>
      <w:bookmarkEnd w:id="566"/>
      <w:r>
        <w:rPr>
          <w:rtl w:val="true"/>
        </w:rPr>
        <w:t xml:space="preserve">فصل </w:t>
      </w:r>
      <w:r>
        <w:rPr>
          <w:rtl w:val="true"/>
        </w:rPr>
        <w:t>[</w:t>
      </w:r>
      <w:r>
        <w:rPr>
          <w:rtl w:val="true"/>
        </w:rPr>
        <w:t>الشكّ في الحيض</w:t>
      </w:r>
      <w:r>
        <w:rPr>
          <w:rtl w:val="true"/>
        </w:rPr>
        <w:t>]</w:t>
      </w:r>
      <w:bookmarkEnd w:id="56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يحتمل كونه حيضاً حيض؛ لظاهر المحقّق </w:t>
      </w:r>
      <w:r>
        <w:rPr>
          <w:rStyle w:val="FootnoteAnchor"/>
          <w:rtl w:val="true"/>
        </w:rPr>
        <w:footnoteReference w:id="1575"/>
      </w:r>
      <w:r>
        <w:rPr>
          <w:rFonts w:ascii="Amiri" w:hAnsi="Amiri" w:eastAsia="Amiri" w:cs="Amiri"/>
          <w:color w:val="111111"/>
          <w:sz w:val="28"/>
          <w:sz w:val="28"/>
          <w:szCs w:val="28"/>
          <w:rtl w:val="true"/>
          <w:lang w:bidi="ar-SA"/>
        </w:rPr>
        <w:t xml:space="preserve">و صريح المحكي من المحقّق </w:t>
      </w:r>
      <w:r>
        <w:rPr>
          <w:rStyle w:val="FootnoteAnchor"/>
          <w:rtl w:val="true"/>
        </w:rPr>
        <w:footnoteReference w:id="1576"/>
      </w:r>
      <w:r>
        <w:rPr>
          <w:rFonts w:ascii="Amiri" w:hAnsi="Amiri" w:eastAsia="Amiri" w:cs="Amiri"/>
          <w:color w:val="111111"/>
          <w:sz w:val="28"/>
          <w:sz w:val="28"/>
          <w:szCs w:val="28"/>
          <w:rtl w:val="true"/>
          <w:lang w:bidi="ar-SA"/>
        </w:rPr>
        <w:t xml:space="preserve">، بل الفاضل عند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استقراء جزئيّات الفتاوىٰ و النصوص</w:t>
      </w:r>
      <w:bookmarkStart w:id="568" w:name="pg2479_11693"/>
    </w:p>
    <w:p>
      <w:pPr>
        <w:pStyle w:val="BookText"/>
        <w:rPr/>
      </w:pPr>
      <w:bookmarkEnd w:id="568"/>
      <w:r>
        <w:rPr>
          <w:rFonts w:ascii="Amiri" w:hAnsi="Amiri" w:eastAsia="Amiri" w:cs="Amiri"/>
          <w:color w:val="111111"/>
          <w:sz w:val="28"/>
          <w:sz w:val="28"/>
          <w:szCs w:val="28"/>
          <w:rtl w:val="true"/>
          <w:lang w:bidi="ar-SA"/>
        </w:rPr>
        <w:t>الحاكمة بالحيض، فإنّ جلّها من موارد الإمكان، فيحصل منها قوّة الظنّ بالعموم، فهو أصل كلّي يفتقر الخروج منه إلى دلالة خارجة، و منع حجّية مثل هذا الظن بعد الانضمام بالوفاق مكابرة، و أصالة عدم الحيض بأصالة عدم الآفة معارضة، و استصحاب بقاء التكليف بالعبادة يدفعه توقّف أحد اليقينين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أو العادة إن كان من لوازم الإمكان فاشتراطه مسلّم، و إلّا فممنوع و الظاهر الأوّل، ففاقد الوصف في غير وقت العادة لا يحكم بكونه حيضاً، إلّا ما خرج بالنص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فكليّة القاعدة مقيّدة بأحد الأمرين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بالإمكان هنا العام، فيشمل المتيقّن و المحتمل، إلّا ما ثبت خلافه، و هو إمّا باعتبار السنّ كالبلوغ و عدم اليأس، أو المدّة كعدم نقصه و زيادته عن الثلاثة و العشرة، أو الدوام كالتوالي، أو الوصف كالقوي مع التميّز، أو المحلّ كالجانب إن اعتبر، أو عدم المانع كالحمل على رأي و مسبوقيّته بحيض أو نفاس لم يتخلّل بينهما أقلّ الطهر مع التجاوز عن العشرة، فالإمكان فرع التخلّل أو عدم التجاوز</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732231_3804643083"/>
      <w:bookmarkStart w:id="570" w:name="_Toc221"/>
      <w:bookmarkEnd w:id="569"/>
      <w:r>
        <w:rPr>
          <w:rtl w:val="true"/>
        </w:rPr>
        <w:t xml:space="preserve">فصل </w:t>
      </w:r>
      <w:r>
        <w:rPr>
          <w:rtl w:val="true"/>
        </w:rPr>
        <w:t>[</w:t>
      </w:r>
      <w:r>
        <w:rPr>
          <w:rtl w:val="true"/>
        </w:rPr>
        <w:t>اجتماع الحيض و الحمل</w:t>
      </w:r>
      <w:r>
        <w:rPr>
          <w:rtl w:val="true"/>
        </w:rPr>
        <w:t>]</w:t>
      </w:r>
      <w:bookmarkEnd w:id="570"/>
    </w:p>
    <w:p>
      <w:pPr>
        <w:pStyle w:val="BookText"/>
        <w:rPr/>
      </w:pPr>
      <w:r>
        <w:rPr>
          <w:rFonts w:ascii="Amiri" w:hAnsi="Amiri" w:eastAsia="Amiri" w:cs="Amiri"/>
          <w:color w:val="111111"/>
          <w:sz w:val="28"/>
          <w:sz w:val="28"/>
          <w:szCs w:val="28"/>
          <w:rtl w:val="true"/>
          <w:lang w:bidi="ar-SA"/>
        </w:rPr>
        <w:t>في اجتماع الحيض مع الحمل مطلقاً، أو قبل استبانته، أو مع الوصف، أو في العادة لا بعدها بعشرين، أو عدمه مطلقاً أقوال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Style w:val="FootnoteAnchor"/>
          <w:rtl w:val="true"/>
        </w:rPr>
        <w:footnoteReference w:id="1579"/>
      </w:r>
      <w:r>
        <w:rPr>
          <w:rFonts w:ascii="Amiri" w:hAnsi="Amiri" w:eastAsia="Amiri" w:cs="Amiri"/>
          <w:color w:val="111111"/>
          <w:sz w:val="28"/>
          <w:sz w:val="28"/>
          <w:szCs w:val="28"/>
          <w:rtl w:val="true"/>
          <w:lang w:bidi="ar-SA"/>
        </w:rPr>
        <w:t>، و نسبة</w:t>
      </w:r>
    </w:p>
    <w:p>
      <w:pPr>
        <w:pStyle w:val="BookText"/>
        <w:rPr/>
      </w:pPr>
      <w:r>
        <w:rPr>
          <w:rFonts w:ascii="Amiri" w:hAnsi="Amiri" w:eastAsia="Amiri" w:cs="Amiri"/>
          <w:color w:val="111111"/>
          <w:sz w:val="28"/>
          <w:sz w:val="28"/>
          <w:szCs w:val="28"/>
          <w:rtl w:val="true"/>
          <w:lang w:bidi="ar-SA"/>
        </w:rPr>
        <w:t xml:space="preserve">الأوّل إليه </w:t>
      </w:r>
      <w:r>
        <w:rPr>
          <w:rStyle w:val="FootnoteAnchor"/>
          <w:rtl w:val="true"/>
        </w:rPr>
        <w:footnoteReference w:id="1580"/>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التهذيبين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و الإسكافي و الحلّي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القاعدة و استفاضة النصوص من الصحاح و غيرها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الموثّق و المرسل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 </w:t>
      </w:r>
      <w:r>
        <w:rPr>
          <w:rStyle w:val="FootnoteAnchor"/>
          <w:rtl w:val="true"/>
        </w:rPr>
        <w:footnoteReference w:id="1587"/>
      </w:r>
      <w:r>
        <w:rPr>
          <w:rFonts w:ascii="Amiri" w:hAnsi="Amiri" w:eastAsia="Amiri" w:cs="Amiri"/>
          <w:color w:val="111111"/>
          <w:sz w:val="28"/>
          <w:sz w:val="28"/>
          <w:szCs w:val="28"/>
          <w:rtl w:val="true"/>
          <w:lang w:bidi="ar-SA"/>
        </w:rPr>
        <w:t xml:space="preserve">، و صريح الخبر </w:t>
      </w:r>
      <w:r>
        <w:rPr>
          <w:rStyle w:val="FootnoteAnchor"/>
          <w:rtl w:val="true"/>
        </w:rPr>
        <w:footnoteReference w:id="1588"/>
      </w:r>
      <w:r>
        <w:rPr>
          <w:rFonts w:ascii="Amiri" w:hAnsi="Amiri" w:eastAsia="Amiri" w:cs="Amiri"/>
          <w:color w:val="111111"/>
          <w:sz w:val="28"/>
          <w:sz w:val="28"/>
          <w:szCs w:val="28"/>
          <w:rtl w:val="true"/>
          <w:lang w:bidi="ar-SA"/>
        </w:rPr>
        <w:t>، و صحّة طلاقها مع رؤية الدم و فساد طلاق الحائض إجماعاً، و جعل الاستبراء بالحيض علامة لعدم الحمل فلا يجامعه، و عدم اعتيادها الحيض غالباً، فما تراه نادراً لا يكون منه كاليائسة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الثاني و الأخير ممّا لا ريب فيه؛ إذ دعوى الإجماع في المقام كما ترى، و الصحيح في غير المبحث، و الخبر راويه عامّي، فيحمل على التقيّة، و التعليلات عليلة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اخترناه من اشتراط يختصّ غيرها بأحد الأمرين، يلزم الاشتراط</w:t>
      </w:r>
      <w:bookmarkStart w:id="571" w:name="pg2479_11697"/>
    </w:p>
    <w:p>
      <w:pPr>
        <w:pStyle w:val="BookText"/>
        <w:rPr/>
      </w:pPr>
      <w:bookmarkEnd w:id="571"/>
      <w:r>
        <w:rPr>
          <w:rFonts w:ascii="Amiri" w:hAnsi="Amiri" w:eastAsia="Amiri" w:cs="Amiri"/>
          <w:color w:val="111111"/>
          <w:sz w:val="28"/>
          <w:sz w:val="28"/>
          <w:szCs w:val="28"/>
          <w:rtl w:val="true"/>
          <w:lang w:bidi="ar-SA"/>
        </w:rPr>
        <w:t>فيهما بطريق أولى، فيندفع القول الأوّل أيضاً، و يقيّد إطلاق أخباره بأدلّة اشتراط أحدهما، مع أنّ العمل به يوجب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تحيّضها برؤية الدم مع أحد الشرطين لا بعينه، فيقيّد أخبار كلّ منها بعدم الآخر لا بعينه كما هو مبنى الثالث و الرابع، حذراً عن لزوم طرح أدلّة الآخر، و لا يجب خرق المركّب،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 بالرابع أفتى بما تضمّنه النصّ من تحيّضها بما ترى في العادة، لا بعدها بعشرين، و مقتضاه كون ما ترى بعدها بأقلّ منه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إشكالات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اعتبار وقت العادة دون المتقدّم و المتأخّر إلّا اليسير الذي يقع فيه الاختلاف غالباً</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3732233_3804643083"/>
      <w:bookmarkStart w:id="573" w:name="_Toc222"/>
      <w:bookmarkEnd w:id="572"/>
      <w:r>
        <w:rPr>
          <w:rtl w:val="true"/>
        </w:rPr>
        <w:t xml:space="preserve">فصل </w:t>
      </w:r>
      <w:r>
        <w:rPr>
          <w:rtl w:val="true"/>
        </w:rPr>
        <w:t>[</w:t>
      </w:r>
      <w:r>
        <w:rPr>
          <w:rtl w:val="true"/>
        </w:rPr>
        <w:t>حكم رؤية الدمين</w:t>
      </w:r>
      <w:r>
        <w:rPr>
          <w:rtl w:val="true"/>
        </w:rPr>
        <w:t>]</w:t>
      </w:r>
      <w:bookmarkEnd w:id="573"/>
    </w:p>
    <w:p>
      <w:pPr>
        <w:pStyle w:val="BookText"/>
        <w:rPr/>
      </w:pPr>
      <w:r>
        <w:rPr>
          <w:rFonts w:ascii="Amiri" w:hAnsi="Amiri" w:eastAsia="Amiri" w:cs="Amiri"/>
          <w:color w:val="111111"/>
          <w:sz w:val="28"/>
          <w:sz w:val="28"/>
          <w:szCs w:val="28"/>
          <w:rtl w:val="true"/>
          <w:lang w:bidi="ar-SA"/>
        </w:rPr>
        <w:t>لو رأت الدم ثلاثة و انقطع ثمّ عاد، فالعود إمّا بعد أقلّ الطهر فالدمان حيضان، أو قبله مع انقطاعه في العشرة فالمجموع حيض واحد، أو فيما بعدها فالثاني استحاضة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التفصيل إن أثبته الوفاق أو ساعده الموثّق و الحسن </w:t>
      </w:r>
      <w:r>
        <w:rPr>
          <w:rStyle w:val="FootnoteAnchor"/>
          <w:rtl w:val="true"/>
        </w:rPr>
        <w:footnoteReference w:id="1589"/>
      </w:r>
      <w:r>
        <w:rPr>
          <w:rFonts w:ascii="Amiri" w:hAnsi="Amiri" w:eastAsia="Amiri" w:cs="Amiri"/>
          <w:color w:val="111111"/>
          <w:sz w:val="28"/>
          <w:sz w:val="28"/>
          <w:szCs w:val="28"/>
          <w:rtl w:val="true"/>
          <w:lang w:bidi="ar-SA"/>
        </w:rPr>
        <w:t>فلا كلام، و إلّا فعلى ما اشترطناه في القاعدة من أحد الشرطين لا بدّ منه في الحكم بالتحيّض</w:t>
      </w:r>
      <w:r>
        <w:rPr>
          <w:rFonts w:eastAsia="Amiri" w:cs="Amiri" w:ascii="Amiri" w:hAnsi="Amiri"/>
          <w:color w:val="111111"/>
          <w:sz w:val="28"/>
          <w:szCs w:val="28"/>
          <w:rtl w:val="true"/>
          <w:lang w:bidi="ar-SA"/>
        </w:rPr>
        <w:t>.</w:t>
      </w:r>
      <w:bookmarkStart w:id="574" w:name="pg2479_11699"/>
    </w:p>
    <w:p>
      <w:pPr>
        <w:pStyle w:val="Heading6"/>
        <w:numPr>
          <w:ilvl w:val="5"/>
          <w:numId w:val="1"/>
        </w:numPr>
        <w:rPr/>
      </w:pPr>
      <w:bookmarkStart w:id="575" w:name="__RefHeading___Toc3732235_3804643083"/>
      <w:bookmarkStart w:id="576" w:name="_Toc223"/>
      <w:bookmarkEnd w:id="574"/>
      <w:bookmarkEnd w:id="575"/>
      <w:r>
        <w:rPr>
          <w:rtl w:val="true"/>
        </w:rPr>
        <w:t xml:space="preserve">فصل </w:t>
      </w:r>
      <w:r>
        <w:rPr>
          <w:rtl w:val="true"/>
        </w:rPr>
        <w:t>[</w:t>
      </w:r>
      <w:r>
        <w:rPr>
          <w:rtl w:val="true"/>
        </w:rPr>
        <w:t>ثبوت العادة</w:t>
      </w:r>
      <w:r>
        <w:rPr>
          <w:rtl w:val="true"/>
        </w:rPr>
        <w:t>]</w:t>
      </w:r>
      <w:bookmarkEnd w:id="576"/>
    </w:p>
    <w:p>
      <w:pPr>
        <w:pStyle w:val="BookText"/>
        <w:rPr/>
      </w:pPr>
      <w:r>
        <w:rPr>
          <w:rFonts w:ascii="Amiri" w:hAnsi="Amiri" w:eastAsia="Amiri" w:cs="Amiri"/>
          <w:color w:val="111111"/>
          <w:sz w:val="28"/>
          <w:sz w:val="28"/>
          <w:szCs w:val="28"/>
          <w:rtl w:val="true"/>
          <w:lang w:bidi="ar-SA"/>
        </w:rPr>
        <w:t xml:space="preserve">ثبوت العادة بمرّتين كعدمه بالمرّة مجمع عليه، و النصوص بهما مستفيضة </w:t>
      </w:r>
      <w:r>
        <w:rPr>
          <w:rStyle w:val="FootnoteAnchor"/>
          <w:rtl w:val="true"/>
        </w:rPr>
        <w:footnoteReference w:id="1590"/>
      </w:r>
      <w:r>
        <w:rPr>
          <w:rFonts w:ascii="Amiri" w:hAnsi="Amiri" w:eastAsia="Amiri" w:cs="Amiri"/>
          <w:color w:val="111111"/>
          <w:sz w:val="28"/>
          <w:sz w:val="28"/>
          <w:szCs w:val="28"/>
          <w:rtl w:val="true"/>
          <w:lang w:bidi="ar-SA"/>
        </w:rPr>
        <w:t>، و اشتقاقها من العود يقرّر الأوّل، و لا ينافي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العادات العدديّة الوقتيّة، و دلالة النصوص على اعتبارها ظاهرة فتستقرّ برؤية الدم خمسة مثلًا في أوّل شهرين، فتتحيّض برؤيته في أوّل الثالث و ترجع إليها عند تجاوزه العشرة و عند استمراره، و لو رأته في آخر الثاني رجعت إلى الخمسة عند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تحيّضها بذلك لا استظهارها إلى الثلاثة كالمبتدأة </w:t>
      </w:r>
      <w:r>
        <w:rPr>
          <w:rStyle w:val="FootnoteAnchor"/>
          <w:rtl w:val="true"/>
        </w:rPr>
        <w:footnoteReference w:id="1591"/>
      </w:r>
      <w:r>
        <w:rPr>
          <w:rFonts w:ascii="Amiri" w:hAnsi="Amiri" w:eastAsia="Amiri" w:cs="Amiri"/>
          <w:color w:val="111111"/>
          <w:sz w:val="28"/>
          <w:sz w:val="28"/>
          <w:szCs w:val="28"/>
          <w:rtl w:val="true"/>
          <w:lang w:bidi="ar-SA"/>
        </w:rPr>
        <w:t>و المضطربة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العدديّة تستقر عدداً برؤيته خمسة في أوّل الشهر و آخره، و في المقطوع و المرسل </w:t>
      </w:r>
      <w:r>
        <w:rPr>
          <w:rStyle w:val="FootnoteAnchor"/>
          <w:rtl w:val="true"/>
        </w:rPr>
        <w:footnoteReference w:id="1592"/>
      </w:r>
      <w:r>
        <w:rPr>
          <w:rFonts w:ascii="Amiri" w:hAnsi="Amiri" w:eastAsia="Amiri" w:cs="Amiri"/>
          <w:color w:val="111111"/>
          <w:sz w:val="28"/>
          <w:sz w:val="28"/>
          <w:szCs w:val="28"/>
          <w:rtl w:val="true"/>
          <w:lang w:bidi="ar-SA"/>
        </w:rPr>
        <w:t>دلالة على اعتبارها، و تقدّم العادة و تأخّرها عادة يؤكّده، فيرجع إليها عند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الوقت كالمضطربة في الاستظهار بالرؤية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بها الدم، ففي إلحاقها في الدم الرافع و ما فوقه بذاكرة العدد الناسية للوقت، أو العمل بالروايات مع سبق عادة مستقيمة و رجوعها إلى الأقارب بدونه وجهان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الوقتية تستقرّ وقتاً برؤيته في أوّل شهرين خمسة و سبعة، و في المرسل </w:t>
      </w:r>
      <w:r>
        <w:rPr>
          <w:rStyle w:val="FootnoteAnchor"/>
          <w:rtl w:val="true"/>
        </w:rPr>
        <w:footnoteReference w:id="1593"/>
      </w:r>
      <w:r>
        <w:rPr>
          <w:rFonts w:ascii="Amiri" w:hAnsi="Amiri" w:eastAsia="Amiri" w:cs="Amiri"/>
          <w:color w:val="111111"/>
          <w:sz w:val="28"/>
          <w:sz w:val="28"/>
          <w:szCs w:val="28"/>
          <w:rtl w:val="true"/>
          <w:lang w:bidi="ar-SA"/>
        </w:rPr>
        <w:t>دلالة على اعتبارها، فتتحيّض برؤيته في أوّل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العدد كالمضطربة،</w:t>
      </w:r>
      <w:bookmarkStart w:id="577" w:name="pg2479_11701"/>
    </w:p>
    <w:p>
      <w:pPr>
        <w:pStyle w:val="BookText"/>
        <w:rPr/>
      </w:pPr>
      <w:bookmarkEnd w:id="577"/>
      <w:r>
        <w:rPr>
          <w:rFonts w:ascii="Amiri" w:hAnsi="Amiri" w:eastAsia="Amiri" w:cs="Amiri"/>
          <w:color w:val="111111"/>
          <w:sz w:val="28"/>
          <w:sz w:val="28"/>
          <w:szCs w:val="28"/>
          <w:rtl w:val="true"/>
          <w:lang w:bidi="ar-SA"/>
        </w:rPr>
        <w:t xml:space="preserve">فتتحيّض بالثلاثة وفاقاً للثانيين </w:t>
      </w:r>
      <w:r>
        <w:rPr>
          <w:rStyle w:val="FootnoteAnchor"/>
          <w:rtl w:val="true"/>
        </w:rPr>
        <w:footnoteReference w:id="1594"/>
      </w:r>
      <w:r>
        <w:rPr>
          <w:rFonts w:ascii="Amiri" w:hAnsi="Amiri" w:eastAsia="Amiri" w:cs="Amiri"/>
          <w:color w:val="111111"/>
          <w:sz w:val="28"/>
          <w:sz w:val="28"/>
          <w:szCs w:val="28"/>
          <w:rtl w:val="true"/>
          <w:lang w:bidi="ar-SA"/>
        </w:rPr>
        <w:t xml:space="preserve">، لا بأقلّ العددين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الاستواء فيثبت حكم الاضطراب، و مجرّد تكرّر الأقل لا يقتضي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التجاوز مع الاستمرار أو بدونه ففي </w:t>
      </w:r>
      <w:r>
        <w:rPr>
          <w:rStyle w:val="FootnoteAnchor"/>
          <w:rtl w:val="true"/>
        </w:rPr>
        <w:footnoteReference w:id="1596"/>
      </w:r>
      <w:r>
        <w:rPr>
          <w:rFonts w:ascii="Amiri" w:hAnsi="Amiri" w:eastAsia="Amiri" w:cs="Amiri"/>
          <w:color w:val="111111"/>
          <w:sz w:val="28"/>
          <w:sz w:val="28"/>
          <w:szCs w:val="28"/>
          <w:rtl w:val="true"/>
          <w:lang w:bidi="ar-SA"/>
        </w:rPr>
        <w:t>، إلحاقها بذاكرة الوقت الناسية للعدد أو رجوعها إلى الأقران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الثالث لا في وقته، ففي تحيّضها بالرؤية أو استظهارها إلى الثلاثة كما يأتي، و حكمها في العدد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يعلم أنّ تأثير استقرار العدد في الرجوع إليه عند العبور و الوقت في الجلوس بالرؤية فيه إجماعاً، و في غيره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 العدد أو الوقت إنّما يتحقّق بيوم تام لا ناقص؛ لغلبة الاختلاف به عادة، فالشرع كالعرف لا يعتني بمثله</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732237_3804643083"/>
      <w:bookmarkStart w:id="579" w:name="_Toc224"/>
      <w:bookmarkEnd w:id="578"/>
      <w:r>
        <w:rPr>
          <w:rtl w:val="true"/>
        </w:rPr>
        <w:t xml:space="preserve">فصل </w:t>
      </w:r>
      <w:r>
        <w:rPr>
          <w:rtl w:val="true"/>
        </w:rPr>
        <w:t>[</w:t>
      </w:r>
      <w:r>
        <w:rPr>
          <w:rtl w:val="true"/>
        </w:rPr>
        <w:t>استقرار العادة</w:t>
      </w:r>
      <w:r>
        <w:rPr>
          <w:rtl w:val="true"/>
        </w:rPr>
        <w:t>]</w:t>
      </w:r>
      <w:bookmarkEnd w:id="579"/>
    </w:p>
    <w:p>
      <w:pPr>
        <w:pStyle w:val="BookText"/>
        <w:rPr/>
      </w:pPr>
      <w:r>
        <w:rPr>
          <w:rFonts w:ascii="Amiri" w:hAnsi="Amiri" w:eastAsia="Amiri" w:cs="Amiri"/>
          <w:color w:val="111111"/>
          <w:sz w:val="28"/>
          <w:sz w:val="28"/>
          <w:szCs w:val="28"/>
          <w:rtl w:val="true"/>
          <w:lang w:bidi="ar-SA"/>
        </w:rPr>
        <w:t>استقرار الوقتيّة العدديّة كالوقتيّة لا يشترط باستقرار الطهر، أي تساوي الطهرين وقتاً و عدداً، و لا عدداً فقط؛ لصدق الاستواء بدونه، و إطلاق النص لاقتضائه ثبوت الاستقرار بتساوي الدمين من دون تعرّض لتساوي الطهرين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المعتبر من الشهر لمّا كان هو الهلالي، فحصول تساويهما في الأمرين</w:t>
      </w:r>
    </w:p>
    <w:p>
      <w:pPr>
        <w:pStyle w:val="BookText"/>
        <w:rPr/>
      </w:pPr>
      <w:r>
        <w:rPr>
          <w:rFonts w:ascii="Amiri" w:hAnsi="Amiri" w:eastAsia="Amiri" w:cs="Amiri"/>
          <w:color w:val="111111"/>
          <w:sz w:val="28"/>
          <w:sz w:val="28"/>
          <w:szCs w:val="28"/>
          <w:rtl w:val="true"/>
          <w:lang w:bidi="ar-SA"/>
        </w:rPr>
        <w:t>إذا انقطعا على آخر شهرين تساوت عدّتهما بالنقص أو التمام؛ إذ مع الاختلاف لو انقطعا على الآخر حصل التساوي في الوقت دون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انقطع ذو الناقص على الأزيد أو التام على الأنقص انعكس الأمر، فيمتنع الاجتماع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عدم اشتراطها بتساويهما وقتاً أيضاً، وفاقاً للمشهور؛ لما مرّ، و الشهيد اشترطه حاكماً بدونه استقرار العدد دون الوقت </w:t>
      </w:r>
      <w:r>
        <w:rPr>
          <w:rStyle w:val="FootnoteAnchor"/>
          <w:rtl w:val="true"/>
        </w:rPr>
        <w:footnoteReference w:id="1597"/>
      </w:r>
      <w:r>
        <w:rPr>
          <w:rFonts w:ascii="Amiri" w:hAnsi="Amiri" w:eastAsia="Amiri" w:cs="Amiri"/>
          <w:color w:val="111111"/>
          <w:sz w:val="28"/>
          <w:sz w:val="28"/>
          <w:szCs w:val="28"/>
          <w:rtl w:val="true"/>
          <w:lang w:bidi="ar-SA"/>
        </w:rPr>
        <w:t>، و 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المختار لو تساوى دمان وقتاً و عدداً تحيّضت برؤية الثالث، و إن اختلف الطهران مطلقاً، و على قول الشهيد تتحيّض مع تساويهما وقتاً أيضاً و إن اختلفا عدداً، و بدونه يستقر العدد لا غير، فتستظهر برؤية الثالث إلى ثلاثة، و لو عبر العشرة رجعت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فائدة الخلاف في الاستظهار و عدمه برؤية الثالث في غير وقت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اختاره العاملي من وجوبه مع رؤية الثالث في غير وقت المتقدّم </w:t>
      </w:r>
      <w:r>
        <w:rPr>
          <w:rStyle w:val="FootnoteAnchor"/>
          <w:rtl w:val="true"/>
        </w:rPr>
        <w:footnoteReference w:id="1598"/>
      </w:r>
      <w:r>
        <w:rPr>
          <w:rFonts w:ascii="Amiri" w:hAnsi="Amiri" w:eastAsia="Amiri" w:cs="Amiri"/>
          <w:color w:val="111111"/>
          <w:sz w:val="28"/>
          <w:sz w:val="28"/>
          <w:szCs w:val="28"/>
          <w:rtl w:val="true"/>
          <w:lang w:bidi="ar-SA"/>
        </w:rPr>
        <w:t>لا يظهر للخلاف فائدة، و ظاهره ظهورها إن رأته في وقته، و 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الشرط على اعتباره كما ظهر لا تأثير له في العدديّة وجوداً و عدماً، و إنّما يؤثّر في الوقتيّة فقط، و لذا خصّ بها الشهيد شرطيّته، فنسبتها في كلامهم إلى ذات الوصفين نفياً و إثباتاً باعتبار أحدهما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يشترط في العدديّة تعدّد الشهر، و وقوعه في الخبرين </w:t>
      </w:r>
      <w:r>
        <w:rPr>
          <w:rStyle w:val="FootnoteAnchor"/>
          <w:rtl w:val="true"/>
        </w:rPr>
        <w:footnoteReference w:id="1599"/>
      </w:r>
      <w:r>
        <w:rPr>
          <w:rFonts w:ascii="Amiri" w:hAnsi="Amiri" w:eastAsia="Amiri" w:cs="Amiri"/>
          <w:color w:val="111111"/>
          <w:sz w:val="28"/>
          <w:sz w:val="28"/>
          <w:szCs w:val="28"/>
          <w:rtl w:val="true"/>
          <w:lang w:bidi="ar-SA"/>
        </w:rPr>
        <w:t>مبنيّ على الغالب، فلو تساوى دمان بينهما الطهر في شهر واحد استقرّت العدديّة، و لو عبر العشرة في الثاني رجعت إلى العدد، و لو استمرّ الدم فيه تحيّضت فيه مرّتين</w:t>
      </w:r>
      <w:r>
        <w:rPr>
          <w:rFonts w:eastAsia="Amiri" w:cs="Amiri" w:ascii="Amiri" w:hAnsi="Amiri"/>
          <w:color w:val="111111"/>
          <w:sz w:val="28"/>
          <w:szCs w:val="28"/>
          <w:rtl w:val="true"/>
          <w:lang w:bidi="ar-SA"/>
        </w:rPr>
        <w:t>.</w:t>
      </w:r>
      <w:bookmarkStart w:id="580" w:name="pg2479_11706"/>
    </w:p>
    <w:p>
      <w:pPr>
        <w:pStyle w:val="BookText"/>
        <w:rPr/>
      </w:pPr>
      <w:bookmarkEnd w:id="580"/>
      <w:r>
        <w:rPr>
          <w:rFonts w:ascii="Amiri" w:hAnsi="Amiri" w:eastAsia="Amiri" w:cs="Amiri"/>
          <w:color w:val="111111"/>
          <w:sz w:val="28"/>
          <w:sz w:val="28"/>
          <w:szCs w:val="28"/>
          <w:rtl w:val="true"/>
          <w:lang w:bidi="ar-SA"/>
        </w:rPr>
        <w:t>و كذا لا يشترط فيها عدم الزيادة على الشهرين، فيستقرّ بتساويهما في الزائد عليهما، و لو اختلفا وقتاً و عدداً لم يستقرّ الوقت وفاقاً، و العدد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باستقرار أقل العددين </w:t>
      </w:r>
      <w:r>
        <w:rPr>
          <w:rStyle w:val="FootnoteAnchor"/>
          <w:rtl w:val="true"/>
        </w:rPr>
        <w:footnoteReference w:id="1600"/>
      </w:r>
      <w:r>
        <w:rPr>
          <w:rFonts w:ascii="Amiri" w:hAnsi="Amiri" w:eastAsia="Amiri" w:cs="Amiri"/>
          <w:color w:val="111111"/>
          <w:sz w:val="28"/>
          <w:sz w:val="28"/>
          <w:szCs w:val="28"/>
          <w:rtl w:val="true"/>
          <w:lang w:bidi="ar-SA"/>
        </w:rPr>
        <w:t>، و ضعفه ظاهر ممّا مرّ</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3732239_3804643083"/>
      <w:bookmarkStart w:id="582" w:name="_Toc225"/>
      <w:bookmarkEnd w:id="581"/>
      <w:r>
        <w:rPr>
          <w:rtl w:val="true"/>
        </w:rPr>
        <w:t xml:space="preserve">فصل </w:t>
      </w:r>
      <w:r>
        <w:rPr>
          <w:rtl w:val="true"/>
        </w:rPr>
        <w:t>[</w:t>
      </w:r>
      <w:r>
        <w:rPr>
          <w:rtl w:val="true"/>
        </w:rPr>
        <w:t>تحديد الشهر</w:t>
      </w:r>
      <w:r>
        <w:rPr>
          <w:rtl w:val="true"/>
        </w:rPr>
        <w:t>]</w:t>
      </w:r>
      <w:bookmarkEnd w:id="582"/>
    </w:p>
    <w:p>
      <w:pPr>
        <w:pStyle w:val="BookText"/>
        <w:rPr/>
      </w:pPr>
      <w:r>
        <w:rPr>
          <w:rFonts w:ascii="Amiri" w:hAnsi="Amiri" w:eastAsia="Amiri" w:cs="Amiri"/>
          <w:color w:val="111111"/>
          <w:sz w:val="28"/>
          <w:sz w:val="28"/>
          <w:szCs w:val="28"/>
          <w:rtl w:val="true"/>
          <w:lang w:bidi="ar-SA"/>
        </w:rPr>
        <w:t>الشهر حقيقة في الهلالي لغة على القطع، و شرعاً على الأصح؛ لغلبة الاستعمال المحصّلة لعلائم الحقيقة في عرف الشارع و المتشرّعة، كما يعطيه تصفّح الأحكام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نادراً في مواضع على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علىٰ ما يعبّر عنه بشهر الحيض، و هو العدّة التي يقع فيها حيض و طهر، و أقلّه ثلاثة عشر يوماً على التجوّز؛ لأولويّته من النقل و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فالمعتبر في تحقّق العادة هو الهلالي، وفاقاً للكركي </w:t>
      </w:r>
      <w:r>
        <w:rPr>
          <w:rStyle w:val="FootnoteAnchor"/>
          <w:rtl w:val="true"/>
        </w:rPr>
        <w:footnoteReference w:id="1601"/>
      </w:r>
      <w:r>
        <w:rPr>
          <w:rFonts w:ascii="Amiri" w:hAnsi="Amiri" w:eastAsia="Amiri" w:cs="Amiri"/>
          <w:color w:val="111111"/>
          <w:sz w:val="28"/>
          <w:sz w:val="28"/>
          <w:szCs w:val="28"/>
          <w:rtl w:val="true"/>
          <w:lang w:bidi="ar-SA"/>
        </w:rPr>
        <w:t xml:space="preserve">و أكثر الثالثة، و خلافاً للفاضل و ولده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 ظاهر الخبرين </w:t>
      </w:r>
      <w:r>
        <w:rPr>
          <w:rStyle w:val="FootnoteAnchor"/>
          <w:rtl w:val="true"/>
        </w:rPr>
        <w:footnoteReference w:id="1603"/>
      </w:r>
      <w:r>
        <w:rPr>
          <w:rFonts w:ascii="Amiri" w:hAnsi="Amiri" w:eastAsia="Amiri" w:cs="Amiri"/>
          <w:color w:val="111111"/>
          <w:sz w:val="28"/>
          <w:sz w:val="28"/>
          <w:szCs w:val="28"/>
          <w:rtl w:val="true"/>
          <w:lang w:bidi="ar-SA"/>
        </w:rPr>
        <w:t>شيوع إطلاق المطلق عليه،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شهر ستّة أيّام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تحديد أكثر الطهر بثلاثة أشهر </w:t>
      </w:r>
      <w:r>
        <w:rPr>
          <w:rStyle w:val="FootnoteAnchor"/>
          <w:rtl w:val="true"/>
        </w:rPr>
        <w:footnoteReference w:id="1604"/>
      </w:r>
      <w:bookmarkStart w:id="583" w:name="pg2479_11708"/>
    </w:p>
    <w:p>
      <w:pPr>
        <w:pStyle w:val="BookText"/>
        <w:rPr/>
      </w:pPr>
      <w:bookmarkEnd w:id="583"/>
      <w:r>
        <w:rPr>
          <w:rFonts w:ascii="Amiri" w:hAnsi="Amiri" w:eastAsia="Amiri" w:cs="Amiri"/>
          <w:color w:val="111111"/>
          <w:sz w:val="28"/>
          <w:sz w:val="28"/>
          <w:szCs w:val="28"/>
          <w:rtl w:val="true"/>
          <w:lang w:bidi="ar-SA"/>
        </w:rPr>
        <w:t>ضعيف، و كون الغالب في عادة النساء وقوع الحيض في كلّ هلالي مرّة، و لذا يحكم به للمتحيّرة و المبتدأة مع إمكان الزيادة عليه، و جعلت عدّتها للطلاق بثلاثة أشهر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تكرّر العدّة المذكورة في شهرين يثبت اعتبار الهلالي، و في شهر يبطل تماثل الزمان بالنسبة إلى الدمين، فاعتبارها يوجب انتفاء الوقتيّة رأساً، و جعل وقوع كلّ منهما في أوّلها مصحّحاً لها يوجب انتفاء غيرها؛ لتوقّف تعيّنها على الوقوع الثابت في كلّ عدّة، و تحقّق العدديّة في شهر أو أكثر من شهرين خارج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عدم النزاع بينهم في اعتبار الهلالي في الوقتيّة و العدّة المذكورة في العدديّة، و إنّما النزاع بينهم في تعيين ما هو الأصل منهما، فالأكثر جعلوا الأصل في الاعتبار هو الهلالي دونها؛ للأصل و ظاهر الأخبار، و أخرجوا منه العدديّة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عكس الأمر </w:t>
      </w:r>
      <w:r>
        <w:rPr>
          <w:rStyle w:val="FootnoteAnchor"/>
          <w:rtl w:val="true"/>
        </w:rPr>
        <w:footnoteReference w:id="1605"/>
      </w:r>
      <w:r>
        <w:rPr>
          <w:rFonts w:ascii="Amiri" w:hAnsi="Amiri" w:eastAsia="Amiri" w:cs="Amiri"/>
          <w:color w:val="111111"/>
          <w:sz w:val="28"/>
          <w:sz w:val="28"/>
          <w:szCs w:val="28"/>
          <w:rtl w:val="true"/>
          <w:lang w:bidi="ar-SA"/>
        </w:rPr>
        <w:t>لشيوع استعمال الشهر فيها، و أخرج منها الوقتيّة؛ لاستحالة تحقّقها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هو الحقّ</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732241_3804643083"/>
      <w:bookmarkStart w:id="585" w:name="_Toc226"/>
      <w:bookmarkEnd w:id="584"/>
      <w:r>
        <w:rPr>
          <w:rtl w:val="true"/>
        </w:rPr>
        <w:t xml:space="preserve">فصل </w:t>
      </w:r>
      <w:r>
        <w:rPr>
          <w:rtl w:val="true"/>
        </w:rPr>
        <w:t>[</w:t>
      </w:r>
      <w:r>
        <w:rPr>
          <w:rtl w:val="true"/>
        </w:rPr>
        <w:t>حصول العادة بالتمييز</w:t>
      </w:r>
      <w:r>
        <w:rPr>
          <w:rtl w:val="true"/>
        </w:rPr>
        <w:t>]</w:t>
      </w:r>
      <w:bookmarkEnd w:id="5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العادة كما تحصل بالأخذ و الانقطاع كذلك تحصل بالتمييز مع الاتّصال، بالإجماع و ظاهر النصوص، فإن اتّفق دمان عدداً و وقتاً و صفة استقرّت وقتاً</w:t>
      </w:r>
      <w:bookmarkStart w:id="586" w:name="pg2479_11710"/>
    </w:p>
    <w:p>
      <w:pPr>
        <w:pStyle w:val="BookText"/>
        <w:rPr/>
      </w:pPr>
      <w:bookmarkEnd w:id="586"/>
      <w:r>
        <w:rPr>
          <w:rFonts w:ascii="Amiri" w:hAnsi="Amiri" w:eastAsia="Amiri" w:cs="Amiri"/>
          <w:color w:val="111111"/>
          <w:sz w:val="28"/>
          <w:sz w:val="28"/>
          <w:szCs w:val="28"/>
          <w:rtl w:val="true"/>
          <w:lang w:bidi="ar-SA"/>
        </w:rPr>
        <w:t>و عدداً، فإن استمرّ الثالث بلا تميّز تحيّضت بأيّام العادة الحاصلة من التمييز، و جعلت غيرها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ما يأتي من رجوع المبتدأة و المضطربة إلى التميّز و التحيّض به، و صيرورته عادة بالتكرّر مرّتين، و الرجوع إليها بعد ذلك، و قد حكى الفاضل </w:t>
      </w:r>
      <w:r>
        <w:rPr>
          <w:rStyle w:val="FootnoteAnchor"/>
          <w:rtl w:val="true"/>
        </w:rPr>
        <w:footnoteReference w:id="1606"/>
      </w:r>
      <w:r>
        <w:rPr>
          <w:rFonts w:ascii="Amiri" w:hAnsi="Amiri" w:eastAsia="Amiri" w:cs="Amiri"/>
          <w:color w:val="111111"/>
          <w:sz w:val="28"/>
          <w:sz w:val="28"/>
          <w:szCs w:val="28"/>
          <w:rtl w:val="true"/>
          <w:lang w:bidi="ar-SA"/>
        </w:rPr>
        <w:t>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الثلاثة أو الصفة لم يحصل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اتّفقا في الصفة و أحد الآخرين استقرّت الوقتيّة أو العدديّة، و حكم الثالث مع الإبهام كما مرّ</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732243_3804643083"/>
      <w:bookmarkStart w:id="588" w:name="_Toc227"/>
      <w:bookmarkEnd w:id="587"/>
      <w:r>
        <w:rPr>
          <w:rtl w:val="true"/>
        </w:rPr>
        <w:t xml:space="preserve">فصل </w:t>
      </w:r>
      <w:r>
        <w:rPr>
          <w:rtl w:val="true"/>
        </w:rPr>
        <w:t>[</w:t>
      </w:r>
      <w:r>
        <w:rPr>
          <w:rtl w:val="true"/>
        </w:rPr>
        <w:t>أحكام الحائض</w:t>
      </w:r>
      <w:r>
        <w:rPr>
          <w:rtl w:val="true"/>
        </w:rPr>
        <w:t>]</w:t>
      </w:r>
      <w:bookmarkEnd w:id="588"/>
    </w:p>
    <w:p>
      <w:pPr>
        <w:pStyle w:val="BookText"/>
        <w:rPr/>
      </w:pPr>
      <w:r>
        <w:rPr>
          <w:rFonts w:ascii="Amiri" w:hAnsi="Amiri" w:eastAsia="Amiri" w:cs="Amiri"/>
          <w:color w:val="111111"/>
          <w:sz w:val="28"/>
          <w:sz w:val="28"/>
          <w:szCs w:val="28"/>
          <w:rtl w:val="true"/>
          <w:lang w:bidi="ar-SA"/>
        </w:rPr>
        <w:t>ذات العدديّة لا تترك العبادة برؤية الدم، بل تستظهر بفعلها إلى الثلاثة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الوقتيّة إن رأته في وقت العادة تحيّضت برؤيته، بالإجماعين و ظاهر الصحيح و المرسل و الخبر </w:t>
      </w:r>
      <w:r>
        <w:rPr>
          <w:rStyle w:val="FootnoteAnchor"/>
          <w:rtl w:val="true"/>
        </w:rPr>
        <w:footnoteReference w:id="1607"/>
      </w:r>
      <w:r>
        <w:rPr>
          <w:rFonts w:ascii="Amiri" w:hAnsi="Amiri" w:eastAsia="Amiri" w:cs="Amiri"/>
          <w:color w:val="111111"/>
          <w:sz w:val="28"/>
          <w:sz w:val="28"/>
          <w:szCs w:val="28"/>
          <w:rtl w:val="true"/>
          <w:lang w:bidi="ar-SA"/>
        </w:rPr>
        <w:t xml:space="preserve">، و يعضده إطلاق الرضوي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رأته قبله ففي تحيّضها مطلقاً، أو مع كونه بصفة الحيض، أو استظهارها بالعبادة إلى الثلاثة، أو حضور الوقت أقوال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للأكثر،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المختار الأوّل؛ لظاهر المستفيضة </w:t>
      </w:r>
      <w:r>
        <w:rPr>
          <w:rStyle w:val="FootnoteAnchor"/>
          <w:rtl w:val="true"/>
        </w:rPr>
        <w:footnoteReference w:id="1610"/>
      </w:r>
      <w:r>
        <w:rPr>
          <w:rFonts w:ascii="Amiri" w:hAnsi="Amiri" w:eastAsia="Amiri" w:cs="Amiri"/>
          <w:color w:val="111111"/>
          <w:sz w:val="28"/>
          <w:sz w:val="28"/>
          <w:szCs w:val="28"/>
          <w:rtl w:val="true"/>
          <w:lang w:bidi="ar-SA"/>
        </w:rPr>
        <w:t>، مع تعسّر الاحتياط؛ لغلبة التقدّم و ندور الاتّفاق في الوقت، و يعضده مسقطات الاحتياط عن المبتدأة و المضطربة، فإنّ سقوطه عنهما يوجب سقوطه عنها بطريق أولى، و إطلاق أكثر الأخبار يعمّ كلّ تقدّم، و التحديد في بعضها بيومين مبنيّ على الغالب، و حمل الإطلاق عليه يوجب إحداث ثالث؛ لعدم قائل بالفرق، فلا يضرّ التقدّم بأيّ قدر كان ما لم يؤدّ إلى كون ما بين الدمين أقل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تزد على العشرة </w:t>
      </w:r>
      <w:r>
        <w:rPr>
          <w:rStyle w:val="FootnoteAnchor"/>
          <w:rtl w:val="true"/>
        </w:rPr>
        <w:footnoteReference w:id="1611"/>
      </w:r>
      <w:r>
        <w:rPr>
          <w:rFonts w:ascii="Amiri" w:hAnsi="Amiri" w:eastAsia="Amiri" w:cs="Amiri"/>
          <w:color w:val="111111"/>
          <w:sz w:val="28"/>
          <w:sz w:val="28"/>
          <w:szCs w:val="28"/>
          <w:rtl w:val="true"/>
          <w:lang w:bidi="ar-SA"/>
        </w:rPr>
        <w:t>، و لا يعلم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الحسن </w:t>
      </w:r>
      <w:r>
        <w:rPr>
          <w:rStyle w:val="FootnoteAnchor"/>
          <w:rtl w:val="true"/>
        </w:rPr>
        <w:footnoteReference w:id="1612"/>
      </w:r>
      <w:r>
        <w:rPr>
          <w:rFonts w:ascii="Amiri" w:hAnsi="Amiri" w:eastAsia="Amiri" w:cs="Amiri"/>
          <w:color w:val="111111"/>
          <w:sz w:val="28"/>
          <w:sz w:val="28"/>
          <w:szCs w:val="28"/>
          <w:rtl w:val="true"/>
          <w:lang w:bidi="ar-SA"/>
        </w:rPr>
        <w:t>، و أُجيب بالحمل على غير وقت العادة و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الخبرين </w:t>
      </w:r>
      <w:r>
        <w:rPr>
          <w:rStyle w:val="FootnoteAnchor"/>
          <w:rtl w:val="true"/>
        </w:rPr>
        <w:footnoteReference w:id="1613"/>
      </w:r>
      <w:r>
        <w:rPr>
          <w:rFonts w:ascii="Amiri" w:hAnsi="Amiri" w:eastAsia="Amiri" w:cs="Amiri"/>
          <w:color w:val="111111"/>
          <w:sz w:val="28"/>
          <w:sz w:val="28"/>
          <w:szCs w:val="28"/>
          <w:rtl w:val="true"/>
          <w:lang w:bidi="ar-SA"/>
        </w:rPr>
        <w:t>، و لا دلالة لهما، و كون العادة كالجبلّة فالتقدّم عليها يوجب الشكّ في التحيّض، فهي مع التقدّم كذات العدديّة دون الوقتيّة، و أُجيب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رأته بعده فالمشهور أيضاً تحيّضها مطلقاً؛ لإطلاق بعض الأخبار </w:t>
      </w:r>
      <w:r>
        <w:rPr>
          <w:rStyle w:val="FootnoteAnchor"/>
          <w:rtl w:val="true"/>
        </w:rPr>
        <w:footnoteReference w:id="1614"/>
      </w:r>
      <w:r>
        <w:rPr>
          <w:rFonts w:ascii="Amiri" w:hAnsi="Amiri" w:eastAsia="Amiri" w:cs="Amiri"/>
          <w:color w:val="111111"/>
          <w:sz w:val="28"/>
          <w:sz w:val="28"/>
          <w:szCs w:val="28"/>
          <w:rtl w:val="true"/>
          <w:lang w:bidi="ar-SA"/>
        </w:rPr>
        <w:t xml:space="preserve">، و عدم تعقّل الفرق بين التقدّم و التأخّر، بل الثاني أولى بالاعتبار؛ لكونه أدخل منه في الانبعاث، لا مع الصفة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615"/>
      </w:r>
      <w:r>
        <w:rPr>
          <w:rFonts w:ascii="IRNazanin" w:hAnsi="IRNazanin" w:eastAsia="IRNazanin"/>
          <w:color w:val="111111"/>
          <w:sz w:val="28"/>
          <w:sz w:val="28"/>
          <w:szCs w:val="28"/>
          <w:rtl w:val="true"/>
          <w:lang w:bidi="fa-IR"/>
        </w:rPr>
        <w:t>لما مرّ مع جوابه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المكنون من دم الحيض في مرأة واحدة يختلف زيادة و نقصاً،</w:t>
      </w:r>
      <w:bookmarkStart w:id="589" w:name="pg2479_11715"/>
    </w:p>
    <w:p>
      <w:pPr>
        <w:pStyle w:val="BookText"/>
        <w:rPr/>
      </w:pPr>
      <w:bookmarkEnd w:id="589"/>
      <w:r>
        <w:rPr>
          <w:rFonts w:ascii="Amiri" w:hAnsi="Amiri" w:eastAsia="Amiri" w:cs="Amiri"/>
          <w:color w:val="111111"/>
          <w:sz w:val="28"/>
          <w:sz w:val="28"/>
          <w:szCs w:val="28"/>
          <w:rtl w:val="true"/>
          <w:lang w:bidi="ar-SA"/>
        </w:rPr>
        <w:t>بل خروجاً و مكثاً باختلاف الوقت و الحال، فيمكن اتّفاق دمين في الوقت و تقدّم ثالث عليه أو تأخّره عنه، و ليس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الحيض مطلقاً أو بيومين ليس حيضاً، أنّ المتأخّر عن أقل العادة أو آخرها بيومين مع خلوّها عن الدم حيضاً؛ لبطلان ذلك بوجوه، بل المراد أنّ الدم إذا استمرّ و تجاوز العادة لا يكون ما تراه بعدها بيومين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اليومان لكونهما زمن الاستظهار بترك العبادة يعدّان من الحيض، فالتعدية هي التعدية عن زمانه؛ لدخوله فيه</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732245_3804643083"/>
      <w:bookmarkStart w:id="591" w:name="_Toc228"/>
      <w:bookmarkEnd w:id="590"/>
      <w:r>
        <w:rPr>
          <w:rtl w:val="true"/>
        </w:rPr>
        <w:t xml:space="preserve">فصل </w:t>
      </w:r>
      <w:r>
        <w:rPr>
          <w:rtl w:val="true"/>
        </w:rPr>
        <w:t>[</w:t>
      </w:r>
      <w:r>
        <w:rPr>
          <w:rtl w:val="true"/>
        </w:rPr>
        <w:t>ألوان الدماء</w:t>
      </w:r>
      <w:r>
        <w:rPr>
          <w:rtl w:val="true"/>
        </w:rPr>
        <w:t>]</w:t>
      </w:r>
      <w:bookmarkEnd w:id="591"/>
    </w:p>
    <w:p>
      <w:pPr>
        <w:pStyle w:val="BookText"/>
        <w:rPr/>
      </w:pP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للحيض إجماعاً، لكنّه في وقت الطهر استحاضة؛ لابتناء الأوصاف على الغلبة، و التخلّف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وصفاً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الحمرة، و الصفرة، و الخضرة، و الكدرة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غالباً لغيره، و في وقت العادة و طرفيه بالشرائط تكون منه؛ للنصوص </w:t>
      </w:r>
      <w:r>
        <w:rPr>
          <w:rStyle w:val="FootnoteAnchor"/>
          <w:rtl w:val="true"/>
        </w:rPr>
        <w:footnoteReference w:id="1616"/>
      </w:r>
      <w:r>
        <w:rPr>
          <w:rFonts w:ascii="IRNazanin" w:hAnsi="IRNazanin" w:eastAsia="IRNazanin"/>
          <w:color w:val="111111"/>
          <w:sz w:val="28"/>
          <w:sz w:val="28"/>
          <w:szCs w:val="28"/>
          <w:rtl w:val="true"/>
          <w:lang w:bidi="fa-IR"/>
        </w:rPr>
        <w:t>و الإطلاقات</w:t>
      </w:r>
      <w:r>
        <w:rPr>
          <w:rFonts w:eastAsia="IRNazanin" w:cs="IRNazanin"/>
          <w:color w:val="111111"/>
          <w:sz w:val="28"/>
          <w:szCs w:val="28"/>
          <w:rtl w:val="true"/>
          <w:lang w:bidi="fa-IR"/>
        </w:rPr>
        <w:t>.</w:t>
      </w:r>
    </w:p>
    <w:p>
      <w:pPr>
        <w:pStyle w:val="Heading6"/>
        <w:numPr>
          <w:ilvl w:val="5"/>
          <w:numId w:val="1"/>
        </w:numPr>
        <w:rPr/>
      </w:pPr>
      <w:bookmarkStart w:id="592" w:name="__RefHeading___Toc3732247_3804643083"/>
      <w:bookmarkStart w:id="593" w:name="_Toc229"/>
      <w:bookmarkEnd w:id="592"/>
      <w:r>
        <w:rPr>
          <w:rtl w:val="true"/>
        </w:rPr>
        <w:t xml:space="preserve">فصل </w:t>
      </w:r>
      <w:r>
        <w:rPr>
          <w:rtl w:val="true"/>
        </w:rPr>
        <w:t>[</w:t>
      </w:r>
      <w:r>
        <w:rPr>
          <w:rtl w:val="true"/>
        </w:rPr>
        <w:t>تعريف المبتدأة و المضطربة</w:t>
      </w:r>
      <w:r>
        <w:rPr>
          <w:rtl w:val="true"/>
        </w:rPr>
        <w:t>]</w:t>
      </w:r>
      <w:bookmarkEnd w:id="5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المبتدأة على من لم يثبت لها عادة لرؤية الدم أوّلًا، أو اختلافه بأحد الثلاثة، و هو معناها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و هو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المضطربة على الثاني، و ناسية العادة بأحد الثلاثة، و هو معناها الأعمّ، و على كلّ منهما خاصّة، و هو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فالأعمّ من الأولى بإزاء ثاني الأخصّين من الثانية، و الأخصّ منها بإزاء الأعم منها، فيتناولان الثلاثة، و يختص الخارج بذات الوقتيّة و العدديّة أو أوّلهما فيها، فيخرج الثالثة قسيماً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الاختلاف و النسيان في الوقت و العدد هي المبتدأة و المضطربة من كل وجه و الأخيرة هي المتحيّرة، و في أحدهما معتادة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 في النصوص لم يتعلّق باللفظين، بل بمن رأت الدم أوّلًا، كما في المرسل و الموثّقين </w:t>
      </w:r>
      <w:r>
        <w:rPr>
          <w:rStyle w:val="FootnoteAnchor"/>
          <w:rtl w:val="true"/>
        </w:rPr>
        <w:footnoteReference w:id="1617"/>
      </w:r>
      <w:r>
        <w:rPr>
          <w:rFonts w:ascii="Amiri" w:hAnsi="Amiri" w:eastAsia="Amiri" w:cs="Amiri"/>
          <w:color w:val="111111"/>
          <w:sz w:val="28"/>
          <w:sz w:val="28"/>
          <w:szCs w:val="28"/>
          <w:rtl w:val="true"/>
          <w:lang w:bidi="ar-SA"/>
        </w:rPr>
        <w:t xml:space="preserve">، أو ناسية العادة، كما في المرسل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فالنزاع في التسمية لفظي، إلّا أنّ الأنسب لغة إطلاق المبتدأة على الاولى و المضطربة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حكمهما 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حكمهما في الفتاوى بهذا الإطلاق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كون من لم يثبت لها العادة للاختلاط في الأُولى أو الثانية أو قسيماً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كونهما كمن رأت الدم أوّلًا في الحكم، وفاقاً للمعظم؛ لظاهر المرسل </w:t>
      </w:r>
      <w:r>
        <w:rPr>
          <w:rStyle w:val="FootnoteAnchor"/>
          <w:rtl w:val="true"/>
        </w:rPr>
        <w:footnoteReference w:id="1619"/>
      </w:r>
      <w:r>
        <w:rPr>
          <w:rFonts w:ascii="Amiri" w:hAnsi="Amiri" w:eastAsia="Amiri" w:cs="Amiri"/>
          <w:color w:val="111111"/>
          <w:sz w:val="28"/>
          <w:sz w:val="28"/>
          <w:szCs w:val="28"/>
          <w:rtl w:val="true"/>
          <w:lang w:bidi="ar-SA"/>
        </w:rPr>
        <w:t>، و اشتراكهما في الحكمة، فتدخل في الأُولىٰ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يراد بالمبتدئة معناها الأعم، و بالمضطربة ثاني الأخصّين</w:t>
      </w:r>
      <w:r>
        <w:rPr>
          <w:rFonts w:eastAsia="Amiri" w:cs="Amiri" w:ascii="Amiri" w:hAnsi="Amiri"/>
          <w:color w:val="111111"/>
          <w:sz w:val="28"/>
          <w:szCs w:val="28"/>
          <w:rtl w:val="true"/>
          <w:lang w:bidi="ar-SA"/>
        </w:rPr>
        <w:t>.</w:t>
      </w:r>
      <w:bookmarkStart w:id="594" w:name="pg2479_11719"/>
    </w:p>
    <w:p>
      <w:pPr>
        <w:pStyle w:val="Heading6"/>
        <w:numPr>
          <w:ilvl w:val="5"/>
          <w:numId w:val="1"/>
        </w:numPr>
        <w:rPr/>
      </w:pPr>
      <w:bookmarkStart w:id="595" w:name="__RefHeading___Toc3732249_3804643083"/>
      <w:bookmarkStart w:id="596" w:name="_Toc230"/>
      <w:bookmarkEnd w:id="594"/>
      <w:bookmarkEnd w:id="595"/>
      <w:r>
        <w:rPr>
          <w:rtl w:val="true"/>
        </w:rPr>
        <w:t xml:space="preserve">فصل </w:t>
      </w:r>
      <w:r>
        <w:rPr>
          <w:rtl w:val="true"/>
        </w:rPr>
        <w:t>[</w:t>
      </w:r>
      <w:r>
        <w:rPr>
          <w:rtl w:val="true"/>
        </w:rPr>
        <w:t>أحكام المبتدأة و المضطربة</w:t>
      </w:r>
      <w:r>
        <w:rPr>
          <w:rtl w:val="true"/>
        </w:rPr>
        <w:t>]</w:t>
      </w:r>
      <w:bookmarkEnd w:id="596"/>
    </w:p>
    <w:p>
      <w:pPr>
        <w:pStyle w:val="BookText"/>
        <w:rPr/>
      </w:pPr>
      <w:r>
        <w:rPr>
          <w:rFonts w:ascii="Amiri" w:hAnsi="Amiri" w:eastAsia="Amiri" w:cs="Amiri"/>
          <w:color w:val="111111"/>
          <w:sz w:val="28"/>
          <w:sz w:val="28"/>
          <w:szCs w:val="28"/>
          <w:rtl w:val="true"/>
          <w:lang w:bidi="ar-SA"/>
        </w:rPr>
        <w:t xml:space="preserve">الحقّ تحيّضهما برؤية الدم، وفاقاً للشيخ </w:t>
      </w:r>
      <w:r>
        <w:rPr>
          <w:rStyle w:val="FootnoteAnchor"/>
          <w:rtl w:val="true"/>
        </w:rPr>
        <w:footnoteReference w:id="1620"/>
      </w:r>
      <w:r>
        <w:rPr>
          <w:rFonts w:ascii="Amiri" w:hAnsi="Amiri" w:eastAsia="Amiri" w:cs="Amiri"/>
          <w:color w:val="111111"/>
          <w:sz w:val="28"/>
          <w:sz w:val="28"/>
          <w:szCs w:val="28"/>
          <w:rtl w:val="true"/>
          <w:lang w:bidi="ar-SA"/>
        </w:rPr>
        <w:t xml:space="preserve">و جماعة، لا بعد الاستظهار للعبادة إلى الثلاثة، كالمرتضى </w:t>
      </w:r>
      <w:r>
        <w:rPr>
          <w:rStyle w:val="FootnoteAnchor"/>
          <w:rtl w:val="true"/>
        </w:rPr>
        <w:footnoteReference w:id="1621"/>
      </w:r>
      <w:r>
        <w:rPr>
          <w:rFonts w:ascii="Amiri" w:hAnsi="Amiri" w:eastAsia="Amiri" w:cs="Amiri"/>
          <w:color w:val="111111"/>
          <w:sz w:val="28"/>
          <w:sz w:val="28"/>
          <w:szCs w:val="28"/>
          <w:rtl w:val="true"/>
          <w:lang w:bidi="ar-SA"/>
        </w:rPr>
        <w:t xml:space="preserve">و طائفة، و محلّ النزاع مطلق الدم لا المتّصف بصفة الحيض كما ظنّ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المستفيضة العامّة و الخاصّة </w:t>
      </w:r>
      <w:r>
        <w:rPr>
          <w:rStyle w:val="FootnoteAnchor"/>
          <w:rtl w:val="true"/>
        </w:rPr>
        <w:footnoteReference w:id="1623"/>
      </w:r>
      <w:r>
        <w:rPr>
          <w:rFonts w:ascii="Amiri" w:hAnsi="Amiri" w:eastAsia="Amiri" w:cs="Amiri"/>
          <w:color w:val="111111"/>
          <w:sz w:val="28"/>
          <w:sz w:val="28"/>
          <w:szCs w:val="28"/>
          <w:rtl w:val="true"/>
          <w:lang w:bidi="ar-SA"/>
        </w:rPr>
        <w:t xml:space="preserve">، إطلاق أخبار التميّز </w:t>
      </w:r>
      <w:r>
        <w:rPr>
          <w:rStyle w:val="FootnoteAnchor"/>
          <w:rtl w:val="true"/>
        </w:rPr>
        <w:footnoteReference w:id="1624"/>
      </w:r>
      <w:r>
        <w:rPr>
          <w:rFonts w:ascii="Amiri" w:hAnsi="Amiri" w:eastAsia="Amiri" w:cs="Amiri"/>
          <w:color w:val="111111"/>
          <w:sz w:val="28"/>
          <w:sz w:val="28"/>
          <w:szCs w:val="28"/>
          <w:rtl w:val="true"/>
          <w:lang w:bidi="ar-SA"/>
        </w:rPr>
        <w:t>إذ ثبوت الحكم في ذي الوصف يوجب ثبوته في غيره؛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القاعدة المذكورة، و استصحاب الصحّة، و أصالة عدم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الحيض، و عورض بما مرّ، و لزوم العبادة حتّى يقطع بالمسقط و لا قطع بلا استمراره ثلاثة، و ردّ بحصول القطع بما ذكر، و عورض بعدمه بعدها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المعتادة دون العشرة تستظهر مع التجاوز بترك العبادة إجماعاً؛ للمستفيضة من الصحاح و غيرها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الجمع بينها تخييرها في قدر الاستظهار بين يوم و يومين و ثلاثة و تمام العشرة،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الثالثة </w:t>
      </w:r>
      <w:r>
        <w:rPr>
          <w:rStyle w:val="FootnoteAnchor"/>
          <w:rtl w:val="true"/>
        </w:rPr>
        <w:footnoteReference w:id="1626"/>
      </w:r>
      <w:r>
        <w:rPr>
          <w:rFonts w:ascii="Amiri" w:hAnsi="Amiri" w:eastAsia="Amiri" w:cs="Amiri"/>
          <w:color w:val="111111"/>
          <w:sz w:val="28"/>
          <w:sz w:val="28"/>
          <w:szCs w:val="28"/>
          <w:rtl w:val="true"/>
          <w:lang w:bidi="ar-SA"/>
        </w:rPr>
        <w:t>، و التخيير بين مجرّد الأوّلين</w:t>
      </w:r>
    </w:p>
    <w:p>
      <w:pPr>
        <w:pStyle w:val="BookText"/>
        <w:rPr/>
      </w:pPr>
      <w:r>
        <w:rPr>
          <w:rFonts w:ascii="Amiri" w:hAnsi="Amiri" w:eastAsia="Amiri" w:cs="Amiri"/>
          <w:color w:val="111111"/>
          <w:sz w:val="28"/>
          <w:sz w:val="28"/>
          <w:szCs w:val="28"/>
          <w:rtl w:val="true"/>
          <w:lang w:bidi="ar-SA"/>
        </w:rPr>
        <w:t xml:space="preserve">فقط كالصدوق و الشيخين </w:t>
      </w:r>
      <w:r>
        <w:rPr>
          <w:rStyle w:val="FootnoteAnchor"/>
          <w:rtl w:val="true"/>
        </w:rPr>
        <w:footnoteReference w:id="1627"/>
      </w:r>
      <w:r>
        <w:rPr>
          <w:rFonts w:ascii="Amiri" w:hAnsi="Amiri" w:eastAsia="Amiri" w:cs="Amiri"/>
          <w:color w:val="111111"/>
          <w:sz w:val="28"/>
          <w:sz w:val="28"/>
          <w:szCs w:val="28"/>
          <w:rtl w:val="true"/>
          <w:lang w:bidi="ar-SA"/>
        </w:rPr>
        <w:t xml:space="preserve">، أو الثلاثة الأوّلة كبعض الثالثة </w:t>
      </w:r>
      <w:r>
        <w:rPr>
          <w:rStyle w:val="FootnoteAnchor"/>
          <w:rtl w:val="true"/>
        </w:rPr>
        <w:footnoteReference w:id="1628"/>
      </w:r>
      <w:r>
        <w:rPr>
          <w:rFonts w:ascii="Amiri" w:hAnsi="Amiri" w:eastAsia="Amiri" w:cs="Amiri"/>
          <w:color w:val="111111"/>
          <w:sz w:val="28"/>
          <w:sz w:val="28"/>
          <w:szCs w:val="28"/>
          <w:rtl w:val="true"/>
          <w:lang w:bidi="ar-SA"/>
        </w:rPr>
        <w:t xml:space="preserve">، أو تعيّن الرابع كالمرتضى </w:t>
      </w:r>
      <w:r>
        <w:rPr>
          <w:rStyle w:val="FootnoteAnchor"/>
          <w:rtl w:val="true"/>
        </w:rPr>
        <w:footnoteReference w:id="1629"/>
      </w:r>
      <w:r>
        <w:rPr>
          <w:rFonts w:ascii="Amiri" w:hAnsi="Amiri" w:eastAsia="Amiri" w:cs="Amiri"/>
          <w:color w:val="111111"/>
          <w:sz w:val="28"/>
          <w:sz w:val="28"/>
          <w:szCs w:val="28"/>
          <w:rtl w:val="true"/>
          <w:lang w:bidi="ar-SA"/>
        </w:rPr>
        <w:t>يوجب طرح بعضها، و هو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استحباب هذا الاستظهار، وفاقاً للأكثر، لا جوازه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 و لا وجوبه كالشيخ و السيّد </w:t>
      </w:r>
      <w:r>
        <w:rPr>
          <w:rStyle w:val="FootnoteAnchor"/>
          <w:rtl w:val="true"/>
        </w:rPr>
        <w:footnoteReference w:id="1631"/>
      </w:r>
      <w:r>
        <w:rPr>
          <w:rFonts w:ascii="IRNazanin" w:hAnsi="IRNazanin" w:eastAsia="IRNazanin"/>
          <w:color w:val="111111"/>
          <w:sz w:val="28"/>
          <w:sz w:val="28"/>
          <w:szCs w:val="28"/>
          <w:rtl w:val="true"/>
          <w:lang w:bidi="fa-IR"/>
        </w:rPr>
        <w:t xml:space="preserve">و بعض من تأخّر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الموجبات و المسقطات بحمل الاولى على الرجحان و الثانية على الجواز، و الأخذ بظاهر الاولى كالموجب يوجب طرح الثانية، و حمل كلّ منهما على الجواز يوجب إرادة الإباحة من الأوامر الصريحة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إحداث الثالث لم يبعد حمل الاولى على كون الدم بصفة الحيض و اختلافها على اختلافه في ذلك، و الثانية علىٰ عدمه و إيجابه في الأوّل؛ لقوّة الظن حينئذٍ بكونه حيضاً، و إسقاطه في الثاني؛ للظن بخلافه، أو الثانية على مستقيمة الحيض و الأولى على غيرها؛ لظاهر الصحيحين </w:t>
      </w:r>
      <w:r>
        <w:rPr>
          <w:rStyle w:val="FootnoteAnchor"/>
          <w:rtl w:val="true"/>
        </w:rPr>
        <w:footnoteReference w:id="1633"/>
      </w:r>
      <w:r>
        <w:rPr>
          <w:rFonts w:ascii="Amiri" w:hAnsi="Amiri" w:eastAsia="Amiri" w:cs="Amiri"/>
          <w:color w:val="111111"/>
          <w:sz w:val="28"/>
          <w:sz w:val="28"/>
          <w:szCs w:val="28"/>
          <w:rtl w:val="true"/>
          <w:lang w:bidi="ar-SA"/>
        </w:rPr>
        <w:t>مع ما 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انقلاب الأحكام بالاختيار جائز، كتبدّل التخيير بالعينيّة باختيار الأربع في الأربع، و الثلاث في الثلاث، و أحد المتساويين من المجتهدين و الخبرين و الأمارتين، فلا يلزم في وجوب الاستظهار مع الحيرة في قدره التخيّر بين الواجب و تركه بلازم، و لا استحبابه أو جوازه مرجوحيّته العبادة أو إباحتها؛ إذ تعيّن أحد</w:t>
      </w:r>
    </w:p>
    <w:p>
      <w:pPr>
        <w:pStyle w:val="BookText"/>
        <w:rPr/>
      </w:pPr>
      <w:r>
        <w:rPr>
          <w:rFonts w:ascii="Amiri" w:hAnsi="Amiri" w:eastAsia="Amiri" w:cs="Amiri"/>
          <w:color w:val="111111"/>
          <w:sz w:val="28"/>
          <w:sz w:val="28"/>
          <w:szCs w:val="28"/>
          <w:rtl w:val="true"/>
          <w:lang w:bidi="ar-SA"/>
        </w:rPr>
        <w:t>الأقدار إنّما هو بالاختبار، فمع اختيار الأزيد لا يتّصف الأقل الحاصل قبله بالوجوب المسقط لغيره و إن استقلّ بالوجود؛ لعدم تعلّق القصد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فالدم على ترك الزائد لازم، و العبادة تصير باختيار الفعل أي بالتلبّس بها واجبة، و الترك أي بتأخيرها بالقصد إلى التضيّق محرّمة، فلا يلزم المرجوحيّة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التخيير قبل الاختيار بين الفعل و الترك المستحب أو الجائز يوجب أحد المحذورين و إن لم يلزم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التخيير رخصة شرعيّة في موضع التردّد لاستكشاف الحال، فالاستظهار طلب ظهورها في كون الدم حيضاً أو طهراً بالترك أو الفعل رخصة من الشرع لتساوي الطرفين، و رجّح الترك لأغلبيّة الحيض في الأوقات المتّصلة بالعادة، فقبل الاختيار لا يتّصف شي‌ء من الطرفين بحكم؛ لوجود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أكثر النصوص و الفتاوىٰ اختصاص هذا الاستظهار بذات العدديّة الوقتيّة، و الظاهر ثبوته لذات العددية الذاكرة للعدد الناسية للوقت أيضاً؛ لظاهر الصحيحين </w:t>
      </w:r>
      <w:r>
        <w:rPr>
          <w:rStyle w:val="FootnoteAnchor"/>
          <w:rtl w:val="true"/>
        </w:rPr>
        <w:footnoteReference w:id="1634"/>
      </w:r>
      <w:r>
        <w:rPr>
          <w:rFonts w:ascii="Amiri" w:hAnsi="Amiri" w:eastAsia="Amiri" w:cs="Amiri"/>
          <w:color w:val="111111"/>
          <w:sz w:val="28"/>
          <w:sz w:val="28"/>
          <w:szCs w:val="28"/>
          <w:rtl w:val="true"/>
          <w:lang w:bidi="ar-SA"/>
        </w:rPr>
        <w:t>، و غيرها من ذات الوقتيّة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المبتدأة و المضطربة لا استظهار لها بعد الرجوع إلى الأقارب أو العمل بالروايات؛ للأصل، وفاقاً للمعظم، و أثبته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للأخيرين </w:t>
      </w:r>
      <w:r>
        <w:rPr>
          <w:rStyle w:val="FootnoteAnchor"/>
          <w:rtl w:val="true"/>
        </w:rPr>
        <w:footnoteReference w:id="1635"/>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للمبتدأة بعد الرجوع إلى الأقران </w:t>
      </w:r>
      <w:r>
        <w:rPr>
          <w:rStyle w:val="FootnoteAnchor"/>
          <w:rtl w:val="true"/>
        </w:rPr>
        <w:footnoteReference w:id="1636"/>
      </w:r>
      <w:r>
        <w:rPr>
          <w:rFonts w:ascii="Amiri" w:hAnsi="Amiri" w:eastAsia="Amiri" w:cs="Amiri"/>
          <w:color w:val="111111"/>
          <w:sz w:val="28"/>
          <w:sz w:val="28"/>
          <w:szCs w:val="28"/>
          <w:rtl w:val="true"/>
          <w:lang w:bidi="ar-SA"/>
        </w:rPr>
        <w:t xml:space="preserve">للموثّق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استظهار مع النقاء؛ لإطلاق الأدلّة و خصوص المرسل </w:t>
      </w:r>
      <w:r>
        <w:rPr>
          <w:rStyle w:val="FootnoteAnchor"/>
          <w:rtl w:val="true"/>
        </w:rPr>
        <w:footnoteReference w:id="1638"/>
      </w:r>
      <w:r>
        <w:rPr>
          <w:rFonts w:ascii="Amiri" w:hAnsi="Amiri" w:eastAsia="Amiri" w:cs="Amiri"/>
          <w:color w:val="111111"/>
          <w:sz w:val="28"/>
          <w:sz w:val="28"/>
          <w:szCs w:val="28"/>
          <w:rtl w:val="true"/>
          <w:lang w:bidi="ar-SA"/>
        </w:rPr>
        <w:t>، و إن اعتادت العود بعده؛ للأصل و العموم، إلّا مع غلبة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النقاء يحصل بخروج القطنة نقيّة، و لا يكفي مجرّد الانقطاع؛ للإجماع و أدلّة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 لو انقطع الدم على العاشر أو ما قبله ظهر كون الجميع حيضاً، فيلزمه قضاء الصوم دون الصلاة، و إلّا تبيّن كون ما بعد العادة طهراً مع فقد التميّز مطلقاً، و مع وجوده على التفصيل الآتي، فيلزمه قضاء ما تركته في زمن الاستظهار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بينهم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أصالة بقاء الحيض و عدم الآفة عموم القاعدة المذكورة، و ظاهر الموثّق و الحسن و أحد المرسلين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لازمه ما دلّ على قضاء الحائض ما تركته من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الآخر </w:t>
      </w:r>
      <w:r>
        <w:rPr>
          <w:rStyle w:val="FootnoteAnchor"/>
          <w:rtl w:val="true"/>
        </w:rPr>
        <w:footnoteReference w:id="1640"/>
      </w:r>
      <w:r>
        <w:rPr>
          <w:rFonts w:ascii="Amiri" w:hAnsi="Amiri" w:eastAsia="Amiri" w:cs="Amiri"/>
          <w:color w:val="111111"/>
          <w:sz w:val="28"/>
          <w:sz w:val="28"/>
          <w:szCs w:val="28"/>
          <w:rtl w:val="true"/>
          <w:lang w:bidi="ar-SA"/>
        </w:rPr>
        <w:t>، و مطلقات طهرها بعد العادة، و يؤيّده أصالة بقائها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لازمه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صلاة فليقضها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الثالثة توقّف في هذه الأحكام </w:t>
      </w:r>
      <w:r>
        <w:rPr>
          <w:rStyle w:val="FootnoteAnchor"/>
          <w:rtl w:val="true"/>
        </w:rPr>
        <w:footnoteReference w:id="1642"/>
      </w:r>
      <w:r>
        <w:rPr>
          <w:rFonts w:ascii="IRNazanin" w:hAnsi="IRNazanin" w:eastAsia="IRNazanin"/>
          <w:color w:val="111111"/>
          <w:sz w:val="28"/>
          <w:sz w:val="28"/>
          <w:szCs w:val="28"/>
          <w:rtl w:val="true"/>
          <w:lang w:bidi="fa-IR"/>
        </w:rPr>
        <w:t xml:space="preserve">لفقد النص و ظهور أخبار الاستظهار </w:t>
      </w:r>
      <w:r>
        <w:rPr>
          <w:rStyle w:val="FootnoteAnchor"/>
          <w:rtl w:val="true"/>
        </w:rPr>
        <w:footnoteReference w:id="1643"/>
      </w:r>
      <w:r>
        <w:rPr>
          <w:rFonts w:ascii="Amiri" w:hAnsi="Amiri" w:eastAsia="Amiri" w:cs="Amiri"/>
          <w:color w:val="111111"/>
          <w:sz w:val="28"/>
          <w:sz w:val="28"/>
          <w:szCs w:val="28"/>
          <w:rtl w:val="true"/>
          <w:lang w:bidi="ar-SA"/>
        </w:rPr>
        <w:t>في تعيّن أيّامه بالتحيّض و سقوط الفائت فيها و ما بعده بالتطهّر مطلقاً من دون فرق بين الانقطاع و التجاوز، فيتوجّه المنع على كلّية الحكمين بخروجه</w:t>
      </w:r>
    </w:p>
    <w:p>
      <w:pPr>
        <w:pStyle w:val="BookText"/>
        <w:rPr/>
      </w:pPr>
      <w:r>
        <w:rPr>
          <w:rFonts w:ascii="Amiri" w:hAnsi="Amiri" w:eastAsia="Amiri" w:cs="Amiri"/>
          <w:color w:val="111111"/>
          <w:sz w:val="28"/>
          <w:sz w:val="28"/>
          <w:szCs w:val="28"/>
          <w:rtl w:val="true"/>
          <w:lang w:bidi="ar-SA"/>
        </w:rPr>
        <w:t>أيّامه عن الطهر في الثاني، و ما بعدها عن الحيض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بمنع الظهور فيما ذكر، و ظهورها في الاحتياط بالترك حتّى يظهر الحال بالانقطاع أو التجاوز، فيعمل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فيحمل على ذلك؛ للمعارض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فالمستفاد من أخبار الاستظهار إطلاق تعيّن أيّامه بالتحيّض، و ما بعده بالطهر، و من أحد المرسلين و مطلقات اغتسالها بعد العادة إطلاق كونها حيضاً و ما بعدها طهراً، و من الآخر و الموثّق و الحسن و القاعدة المذكورة إطلاق كون ما بعدها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الجمع؛ أن يحمل الاولى على ما ذكر، و الثانية على صورة التجاوز، و الثالثة على صورة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بأحد الإطلاقين يوجب طرح الآخر، على أنّ الظاهر وفاقهم على هذا التفصيل، كما يعطيه التصفّح، فتوقّف بعض الثالثة </w:t>
      </w:r>
      <w:r>
        <w:rPr>
          <w:rStyle w:val="FootnoteAnchor"/>
          <w:rtl w:val="true"/>
        </w:rPr>
        <w:footnoteReference w:id="1644"/>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وفاقهم أيضاً على استلزام كلّ من الحكمين ما ذكر من لازمه و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من عدم وجوب قضاء الفائت وقت الاستظهار في صورة التجاوز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لأمرها بالترك، فلا يتعقّب القضاء، و جوابه ظاهر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انقطع دمها لدون العشرة أدخلت قطنة، فإن خرجت نقيّة اغتسلت بالمستفيضة </w:t>
      </w:r>
      <w:r>
        <w:rPr>
          <w:rStyle w:val="FootnoteAnchor"/>
          <w:rtl w:val="true"/>
        </w:rPr>
        <w:footnoteReference w:id="1647"/>
      </w:r>
      <w:r>
        <w:rPr>
          <w:rFonts w:ascii="Amiri" w:hAnsi="Amiri" w:eastAsia="Amiri" w:cs="Amiri"/>
          <w:color w:val="111111"/>
          <w:sz w:val="28"/>
          <w:sz w:val="28"/>
          <w:szCs w:val="28"/>
          <w:rtl w:val="true"/>
          <w:lang w:bidi="ar-SA"/>
        </w:rPr>
        <w:t>، و إلّا صبرت المبتدأة و المضطربة إلى الإنقاء أو مضيّ عشرة،</w:t>
      </w:r>
      <w:bookmarkStart w:id="597" w:name="pg2479_11729"/>
    </w:p>
    <w:p>
      <w:pPr>
        <w:pStyle w:val="BookText"/>
        <w:rPr/>
      </w:pPr>
      <w:bookmarkEnd w:id="597"/>
      <w:r>
        <w:rPr>
          <w:rFonts w:ascii="IRNazanin" w:hAnsi="IRNazanin" w:eastAsia="IRNazanin"/>
          <w:color w:val="111111"/>
          <w:sz w:val="28"/>
          <w:sz w:val="28"/>
          <w:szCs w:val="28"/>
          <w:rtl w:val="true"/>
          <w:lang w:bidi="fa-IR"/>
        </w:rPr>
        <w:t xml:space="preserve">بالإجماع و الموثّقات الثلاث </w:t>
      </w:r>
      <w:r>
        <w:rPr>
          <w:rStyle w:val="FootnoteAnchor"/>
          <w:rtl w:val="true"/>
        </w:rPr>
        <w:footnoteReference w:id="1648"/>
      </w:r>
      <w:r>
        <w:rPr>
          <w:rFonts w:ascii="Amiri" w:hAnsi="Amiri" w:eastAsia="Amiri" w:cs="Amiri"/>
          <w:color w:val="111111"/>
          <w:sz w:val="28"/>
          <w:sz w:val="28"/>
          <w:szCs w:val="28"/>
          <w:rtl w:val="true"/>
          <w:lang w:bidi="ar-SA"/>
        </w:rPr>
        <w:t>، و ذات العادة إلى انقضاء وقت الاستظهار كما مرّ</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732251_3804643083"/>
      <w:bookmarkStart w:id="599" w:name="_Toc231"/>
      <w:bookmarkEnd w:id="598"/>
      <w:r>
        <w:rPr>
          <w:rtl w:val="true"/>
        </w:rPr>
        <w:t xml:space="preserve">فصل </w:t>
      </w:r>
      <w:r>
        <w:rPr>
          <w:rtl w:val="true"/>
        </w:rPr>
        <w:t>[</w:t>
      </w:r>
      <w:r>
        <w:rPr>
          <w:rtl w:val="true"/>
        </w:rPr>
        <w:t>أحكام ذات العادة</w:t>
      </w:r>
      <w:r>
        <w:rPr>
          <w:rtl w:val="true"/>
        </w:rPr>
        <w:t>]</w:t>
      </w:r>
      <w:bookmarkEnd w:id="599"/>
    </w:p>
    <w:p>
      <w:pPr>
        <w:pStyle w:val="BookText"/>
        <w:rPr/>
      </w:pPr>
      <w:r>
        <w:rPr>
          <w:rFonts w:ascii="Amiri" w:hAnsi="Amiri" w:eastAsia="Amiri" w:cs="Amiri"/>
          <w:color w:val="111111"/>
          <w:sz w:val="28"/>
          <w:sz w:val="28"/>
          <w:szCs w:val="28"/>
          <w:rtl w:val="true"/>
          <w:lang w:bidi="ar-SA"/>
        </w:rPr>
        <w:t>ما حكم بكونه حيضاً لو جاوز العشرة امتزج الحيض بالطهر، فذات العدديّة و الوقتيّة إن فقدت التمييز تجعلها حيضاً و الباقي استحاضة بالإجماع، فتقضي الفائت فيه من العبادة؛ لظهور طهرها فيه، و إلّا فمع توافق العادة و التمييز لا إشكال، و مع التخالف إن تخلّل بينهما أقل الطهر ففي الرجوع إليها، أو إليه، أو جعل كلّ منهما حيضاً منفرداً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لبعض الثالثة، تقديماً لإطلاق المصرّحات باعتبارها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ترجيحاً لإطلاق أخبار التمييز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عملًا بالإطلاقين داخلًا بالكلّية المذكورة، و لعلّه الأظهر؛ إذ على أحد الأوّلين يلزم طرح أحدهما من دون معارضة الآخر له؛ لاختلافهما في المحلّ، و تقديمها عليه كما يأتي إنّما هو مع التعارض؛ لاتّحادهما 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فمع إمكان الجمع بينهما بأن لا يتجاوز مجموعهما العشرة تجعلهما حيضاً واحداً، وفاقاً للمشهور، عملًا بالإطلاقين و عموم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عمل بأحدهما تارة و بالآخر اخرى </w:t>
      </w:r>
      <w:r>
        <w:rPr>
          <w:rStyle w:val="FootnoteAnchor"/>
          <w:rtl w:val="true"/>
        </w:rPr>
        <w:footnoteReference w:id="1651"/>
      </w:r>
      <w:r>
        <w:rPr>
          <w:rFonts w:ascii="Amiri" w:hAnsi="Amiri" w:eastAsia="Amiri" w:cs="Amiri"/>
          <w:color w:val="111111"/>
          <w:sz w:val="28"/>
          <w:sz w:val="28"/>
          <w:szCs w:val="28"/>
          <w:rtl w:val="true"/>
          <w:lang w:bidi="ar-SA"/>
        </w:rPr>
        <w:t>، و يلزمه طرح أحد الدليلين بلا تعارض بينهما؛</w:t>
      </w:r>
    </w:p>
    <w:p>
      <w:pPr>
        <w:pStyle w:val="BookText"/>
        <w:rPr/>
      </w:pPr>
      <w:r>
        <w:rPr>
          <w:rFonts w:ascii="Amiri" w:hAnsi="Amiri" w:eastAsia="Amiri" w:cs="Amiri"/>
          <w:color w:val="111111"/>
          <w:sz w:val="28"/>
          <w:sz w:val="28"/>
          <w:szCs w:val="28"/>
          <w:rtl w:val="true"/>
          <w:lang w:bidi="ar-SA"/>
        </w:rPr>
        <w:t>لعدم وحدة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بدونه بأن يجاوزها يرجع إلى العادة، وفاقاً للمعظم، لا إلى التمييز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 xml:space="preserve">، و لا إليها إن استفيدت من الأخذ و الانقطاع </w:t>
      </w:r>
      <w:r>
        <w:rPr>
          <w:rStyle w:val="FootnoteAnchor"/>
          <w:rtl w:val="true"/>
        </w:rPr>
        <w:footnoteReference w:id="1653"/>
      </w:r>
      <w:r>
        <w:rPr>
          <w:rFonts w:ascii="Amiri" w:hAnsi="Amiri" w:eastAsia="Amiri" w:cs="Amiri"/>
          <w:color w:val="111111"/>
          <w:sz w:val="28"/>
          <w:sz w:val="28"/>
          <w:szCs w:val="28"/>
          <w:rtl w:val="true"/>
          <w:lang w:bidi="ar-SA"/>
        </w:rPr>
        <w:t xml:space="preserve">و إليه إن استفيدت منه كالكركي </w:t>
      </w:r>
      <w:r>
        <w:rPr>
          <w:rStyle w:val="FootnoteAnchor"/>
          <w:rtl w:val="true"/>
        </w:rPr>
        <w:footnoteReference w:id="1654"/>
      </w:r>
      <w:r>
        <w:rPr>
          <w:rFonts w:ascii="Amiri" w:hAnsi="Amiri" w:eastAsia="Amiri" w:cs="Amiri"/>
          <w:color w:val="111111"/>
          <w:sz w:val="28"/>
          <w:sz w:val="28"/>
          <w:szCs w:val="28"/>
          <w:rtl w:val="true"/>
          <w:lang w:bidi="ar-SA"/>
        </w:rPr>
        <w:t xml:space="preserve">، و لا إلى أحدهما تخييراً كبعضهم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المستفيضة المصرّحة باعتبارها من الصحاح و الموثّقات و غيرها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أخبار التمييز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بتخصيصها بغير المعتادة </w:t>
      </w:r>
      <w:r>
        <w:rPr>
          <w:rStyle w:val="FootnoteAnchor"/>
          <w:rtl w:val="true"/>
        </w:rPr>
        <w:footnoteReference w:id="1658"/>
      </w:r>
      <w:r>
        <w:rPr>
          <w:rFonts w:ascii="Amiri" w:hAnsi="Amiri" w:eastAsia="Amiri" w:cs="Amiri"/>
          <w:color w:val="111111"/>
          <w:sz w:val="28"/>
          <w:sz w:val="28"/>
          <w:szCs w:val="28"/>
          <w:rtl w:val="true"/>
          <w:lang w:bidi="ar-SA"/>
        </w:rPr>
        <w:t>لأرجحيّة الاولىٰ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الجزء الأوّل الأُولىٰ، و على الثاني لزوم مزيّة الفرع على أصله لولاه،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التكافؤ،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العددية إن فقدت التمييز ترجع إلى العدد؛ لاستقراره، و في الوقت كالمضطربة فتضعه فيما شاءت منه، و إلّا فإن ساوى المتميّز عددها تحيّضت به، و إن نقص عنه جعلته جزء منه، و إن زاد عليه، فالظاهر الأخذ بالمجموع لا العدد خاصّة؛ لما 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 الوقتيّة مع الفقد تأخذ بالوقت؛ لاستقراره، و في العدد كناسيته،</w:t>
      </w:r>
      <w:bookmarkStart w:id="600" w:name="pg2479_11733"/>
    </w:p>
    <w:p>
      <w:pPr>
        <w:pStyle w:val="BookText"/>
        <w:rPr/>
      </w:pPr>
      <w:bookmarkEnd w:id="600"/>
      <w:r>
        <w:rPr>
          <w:rFonts w:ascii="Amiri" w:hAnsi="Amiri" w:eastAsia="Amiri" w:cs="Amiri"/>
          <w:color w:val="111111"/>
          <w:sz w:val="28"/>
          <w:sz w:val="28"/>
          <w:szCs w:val="28"/>
          <w:rtl w:val="true"/>
          <w:lang w:bidi="ar-SA"/>
        </w:rPr>
        <w:t>و يحتمل رجوعها إلى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التمييز إن وافق الوقت في الابتداء جعلته أوّل الحيض و آخره آخر التميّز مع الإمكان أخذاً بالإطلاقين و عموم القاعدة؛ و إلّا فإن تخيّر بين التميّز و ما يأخذه عادة أقلّ الطهر احتمل التحيّض بالعادة أو التميّز أو جعل كلّ منهما حيضاً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فمع إمكان الجمع بأن لا يتجاوز مجموعهما العشرة احتمل الأخذ بأحدهما أو كليهما، و بدونه بأحدهما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الثلاثة في الثلاثة أوّلها؛ إذ العادة المعتبرة في النصوص تعم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يتعيّن الجمع مع إمكانه جمعاً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3732253_3804643083"/>
      <w:bookmarkStart w:id="602" w:name="_Toc232"/>
      <w:bookmarkEnd w:id="601"/>
      <w:r>
        <w:rPr>
          <w:rtl w:val="true"/>
        </w:rPr>
        <w:t xml:space="preserve">فصل </w:t>
      </w:r>
      <w:r>
        <w:rPr>
          <w:rtl w:val="true"/>
        </w:rPr>
        <w:t>[</w:t>
      </w:r>
      <w:r>
        <w:rPr>
          <w:rtl w:val="true"/>
        </w:rPr>
        <w:t>استقرار العادة علىٰ عدد</w:t>
      </w:r>
      <w:r>
        <w:rPr>
          <w:rtl w:val="true"/>
        </w:rPr>
        <w:t>]</w:t>
      </w:r>
      <w:bookmarkEnd w:id="602"/>
    </w:p>
    <w:p>
      <w:pPr>
        <w:pStyle w:val="BookText"/>
        <w:rPr/>
      </w:pPr>
      <w:r>
        <w:rPr>
          <w:rFonts w:ascii="Amiri" w:hAnsi="Amiri" w:eastAsia="Amiri" w:cs="Amiri"/>
          <w:color w:val="111111"/>
          <w:sz w:val="28"/>
          <w:sz w:val="28"/>
          <w:szCs w:val="28"/>
          <w:rtl w:val="true"/>
          <w:lang w:bidi="ar-SA"/>
        </w:rPr>
        <w:t>العادة تستقرّ إمّا على عدد واحد، فاعتبارها ظاهر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أعداد مختلفة في أدوار متّسعة كأن ترى الثلاثة و الأربعة و الخمسة بالترتيب، أو بدونه في ثلاثة أشهر، ثمّ في ثلاثة أُخر، أو كلّاً منها في شهرين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كونها كالأُولى في الثبوت بتكرّرها مرّتين؛ لإطلاق الأخبار </w:t>
      </w:r>
      <w:r>
        <w:rPr>
          <w:rStyle w:val="FootnoteAnchor"/>
          <w:rtl w:val="true"/>
        </w:rPr>
        <w:footnoteReference w:id="1659"/>
      </w:r>
      <w:r>
        <w:rPr>
          <w:rFonts w:ascii="Amiri" w:hAnsi="Amiri" w:eastAsia="Amiri" w:cs="Amiri"/>
          <w:color w:val="111111"/>
          <w:sz w:val="28"/>
          <w:sz w:val="28"/>
          <w:szCs w:val="28"/>
          <w:rtl w:val="true"/>
          <w:lang w:bidi="ar-SA"/>
        </w:rPr>
        <w:t>و اشتراكهما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ثبوتها باعتبار تعاقب الأقدار المختلفة في سنين كثيرة ممّا لا ريب فيه، فتثبت في الأقل بعدم القول بالفصل، و في المرجعيّة و الاعتبار، وفاقاً للفاضلين </w:t>
      </w:r>
      <w:r>
        <w:rPr>
          <w:rStyle w:val="FootnoteAnchor"/>
          <w:rtl w:val="true"/>
        </w:rPr>
        <w:footnoteReference w:id="1660"/>
      </w:r>
      <w:r>
        <w:rPr>
          <w:rFonts w:ascii="IRNazanin" w:hAnsi="IRNazanin" w:eastAsia="IRNazanin"/>
          <w:color w:val="111111"/>
          <w:sz w:val="28"/>
          <w:sz w:val="28"/>
          <w:szCs w:val="28"/>
          <w:rtl w:val="true"/>
          <w:lang w:bidi="fa-IR"/>
        </w:rPr>
        <w:t xml:space="preserve">لعموم أخبار الأقراء </w:t>
      </w:r>
      <w:r>
        <w:rPr>
          <w:rStyle w:val="FootnoteAnchor"/>
          <w:rtl w:val="true"/>
        </w:rPr>
        <w:footnoteReference w:id="1661"/>
      </w:r>
      <w:r>
        <w:rPr>
          <w:rFonts w:ascii="Amiri" w:hAnsi="Amiri" w:eastAsia="Amiri" w:cs="Amiri"/>
          <w:color w:val="111111"/>
          <w:sz w:val="28"/>
          <w:sz w:val="28"/>
          <w:szCs w:val="28"/>
          <w:rtl w:val="true"/>
          <w:lang w:bidi="ar-SA"/>
        </w:rPr>
        <w:t>و غيرها، و يعضده اشتراكهما في العلّة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غلبة الظن ببقاء المعتاد في موضع الشكّ و استلزامه اعتبار دورين يتمّ كلّ منهما في سنة أو أكثر لا ضير فيه، على أنّه فرض نادر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الشهيد </w:t>
      </w:r>
      <w:r>
        <w:rPr>
          <w:rStyle w:val="FootnoteAnchor"/>
          <w:rtl w:val="true"/>
        </w:rPr>
        <w:footnoteReference w:id="1662"/>
      </w:r>
      <w:r>
        <w:rPr>
          <w:rFonts w:ascii="Amiri" w:hAnsi="Amiri" w:eastAsia="Amiri" w:cs="Amiri"/>
          <w:color w:val="111111"/>
          <w:sz w:val="28"/>
          <w:sz w:val="28"/>
          <w:szCs w:val="28"/>
          <w:rtl w:val="true"/>
          <w:lang w:bidi="ar-SA"/>
        </w:rPr>
        <w:t>التوقّف؛ لنسخ كلّ عدد ما قبله، فيخرجه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المختار لو تجاوز عن العشرة في شهر تحيّضت فيه بنوبته و في تاليه على العادة، و لو استمرّ تحيّضت في كلّ شهر بنوبته، و لو نسيت النوبة أخذت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المذكور تأخذ بالثلاثة دائماً؛ لاحتمال كون كلّ شهر شهرها، و لو علمت عدمها في شهر أخذت فيه بالأربعة ثمّ ثلاثة ثلاثة؛ لاحتمال كون هذا الشهر شهر الخمسة، فتاليه ثلاثة، و الأربعة فتالي تاليه ثلاثة، و أمّا في الرابع فتتحيّض بالأربعة، ثمّ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كلّ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مقاديرها ثلاثة و خمسة و سبعة و تسعة، و تردّدت بين الوسطين أخذت بالخمسة؛ لأنّها الأقلّ، و في الثاني يقع التردّد بين الأخيرتين فتأخذ بالسبعة، و في الثالث يقع التردّد بين التسعة و الثلاثة فتأخذ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احتمل الرجوع إلى التمييز، و مع فقده إلى الروايات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الحقّ تبعيّة الغسل للحكم بالتحيّض، فمع النسيان و التحيّض بالثلاثة يكفي غسل واحد بعدها؛ لأنّها حينئذٍ كالناسية المتحيّضة بالأقل، فتكتفي بغسل واحد مثلها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الفاضل أوجب ثلاثة في أواخر الثلاثة </w:t>
      </w:r>
      <w:r>
        <w:rPr>
          <w:rStyle w:val="FootnoteAnchor"/>
          <w:rtl w:val="true"/>
        </w:rPr>
        <w:footnoteReference w:id="1664"/>
      </w:r>
      <w:r>
        <w:rPr>
          <w:rFonts w:ascii="Amiri" w:hAnsi="Amiri" w:eastAsia="Amiri" w:cs="Amiri"/>
          <w:color w:val="111111"/>
          <w:sz w:val="28"/>
          <w:sz w:val="28"/>
          <w:szCs w:val="28"/>
          <w:rtl w:val="true"/>
          <w:lang w:bidi="ar-SA"/>
        </w:rPr>
        <w:t>، محتجّاً بالاستصحاب و توقّف</w:t>
      </w:r>
      <w:bookmarkStart w:id="603" w:name="pg2479_11737"/>
    </w:p>
    <w:p>
      <w:pPr>
        <w:pStyle w:val="BookText"/>
        <w:rPr/>
      </w:pPr>
      <w:bookmarkEnd w:id="603"/>
      <w:r>
        <w:rPr>
          <w:rFonts w:ascii="Amiri" w:hAnsi="Amiri" w:eastAsia="Amiri" w:cs="Amiri"/>
          <w:color w:val="111111"/>
          <w:sz w:val="28"/>
          <w:sz w:val="28"/>
          <w:szCs w:val="28"/>
          <w:rtl w:val="true"/>
          <w:lang w:bidi="ar-SA"/>
        </w:rPr>
        <w:t>البراءة من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بوقوع التردّد أولًا بين الثلاثة فلا يجري الاستصحاب، و الثاني بالمنع لعدم تيقّن الشغل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فساد فرقه بين هذه و الناسية بالعلم بالزائد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 فرض العلم به لا وجه للتخصيص بالأقلّ، و كيف يجتمع عدم التحيّض و وجوب العبادة في الرابع و الخامس مع وجوب الغسل بعدهما؟</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3732255_3804643083"/>
      <w:bookmarkStart w:id="605" w:name="_Toc233"/>
      <w:bookmarkEnd w:id="604"/>
      <w:r>
        <w:rPr>
          <w:rtl w:val="true"/>
        </w:rPr>
        <w:t xml:space="preserve">فصل </w:t>
      </w:r>
      <w:r>
        <w:rPr>
          <w:rtl w:val="true"/>
        </w:rPr>
        <w:t>[</w:t>
      </w:r>
      <w:r>
        <w:rPr>
          <w:rtl w:val="true"/>
        </w:rPr>
        <w:t>تحيّض المبتدأة</w:t>
      </w:r>
      <w:r>
        <w:rPr>
          <w:rtl w:val="true"/>
        </w:rPr>
        <w:t>]</w:t>
      </w:r>
      <w:bookmarkEnd w:id="605"/>
    </w:p>
    <w:p>
      <w:pPr>
        <w:pStyle w:val="Heading6"/>
        <w:numPr>
          <w:ilvl w:val="5"/>
          <w:numId w:val="1"/>
        </w:numPr>
        <w:rPr/>
      </w:pPr>
      <w:bookmarkStart w:id="606" w:name="__RefHeading___Toc3732257_3804643083"/>
      <w:bookmarkStart w:id="607" w:name="_Toc234"/>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المبتدأة الأعمّ مع التمييز ترجع إليه بالإجماعين و إطلاق أخباره </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إطلاقات أخذها بالأيّام مقيّدة به؛ لكونه أقوى بالكثرة و الصحّة و أصرحيّة الدلالة و الاعتضاد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بدونه إن كانت لها أقارب متّفقة في العادة ترجع إليهنّ بالإجماع؛ للمضمر و الموثّق </w:t>
      </w:r>
      <w:r>
        <w:rPr>
          <w:rStyle w:val="FootnoteAnchor"/>
          <w:rtl w:val="true"/>
        </w:rPr>
        <w:footnoteReference w:id="1666"/>
      </w:r>
      <w:r>
        <w:rPr>
          <w:rFonts w:ascii="Amiri" w:hAnsi="Amiri" w:eastAsia="Amiri" w:cs="Amiri"/>
          <w:color w:val="111111"/>
          <w:sz w:val="28"/>
          <w:sz w:val="28"/>
          <w:szCs w:val="28"/>
          <w:rtl w:val="true"/>
          <w:lang w:bidi="ar-SA"/>
        </w:rPr>
        <w:t xml:space="preserve">، و إلّا فالمختار تحيّضها بالثلاثة إلى العشرة وفاقاً للصدوق و المرتضىٰ </w:t>
      </w:r>
      <w:r>
        <w:rPr>
          <w:rStyle w:val="FootnoteAnchor"/>
          <w:rtl w:val="true"/>
        </w:rPr>
        <w:footnoteReference w:id="1667"/>
      </w:r>
      <w:r>
        <w:rPr>
          <w:rFonts w:ascii="Amiri" w:hAnsi="Amiri" w:eastAsia="Amiri" w:cs="Amiri"/>
          <w:color w:val="111111"/>
          <w:sz w:val="28"/>
          <w:sz w:val="28"/>
          <w:szCs w:val="28"/>
          <w:rtl w:val="true"/>
          <w:lang w:bidi="ar-SA"/>
        </w:rPr>
        <w:t>، لكن مع أفضليّة العشرة في الدور الأوّل و الثلاثة في غيره ثمّ السبعة أو الستّة في كلّ دور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بالسبعة في كلّ شهر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 و لا بالثلاثة فيه كظاهر الإسكافي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 و لا بالعشرة فيه كبعضهم </w:t>
      </w:r>
      <w:r>
        <w:rPr>
          <w:rStyle w:val="FootnoteAnchor"/>
          <w:rtl w:val="true"/>
        </w:rPr>
        <w:footnoteReference w:id="1670"/>
      </w:r>
      <w:r>
        <w:rPr>
          <w:rFonts w:ascii="Amiri" w:hAnsi="Amiri" w:eastAsia="Amiri" w:cs="Amiri"/>
          <w:color w:val="111111"/>
          <w:sz w:val="28"/>
          <w:sz w:val="28"/>
          <w:szCs w:val="28"/>
          <w:rtl w:val="true"/>
          <w:lang w:bidi="ar-SA"/>
        </w:rPr>
        <w:t>، و لا بالثلاثة في الشهر الأوّل</w:t>
      </w:r>
    </w:p>
    <w:p>
      <w:pPr>
        <w:pStyle w:val="BookText"/>
        <w:rPr/>
      </w:pPr>
      <w:r>
        <w:rPr>
          <w:rFonts w:ascii="Amiri" w:hAnsi="Amiri" w:eastAsia="Amiri" w:cs="Amiri"/>
          <w:color w:val="111111"/>
          <w:sz w:val="28"/>
          <w:sz w:val="28"/>
          <w:szCs w:val="28"/>
          <w:rtl w:val="true"/>
          <w:lang w:bidi="ar-SA"/>
        </w:rPr>
        <w:t xml:space="preserve">و العشرة في الثاني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القاضي </w:t>
      </w:r>
      <w:r>
        <w:rPr>
          <w:rStyle w:val="FootnoteAnchor"/>
          <w:rtl w:val="true"/>
        </w:rPr>
        <w:footnoteReference w:id="1671"/>
      </w:r>
      <w:r>
        <w:rPr>
          <w:rFonts w:ascii="Amiri" w:hAnsi="Amiri" w:eastAsia="Amiri" w:cs="Amiri"/>
          <w:color w:val="111111"/>
          <w:sz w:val="28"/>
          <w:sz w:val="28"/>
          <w:szCs w:val="28"/>
          <w:rtl w:val="true"/>
          <w:lang w:bidi="ar-SA"/>
        </w:rPr>
        <w:t xml:space="preserve">، و لا عكس ذلك كبعضهم </w:t>
      </w:r>
      <w:r>
        <w:rPr>
          <w:rStyle w:val="FootnoteAnchor"/>
          <w:rtl w:val="true"/>
        </w:rPr>
        <w:footnoteReference w:id="1672"/>
      </w:r>
      <w:r>
        <w:rPr>
          <w:rFonts w:ascii="Amiri" w:hAnsi="Amiri" w:eastAsia="Amiri" w:cs="Amiri"/>
          <w:color w:val="111111"/>
          <w:sz w:val="28"/>
          <w:sz w:val="28"/>
          <w:szCs w:val="28"/>
          <w:rtl w:val="true"/>
          <w:lang w:bidi="ar-SA"/>
        </w:rPr>
        <w:t xml:space="preserve">، و لا تخييرها بين الثلاثة في الأوّل و العشرة في الثاني و بين سبعة في كلّ شهر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 و لا بين الثلاثة من شهر و عشرة من آخر و بين السبعة في كلّ شهر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 و لا بين ما ذكر و بين الستّة أيضاً من كلّ شهر كالفاضل </w:t>
      </w:r>
      <w:r>
        <w:rPr>
          <w:rStyle w:val="FootnoteAnchor"/>
          <w:rtl w:val="true"/>
        </w:rPr>
        <w:footnoteReference w:id="1675"/>
      </w:r>
      <w:r>
        <w:rPr>
          <w:rFonts w:ascii="Amiri" w:hAnsi="Amiri" w:eastAsia="Amiri" w:cs="Amiri"/>
          <w:color w:val="111111"/>
          <w:sz w:val="28"/>
          <w:sz w:val="28"/>
          <w:szCs w:val="28"/>
          <w:rtl w:val="true"/>
          <w:lang w:bidi="ar-SA"/>
        </w:rPr>
        <w:t xml:space="preserve">و جماعة، و لا جعلها عشرة حيضاً و عشرة طهراً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عشرةٌ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أخبار المقام بالمضمر </w:t>
      </w:r>
      <w:r>
        <w:rPr>
          <w:rStyle w:val="FootnoteAnchor"/>
          <w:rtl w:val="true"/>
        </w:rPr>
        <w:footnoteReference w:id="1677"/>
      </w:r>
      <w:r>
        <w:rPr>
          <w:rFonts w:ascii="Amiri" w:hAnsi="Amiri" w:eastAsia="Amiri" w:cs="Amiri"/>
          <w:color w:val="111111"/>
          <w:sz w:val="28"/>
          <w:sz w:val="28"/>
          <w:szCs w:val="28"/>
          <w:rtl w:val="true"/>
          <w:lang w:bidi="ar-SA"/>
        </w:rPr>
        <w:t xml:space="preserve">المصرّح بأنّ أكثر جلوس المبتدأة مع استمرار الدم عشرة و أقلّه ثلاثة، و الموثّقين </w:t>
      </w:r>
      <w:r>
        <w:rPr>
          <w:rStyle w:val="FootnoteAnchor"/>
          <w:rtl w:val="true"/>
        </w:rPr>
        <w:footnoteReference w:id="1678"/>
      </w:r>
      <w:r>
        <w:rPr>
          <w:rFonts w:ascii="Amiri" w:hAnsi="Amiri" w:eastAsia="Amiri" w:cs="Amiri"/>
          <w:color w:val="111111"/>
          <w:sz w:val="28"/>
          <w:sz w:val="28"/>
          <w:szCs w:val="28"/>
          <w:rtl w:val="true"/>
          <w:lang w:bidi="ar-SA"/>
        </w:rPr>
        <w:t xml:space="preserve">المصرّحين بتحيّضها في الدور الأوّل بعشرة و في البواقي بثلاثة، و المرسل </w:t>
      </w:r>
      <w:r>
        <w:rPr>
          <w:rStyle w:val="FootnoteAnchor"/>
          <w:rtl w:val="true"/>
        </w:rPr>
        <w:footnoteReference w:id="1679"/>
      </w:r>
      <w:r>
        <w:rPr>
          <w:rFonts w:ascii="Amiri" w:hAnsi="Amiri" w:eastAsia="Amiri" w:cs="Amiri"/>
          <w:color w:val="111111"/>
          <w:sz w:val="28"/>
          <w:sz w:val="28"/>
          <w:szCs w:val="28"/>
          <w:rtl w:val="true"/>
          <w:lang w:bidi="ar-SA"/>
        </w:rPr>
        <w:t xml:space="preserve">الآمر بتحيّضها في كلّ شهر بسبعة أو ستّة، و الجمع الموجب للعمل بالكلّ أن يؤخذ بمضمون الأوّل؛ لدعوى الشيخ إجماع الفرقة على العمل به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ظاهر الخبر </w:t>
      </w:r>
      <w:r>
        <w:rPr>
          <w:rStyle w:val="FootnoteAnchor"/>
          <w:rtl w:val="true"/>
        </w:rPr>
        <w:footnoteReference w:id="1681"/>
      </w:r>
      <w:r>
        <w:rPr>
          <w:rFonts w:ascii="Amiri" w:hAnsi="Amiri" w:eastAsia="Amiri" w:cs="Amiri"/>
          <w:color w:val="111111"/>
          <w:sz w:val="28"/>
          <w:sz w:val="28"/>
          <w:szCs w:val="28"/>
          <w:rtl w:val="true"/>
          <w:lang w:bidi="ar-SA"/>
        </w:rPr>
        <w:t>و استواء مراتب الأعداد الواقعة بين الثلاثة و العشرة عندنا في كونها حيضاً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التخيير بينهما؛ لئلّا يلزم التحكّم، و يحمل الثاني علىٰ بعض مراتب</w:t>
      </w:r>
      <w:bookmarkStart w:id="608" w:name="pg2479_11741"/>
    </w:p>
    <w:p>
      <w:pPr>
        <w:pStyle w:val="BookText"/>
        <w:rPr/>
      </w:pPr>
      <w:bookmarkEnd w:id="608"/>
      <w:r>
        <w:rPr>
          <w:rFonts w:ascii="Amiri" w:hAnsi="Amiri" w:eastAsia="Amiri" w:cs="Amiri"/>
          <w:color w:val="111111"/>
          <w:sz w:val="28"/>
          <w:sz w:val="28"/>
          <w:szCs w:val="28"/>
          <w:rtl w:val="true"/>
          <w:lang w:bidi="ar-SA"/>
        </w:rPr>
        <w:t>الفضيلة، و الأخير على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الأقوال المخالفة يلزم طرح البعض أو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للمخالف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المرسل </w:t>
      </w:r>
      <w:r>
        <w:rPr>
          <w:rStyle w:val="FootnoteAnchor"/>
          <w:rtl w:val="true"/>
        </w:rPr>
        <w:footnoteReference w:id="1682"/>
      </w:r>
      <w:r>
        <w:rPr>
          <w:rFonts w:ascii="Amiri" w:hAnsi="Amiri" w:eastAsia="Amiri" w:cs="Amiri"/>
          <w:color w:val="111111"/>
          <w:sz w:val="28"/>
          <w:sz w:val="28"/>
          <w:szCs w:val="28"/>
          <w:rtl w:val="true"/>
          <w:lang w:bidi="ar-SA"/>
        </w:rPr>
        <w:t>، و لا دلالة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هذه الأخبار لإثبات الحكم، فيؤخذ بالأقل؛ لفقد الدليل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المذكورة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بهذه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مستند للرابع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الموثّقان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للسادس و السابع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و بين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فساده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ظاهر ممّا مرّ</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3732259_3804643083"/>
      <w:bookmarkStart w:id="610" w:name="_Toc235"/>
      <w:bookmarkEnd w:id="609"/>
      <w:r>
        <w:rPr>
          <w:rtl w:val="true"/>
        </w:rPr>
        <w:t>فروع</w:t>
      </w:r>
      <w:r>
        <w:rPr>
          <w:rtl w:val="true"/>
        </w:rPr>
        <w:t>:</w:t>
      </w:r>
      <w:bookmarkEnd w:id="610"/>
    </w:p>
    <w:p>
      <w:pPr>
        <w:pStyle w:val="Heading6"/>
        <w:numPr>
          <w:ilvl w:val="5"/>
          <w:numId w:val="1"/>
        </w:numPr>
        <w:rPr/>
      </w:pPr>
      <w:bookmarkStart w:id="611" w:name="__RefHeading___Toc3732261_3804643083"/>
      <w:bookmarkStart w:id="612" w:name="_Toc236"/>
      <w:bookmarkEnd w:id="611"/>
      <w:r>
        <w:rPr>
          <w:rtl w:val="true"/>
        </w:rPr>
        <w:t>الأوّل</w:t>
      </w:r>
      <w:r>
        <w:rPr>
          <w:rtl w:val="true"/>
        </w:rPr>
        <w:t>:</w:t>
      </w:r>
      <w:bookmarkEnd w:id="61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وجد التمييز و رجعت إليه، اشترط أن لا ينقص المشابه للحيض عن الثلاثة المتوالية و لا يزيد عن العشرة؛ لإطلاق الأدلّة، و حكاية الإجماع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أخبار التمييز </w:t>
      </w:r>
      <w:r>
        <w:rPr>
          <w:rStyle w:val="FootnoteAnchor"/>
          <w:rtl w:val="true"/>
        </w:rPr>
        <w:footnoteReference w:id="1686"/>
      </w:r>
      <w:r>
        <w:rPr>
          <w:rFonts w:ascii="Amiri" w:hAnsi="Amiri" w:eastAsia="Amiri" w:cs="Amiri"/>
          <w:color w:val="111111"/>
          <w:sz w:val="28"/>
          <w:sz w:val="28"/>
          <w:szCs w:val="28"/>
          <w:rtl w:val="true"/>
          <w:lang w:bidi="ar-SA"/>
        </w:rPr>
        <w:t xml:space="preserve">مقيّد بهما، فمخالفة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bookmarkStart w:id="613" w:name="pg2479_11743"/>
    </w:p>
    <w:p>
      <w:pPr>
        <w:pStyle w:val="BookText"/>
        <w:rPr/>
      </w:pPr>
      <w:bookmarkEnd w:id="613"/>
      <w:r>
        <w:rPr>
          <w:rFonts w:ascii="Amiri" w:hAnsi="Amiri" w:eastAsia="Amiri" w:cs="Amiri"/>
          <w:color w:val="111111"/>
          <w:sz w:val="28"/>
          <w:sz w:val="28"/>
          <w:szCs w:val="28"/>
          <w:rtl w:val="true"/>
          <w:lang w:bidi="ar-SA"/>
        </w:rPr>
        <w:t xml:space="preserve">و أن يبلغ غيره مع أيّام النقاء عشرة، وفاقاً للفاضلين و الثانيين </w:t>
      </w:r>
      <w:r>
        <w:rPr>
          <w:rStyle w:val="FootnoteAnchor"/>
          <w:rtl w:val="true"/>
        </w:rPr>
        <w:footnoteReference w:id="1688"/>
      </w:r>
      <w:r>
        <w:rPr>
          <w:rFonts w:ascii="Amiri" w:hAnsi="Amiri" w:eastAsia="Amiri" w:cs="Amiri"/>
          <w:color w:val="111111"/>
          <w:sz w:val="28"/>
          <w:sz w:val="28"/>
          <w:szCs w:val="28"/>
          <w:rtl w:val="true"/>
          <w:lang w:bidi="ar-SA"/>
        </w:rPr>
        <w:t>و أكثر الثالثة؛ إذ مقتضى التقابل كونه طهراً، فلا بدّ أن يبلغها؛ لعموم الأخبار، و تكرّر نقل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عدم الاشتراط؛ لعموم أخبار التمييز، و خصوص الموثّقين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الأوّل بالتخصّص، و عن الثاني بالتأويل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رأت خمسة أسود ثمّ خمسة أصفر ثمّ عاد الأسود عشرة، تحيّضت بأوّل الأسودين على المختار، و بهما على غيره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732263_3804643083"/>
      <w:bookmarkStart w:id="615" w:name="_Toc237"/>
      <w:bookmarkEnd w:id="614"/>
      <w:r>
        <w:rPr>
          <w:rtl w:val="true"/>
        </w:rPr>
        <w:t>الثاني</w:t>
      </w:r>
      <w:r>
        <w:rPr>
          <w:rtl w:val="true"/>
        </w:rPr>
        <w:t>:</w:t>
      </w:r>
      <w:bookmarkEnd w:id="615"/>
    </w:p>
    <w:p>
      <w:pPr>
        <w:pStyle w:val="BookText"/>
        <w:rPr/>
      </w:pPr>
      <w:r>
        <w:rPr>
          <w:rFonts w:ascii="Amiri" w:hAnsi="Amiri" w:eastAsia="Amiri" w:cs="Amiri"/>
          <w:color w:val="111111"/>
          <w:sz w:val="28"/>
          <w:sz w:val="28"/>
          <w:szCs w:val="28"/>
          <w:rtl w:val="true"/>
          <w:lang w:bidi="ar-SA"/>
        </w:rPr>
        <w:t>المنصوص من 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و الدفع و الحرارة، بل الحمرة و الكثرة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الجماعة القوّة </w:t>
      </w:r>
      <w:r>
        <w:rPr>
          <w:rStyle w:val="FootnoteAnchor"/>
          <w:rtl w:val="true"/>
        </w:rPr>
        <w:footnoteReference w:id="1692"/>
      </w:r>
      <w:r>
        <w:rPr>
          <w:rFonts w:ascii="Amiri" w:hAnsi="Amiri" w:eastAsia="Amiri" w:cs="Amiri"/>
          <w:color w:val="111111"/>
          <w:sz w:val="28"/>
          <w:sz w:val="28"/>
          <w:szCs w:val="28"/>
          <w:rtl w:val="true"/>
          <w:lang w:bidi="ar-SA"/>
        </w:rPr>
        <w:t>، و هي إمّا باللون، فالأسود قويّ الأحمر، و هو قويّ 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بالقوام، فالثخين قويّ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بالرائحة، فالمنتن قويّ غيره، و ذو الثلاثة قويّ ذي الاثنين، و هو قويّ ذي الواحد، و هو قوي العادم، و لو استوى العدد مع الاختلاف فلا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نظرهم إلى ابتناء الأوصاف على الظن و الغلبة، و الغالب المظنون كون دم الحيض أقوى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أكثر مراتب القوّة يرجع إلى النصوص</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3732265_3804643083"/>
      <w:bookmarkStart w:id="617" w:name="_Toc238"/>
      <w:bookmarkEnd w:id="616"/>
      <w:r>
        <w:rPr>
          <w:rtl w:val="true"/>
        </w:rPr>
        <w:t>الثالث</w:t>
      </w:r>
      <w:r>
        <w:rPr>
          <w:rtl w:val="true"/>
        </w:rPr>
        <w:t>:</w:t>
      </w:r>
      <w:bookmarkEnd w:id="6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يلزم التكرار في المتميّز، فلو رأت ما بصفة الحيض في شهر ثلاثة</w:t>
      </w:r>
      <w:bookmarkStart w:id="618" w:name="pg2479_11745"/>
    </w:p>
    <w:p>
      <w:pPr>
        <w:pStyle w:val="BookText"/>
        <w:rPr/>
      </w:pPr>
      <w:bookmarkEnd w:id="618"/>
      <w:r>
        <w:rPr>
          <w:rFonts w:ascii="Amiri" w:hAnsi="Amiri" w:eastAsia="Amiri" w:cs="Amiri"/>
          <w:color w:val="111111"/>
          <w:sz w:val="28"/>
          <w:sz w:val="28"/>
          <w:szCs w:val="28"/>
          <w:rtl w:val="true"/>
          <w:lang w:bidi="ar-SA"/>
        </w:rPr>
        <w:t>و في آخر أربعة، و في ثالث خمسة تحيّضت بكلّ منها، من دون اشتراط التساوي في العدد</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732267_3804643083"/>
      <w:bookmarkStart w:id="620" w:name="_Toc239"/>
      <w:bookmarkEnd w:id="619"/>
      <w:r>
        <w:rPr>
          <w:rtl w:val="true"/>
        </w:rPr>
        <w:t>الرابع</w:t>
      </w:r>
      <w:r>
        <w:rPr>
          <w:rtl w:val="true"/>
        </w:rPr>
        <w:t>:</w:t>
      </w:r>
      <w:bookmarkEnd w:id="620"/>
    </w:p>
    <w:p>
      <w:pPr>
        <w:pStyle w:val="BookText"/>
        <w:rPr/>
      </w:pPr>
      <w:r>
        <w:rPr>
          <w:rFonts w:ascii="Amiri" w:hAnsi="Amiri" w:eastAsia="Amiri" w:cs="Amiri"/>
          <w:color w:val="111111"/>
          <w:sz w:val="28"/>
          <w:sz w:val="28"/>
          <w:szCs w:val="28"/>
          <w:rtl w:val="true"/>
          <w:lang w:bidi="ar-SA"/>
        </w:rPr>
        <w:t>ذات التمييز يمكن أن تترك العبادة شهراً، بأن تتحيّض بالأضعف، ثمّ ترى الأقوى فيتبيّن أنّه الحيض و السابق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إلى أن يتم الشهر أو أكثر</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3732269_3804643083"/>
      <w:bookmarkStart w:id="622" w:name="_Toc240"/>
      <w:bookmarkEnd w:id="621"/>
      <w:r>
        <w:rPr>
          <w:rtl w:val="true"/>
        </w:rPr>
        <w:t>الخامس</w:t>
      </w:r>
      <w:r>
        <w:rPr>
          <w:rtl w:val="true"/>
        </w:rPr>
        <w:t>:</w:t>
      </w:r>
      <w:bookmarkEnd w:id="622"/>
    </w:p>
    <w:p>
      <w:pPr>
        <w:pStyle w:val="BookText"/>
        <w:rPr/>
      </w:pPr>
      <w:r>
        <w:rPr>
          <w:rFonts w:ascii="Amiri" w:hAnsi="Amiri" w:eastAsia="Amiri" w:cs="Amiri"/>
          <w:color w:val="111111"/>
          <w:sz w:val="28"/>
          <w:sz w:val="28"/>
          <w:szCs w:val="28"/>
          <w:rtl w:val="true"/>
          <w:lang w:bidi="ar-SA"/>
        </w:rPr>
        <w:t xml:space="preserve">لا فرق في الأقارب بين الحيّة و الميّتة، و المساوية في السن و المخالفة، و البلديّة و غيرها، و المنتسبة إلى الأبوين و إلى أحدهما، مع معلوميّة العادة؛ لعموم النصّ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معرفة الاتّفاق فيها موكولة إلى العرف، و لا يجوز الرجوع إلى الأقران في السن مع عدم القرابة مطلقاً، وفاقاً للأكثر، و خلافاً لجماعة </w:t>
      </w:r>
      <w:r>
        <w:rPr>
          <w:rStyle w:val="FootnoteAnchor"/>
          <w:rtl w:val="true"/>
        </w:rPr>
        <w:footnoteReference w:id="1694"/>
      </w:r>
      <w:r>
        <w:rPr>
          <w:rFonts w:ascii="Amiri" w:hAnsi="Amiri" w:eastAsia="Amiri" w:cs="Amiri"/>
          <w:color w:val="111111"/>
          <w:sz w:val="28"/>
          <w:sz w:val="28"/>
          <w:szCs w:val="28"/>
          <w:rtl w:val="true"/>
          <w:lang w:bidi="ar-SA"/>
        </w:rPr>
        <w:t>مع الاتّحاد في البلد مطلقاً، و للآخرين إن لم يوجد الأقارب المتّفقة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النص بالقرابة، و التعدية إلى المقارنة </w:t>
      </w:r>
      <w:r>
        <w:rPr>
          <w:rStyle w:val="FootnoteAnchor"/>
          <w:rtl w:val="true"/>
        </w:rPr>
        <w:footnoteReference w:id="1695"/>
      </w:r>
      <w:r>
        <w:rPr>
          <w:rFonts w:ascii="Amiri" w:hAnsi="Amiri" w:eastAsia="Amiri" w:cs="Amiri"/>
          <w:color w:val="111111"/>
          <w:sz w:val="28"/>
          <w:sz w:val="28"/>
          <w:szCs w:val="28"/>
          <w:rtl w:val="true"/>
          <w:lang w:bidi="ar-SA"/>
        </w:rPr>
        <w:t xml:space="preserve">باطلة، و دعوى مساواتهما في إفادة الظن بالمماثلة </w:t>
      </w:r>
      <w:r>
        <w:rPr>
          <w:rStyle w:val="FootnoteAnchor"/>
          <w:rtl w:val="true"/>
        </w:rPr>
        <w:footnoteReference w:id="1696"/>
      </w:r>
      <w:r>
        <w:rPr>
          <w:rFonts w:ascii="Amiri" w:hAnsi="Amiri" w:eastAsia="Amiri" w:cs="Amiri"/>
          <w:color w:val="111111"/>
          <w:sz w:val="28"/>
          <w:sz w:val="28"/>
          <w:szCs w:val="28"/>
          <w:rtl w:val="true"/>
          <w:lang w:bidi="ar-SA"/>
        </w:rPr>
        <w:t>ممنوعة، فاندفع حجّة الخصم</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3732271_3804643083"/>
      <w:bookmarkStart w:id="624" w:name="_Toc241"/>
      <w:bookmarkEnd w:id="623"/>
      <w:r>
        <w:rPr>
          <w:rtl w:val="true"/>
        </w:rPr>
        <w:t>السادس</w:t>
      </w:r>
      <w:r>
        <w:rPr>
          <w:rtl w:val="true"/>
        </w:rPr>
        <w:t>:</w:t>
      </w:r>
      <w:bookmarkEnd w:id="62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المتميّزة إذا اختارت عدداً، تضعه حيث شاءت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يتعيّن أوّله؛ لإطلاق المرسل و المضمر </w:t>
      </w:r>
      <w:r>
        <w:rPr>
          <w:rStyle w:val="FootnoteAnchor"/>
          <w:rtl w:val="true"/>
        </w:rPr>
        <w:footnoteReference w:id="1697"/>
      </w:r>
      <w:r>
        <w:rPr>
          <w:rFonts w:ascii="Amiri" w:hAnsi="Amiri" w:eastAsia="Amiri" w:cs="Amiri"/>
          <w:color w:val="111111"/>
          <w:sz w:val="28"/>
          <w:sz w:val="28"/>
          <w:szCs w:val="28"/>
          <w:rtl w:val="true"/>
          <w:lang w:bidi="ar-SA"/>
        </w:rPr>
        <w:t>و عدم الترجيح، و إن كان أولى نظراً إلى الثالث</w:t>
      </w:r>
      <w:r>
        <w:rPr>
          <w:rFonts w:eastAsia="Amiri" w:cs="Amiri" w:ascii="Amiri" w:hAnsi="Amiri"/>
          <w:color w:val="111111"/>
          <w:sz w:val="28"/>
          <w:szCs w:val="28"/>
          <w:rtl w:val="true"/>
          <w:lang w:bidi="ar-SA"/>
        </w:rPr>
        <w:t>.</w:t>
      </w:r>
      <w:bookmarkStart w:id="625" w:name="pg2479_11747"/>
    </w:p>
    <w:p>
      <w:pPr>
        <w:pStyle w:val="BookText"/>
        <w:rPr/>
      </w:pPr>
      <w:bookmarkEnd w:id="625"/>
      <w:r>
        <w:rPr>
          <w:rFonts w:ascii="Amiri" w:hAnsi="Amiri" w:eastAsia="Amiri" w:cs="Amiri"/>
          <w:color w:val="111111"/>
          <w:sz w:val="28"/>
          <w:sz w:val="28"/>
          <w:szCs w:val="28"/>
          <w:rtl w:val="true"/>
          <w:lang w:bidi="ar-SA"/>
        </w:rPr>
        <w:t>و لعلّ تخييرها في الوقت و العدد إنّما هو في الدور الأوّل، فما اختارته فيه لا تغيّره في غيره؛ لبعد اختلاف مرّات الحيض عدداً و وقتاً و قيام ذلك مقام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اختيار للزوج في تغييره و اعتباره في الدور اللاحق إذا لم يتجدّد التمييز أو اتّفاق الأقارب، و إلّا تعيّن الأخذ به</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3732273_3804643083"/>
      <w:bookmarkStart w:id="627" w:name="_Toc242"/>
      <w:bookmarkEnd w:id="626"/>
      <w:r>
        <w:rPr>
          <w:rtl w:val="true"/>
        </w:rPr>
        <w:t xml:space="preserve">فصل </w:t>
      </w:r>
      <w:r>
        <w:rPr>
          <w:rtl w:val="true"/>
        </w:rPr>
        <w:t>[</w:t>
      </w:r>
      <w:r>
        <w:rPr>
          <w:rtl w:val="true"/>
        </w:rPr>
        <w:t>أحكام المضطربة</w:t>
      </w:r>
      <w:r>
        <w:rPr>
          <w:rtl w:val="true"/>
        </w:rPr>
        <w:t>]</w:t>
      </w:r>
      <w:bookmarkEnd w:id="627"/>
    </w:p>
    <w:p>
      <w:pPr>
        <w:pStyle w:val="Heading6"/>
        <w:numPr>
          <w:ilvl w:val="5"/>
          <w:numId w:val="1"/>
        </w:numPr>
        <w:rPr/>
      </w:pPr>
      <w:bookmarkStart w:id="628" w:name="__RefHeading___Toc3732275_3804643083"/>
      <w:bookmarkStart w:id="629" w:name="_Toc243"/>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قد عرفت أنّ المضطربة إمّا ناسية للعدد و الوقت و هي المتحيّرة، أو العدد خاصّة، أو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رجوع الثلاثة إلى عادة الأهل مطلقاً مجمع عليه، و المستفيض من النص </w:t>
      </w:r>
      <w:r>
        <w:rPr>
          <w:rStyle w:val="FootnoteAnchor"/>
          <w:rtl w:val="true"/>
        </w:rPr>
        <w:footnoteReference w:id="1698"/>
      </w:r>
      <w:r>
        <w:rPr>
          <w:rFonts w:ascii="IRNazanin" w:hAnsi="IRNazanin" w:eastAsia="IRNazanin"/>
          <w:color w:val="111111"/>
          <w:sz w:val="28"/>
          <w:sz w:val="28"/>
          <w:szCs w:val="28"/>
          <w:rtl w:val="true"/>
          <w:lang w:bidi="fa-IR"/>
        </w:rPr>
        <w:t xml:space="preserve">و نقل الإجماع </w:t>
      </w:r>
      <w:r>
        <w:rPr>
          <w:rStyle w:val="FootnoteAnchor"/>
          <w:rtl w:val="true"/>
        </w:rPr>
        <w:footnoteReference w:id="1699"/>
      </w:r>
      <w:r>
        <w:rPr>
          <w:rFonts w:ascii="Amiri" w:hAnsi="Amiri" w:eastAsia="Amiri" w:cs="Amiri"/>
          <w:color w:val="111111"/>
          <w:sz w:val="28"/>
          <w:sz w:val="28"/>
          <w:szCs w:val="28"/>
          <w:rtl w:val="true"/>
          <w:lang w:bidi="ar-SA"/>
        </w:rPr>
        <w:t>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الحلبي برجوعها إليها أوّلًا مع الإمكان </w:t>
      </w:r>
      <w:r>
        <w:rPr>
          <w:rStyle w:val="FootnoteAnchor"/>
          <w:rtl w:val="true"/>
        </w:rPr>
        <w:footnoteReference w:id="1700"/>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وجد التمييز فرجوع الاولى إليه لا خلاف فيه، و صريح المرسل </w:t>
      </w:r>
      <w:r>
        <w:rPr>
          <w:rStyle w:val="FootnoteAnchor"/>
          <w:rtl w:val="true"/>
        </w:rPr>
        <w:footnoteReference w:id="1701"/>
      </w:r>
      <w:r>
        <w:rPr>
          <w:rFonts w:ascii="Amiri" w:hAnsi="Amiri" w:eastAsia="Amiri" w:cs="Amiri"/>
          <w:color w:val="111111"/>
          <w:sz w:val="28"/>
          <w:sz w:val="28"/>
          <w:szCs w:val="28"/>
          <w:rtl w:val="true"/>
          <w:lang w:bidi="ar-SA"/>
        </w:rPr>
        <w:t xml:space="preserve">يثبته و غيره لا ينفيه، بل العمومات تساعده، و تكرّر نقل الإجماع </w:t>
      </w:r>
      <w:r>
        <w:rPr>
          <w:rStyle w:val="FootnoteAnchor"/>
          <w:rtl w:val="true"/>
        </w:rPr>
        <w:footnoteReference w:id="1702"/>
      </w:r>
      <w:r>
        <w:rPr>
          <w:rFonts w:ascii="Amiri" w:hAnsi="Amiri" w:eastAsia="Amiri" w:cs="Amiri"/>
          <w:color w:val="111111"/>
          <w:sz w:val="28"/>
          <w:sz w:val="28"/>
          <w:szCs w:val="28"/>
          <w:rtl w:val="true"/>
          <w:lang w:bidi="ar-SA"/>
        </w:rPr>
        <w:t>يعاضده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المضطربة عدداً و المبتدأة وقتاً، و عكسها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الأُخريان فالحقّ تقديم العادة، فهما على التمييز مع التعارض وفاقاً للمحقّقين؛ لعموم أدلّة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فناسية العدد دون الوقت إذا رأت الدم فيه أصفر و في غيره أسود تتحيّض بالأصغر و في العدد مضطربة، و يأتي حكمها، و عكسها إذا رأت الأسود أقل من العدد أو أكثر منه تتحيّض بالعدد و في الوقت مضطربة، فتضعه حيث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فتاوى الأكثر كونهما كالأُولى في الرجوع إلى التمييز مع وجوده، و لعلّه مبنيّ على الأخذ بعموم اعتبار التمييز و تخصّص اعتبار العادة بذاكرة الوقت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انتفاء التعارض بالتطابق أو إمكان الجمع بالأكثرية و الأقلّيّة يرتفع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بعض إطلاق الأكثر عليه، و آخر على الاولىٰ، و هو كما ترى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فقد التمييز ففي تحيّض الاولى بثاني العشرة </w:t>
      </w:r>
      <w:r>
        <w:rPr>
          <w:rStyle w:val="FootnoteAnchor"/>
          <w:rtl w:val="true"/>
        </w:rPr>
        <w:footnoteReference w:id="1703"/>
      </w:r>
      <w:r>
        <w:rPr>
          <w:rFonts w:ascii="Amiri" w:hAnsi="Amiri" w:eastAsia="Amiri" w:cs="Amiri"/>
          <w:color w:val="111111"/>
          <w:sz w:val="28"/>
          <w:sz w:val="28"/>
          <w:szCs w:val="28"/>
          <w:rtl w:val="true"/>
          <w:lang w:bidi="ar-SA"/>
        </w:rPr>
        <w:t xml:space="preserve">في المبتدأة كالحلّي </w:t>
      </w:r>
      <w:r>
        <w:rPr>
          <w:rStyle w:val="FootnoteAnchor"/>
          <w:rtl w:val="true"/>
        </w:rPr>
        <w:footnoteReference w:id="17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Style w:val="FootnoteAnchor"/>
          <w:rtl w:val="true"/>
        </w:rPr>
        <w:footnoteReference w:id="1705"/>
      </w:r>
      <w:r>
        <w:rPr>
          <w:rFonts w:ascii="Amiri" w:hAnsi="Amiri" w:eastAsia="Amiri" w:cs="Amiri"/>
          <w:color w:val="111111"/>
          <w:sz w:val="28"/>
          <w:sz w:val="28"/>
          <w:szCs w:val="28"/>
          <w:rtl w:val="true"/>
          <w:lang w:bidi="ar-SA"/>
        </w:rPr>
        <w:t xml:space="preserve">، أو بثالثها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أو بتاسعها كالأكثر، أو بسادسها، أو ثامنها، أو عاشرها، أو ستّة في كلّ شهر كما قال بكل منها بعضهم </w:t>
      </w:r>
      <w:r>
        <w:rPr>
          <w:rStyle w:val="FootnoteAnchor"/>
          <w:rtl w:val="true"/>
        </w:rPr>
        <w:footnoteReference w:id="1707"/>
      </w:r>
      <w:r>
        <w:rPr>
          <w:rFonts w:ascii="Amiri" w:hAnsi="Amiri" w:eastAsia="Amiri" w:cs="Amiri"/>
          <w:color w:val="111111"/>
          <w:sz w:val="28"/>
          <w:sz w:val="28"/>
          <w:szCs w:val="28"/>
          <w:rtl w:val="true"/>
          <w:lang w:bidi="ar-SA"/>
        </w:rPr>
        <w:t xml:space="preserve">، أو بتحيّضها كلّما رأت الدم و طهرها كلّما انقطع كالصدوق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 أو بوجوب الاحتياط و الجمع بين التكاليف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709"/>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bookmarkStart w:id="630" w:name="pg2479_11751"/>
    </w:p>
    <w:p>
      <w:pPr>
        <w:pStyle w:val="BookText"/>
        <w:rPr/>
      </w:pPr>
      <w:bookmarkEnd w:id="630"/>
      <w:r>
        <w:rPr>
          <w:rFonts w:ascii="Amiri" w:hAnsi="Amiri" w:eastAsia="Amiri" w:cs="Amiri"/>
          <w:color w:val="111111"/>
          <w:sz w:val="28"/>
          <w:sz w:val="28"/>
          <w:szCs w:val="28"/>
          <w:rtl w:val="true"/>
          <w:lang w:bidi="ar-SA"/>
        </w:rPr>
        <w:t>و ليس في النصوص ما يدلّ على شي‌ء منها؛ لانحصارها في الأربعة، و هي مختصّة بالمبتدئة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على السبعة أو الستّة بالمرسل </w:t>
      </w:r>
      <w:r>
        <w:rPr>
          <w:rStyle w:val="FootnoteAnchor"/>
          <w:rtl w:val="true"/>
        </w:rPr>
        <w:footnoteReference w:id="1710"/>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المشهور بالجمع بينه و بين الموثّقين </w:t>
      </w:r>
      <w:r>
        <w:rPr>
          <w:rStyle w:val="FootnoteAnchor"/>
          <w:rtl w:val="true"/>
        </w:rPr>
        <w:footnoteReference w:id="1711"/>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الأصل في لزوم العبادة تحيّضها بالثلاثة؛ لأنّه المتيقّن، و لا دليل على الزائد</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3732277_3804643083"/>
      <w:bookmarkStart w:id="632" w:name="_Toc244"/>
      <w:bookmarkEnd w:id="631"/>
      <w:r>
        <w:rPr>
          <w:rtl w:val="true"/>
        </w:rPr>
        <w:t>تذنيبٌ</w:t>
      </w:r>
      <w:r>
        <w:rPr>
          <w:rtl w:val="true"/>
        </w:rPr>
        <w:t>:</w:t>
      </w:r>
      <w:bookmarkEnd w:id="632"/>
    </w:p>
    <w:p>
      <w:pPr>
        <w:pStyle w:val="BookText"/>
        <w:rPr/>
      </w:pPr>
      <w:r>
        <w:rPr>
          <w:rFonts w:ascii="Amiri" w:hAnsi="Amiri" w:eastAsia="Amiri" w:cs="Amiri"/>
          <w:color w:val="111111"/>
          <w:sz w:val="28"/>
          <w:sz w:val="28"/>
          <w:szCs w:val="28"/>
          <w:rtl w:val="true"/>
          <w:lang w:bidi="ar-SA"/>
        </w:rPr>
        <w:t>على الاحتياط يجب ردّها إلى أسوإ الاحتمالات، فتعمل عمل المستحاضة في الزمان كلّه، فتصوم جميع رمضان و تصلّي كلّ صلاة و تغتسل له؛ لإمكان الانقطاع قبله، و تجتنب عمّا تجتنب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فروع مشكلة، تشحيذاً للأذهان، و إن لم يكن فيها فائدة في العمل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أحد عشر من رمضان؛ إذ على الاحتياط يجب قضاء أكثر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لعدم اعتباره التشطير هنا و هو اجتماع الأوّل و الحادي عشر في الحيض؛ لأصالة عدمه اكتفىٰ بقضاء العشرة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اعتباره كما هو اللازم من الرد المذكور يلزم الحكم بالتحيّض بالعشرة مع التشطير، أي رؤية الدم بعد النصف من يوم و انقطاعه قبله من الحادي عشر، فيلزمها قضاء أحد عشر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صوم يوم و حادي عشره لقضاء صوم يوم على عدم اعتبار</w:t>
      </w:r>
    </w:p>
    <w:p>
      <w:pPr>
        <w:pStyle w:val="BookText"/>
        <w:rPr/>
      </w:pPr>
      <w:r>
        <w:rPr>
          <w:rFonts w:ascii="Amiri" w:hAnsi="Amiri" w:eastAsia="Amiri" w:cs="Amiri"/>
          <w:color w:val="111111"/>
          <w:sz w:val="28"/>
          <w:sz w:val="28"/>
          <w:szCs w:val="28"/>
          <w:rtl w:val="true"/>
          <w:lang w:bidi="ar-SA"/>
        </w:rPr>
        <w:t>التشطير؛ إذ لعدم اجتماعهما في الحيض يقطع بكون أحدهما يوم الطهر، و على اعتباره إمّا أن تضيف إليهما الثاني و ثاني عشر الأوّل لا الثاني فيسلم لها يوم قطعاً؛ لامتناع اجتماع الجمع في الحيض، و لو مع التشطير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يجري في قضاء يوم إلى تسعة، فإذا أرادت أن تقضي أحد التسعة صامتة مرّتين أوّل الثانية ثاني عشر أوّل الاولىٰ، و توسّط بينهما يومين على التوالي مع الاتّصال بهما، أو بأحدهما، أو على الانفصال عنهما، أو على التفرّق و الاتّصال بهما جبراً؛ لإمكان الفساد بانقطاع الحيض في نصف الأخير من الاولىٰ و عوده في حادي عشرة لا فيما رأته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هذا الجدول يوضّح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صوم يوم ب صوم يومين ج صوم ثلاثة أيام د صوم أربعة أيام ه صوم خمسة أيام و صوم ستّة أيام ز صوم سبعة أيام ح صوم ثمانية أيام ط صوم تسعة أيام أيام المرّة الأُولى أيام المرّة الثانية أو تصوم الأوّل و ثاني عشره و يوماً 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فلا يمكن حينئذٍ اجتماع الجميع في الحيض، و لو مع التشطير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الطريق يجري في قضاء يوم إلى أربعة صامتة مرّة بزيادة يوم، و تفرّقهما</w:t>
      </w:r>
      <w:bookmarkStart w:id="633" w:name="pg2479_11754"/>
    </w:p>
    <w:p>
      <w:pPr>
        <w:pStyle w:val="BookText"/>
        <w:rPr/>
      </w:pPr>
      <w:bookmarkEnd w:id="633"/>
      <w:r>
        <w:rPr>
          <w:rFonts w:ascii="Amiri" w:hAnsi="Amiri" w:eastAsia="Amiri" w:cs="Amiri"/>
          <w:color w:val="111111"/>
          <w:sz w:val="28"/>
          <w:sz w:val="28"/>
          <w:szCs w:val="28"/>
          <w:rtl w:val="true"/>
          <w:lang w:bidi="ar-SA"/>
        </w:rPr>
        <w:t>على العشرة دون الأزيد منها، بحيث لا يتوالى يومان، و أُخرى بدون زيادة على التفرّق أيضاً بحيث يكون كلّ يوم منها ثاني عشر نظيره من الأُولى أو عاشر ثاني النظير باعتبار الصوم لا اليوم؛ لأنّه باعتباره حادي عشر 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فالنظير هنا ما يقع بإزاء ما في الاولىٰ، لا المثل كما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اشترط التفرّق فيهما لإمكان الانقطاع في آخر الاولىٰ و العود في حادي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فتقييد الجميع أو الأكثر و توسيط يوم بينهما لإمكان الانقطاع في آخر العدد و عوده في نظيره، فيفسد المرّتان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كلّ يوم من إحدى المرّتين ثاني عشر نظيره من الأُخرىٰ أو عاشر ثانيه دون ما زاد لأن النظيرين إن اجتمعا في الحيض أجزأ ما بعد النظير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بعد ثاني عشره أو عاشر ثاني الأوّل و انقطع الحيض في ثاني الأوّل و عاد في حادي عشرة، 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جريان هذا الطريق في أزيد من أربعة لكون المتيقّن من الطهر تسعة، فإذا وزّع عليها القضاء كما ذكر لم يصحّ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ملاحظة هذا الجدول توضّح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 ج د أيام المرّة الأُولى أيام المرّة الثانية</w:t>
      </w:r>
    </w:p>
    <w:p>
      <w:pPr>
        <w:pStyle w:val="Heading6"/>
        <w:numPr>
          <w:ilvl w:val="5"/>
          <w:numId w:val="1"/>
        </w:numPr>
        <w:rPr/>
      </w:pPr>
      <w:bookmarkStart w:id="634" w:name="__RefHeading___Toc3732279_3804643083"/>
      <w:bookmarkStart w:id="635" w:name="_Toc245"/>
      <w:bookmarkEnd w:id="634"/>
      <w:r>
        <w:rPr>
          <w:rtl w:val="true"/>
        </w:rPr>
        <w:t>و منها</w:t>
      </w:r>
      <w:r>
        <w:rPr>
          <w:rtl w:val="true"/>
        </w:rPr>
        <w:t>:</w:t>
      </w:r>
      <w:bookmarkEnd w:id="63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قضاء بعض الصلوات؛ لإمكان انقطاعه في خلالها أو بعد فعلها و قد بقي من الوقت ما يسع ركعة مع الطهارة، أو حدوثه بعد مضيّ أقلّ الوقت مع التأخّر في خلالها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وجوبه نظراً إلى الإمكان المذكور على الرد إلى أسوإ الاحتمالات ممّا لا ريب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 فنفيه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معلّلًا بلزوم الحرج و صحّة الأداء مع الطهارة و سقوط التكليف بدونها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إمّا تصلّي أوّل الوقت أو آخره دائماً، أو يختلف حالها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يتصوّر في حقّها الحدوث المذكور، و إنّما الممكن انقطاعه في كلّ صلاة على ممتنع الجمع، و المحتمل في الأقل من كلّ حيض و طهر انقطاعه في صلاة واحدة لا بعينها؛ إذ لا يعقل انقطاع الدم بعد كلّ حيض و حدوثه بعد كلّ طهرٍ أكثر من مرّة، فإن تعلّق بالعصر أو العشاء كان الفاسد المحتاج إلى القضاء بثنتين، و إن تعلّق بإحدى الثلاث الباقية كان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في الأقلّ منها لا في كلّ أحد عشر كما ظنّ فساد صلاتين مردّدتين بين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قضاؤهما المحصّل للترتيب أن تصلّي صبحاً و رباعيّتين بينهما مغرب، و لا يجب الأزيد؛ لكون الفائت هنا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يمكن في الأقل من كلّ حيض و طهر حدوثه في اولى الظهرين أو العشائين أو الصبح، فيفسد صلاتان، و انقطاعه في غسل الاولى منهما أو الثانية أو الصبح، فيجب قضاؤها أيضاً؛ لفساد طهارتها، فإنّ كلّ ثلاثة أيّام يمكن تحقّق الحدوث المذكور في أوّله و الانقطاع المذكور في آخره، و كلّ عشرة أيّام يمكن فيه أيضاً ذلك؛ لاحتمال أن يكون هو أيّام الحيض دون الثلاثة المفروضة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يمكن أن يجتمع في طرفيه الحدوث و الانقطاع المذكوران، و إنّما يمكن الانقطاع في غسل واحدة من الظهرين أو العشائين دون الثنتين؛ إذ كيفما قدّر زمان</w:t>
      </w:r>
    </w:p>
    <w:p>
      <w:pPr>
        <w:pStyle w:val="BookText"/>
        <w:rPr/>
      </w:pPr>
      <w:r>
        <w:rPr>
          <w:rFonts w:ascii="Amiri" w:hAnsi="Amiri" w:eastAsia="Amiri" w:cs="Amiri"/>
          <w:color w:val="111111"/>
          <w:sz w:val="28"/>
          <w:sz w:val="28"/>
          <w:szCs w:val="28"/>
          <w:rtl w:val="true"/>
          <w:lang w:bidi="ar-SA"/>
        </w:rPr>
        <w:t>الصلاة آخر الوقت لا بدّ أن يدرك طهارتان و خمس ركعات، فإن انقطع في طهارة الاولى فسدت و صحّت الثانية؛ لمصادفة غسلها الظهر، و إن انقطع في طهارة الثانية فسدت و لم يجب قضاء الاولىٰ؛ لمصادفتها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بعض التقادير يومان آخر الوقت، يمكن فساد إحدى الأربع، بل الخمس بوقوع الانقطاع في أثنائها و إن لم يقع في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يتأتّى إمكان فساد ثلاث مشتبهة بين الخمس، فيقين البراءة يتوقّف علىٰ قضائها، و لكون ثنتين منها من يوم و واحدة من آخر، يجب أن تقضي سبعاً صبحاً و مغرباً و رباعيّة مردّدة بين الثلاث ثمّ صبحاً و رباعيتين بينهما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يتأتّى إمكان الحدوث و الانقطاع المذكورين في طرفي كلّ حيض و طهر، فمن الحدوث في اولى الظهرين أو العشائين يفسدان، و من الانقطاع في الثانية منهما يفسدان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لجواز التماثل على النحو المذكور يتأتّى إمكان فساد الأربع، و إن جاز خلافه بكون كلّ من الحدوث و الانقطاع أو أحدهما في الصبح خاصّة حتّى يكون الفاسد ثنتين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فيقين البراءة يتوقّف على قضاء أربع مشتبهة بين الخمس، فلا بدّ من ثماني صلوات؛ لكون الفائت من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كيفيّة قضائها للصلاة كقضائها للصوم بإحدى الطريقين، إلّا أنّ أيّ عدد يلزمها مع الترتيب لإمكان إيقاعه في يوم واحد يكون قضاؤه كقضاء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توقعه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 في ثاني عشره و في يومين بينهما بالوصف المذكور؛ ليتم قضاء الجميع في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الإيقاع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 في ثاني عشره و في يوم بينهما بالوصف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فأيّام الإيقاع ثلاثة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طوافها كقضاء الصلاة</w:t>
      </w:r>
      <w:r>
        <w:rPr>
          <w:rFonts w:eastAsia="Amiri" w:cs="Amiri" w:ascii="Amiri" w:hAnsi="Amiri"/>
          <w:color w:val="111111"/>
          <w:sz w:val="28"/>
          <w:szCs w:val="28"/>
          <w:rtl w:val="true"/>
          <w:lang w:bidi="ar-SA"/>
        </w:rPr>
        <w:t>.</w:t>
      </w:r>
      <w:bookmarkStart w:id="636" w:name="pg2479_11760"/>
    </w:p>
    <w:p>
      <w:pPr>
        <w:pStyle w:val="Heading6"/>
        <w:numPr>
          <w:ilvl w:val="5"/>
          <w:numId w:val="1"/>
        </w:numPr>
        <w:rPr/>
      </w:pPr>
      <w:bookmarkStart w:id="637" w:name="__RefHeading___Toc3732281_3804643083"/>
      <w:bookmarkStart w:id="638" w:name="_Toc246"/>
      <w:bookmarkEnd w:id="636"/>
      <w:bookmarkEnd w:id="637"/>
      <w:r>
        <w:rPr>
          <w:rtl w:val="true"/>
        </w:rPr>
        <w:t>و منها</w:t>
      </w:r>
      <w:r>
        <w:rPr>
          <w:rtl w:val="true"/>
        </w:rPr>
        <w:t>:</w:t>
      </w:r>
      <w:bookmarkEnd w:id="638"/>
    </w:p>
    <w:p>
      <w:pPr>
        <w:pStyle w:val="Heading6"/>
        <w:numPr>
          <w:ilvl w:val="5"/>
          <w:numId w:val="1"/>
        </w:numPr>
        <w:rPr/>
      </w:pPr>
      <w:bookmarkStart w:id="639" w:name="__RefHeading___Toc3732283_3804643083"/>
      <w:bookmarkStart w:id="640" w:name="_Toc247"/>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إيقاع طلاقها لو أراده الزوج في أوّل يوم و في آخر حادي عشرة؛ لعدم اجتماعهما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ينقضي عدّتها في ثلاثة أشهر، نظراً إلى الغالب، و لا تكلّف الصبر إلى سنّ اليأس؛ لإمكان التباعد لأدلّة الأخذ بالسابق من الأقراء و الأشهر، و يحتمل كونها كالمسترابة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حكم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فلا يمكن تذكّرها طرفي الوقت، و إلّا كانت ذاكرة العدد أيضاً، فهي إمّا تتذكّر أوّله أو آخره أو وسطه أو وقتاً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تكمله ثلاثة؛ لتيقّن كونها حيضاً، و تجعل الباقي من العشرة طهراً،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للأصل و 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رجوعها إلى الروايات، فتأخذ بما تختاره منها و تجعل تتمّة الشهر طهراً، و ردّ باختصاصها بالمبتدئة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بصدق النسيان و الاختلاط الموجب للحكم في خبر السنن ساقط باختصاصه بها، و المضطربة الواردة فيه مخصوصة بالمتحيّرة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الفاضل كالشيخ جعلها بالأقسام الأربعة كالمتحيّرة في وجوب الاحتياط </w:t>
      </w:r>
      <w:r>
        <w:rPr>
          <w:rStyle w:val="FootnoteAnchor"/>
          <w:rtl w:val="true"/>
        </w:rPr>
        <w:footnoteReference w:id="1716"/>
      </w:r>
      <w:r>
        <w:rPr>
          <w:rFonts w:ascii="Amiri" w:hAnsi="Amiri" w:eastAsia="Amiri" w:cs="Amiri"/>
          <w:color w:val="111111"/>
          <w:sz w:val="28"/>
          <w:sz w:val="28"/>
          <w:szCs w:val="28"/>
          <w:rtl w:val="true"/>
          <w:lang w:bidi="ar-SA"/>
        </w:rPr>
        <w:t>، و سقوطه عندنا ظاهر، و على قولهما يلزمها تكاليف الحائض و ترك ما تتركه و المستحاضة فتفعل ما تفعله من الأغسال و الوضوء، و المنقطعة فتغسل كلّ وقت يحتمل الانقطاع أعني بعد الثلاثة و عند كلّ صلاة و غاية مشروطة بالطهر، فيلزمها على التداخل خمسة أغسال، و على عدمه مع كثرة الدم ثمانية خمسة للانقطاع و ثلاثة للاستحاضة و يجري فيها ما تقدّم من الفروع المشكلة، فتقضي على النحو المذكور صوم العشرة أو القدر المشكوك إن علمت قصور وقت</w:t>
      </w:r>
    </w:p>
    <w:p>
      <w:pPr>
        <w:pStyle w:val="BookText"/>
        <w:rPr/>
      </w:pPr>
      <w:r>
        <w:rPr>
          <w:rFonts w:ascii="Amiri" w:hAnsi="Amiri" w:eastAsia="Amiri" w:cs="Amiri"/>
          <w:color w:val="111111"/>
          <w:sz w:val="28"/>
          <w:sz w:val="28"/>
          <w:szCs w:val="28"/>
          <w:rtl w:val="true"/>
          <w:lang w:bidi="ar-SA"/>
        </w:rPr>
        <w:t>عادتها عنها، و مع احتمال التشطير تقضي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القضاء كما مر، مع تفاوت يقتضيه ما يخصّها من معرفة جزء من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نهاية الثلاثة، و الكلام في السبعة السابقة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الاحتياط يقتصر فيها على تكاليف الأوّليّتين دون المنقطعة؛ لامتناع الانقطاع فيها مع كون الثلاثة المتّصلة بها حيضاً، فغسله إنّما هو بعدها، و القضاء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كون يوم أو يومين أو أزيد وسطاً محفوفاً بمتساويين أو مطلقاً، حفّته بيومين و أخذت بالمتيقّن من الثلاثة أو الأربعة أو الأكثر، و تجعل الزائد طهراً؛ للأصل و عدم تناول الأخبار للمضطربة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الاحتياط تكمل المتيقّن مع التساوي عشرة قبله أو بعده أو بالتفريق، و مع الإطلاق تضم ثلاثة قبله و ثلاثة بعده فتكتفي في الأوّل بالتسعة؛ للقطع بانتفاء العاشر و تعمل في الزائد عنه بالتكاليف الثلاثة مع تأخّره عنه، و بما عدا الانقطاع مع تقدّمه عليه و القضاء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ساوى المعلوم بانجباره من العدد المروي أو زاد عليه تكتفي به، و إن نقص عنه تكمله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الاحتياط تكمله عشرة تجمع فيها بين التكاليف الثلاثة أو تجعله نهاية العشرة و تكتفي بالتكليفين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اخترناه لو لم ينقص عن الثلاثة تكتفي به، و إلّا تتمّه ثلاثة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الثالثة إن حفظت من العدد قدر الدور و ابتدائه كأن تعلم أنّ حيضها في كل شهر هلالي أو عشرين منه سبعة، فالحق المشهور أنّها تتحيّض بالعدد؛ لإطلاق المرسل و المقطوع </w:t>
      </w:r>
      <w:r>
        <w:rPr>
          <w:rStyle w:val="FootnoteAnchor"/>
          <w:rtl w:val="true"/>
        </w:rPr>
        <w:footnoteReference w:id="1717"/>
      </w:r>
      <w:r>
        <w:rPr>
          <w:rFonts w:ascii="Amiri" w:hAnsi="Amiri" w:eastAsia="Amiri" w:cs="Amiri"/>
          <w:color w:val="111111"/>
          <w:sz w:val="28"/>
          <w:sz w:val="28"/>
          <w:szCs w:val="28"/>
          <w:rtl w:val="true"/>
          <w:lang w:bidi="ar-SA"/>
        </w:rPr>
        <w:t>، و في الوقت كالمتحيّرة تضعه فيما شاءت من أيّام الدور الذي</w:t>
      </w:r>
    </w:p>
    <w:p>
      <w:pPr>
        <w:pStyle w:val="BookText"/>
        <w:rPr/>
      </w:pPr>
      <w:r>
        <w:rPr>
          <w:rFonts w:ascii="Amiri" w:hAnsi="Amiri" w:eastAsia="Amiri" w:cs="Amiri"/>
          <w:color w:val="111111"/>
          <w:sz w:val="28"/>
          <w:sz w:val="28"/>
          <w:szCs w:val="28"/>
          <w:rtl w:val="true"/>
          <w:lang w:bidi="ar-SA"/>
        </w:rPr>
        <w:t>ضلّت فيه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أيّامها بالاجتهاد إن أمكن، و إلّا تتخيّر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و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على الاحتياط هنا، و كيفيّته تظهر ممّا سبق، و إلّا ففي كونها كالأُولى أو كالمتحيّرة قولان، و المختار الأوّل، وفاقاً للمشهور؛ إذ الغالب في النساء التحيّض في كلّ شهر فتأخذ منه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انضباط وقت لها حتّى تضعه فيه فيلزم أن ترجع إلى الروايات كالمتحيّرة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الاحتياط يلزمها التكاليف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إذا لم يحصل لها وقت تعلم تحيّضها فيه، بأن تضلّ عددها في وقت يزيد على ضعفه أو يساويه، كأن تضلّ أربعة أو خمسة في عشرة، فإنّ كلّ يوم منها حينئذٍ يحتمل الطهر و الحيض، و لا يحصل يوم تقطع بالتحيّض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لها ذلك بأن ينقص منه كأن تضلّ ستّة في العشرة كان الزائد من الضعف كالخامس و السادس حيضاً بالقطع؛ لاندراجها في العدد على فرض تقدّم الحيض و تأخّره و توسّطه، و يبقى لها من العدد أربعة لا تعلم وقتها، فتضمّها على الحق المشهور إليهما متقدّمة أو متأخّرة أو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الاحتياط تجمع في الأربعة المتقدّمة بين التكليفين و في المتأخّرة بين الثلاثة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أضلّت خمسة في تسعة، فالزائد من الضعف واحد، فالخامس منها</w:t>
      </w:r>
    </w:p>
    <w:p>
      <w:pPr>
        <w:pStyle w:val="BookText"/>
        <w:rPr/>
      </w:pPr>
      <w:r>
        <w:rPr>
          <w:rFonts w:ascii="Amiri" w:hAnsi="Amiri" w:eastAsia="Amiri" w:cs="Amiri"/>
          <w:color w:val="111111"/>
          <w:sz w:val="28"/>
          <w:sz w:val="28"/>
          <w:szCs w:val="28"/>
          <w:rtl w:val="true"/>
          <w:lang w:bidi="ar-SA"/>
        </w:rPr>
        <w:t>حيض بيقين، فإن كانت بدايتها من أوّل الشهر فالحيض خامسة، و من ثانيه فسادسه،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من الحيض في إضلال سبعة في عشرة أربعة، و عشرة في تسعة عشر واحد، و تعيينه من أيّام الوقت أو الشهر ظاهر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التتميم على المختار، و الاحتياط على القول به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عشرة و الثاني عشر حيض بالقطع، يعلم أنّ أيّام الإضلال تسعة عشر بين الأوّلين و التسعة الأخيرة، 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كلّ شهر حيضتان كلّ منهما ثمانية، فلوجوب تخلّل العشرة بينهما لا يمكن تأخير الأُولى عن أوّل الخامس و مبدأ الثانية عن الثالث و العشرين، فالمتيقّن من الطهر ستة من أول الثالث عشر إلى آخر الثامن عشر، و من الحيضة الأُولى أربعة من أوّل الخامس إلى آخر الثامن، و من الثانية أربعة من الثالث و العشرين إلى السادس و العشرين، و البواقي و هي ستّة عشر طهر مشكوك، فالضالّ ثمانية فيها، فتضعها منها حيث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حيضتين كلّ منهما ثمانية في الشهر، فلكون الستّة المذكورة طهراً متيقّناً يرجع قولها إلى إضلال الثمانية الاولى في الاثني عشر الاولى و الثانية في الثانية، فعلى مقتضى القاعدة يكون المتيقّن من الحيض في كلّ منهما هو الزائد من النصف و هو الأربعة المذكورة فتضمّ إلى كلّ منهما أربعة أُخرى بإحدى الطرق الثلاث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إحدى العشرات و لا أعرفها بعينها، أو عشرة و أعلم الطهر في العشرة الأُولى أو الثالثة أو الثانية، أو في إحدى العشرتين الأُوليين أو</w:t>
      </w:r>
    </w:p>
    <w:p>
      <w:pPr>
        <w:pStyle w:val="BookText"/>
        <w:rPr/>
      </w:pPr>
      <w:r>
        <w:rPr>
          <w:rFonts w:ascii="Amiri" w:hAnsi="Amiri" w:eastAsia="Amiri" w:cs="Amiri"/>
          <w:color w:val="111111"/>
          <w:sz w:val="28"/>
          <w:sz w:val="28"/>
          <w:szCs w:val="28"/>
          <w:rtl w:val="true"/>
          <w:lang w:bidi="ar-SA"/>
        </w:rPr>
        <w:t>الأُخريين أو الأُولى و الثالثة، لم يكن لها وقت معلوم، فتأخذ عشرتها في الأوّل من إحدى الثلاث، و في الثاني من الأخيرتين، و في الثالث من الأُوليين، و في الرابع من الطرفين، و في الخامس من الثلاث، مع أولويّة الثالثة في الأُولى و الأولى في الثانية و الثانية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الخمسة من العشر الأُول لو تيقّنت الطهر اليوم الأوّل فالسادس حيض متيقّن؛ لرجوع ذلك إلى إضلال الخمسة في التسعة، فالزائد من الضعف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الطهر الخامس، فالحيض الخمسة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السادس، فالأُولى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و حيض الخامس، فالأوّلان و العاشر طهر بيقين و الخامس و السادس و السابع حيض كذلك، فتضمّ إليه يومين بإحدى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الشهر لو تيقّنت طهر الخمسة الأخيرة، فتضعها فيما تريد من الخمسة و العشرين؛ لتعلّق الإضلال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تيقّنت حيض الثاني عشر، فمن أوّله إلى آخر السابع، و من أوّل السابع عشر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بالقطع، و الثاني عشر حيض كذلك، فالضال أربعة في أربعتين متّصلتين بالثاني عشر، فتضعها في إحداهما أو فيهما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العشرة لو تيقّنت طهر السادس، فالخمسة الأُولى طهر أيضاً، و يكون الإضلال في باقي الشهر، فتأخذها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طهر العاشر، فمن أوّله إليه طهر فتأخذها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الحادي عشر اختصّ التيقّن به، فتأخذها من أحد طرفيه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حيض العاشر اختصّ التيقّن به دون شي‌ء من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الأمثلة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الاحتياط على القول به بعد الإحاطة بما مرّ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يعلم أحكام مسائل المزج و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ستّة و أمزج أحد نصفي الشهر بالآخر بيوم، أي أكون في آخر النصف الأوّل و أوّل الآخر حائضاً، فهذه أضلّت ستّة في العشر الأوسط، فالزائد من النصف أعني يومين هما الخامس عشر و السادس عشر حيض بالقطع، فتضمّ إليهما الأربعة بإحدى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الاحتياط تجمع في الأربعة الأُولى بين التكليفين، و في الثانية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لو قالت ذات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 أحد نصفي الشهر بالآخر بيومين أو أحد الشهرين بالآخر بلحظة أو شهر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قالت ذات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 إحدى العشرات بالأُخرى و المتيقّن من الطهر الأوّل و الأخير، و ليس لها وقت معلوم لكون الوقت أزيد من ضعف العدد، فتأخذه ممّا شاءت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 إحداهما بالأُخرى بيومين، فالمتيقّن من الطهر الأوّلان و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فالثلاثة الاولى 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 أحد نصفي الشهر بالآخر مطلقاً أو بيوم أو يومين أو شهراً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لو قالت ذات الخمسة أو التسعة أو غيرهما من العدد إحدى العبائر المذكورة أو غيرها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قالت ذات التسعة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 أحد نصفي الشهر بالآخر بيوم و الكسر من النصف الآخر، فمن أوّل الخامس عشر إلى نصف الرابع و العشرين حيض، و الباقي طهر</w:t>
      </w:r>
      <w:r>
        <w:rPr>
          <w:rFonts w:eastAsia="Amiri" w:cs="Amiri" w:ascii="Amiri" w:hAnsi="Amiri"/>
          <w:color w:val="111111"/>
          <w:sz w:val="28"/>
          <w:szCs w:val="28"/>
          <w:rtl w:val="true"/>
          <w:lang w:bidi="ar-SA"/>
        </w:rPr>
        <w:t>.</w:t>
      </w:r>
      <w:bookmarkStart w:id="641" w:name="pg2479_11772"/>
    </w:p>
    <w:p>
      <w:pPr>
        <w:pStyle w:val="BookText"/>
        <w:rPr/>
      </w:pPr>
      <w:bookmarkEnd w:id="641"/>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من الأوّل فالحيض من نصف السابع إلى آخر السادس عشر، و الباقي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الامتزاج بيوم و نصف، فالحيض في الأوّل من أوّل الثامن إلى نصف السابع عشر، و الباقي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كون الكسر من الأوّل و الثاني و الخامس عشر و السادس عشر حيض بالقطع و الباقي مشكوك فيه، فتضمّ إليهما ما يتمّ به العدد بإحدى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 لو كان الامتزاج بنصف يوم،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 إحدى العشرات بالأُخرى أو أحد العشرين بالآخر بيوم أو أكثر و الكسر من الأوّل أو الآخر أو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أنّ عدد العادة يمكن أن يكون من ثلاثة إلىٰ عشرة مع الكسر أو بدونه، و في كلّ صورة إمّا تمزج أحد العشرات أو العشرين أو النصفين أو الشهرين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الكسر إمّا تعلم كونه في الأوّل أو الثاني أو لا، و علىٰ التقادير إمّا يكون المزج بالتام من اليوم أو أكثر، أو الكسر بالكسر من اللحظة و النصف و غيرهما، أو بهما، فيتخرّج أقسام لا تحصى كثرة</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732285_3804643083"/>
      <w:bookmarkStart w:id="643" w:name="_Toc248"/>
      <w:bookmarkEnd w:id="642"/>
      <w:r>
        <w:rPr>
          <w:rtl w:val="true"/>
        </w:rPr>
        <w:t>مسألة التلفيق</w:t>
      </w:r>
      <w:r>
        <w:rPr>
          <w:rtl w:val="true"/>
        </w:rPr>
        <w:t>:</w:t>
      </w:r>
      <w:bookmarkEnd w:id="643"/>
    </w:p>
    <w:p>
      <w:pPr>
        <w:pStyle w:val="BookText"/>
        <w:rPr/>
      </w:pPr>
      <w:r>
        <w:rPr>
          <w:rFonts w:ascii="Amiri" w:hAnsi="Amiri" w:eastAsia="Amiri" w:cs="Amiri"/>
          <w:color w:val="111111"/>
          <w:sz w:val="28"/>
          <w:sz w:val="28"/>
          <w:szCs w:val="28"/>
          <w:rtl w:val="true"/>
          <w:lang w:bidi="ar-SA"/>
        </w:rPr>
        <w:t>يطلق على التشطير، و قد عرفت اعتباره و فساد اليومين به، و على اجتماع دمين تخلّل بينهما نقاء في الحيض، و اعتباره إذا لم يبلغ النقاء عشرة؛ إذ الطهر لا يكون أقلّ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رأت الدم ثلاثة و انقطع و عاد في العاشر، كان الكلّ حيضاً، و يخصّص الحيض بالدمين، و تجويز كون النقاء المتخلّل بين حيض واحد أقلّ منها قد علم ضعفه</w:t>
      </w:r>
      <w:r>
        <w:rPr>
          <w:rFonts w:eastAsia="Amiri" w:cs="Amiri" w:ascii="Amiri" w:hAnsi="Amiri"/>
          <w:color w:val="111111"/>
          <w:sz w:val="28"/>
          <w:szCs w:val="28"/>
          <w:rtl w:val="true"/>
          <w:lang w:bidi="ar-SA"/>
        </w:rPr>
        <w:t>.</w:t>
      </w:r>
      <w:bookmarkStart w:id="644" w:name="pg2479_11774"/>
    </w:p>
    <w:p>
      <w:pPr>
        <w:pStyle w:val="Heading6"/>
        <w:numPr>
          <w:ilvl w:val="5"/>
          <w:numId w:val="1"/>
        </w:numPr>
        <w:rPr/>
      </w:pPr>
      <w:bookmarkStart w:id="645" w:name="__RefHeading___Toc3732287_3804643083"/>
      <w:bookmarkStart w:id="646" w:name="_Toc249"/>
      <w:bookmarkEnd w:id="644"/>
      <w:bookmarkEnd w:id="645"/>
      <w:r>
        <w:rPr>
          <w:rtl w:val="true"/>
        </w:rPr>
        <w:t>فصل يحرم على الحائض</w:t>
      </w:r>
      <w:r>
        <w:rPr>
          <w:rtl w:val="true"/>
        </w:rPr>
        <w:t>:</w:t>
      </w:r>
      <w:bookmarkEnd w:id="646"/>
    </w:p>
    <w:p>
      <w:pPr>
        <w:pStyle w:val="Heading6"/>
        <w:numPr>
          <w:ilvl w:val="5"/>
          <w:numId w:val="1"/>
        </w:numPr>
        <w:rPr/>
      </w:pPr>
      <w:bookmarkStart w:id="647" w:name="__RefHeading___Toc3732289_3804643083"/>
      <w:bookmarkStart w:id="648" w:name="_Toc250"/>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الصلاة و الطواف؛ بالإجماع و المستفيضة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 المصحف، على المشهور؛ للنصوص </w:t>
      </w:r>
      <w:r>
        <w:rPr>
          <w:rStyle w:val="FootnoteAnchor"/>
          <w:rtl w:val="true"/>
        </w:rPr>
        <w:footnoteReference w:id="1721"/>
      </w:r>
      <w:r>
        <w:rPr>
          <w:rFonts w:ascii="IRNazanin" w:hAnsi="IRNazanin" w:eastAsia="IRNazanin"/>
          <w:color w:val="111111"/>
          <w:sz w:val="28"/>
          <w:sz w:val="28"/>
          <w:szCs w:val="28"/>
          <w:rtl w:val="true"/>
          <w:lang w:bidi="fa-IR"/>
        </w:rPr>
        <w:t xml:space="preserve">و نقل الإجماع </w:t>
      </w:r>
      <w:r>
        <w:rPr>
          <w:rStyle w:val="FootnoteAnchor"/>
          <w:rtl w:val="true"/>
        </w:rPr>
        <w:footnoteReference w:id="1722"/>
      </w:r>
      <w:r>
        <w:rPr>
          <w:rFonts w:ascii="Amiri" w:hAnsi="Amiri" w:eastAsia="Amiri" w:cs="Amiri"/>
          <w:color w:val="111111"/>
          <w:sz w:val="28"/>
          <w:sz w:val="28"/>
          <w:szCs w:val="28"/>
          <w:rtl w:val="true"/>
          <w:lang w:bidi="ar-SA"/>
        </w:rPr>
        <w:t xml:space="preserve">، و ظاهر الإسكافي كراهته </w:t>
      </w:r>
      <w:r>
        <w:rPr>
          <w:rStyle w:val="FootnoteAnchor"/>
          <w:rtl w:val="true"/>
        </w:rPr>
        <w:footnoteReference w:id="1723"/>
      </w:r>
      <w:r>
        <w:rPr>
          <w:rFonts w:ascii="Amiri" w:hAnsi="Amiri" w:eastAsia="Amiri" w:cs="Amiri"/>
          <w:color w:val="111111"/>
          <w:sz w:val="28"/>
          <w:sz w:val="28"/>
          <w:szCs w:val="28"/>
          <w:rtl w:val="true"/>
          <w:lang w:bidi="ar-SA"/>
        </w:rPr>
        <w:t>، و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لها حمله بالعلّاقة و بدونها، و لمس هامشه؛ للتعظيم و الخبر </w:t>
      </w:r>
      <w:r>
        <w:rPr>
          <w:rStyle w:val="FootnoteAnchor"/>
          <w:rtl w:val="true"/>
        </w:rPr>
        <w:footnoteReference w:id="1724"/>
      </w:r>
      <w:r>
        <w:rPr>
          <w:rFonts w:ascii="Amiri" w:hAnsi="Amiri" w:eastAsia="Amiri" w:cs="Amiri"/>
          <w:color w:val="111111"/>
          <w:sz w:val="28"/>
          <w:sz w:val="28"/>
          <w:szCs w:val="28"/>
          <w:rtl w:val="true"/>
          <w:lang w:bidi="ar-SA"/>
        </w:rPr>
        <w:t xml:space="preserve">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الصوم، بالإجماع و المستفيضة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اللبث في المساجد؛ للحسن و الصحيح،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 و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الخبرين عدم كراهة في الاجتياز كما عليه الأكثر، خلافاً للشيخ </w:t>
      </w:r>
      <w:r>
        <w:rPr>
          <w:rStyle w:val="FootnoteAnchor"/>
          <w:rtl w:val="true"/>
        </w:rPr>
        <w:footnoteReference w:id="1729"/>
      </w:r>
      <w:r>
        <w:rPr>
          <w:rFonts w:ascii="Amiri" w:hAnsi="Amiri" w:eastAsia="Amiri" w:cs="Amiri"/>
          <w:color w:val="111111"/>
          <w:sz w:val="28"/>
          <w:sz w:val="28"/>
          <w:szCs w:val="28"/>
          <w:rtl w:val="true"/>
          <w:lang w:bidi="ar-SA"/>
        </w:rPr>
        <w:t>لحجّة ضعفها ظاهر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تحريمه يخصّ بحال الاجتياز، فلا يحرم بدونه؛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w:t>
      </w:r>
    </w:p>
    <w:p>
      <w:pPr>
        <w:pStyle w:val="BookText"/>
        <w:rPr/>
      </w:pPr>
      <w:r>
        <w:rPr>
          <w:rFonts w:ascii="Amiri" w:hAnsi="Amiri" w:eastAsia="Amiri" w:cs="Amiri"/>
          <w:color w:val="111111"/>
          <w:sz w:val="28"/>
          <w:sz w:val="28"/>
          <w:szCs w:val="28"/>
          <w:rtl w:val="true"/>
          <w:lang w:bidi="ar-SA"/>
        </w:rPr>
        <w:t xml:space="preserve">وجوب التيمّم حينئذ؛ للأصل و إطلاق الحسن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الحكم في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شي‌ء فيها، دون أخذه؛ للصحاح و الرضوي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الاجتياز في المسجدين؛ للصحاح و الحسن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قراءة العزائم و أبعاضها، للإجماع و النصوص </w:t>
      </w:r>
      <w:r>
        <w:rPr>
          <w:rStyle w:val="FootnoteAnchor"/>
          <w:rtl w:val="true"/>
        </w:rPr>
        <w:footnoteReference w:id="1733"/>
      </w:r>
      <w:r>
        <w:rPr>
          <w:rFonts w:ascii="Amiri" w:hAnsi="Amiri" w:eastAsia="Amiri" w:cs="Amiri"/>
          <w:color w:val="111111"/>
          <w:sz w:val="28"/>
          <w:sz w:val="28"/>
          <w:szCs w:val="28"/>
          <w:rtl w:val="true"/>
          <w:lang w:bidi="ar-SA"/>
        </w:rPr>
        <w:t xml:space="preserve">، و الظاهر كراهة قراءة غيرها؛ لنقل الإجماع </w:t>
      </w:r>
      <w:r>
        <w:rPr>
          <w:rStyle w:val="FootnoteAnchor"/>
          <w:rtl w:val="true"/>
        </w:rPr>
        <w:footnoteReference w:id="1734"/>
      </w:r>
      <w:r>
        <w:rPr>
          <w:rFonts w:ascii="Amiri" w:hAnsi="Amiri" w:eastAsia="Amiri" w:cs="Amiri"/>
          <w:color w:val="111111"/>
          <w:sz w:val="28"/>
          <w:sz w:val="28"/>
          <w:szCs w:val="28"/>
          <w:rtl w:val="true"/>
          <w:lang w:bidi="ar-SA"/>
        </w:rPr>
        <w:t xml:space="preserve">و النهي العلويّ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 و بهما يقيّد الأصل، و مجوّزات القراءة عموماً أو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بعدمها استناداً إليها ضعيف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تسجد بتلاوتها السجدة أو استماعها، وفاقاً للمعظم؛ للصحيح و الموثّق و المضمر </w:t>
      </w:r>
      <w:r>
        <w:rPr>
          <w:rStyle w:val="FootnoteAnchor"/>
          <w:rtl w:val="true"/>
        </w:rPr>
        <w:footnoteReference w:id="1736"/>
      </w:r>
      <w:r>
        <w:rPr>
          <w:rFonts w:ascii="Amiri" w:hAnsi="Amiri" w:eastAsia="Amiri" w:cs="Amiri"/>
          <w:color w:val="111111"/>
          <w:sz w:val="28"/>
          <w:sz w:val="28"/>
          <w:szCs w:val="28"/>
          <w:rtl w:val="true"/>
          <w:lang w:bidi="ar-SA"/>
        </w:rPr>
        <w:t xml:space="preserve">، و الشيخ حرّمه </w:t>
      </w:r>
      <w:r>
        <w:rPr>
          <w:rStyle w:val="FootnoteAnchor"/>
          <w:rtl w:val="true"/>
        </w:rPr>
        <w:footnoteReference w:id="1737"/>
      </w:r>
      <w:r>
        <w:rPr>
          <w:rFonts w:ascii="Amiri" w:hAnsi="Amiri" w:eastAsia="Amiri" w:cs="Amiri"/>
          <w:color w:val="111111"/>
          <w:sz w:val="28"/>
          <w:sz w:val="28"/>
          <w:szCs w:val="28"/>
          <w:rtl w:val="true"/>
          <w:lang w:bidi="ar-SA"/>
        </w:rPr>
        <w:t xml:space="preserve">للصحيح </w:t>
      </w:r>
      <w:r>
        <w:rPr>
          <w:rStyle w:val="FootnoteAnchor"/>
          <w:rtl w:val="true"/>
        </w:rPr>
        <w:footnoteReference w:id="1738"/>
      </w:r>
      <w:r>
        <w:rPr>
          <w:rFonts w:ascii="Amiri" w:hAnsi="Amiri" w:eastAsia="Amiri" w:cs="Amiri"/>
          <w:color w:val="111111"/>
          <w:sz w:val="28"/>
          <w:sz w:val="28"/>
          <w:szCs w:val="28"/>
          <w:rtl w:val="true"/>
          <w:lang w:bidi="ar-SA"/>
        </w:rPr>
        <w:t xml:space="preserve">و 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بحملها على التقيّة، على أنّ دلالة الصحيح بإحدى النسختين منتفية، و يمكن حمل السجدة فيه على المستحبّة، و النهي عنها على النهي عن سببها</w:t>
      </w:r>
      <w:r>
        <w:rPr>
          <w:rFonts w:eastAsia="Amiri" w:cs="Amiri" w:ascii="Amiri" w:hAnsi="Amiri"/>
          <w:color w:val="111111"/>
          <w:sz w:val="28"/>
          <w:szCs w:val="28"/>
          <w:rtl w:val="true"/>
          <w:lang w:bidi="ar-SA"/>
        </w:rPr>
        <w:t>.</w:t>
      </w:r>
      <w:bookmarkStart w:id="649" w:name="pg2479_11777"/>
    </w:p>
    <w:p>
      <w:pPr>
        <w:pStyle w:val="BookText"/>
        <w:rPr/>
      </w:pPr>
      <w:bookmarkEnd w:id="649"/>
      <w:r>
        <w:rPr>
          <w:rFonts w:ascii="Amiri" w:hAnsi="Amiri" w:eastAsia="Amiri" w:cs="Amiri"/>
          <w:color w:val="111111"/>
          <w:sz w:val="28"/>
          <w:sz w:val="28"/>
          <w:szCs w:val="28"/>
          <w:rtl w:val="true"/>
          <w:lang w:bidi="ar-SA"/>
        </w:rPr>
        <w:t>على أنّ الوارد فيهما النهي عنه بالسماع المقتضي لرفع الوجوب؛ لوروده في مقام توهّمه لا للحظر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المختار عندنا في الحائض و غيرها وجوبه بالاستماع لا به،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الفاضلين </w:t>
      </w:r>
      <w:r>
        <w:rPr>
          <w:rStyle w:val="FootnoteAnchor"/>
          <w:rtl w:val="true"/>
        </w:rPr>
        <w:footnoteReference w:id="1740"/>
      </w:r>
      <w:r>
        <w:rPr>
          <w:rFonts w:ascii="Amiri" w:hAnsi="Amiri" w:eastAsia="Amiri" w:cs="Amiri"/>
          <w:color w:val="111111"/>
          <w:sz w:val="28"/>
          <w:sz w:val="28"/>
          <w:szCs w:val="28"/>
          <w:rtl w:val="true"/>
          <w:lang w:bidi="ar-SA"/>
        </w:rPr>
        <w:t xml:space="preserve">للأصل و نقل الإجماع فيه </w:t>
      </w:r>
      <w:r>
        <w:rPr>
          <w:rStyle w:val="FootnoteAnchor"/>
          <w:rtl w:val="true"/>
        </w:rPr>
        <w:footnoteReference w:id="1741"/>
      </w:r>
      <w:r>
        <w:rPr>
          <w:rFonts w:ascii="Amiri" w:hAnsi="Amiri" w:eastAsia="Amiri" w:cs="Amiri"/>
          <w:color w:val="111111"/>
          <w:sz w:val="28"/>
          <w:sz w:val="28"/>
          <w:szCs w:val="28"/>
          <w:rtl w:val="true"/>
          <w:lang w:bidi="ar-SA"/>
        </w:rPr>
        <w:t xml:space="preserve">و صريح الصحيح و الموثّق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للحلّي؛ لنقله الوفاق </w:t>
      </w:r>
      <w:r>
        <w:rPr>
          <w:rStyle w:val="FootnoteAnchor"/>
          <w:rtl w:val="true"/>
        </w:rPr>
        <w:footnoteReference w:id="1743"/>
      </w:r>
      <w:r>
        <w:rPr>
          <w:rFonts w:ascii="Amiri" w:hAnsi="Amiri" w:eastAsia="Amiri" w:cs="Amiri"/>
          <w:color w:val="111111"/>
          <w:sz w:val="28"/>
          <w:sz w:val="28"/>
          <w:szCs w:val="28"/>
          <w:rtl w:val="true"/>
          <w:lang w:bidi="ar-SA"/>
        </w:rPr>
        <w:t>، و عورض بنقل الأضبط، و ضابط الخبرين، و حمل على الندب أو الاستماع؛ لتلازمهما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لها الاختضاب، جمعاً بين الأخبار الناهية و المجوّزة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3732291_3804643083"/>
      <w:bookmarkStart w:id="651" w:name="_Toc251"/>
      <w:bookmarkEnd w:id="650"/>
      <w:r>
        <w:rPr>
          <w:rtl w:val="true"/>
        </w:rPr>
        <w:t>مسائل</w:t>
      </w:r>
      <w:r>
        <w:rPr>
          <w:rtl w:val="true"/>
        </w:rPr>
        <w:t>:</w:t>
      </w:r>
      <w:bookmarkEnd w:id="651"/>
    </w:p>
    <w:p>
      <w:pPr>
        <w:pStyle w:val="Heading6"/>
        <w:numPr>
          <w:ilvl w:val="5"/>
          <w:numId w:val="1"/>
        </w:numPr>
        <w:rPr/>
      </w:pPr>
      <w:bookmarkStart w:id="652" w:name="__RefHeading___Toc3732293_3804643083"/>
      <w:bookmarkStart w:id="653" w:name="_Toc252"/>
      <w:bookmarkEnd w:id="652"/>
      <w:r>
        <w:rPr>
          <w:rtl w:val="true"/>
        </w:rPr>
        <w:t>الأُولىٰ</w:t>
      </w:r>
      <w:r>
        <w:rPr>
          <w:rtl w:val="true"/>
        </w:rPr>
        <w:t>:</w:t>
      </w:r>
      <w:bookmarkEnd w:id="653"/>
    </w:p>
    <w:p>
      <w:pPr>
        <w:pStyle w:val="BookText"/>
        <w:rPr/>
      </w:pPr>
      <w:r>
        <w:rPr>
          <w:rFonts w:ascii="Amiri" w:hAnsi="Amiri" w:eastAsia="Amiri" w:cs="Amiri"/>
          <w:color w:val="111111"/>
          <w:sz w:val="28"/>
          <w:sz w:val="28"/>
          <w:szCs w:val="28"/>
          <w:rtl w:val="true"/>
          <w:lang w:bidi="ar-SA"/>
        </w:rPr>
        <w:t xml:space="preserve">الحقّ توقّف صحّة صومها مع الانقطاع على الغسل، وفاقاً للمعظم، و خلافاً للعماني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Style w:val="FootnoteAnchor"/>
          <w:rtl w:val="true"/>
        </w:rPr>
        <w:footnoteReference w:id="1746"/>
      </w:r>
      <w:r>
        <w:rPr>
          <w:rFonts w:ascii="Amiri" w:hAnsi="Amiri" w:eastAsia="Amiri" w:cs="Amiri"/>
          <w:color w:val="111111"/>
          <w:sz w:val="28"/>
          <w:sz w:val="28"/>
          <w:szCs w:val="28"/>
          <w:rtl w:val="true"/>
          <w:lang w:bidi="ar-SA"/>
        </w:rPr>
        <w:t>، و الاستصحاب، و بقاء علّة المنع و هو صدق الاسم و لو بعد الغسل كما قرّر، خرج ما خرج فيبقى الباقي، و كونها أولى بالتوقّف من المستحاضة</w:t>
      </w:r>
      <w:bookmarkStart w:id="654" w:name="pg2479_11780"/>
    </w:p>
    <w:p>
      <w:pPr>
        <w:pStyle w:val="BookText"/>
        <w:rPr/>
      </w:pPr>
      <w:bookmarkEnd w:id="654"/>
      <w:r>
        <w:rPr>
          <w:rFonts w:ascii="Amiri" w:hAnsi="Amiri" w:eastAsia="Amiri" w:cs="Amiri"/>
          <w:color w:val="111111"/>
          <w:sz w:val="28"/>
          <w:sz w:val="28"/>
          <w:szCs w:val="28"/>
          <w:rtl w:val="true"/>
          <w:lang w:bidi="ar-SA"/>
        </w:rPr>
        <w:t>مع ثبوته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عموم الأمر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مع تعمّد الترك يجب عليها القضاء قطعاً، و في وجوب الكفّارة نظر، و الفاضل </w:t>
      </w:r>
      <w:r>
        <w:rPr>
          <w:rStyle w:val="FootnoteAnchor"/>
          <w:rtl w:val="true"/>
        </w:rPr>
        <w:footnoteReference w:id="1747"/>
      </w:r>
      <w:r>
        <w:rPr>
          <w:rFonts w:ascii="IRNazanin" w:hAnsi="IRNazanin" w:eastAsia="IRNazanin"/>
          <w:color w:val="111111"/>
          <w:sz w:val="28"/>
          <w:sz w:val="28"/>
          <w:szCs w:val="28"/>
          <w:rtl w:val="true"/>
          <w:lang w:bidi="fa-IR"/>
        </w:rPr>
        <w:t>أوجبها</w:t>
      </w:r>
      <w:r>
        <w:rPr>
          <w:rFonts w:eastAsia="IRNazanin" w:cs="IRNazanin"/>
          <w:color w:val="111111"/>
          <w:sz w:val="28"/>
          <w:szCs w:val="28"/>
          <w:rtl w:val="true"/>
          <w:lang w:bidi="fa-IR"/>
        </w:rPr>
        <w:t>.</w:t>
      </w:r>
    </w:p>
    <w:p>
      <w:pPr>
        <w:pStyle w:val="Heading6"/>
        <w:numPr>
          <w:ilvl w:val="5"/>
          <w:numId w:val="1"/>
        </w:numPr>
        <w:rPr/>
      </w:pPr>
      <w:bookmarkStart w:id="655" w:name="__RefHeading___Toc3732295_3804643083"/>
      <w:bookmarkStart w:id="656" w:name="_Toc253"/>
      <w:bookmarkEnd w:id="655"/>
      <w:r>
        <w:rPr>
          <w:rtl w:val="true"/>
        </w:rPr>
        <w:t>الثانية</w:t>
      </w:r>
      <w:r>
        <w:rPr>
          <w:rtl w:val="true"/>
        </w:rPr>
        <w:t>:</w:t>
      </w:r>
      <w:bookmarkEnd w:id="656"/>
    </w:p>
    <w:p>
      <w:pPr>
        <w:pStyle w:val="BookText"/>
        <w:rPr/>
      </w:pPr>
      <w:r>
        <w:rPr>
          <w:rFonts w:ascii="Amiri" w:hAnsi="Amiri" w:eastAsia="Amiri" w:cs="Amiri"/>
          <w:color w:val="111111"/>
          <w:sz w:val="28"/>
          <w:sz w:val="28"/>
          <w:szCs w:val="28"/>
          <w:rtl w:val="true"/>
          <w:lang w:bidi="ar-SA"/>
        </w:rPr>
        <w:t xml:space="preserve">يجب عليها قضاء الصوم دون الصلاة، بالإجماعين و المستفيضة </w:t>
      </w:r>
      <w:r>
        <w:rPr>
          <w:rStyle w:val="FootnoteAnchor"/>
          <w:rtl w:val="true"/>
        </w:rPr>
        <w:footnoteReference w:id="1748"/>
      </w:r>
      <w:r>
        <w:rPr>
          <w:rFonts w:ascii="Amiri" w:hAnsi="Amiri" w:eastAsia="Amiri" w:cs="Amiri"/>
          <w:color w:val="111111"/>
          <w:sz w:val="28"/>
          <w:sz w:val="28"/>
          <w:szCs w:val="28"/>
          <w:rtl w:val="true"/>
          <w:lang w:bidi="ar-SA"/>
        </w:rPr>
        <w:t>، و تتدارك ما لزمها منهما بالنذر المطلق؛ لعدم تعيّن وقته، دون المعيّن الواقع في الحيض؛ للتعيّن و تعذّر الإتيان فيسقط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اليوميّة مثلها في عدم القضاء؛ لعدم التكليف مع انتفاء شرطه، و استثناء الزلزلة لا وجه له، و كون وقته تمام العمر لا يصحّحه</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3732297_3804643083"/>
      <w:bookmarkStart w:id="658" w:name="_Toc254"/>
      <w:bookmarkEnd w:id="657"/>
      <w:r>
        <w:rPr>
          <w:rtl w:val="true"/>
        </w:rPr>
        <w:t>الثالثة</w:t>
      </w:r>
      <w:r>
        <w:rPr>
          <w:rtl w:val="true"/>
        </w:rPr>
        <w:t>:</w:t>
      </w:r>
      <w:bookmarkEnd w:id="658"/>
    </w:p>
    <w:p>
      <w:pPr>
        <w:pStyle w:val="BookText"/>
        <w:rPr/>
      </w:pPr>
      <w:r>
        <w:rPr>
          <w:rFonts w:ascii="Amiri" w:hAnsi="Amiri" w:eastAsia="Amiri" w:cs="Amiri"/>
          <w:color w:val="111111"/>
          <w:sz w:val="28"/>
          <w:sz w:val="28"/>
          <w:szCs w:val="28"/>
          <w:rtl w:val="true"/>
          <w:lang w:bidi="ar-SA"/>
        </w:rPr>
        <w:t xml:space="preserve">لو حاضت بعد دخول الوقت، فإن مضى منه مقدار الطهارة و الصلاة وجب عليها القضاء إجماعاً؛ لعموم قضاء الفوائت، و خصوص الصحيح و الموثّق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فلا وفاقاً للمعظم؛ للأصل، و نقل الإجماع </w:t>
      </w:r>
      <w:r>
        <w:rPr>
          <w:rStyle w:val="FootnoteAnchor"/>
          <w:rtl w:val="true"/>
        </w:rPr>
        <w:footnoteReference w:id="1750"/>
      </w:r>
      <w:r>
        <w:rPr>
          <w:rFonts w:ascii="IRNazanin" w:hAnsi="IRNazanin" w:eastAsia="IRNazanin"/>
          <w:color w:val="111111"/>
          <w:sz w:val="28"/>
          <w:sz w:val="28"/>
          <w:szCs w:val="28"/>
          <w:rtl w:val="true"/>
          <w:lang w:bidi="fa-IR"/>
        </w:rPr>
        <w:t xml:space="preserve">، و ظاهر الموثّق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يستدلّ بأنّ الأداء ساقط و القضاء تابع </w:t>
      </w:r>
      <w:r>
        <w:rPr>
          <w:rStyle w:val="FootnoteAnchor"/>
          <w:rtl w:val="true"/>
        </w:rPr>
        <w:footnoteReference w:id="1752"/>
      </w:r>
      <w:r>
        <w:rPr>
          <w:rFonts w:ascii="IRNazanin" w:hAnsi="IRNazanin" w:eastAsia="IRNazanin"/>
          <w:color w:val="111111"/>
          <w:sz w:val="28"/>
          <w:sz w:val="28"/>
          <w:szCs w:val="28"/>
          <w:rtl w:val="true"/>
          <w:lang w:bidi="fa-IR"/>
        </w:rPr>
        <w:t xml:space="preserve">، و نقض </w:t>
      </w:r>
      <w:r>
        <w:rPr>
          <w:rStyle w:val="FootnoteAnchor"/>
          <w:rtl w:val="true"/>
        </w:rPr>
        <w:footnoteReference w:id="1753"/>
      </w:r>
      <w:r>
        <w:rPr>
          <w:rFonts w:ascii="IRNazanin" w:hAnsi="IRNazanin" w:eastAsia="IRNazanin"/>
          <w:color w:val="111111"/>
          <w:sz w:val="28"/>
          <w:sz w:val="28"/>
          <w:szCs w:val="28"/>
          <w:rtl w:val="true"/>
          <w:lang w:bidi="fa-IR"/>
        </w:rPr>
        <w:t>بوجوب الصوم على الحائض</w:t>
      </w:r>
      <w:bookmarkStart w:id="659" w:name="pg2479_11782"/>
    </w:p>
    <w:p>
      <w:pPr>
        <w:pStyle w:val="BookText"/>
        <w:rPr/>
      </w:pPr>
      <w:bookmarkEnd w:id="659"/>
      <w:r>
        <w:rPr>
          <w:rFonts w:ascii="Amiri" w:hAnsi="Amiri" w:eastAsia="Amiri" w:cs="Amiri"/>
          <w:color w:val="111111"/>
          <w:sz w:val="28"/>
          <w:sz w:val="28"/>
          <w:szCs w:val="28"/>
          <w:rtl w:val="true"/>
          <w:lang w:bidi="ar-SA"/>
        </w:rPr>
        <w:t>و الصلاة على الساهي و النائم، على أنّ القضاء بأمر جديد، فإن ثبت ثبت، و إن انتفى انتفى، و لا تعلّق له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أوجبه بمضي أكثرها </w:t>
      </w:r>
      <w:r>
        <w:rPr>
          <w:rStyle w:val="FootnoteAnchor"/>
          <w:rtl w:val="true"/>
        </w:rPr>
        <w:footnoteReference w:id="1754"/>
      </w:r>
      <w:r>
        <w:rPr>
          <w:rFonts w:ascii="IRNazanin" w:hAnsi="IRNazanin" w:eastAsia="IRNazanin"/>
          <w:color w:val="111111"/>
          <w:sz w:val="28"/>
          <w:sz w:val="28"/>
          <w:szCs w:val="28"/>
          <w:rtl w:val="true"/>
          <w:lang w:bidi="fa-IR"/>
        </w:rPr>
        <w:t>، و لم نقف علىٰ مستند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الصدوق أوجب قضاء ركعة من المغرب إذا أدركت ركعتين </w:t>
      </w:r>
      <w:r>
        <w:rPr>
          <w:rStyle w:val="FootnoteAnchor"/>
          <w:rtl w:val="true"/>
        </w:rPr>
        <w:footnoteReference w:id="1755"/>
      </w:r>
      <w:r>
        <w:rPr>
          <w:rFonts w:ascii="IRNazanin" w:hAnsi="IRNazanin" w:eastAsia="IRNazanin"/>
          <w:color w:val="111111"/>
          <w:sz w:val="28"/>
          <w:sz w:val="28"/>
          <w:szCs w:val="28"/>
          <w:rtl w:val="true"/>
          <w:lang w:bidi="fa-IR"/>
        </w:rPr>
        <w:t xml:space="preserve">للخبر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بالشذوذ و عدم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طهرت و قد بقي من الوقت قدر ركعة أو أكثر لزمها الأداء؛ للإجماع و الصحاح و غيرها </w:t>
      </w:r>
      <w:r>
        <w:rPr>
          <w:rStyle w:val="FootnoteAnchor"/>
          <w:rtl w:val="true"/>
        </w:rPr>
        <w:footnoteReference w:id="1757"/>
      </w:r>
      <w:r>
        <w:rPr>
          <w:rFonts w:ascii="IRNazanin" w:hAnsi="IRNazanin" w:eastAsia="IRNazanin"/>
          <w:color w:val="111111"/>
          <w:sz w:val="28"/>
          <w:sz w:val="28"/>
          <w:szCs w:val="28"/>
          <w:rtl w:val="true"/>
          <w:lang w:bidi="fa-IR"/>
        </w:rPr>
        <w:t>، و القضاء مع الإخلال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بقي أقل منها لم يلزمها شي‌ء منهما إجماعاً</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3732299_3804643083"/>
      <w:bookmarkStart w:id="661" w:name="_Toc255"/>
      <w:bookmarkEnd w:id="660"/>
      <w:r>
        <w:rPr>
          <w:rtl w:val="true"/>
        </w:rPr>
        <w:t>الرابعة</w:t>
      </w:r>
      <w:r>
        <w:rPr>
          <w:rtl w:val="true"/>
        </w:rPr>
        <w:t>:</w:t>
      </w:r>
      <w:bookmarkEnd w:id="661"/>
    </w:p>
    <w:p>
      <w:pPr>
        <w:pStyle w:val="BookText"/>
        <w:rPr/>
      </w:pPr>
      <w:r>
        <w:rPr>
          <w:rFonts w:ascii="Amiri" w:hAnsi="Amiri" w:eastAsia="Amiri" w:cs="Amiri"/>
          <w:color w:val="111111"/>
          <w:sz w:val="28"/>
          <w:sz w:val="28"/>
          <w:szCs w:val="28"/>
          <w:rtl w:val="true"/>
          <w:lang w:bidi="ar-SA"/>
        </w:rPr>
        <w:t>يحرم وطؤها بالأدلّة الثلاثة، بل الضرورة الدينيّة، فيكفَّر مستحلّه، و يعزّر غيره، و يفسّق مع علمه بالموضوع و حكمه إجماعاً، لا مع نسيانه أحدهما أو جهله به؛ لعمومات اشتراط الخطاب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بعضهم </w:t>
      </w:r>
      <w:r>
        <w:rPr>
          <w:rStyle w:val="FootnoteAnchor"/>
          <w:rtl w:val="true"/>
        </w:rPr>
        <w:footnoteReference w:id="1758"/>
      </w:r>
      <w:r>
        <w:rPr>
          <w:rFonts w:ascii="Amiri" w:hAnsi="Amiri" w:eastAsia="Amiri" w:cs="Amiri"/>
          <w:color w:val="111111"/>
          <w:sz w:val="28"/>
          <w:sz w:val="28"/>
          <w:szCs w:val="28"/>
          <w:rtl w:val="true"/>
          <w:lang w:bidi="ar-SA"/>
        </w:rPr>
        <w:t>في الجاهل بالحكم؛ لعدم معذوريته إلّا فيما استثني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يحرم مع القطع بالحيض، لا مع الاشتباه كما في الزائد عن العادة و لو في زمن الاستظهار، فلا يحرم؛ للأصل و بعض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w:t>
      </w:r>
      <w:r>
        <w:rPr>
          <w:rStyle w:val="FootnoteAnchor"/>
          <w:rtl w:val="true"/>
        </w:rPr>
        <w:footnoteReference w:id="1759"/>
      </w:r>
      <w:r>
        <w:rPr>
          <w:rFonts w:ascii="Amiri" w:hAnsi="Amiri" w:eastAsia="Amiri" w:cs="Amiri"/>
          <w:color w:val="111111"/>
          <w:sz w:val="28"/>
          <w:sz w:val="28"/>
          <w:szCs w:val="28"/>
          <w:rtl w:val="true"/>
          <w:lang w:bidi="ar-SA"/>
        </w:rPr>
        <w:t>حرّمه احتياطاً و تغليباً للحرمة،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التعزير إلى الحاكم عند الأكثر،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حدّ الزاني </w:t>
      </w:r>
      <w:r>
        <w:rPr>
          <w:rStyle w:val="FootnoteAnchor"/>
          <w:rtl w:val="true"/>
        </w:rPr>
        <w:footnoteReference w:id="1760"/>
      </w:r>
      <w:r>
        <w:rPr>
          <w:rFonts w:ascii="Amiri" w:hAnsi="Amiri" w:eastAsia="Amiri" w:cs="Amiri"/>
          <w:color w:val="111111"/>
          <w:sz w:val="28"/>
          <w:sz w:val="28"/>
          <w:szCs w:val="28"/>
          <w:rtl w:val="true"/>
          <w:lang w:bidi="ar-SA"/>
        </w:rPr>
        <w:t xml:space="preserve">، و هو غير بعيد؛ لصريح الخبرين </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أورده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أوّله ربعه و في آخره ثمنه </w:t>
      </w:r>
      <w:r>
        <w:rPr>
          <w:rStyle w:val="FootnoteAnchor"/>
          <w:rtl w:val="true"/>
        </w:rPr>
        <w:footnoteReference w:id="1762"/>
      </w:r>
      <w:r>
        <w:rPr>
          <w:rFonts w:ascii="Amiri" w:hAnsi="Amiri" w:eastAsia="Amiri" w:cs="Amiri"/>
          <w:color w:val="111111"/>
          <w:sz w:val="28"/>
          <w:sz w:val="28"/>
          <w:szCs w:val="28"/>
          <w:rtl w:val="true"/>
          <w:lang w:bidi="ar-SA"/>
        </w:rPr>
        <w:t>، و لا يبعد حملهما عليه كما يومي إليه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مع إطاعة المرأة يعمّها، و مع الإكراه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حاضت في الأثناء نزع، و لو استمرّ 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تُصدّق في إجبارها مع عدم التهمة؛ للإجماع، و ظاهر الآية </w:t>
      </w:r>
      <w:r>
        <w:rPr>
          <w:rStyle w:val="FootnoteAnchor"/>
          <w:rtl w:val="true"/>
        </w:rPr>
        <w:footnoteReference w:id="1763"/>
      </w:r>
      <w:r>
        <w:rPr>
          <w:rFonts w:ascii="Amiri" w:hAnsi="Amiri" w:eastAsia="Amiri" w:cs="Amiri"/>
          <w:color w:val="111111"/>
          <w:sz w:val="28"/>
          <w:sz w:val="28"/>
          <w:szCs w:val="28"/>
          <w:rtl w:val="true"/>
          <w:lang w:bidi="ar-SA"/>
        </w:rPr>
        <w:t xml:space="preserve">، و صريح الصحيح و الحسن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ينافيهما المرسل و الخبر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معها إن وافق الأصل، كإخبارها ببقاء ما علم سابقاً من الحيض أو الطهر لتعيّن العمل به مع عدم إخبارها، فيتأكّد معه، و إطلاق الأدلّة أيضاً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خالفه كأن يخبر عن حدوث أحدهما بعد سبق الآخر فإطلاقها يقتضي القبول، و الاستصحاب عدمه؛ لعدم صلاحيّة قولها الرفع، و في المرسل و الخبر إيماء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الأخذ بالأحوط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يتعلّق الحكم بالطفل؛ لسقوط التكليف عنه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التحريم يخصّ بالجماع في القبل، فيجوز التمتّع بما فوق السرّة و تحت الركبة إجماعاً، و بما بينهما و لو بالوطء في الدبر وفاقاً للمشهور؛ و خلافاً للمرتضىٰ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bookmarkStart w:id="662" w:name="pg2479_11786"/>
    </w:p>
    <w:p>
      <w:pPr>
        <w:pStyle w:val="BookText"/>
        <w:rPr/>
      </w:pPr>
      <w:bookmarkEnd w:id="66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 إطلاق الآية </w:t>
      </w:r>
      <w:r>
        <w:rPr>
          <w:rStyle w:val="FootnoteAnchor"/>
          <w:rtl w:val="true"/>
        </w:rPr>
        <w:footnoteReference w:id="1767"/>
      </w:r>
      <w:r>
        <w:rPr>
          <w:rFonts w:ascii="Amiri" w:hAnsi="Amiri" w:eastAsia="Amiri" w:cs="Amiri"/>
          <w:color w:val="111111"/>
          <w:sz w:val="28"/>
          <w:sz w:val="28"/>
          <w:szCs w:val="28"/>
          <w:rtl w:val="true"/>
          <w:lang w:bidi="ar-SA"/>
        </w:rPr>
        <w:t xml:space="preserve">استفاضة النصوص </w:t>
      </w:r>
      <w:r>
        <w:rPr>
          <w:rStyle w:val="FootnoteAnchor"/>
          <w:rtl w:val="true"/>
        </w:rPr>
        <w:footnoteReference w:id="1768"/>
      </w:r>
      <w:r>
        <w:rPr>
          <w:rFonts w:ascii="Amiri" w:hAnsi="Amiri" w:eastAsia="Amiri" w:cs="Amiri"/>
          <w:color w:val="111111"/>
          <w:sz w:val="28"/>
          <w:sz w:val="28"/>
          <w:szCs w:val="28"/>
          <w:rtl w:val="true"/>
          <w:lang w:bidi="ar-SA"/>
        </w:rPr>
        <w:t>بإباحة التمتّع من الحائض إلّا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المستفيضة </w:t>
      </w:r>
      <w:r>
        <w:rPr>
          <w:rStyle w:val="FootnoteAnchor"/>
          <w:rtl w:val="true"/>
        </w:rPr>
        <w:footnoteReference w:id="1769"/>
      </w:r>
      <w:r>
        <w:rPr>
          <w:rFonts w:ascii="Amiri" w:hAnsi="Amiri" w:eastAsia="Amiri" w:cs="Amiri"/>
          <w:color w:val="111111"/>
          <w:sz w:val="28"/>
          <w:sz w:val="28"/>
          <w:szCs w:val="28"/>
          <w:rtl w:val="true"/>
          <w:lang w:bidi="ar-SA"/>
        </w:rPr>
        <w:t xml:space="preserve">و إطلاق الأمر بالاعتزال في المحيض و النهي عن المقاربة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الأوّل بالحمل على التقيّة، و عن الثاني بأنّ الأمر للندب أو المراد بالحيض مع الحيض لا وقته، و إلّا لزم الإضمار أو التخصّص و لغى التقييد بالغاية، و عن الثالث بظهور المقاربة في الوطء عرفاً</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732301_3804643083"/>
      <w:bookmarkStart w:id="664" w:name="_Toc256"/>
      <w:bookmarkEnd w:id="663"/>
      <w:r>
        <w:rPr>
          <w:rtl w:val="true"/>
        </w:rPr>
        <w:t>الخامسة</w:t>
      </w:r>
      <w:r>
        <w:rPr>
          <w:rtl w:val="true"/>
        </w:rPr>
        <w:t>:</w:t>
      </w:r>
      <w:bookmarkEnd w:id="664"/>
    </w:p>
    <w:p>
      <w:pPr>
        <w:pStyle w:val="BookText"/>
        <w:rPr/>
      </w:pPr>
      <w:r>
        <w:rPr>
          <w:rFonts w:ascii="Amiri" w:hAnsi="Amiri" w:eastAsia="Amiri" w:cs="Amiri"/>
          <w:color w:val="111111"/>
          <w:sz w:val="28"/>
          <w:sz w:val="28"/>
          <w:szCs w:val="28"/>
          <w:rtl w:val="true"/>
          <w:lang w:bidi="ar-SA"/>
        </w:rPr>
        <w:t>الحق جواز وطئها بعد التطهّر و قبل الغسل على كراهة، وفاقاً للمعظم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الصدوق تحريمه إلّا مع الشبق و غسل الفرج </w:t>
      </w:r>
      <w:r>
        <w:rPr>
          <w:rStyle w:val="FootnoteAnchor"/>
          <w:rtl w:val="true"/>
        </w:rPr>
        <w:footnoteReference w:id="1771"/>
      </w:r>
      <w:r>
        <w:rPr>
          <w:rFonts w:ascii="Amiri" w:hAnsi="Amiri" w:eastAsia="Amiri" w:cs="Amiri"/>
          <w:color w:val="111111"/>
          <w:sz w:val="28"/>
          <w:sz w:val="28"/>
          <w:szCs w:val="28"/>
          <w:rtl w:val="true"/>
          <w:lang w:bidi="ar-SA"/>
        </w:rPr>
        <w:t xml:space="preserve">، و الطبرسي تحريمه و زواله بالوضوء أو غسل الفرج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إطلاق نفي اللوم، و تعليق الاعتزال على الوصف المشعر بالعلّية، و التخفيف في قوله يَطْهُرْنَ </w:t>
      </w:r>
      <w:r>
        <w:rPr>
          <w:rStyle w:val="FootnoteAnchor"/>
          <w:rtl w:val="true"/>
        </w:rPr>
        <w:footnoteReference w:id="1773"/>
      </w:r>
      <w:r>
        <w:rPr>
          <w:rFonts w:ascii="Amiri" w:hAnsi="Amiri" w:eastAsia="Amiri" w:cs="Amiri"/>
          <w:color w:val="111111"/>
          <w:sz w:val="28"/>
          <w:sz w:val="28"/>
          <w:szCs w:val="28"/>
          <w:rtl w:val="true"/>
          <w:lang w:bidi="ar-SA"/>
        </w:rPr>
        <w:t xml:space="preserve">كما هو أرجح القراءتين، و عليه وفاق السبعة </w:t>
      </w:r>
      <w:r>
        <w:rPr>
          <w:rStyle w:val="FootnoteAnchor"/>
          <w:rtl w:val="true"/>
        </w:rPr>
        <w:footnoteReference w:id="1774"/>
      </w:r>
      <w:r>
        <w:rPr>
          <w:rFonts w:ascii="Amiri" w:hAnsi="Amiri" w:eastAsia="Amiri" w:cs="Amiri"/>
          <w:color w:val="111111"/>
          <w:sz w:val="28"/>
          <w:sz w:val="28"/>
          <w:szCs w:val="28"/>
          <w:rtl w:val="true"/>
          <w:lang w:bidi="ar-SA"/>
        </w:rPr>
        <w:t xml:space="preserve">، و صريح الموثّقين و المرسل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التشديد، و ضعفه ظاهر، و الموثّقات الثلاثة </w:t>
      </w:r>
      <w:r>
        <w:rPr>
          <w:rStyle w:val="FootnoteAnchor"/>
          <w:rtl w:val="true"/>
        </w:rPr>
        <w:footnoteReference w:id="1776"/>
      </w:r>
      <w:r>
        <w:rPr>
          <w:rFonts w:ascii="IRNazanin" w:hAnsi="IRNazanin" w:eastAsia="IRNazanin"/>
          <w:color w:val="111111"/>
          <w:sz w:val="28"/>
          <w:sz w:val="28"/>
          <w:szCs w:val="28"/>
          <w:rtl w:val="true"/>
          <w:lang w:bidi="fa-IR"/>
        </w:rPr>
        <w:t>، و حمل على</w:t>
      </w:r>
      <w:bookmarkStart w:id="665" w:name="pg2479_11788"/>
    </w:p>
    <w:p>
      <w:pPr>
        <w:pStyle w:val="BookText"/>
        <w:rPr/>
      </w:pPr>
      <w:bookmarkEnd w:id="665"/>
      <w:r>
        <w:rPr>
          <w:rFonts w:ascii="Amiri" w:hAnsi="Amiri" w:eastAsia="Amiri" w:cs="Amiri"/>
          <w:color w:val="111111"/>
          <w:sz w:val="28"/>
          <w:sz w:val="28"/>
          <w:szCs w:val="28"/>
          <w:rtl w:val="true"/>
          <w:lang w:bidi="ar-SA"/>
        </w:rPr>
        <w:t xml:space="preserve">التقيّة أو الكراهة كما يومي إليه بعضها، على أنّ ظاهرها عموم التحريم و لم يقل به أحد؛ إذ الصدوق يخصّه بصورة فقد الشبق و عدم غسل الفرج للصحيح </w:t>
      </w:r>
      <w:r>
        <w:rPr>
          <w:rStyle w:val="FootnoteAnchor"/>
          <w:rtl w:val="true"/>
        </w:rPr>
        <w:footnoteReference w:id="1777"/>
      </w:r>
      <w:r>
        <w:rPr>
          <w:rFonts w:ascii="Amiri" w:hAnsi="Amiri" w:eastAsia="Amiri" w:cs="Amiri"/>
          <w:color w:val="111111"/>
          <w:sz w:val="28"/>
          <w:sz w:val="28"/>
          <w:szCs w:val="28"/>
          <w:rtl w:val="true"/>
          <w:lang w:bidi="ar-SA"/>
        </w:rPr>
        <w:t xml:space="preserve">، و الطبرسي بالأخير للخبر </w:t>
      </w:r>
      <w:r>
        <w:rPr>
          <w:rStyle w:val="FootnoteAnchor"/>
          <w:rtl w:val="true"/>
        </w:rPr>
        <w:footnoteReference w:id="1778"/>
      </w:r>
      <w:r>
        <w:rPr>
          <w:rFonts w:ascii="Amiri" w:hAnsi="Amiri" w:eastAsia="Amiri" w:cs="Amiri"/>
          <w:color w:val="111111"/>
          <w:sz w:val="28"/>
          <w:sz w:val="28"/>
          <w:szCs w:val="28"/>
          <w:rtl w:val="true"/>
          <w:lang w:bidi="ar-SA"/>
        </w:rPr>
        <w:t>، فكلّ منهما أخذ بما اختاره من التفصيل للصحيح أو الخبر و حمل عليه عمومي الجواز و التحريم، و هذا ليس أولى من الأخذ بالعموم الأوّل؛ لقوّة دليله و حمل الثاني على الكراهة و القول بارتفاعها بغسل الفرج لأجلهما، بل هو متعيّن؛ لاعتضاده بالكتاب و الشهرة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دليل الكراهة، مضافاً إلى صريح الموثّق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في الخبر من توقّف الحلّ على التيمّم </w:t>
      </w:r>
      <w:r>
        <w:rPr>
          <w:rStyle w:val="FootnoteAnchor"/>
          <w:rtl w:val="true"/>
        </w:rPr>
        <w:footnoteReference w:id="1780"/>
      </w:r>
      <w:r>
        <w:rPr>
          <w:rFonts w:ascii="Amiri" w:hAnsi="Amiri" w:eastAsia="Amiri" w:cs="Amiri"/>
          <w:color w:val="111111"/>
          <w:sz w:val="28"/>
          <w:sz w:val="28"/>
          <w:szCs w:val="28"/>
          <w:rtl w:val="true"/>
          <w:lang w:bidi="ar-SA"/>
        </w:rPr>
        <w:t>محمول على الندب أو التقيّة</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3732303_3804643083"/>
      <w:bookmarkStart w:id="667" w:name="_Toc257"/>
      <w:bookmarkEnd w:id="666"/>
      <w:r>
        <w:rPr>
          <w:rtl w:val="true"/>
        </w:rPr>
        <w:t>السادسة</w:t>
      </w:r>
      <w:r>
        <w:rPr>
          <w:rtl w:val="true"/>
        </w:rPr>
        <w:t>:</w:t>
      </w:r>
      <w:bookmarkEnd w:id="667"/>
    </w:p>
    <w:p>
      <w:pPr>
        <w:pStyle w:val="BookText"/>
        <w:rPr/>
      </w:pPr>
      <w:r>
        <w:rPr>
          <w:rFonts w:ascii="Amiri" w:hAnsi="Amiri" w:eastAsia="Amiri" w:cs="Amiri"/>
          <w:color w:val="111111"/>
          <w:sz w:val="28"/>
          <w:sz w:val="28"/>
          <w:szCs w:val="28"/>
          <w:rtl w:val="true"/>
          <w:lang w:bidi="ar-SA"/>
        </w:rPr>
        <w:t xml:space="preserve">لو وطئها عمداً كفّر ندباً لا وجوباً، وفاقاً لإعلام المتأخّرين، و خلافاً لأعيان القدماء، و الراوندي فرّق بين الشاب و المضطرّ و غيرهما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صريح المستفيضة </w:t>
      </w:r>
      <w:r>
        <w:rPr>
          <w:rStyle w:val="FootnoteAnchor"/>
          <w:rtl w:val="true"/>
        </w:rPr>
        <w:footnoteReference w:id="1782"/>
      </w:r>
      <w:r>
        <w:rPr>
          <w:rFonts w:ascii="Amiri" w:hAnsi="Amiri" w:eastAsia="Amiri" w:cs="Amiri"/>
          <w:color w:val="111111"/>
          <w:sz w:val="28"/>
          <w:sz w:val="28"/>
          <w:szCs w:val="28"/>
          <w:rtl w:val="true"/>
          <w:lang w:bidi="ar-SA"/>
        </w:rPr>
        <w:t>، و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الإيجاب </w:t>
      </w:r>
      <w:r>
        <w:rPr>
          <w:rStyle w:val="FootnoteAnchor"/>
          <w:rtl w:val="true"/>
        </w:rPr>
        <w:footnoteReference w:id="1783"/>
      </w:r>
      <w:r>
        <w:rPr>
          <w:rFonts w:ascii="Amiri" w:hAnsi="Amiri" w:eastAsia="Amiri" w:cs="Amiri"/>
          <w:color w:val="111111"/>
          <w:sz w:val="28"/>
          <w:sz w:val="28"/>
          <w:szCs w:val="28"/>
          <w:rtl w:val="true"/>
          <w:lang w:bidi="ar-SA"/>
        </w:rPr>
        <w:t>بحملها عليه جمعاً، و هي مختلفة في تقدير ما يكفّر، فقدّر في بعضها بدينار في أوّل الحيض و بنصفه في وسطه و ربعه في آخره، و في آخر كما ذكر بإسقاط الآخر، و في ثالث بإسقاط الوسط أيضاً، و في رابع بدينار مطلقاً، و في</w:t>
      </w:r>
    </w:p>
    <w:p>
      <w:pPr>
        <w:pStyle w:val="BookText"/>
        <w:rPr/>
      </w:pPr>
      <w:r>
        <w:rPr>
          <w:rFonts w:ascii="Amiri" w:hAnsi="Amiri" w:eastAsia="Amiri" w:cs="Amiri"/>
          <w:color w:val="111111"/>
          <w:sz w:val="28"/>
          <w:sz w:val="28"/>
          <w:szCs w:val="28"/>
          <w:rtl w:val="true"/>
          <w:lang w:bidi="ar-SA"/>
        </w:rPr>
        <w:t xml:space="preserve">خامس بنصفه كذلك، و في سادس بما يشبع واحداً، و في سابع سبعة، و في ثامن عشرة، و هذا الاختلاف أمارة الندب و اختلاف مراتبه في الرجحان؛ إذ التخيير بينها وجوباً لا قائل به، و الأخذ ببعضها و لو بالمشهور يوجب طرح البواقي و انحصار الحجّة بما لا يقاوم أدلّة المختار، و شهرة القدماء لم تبلغ حدّا يكافئ شهرة المتأخّرين، فضلًا عن أن ترجّح عليها؛ لمخالفة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و الشيخ في بعض كتبه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الشيخ و السيّد إجماع الفرقة على الوجوب </w:t>
      </w:r>
      <w:r>
        <w:rPr>
          <w:rStyle w:val="FootnoteAnchor"/>
          <w:rtl w:val="true"/>
        </w:rPr>
        <w:footnoteReference w:id="1786"/>
      </w:r>
      <w:r>
        <w:rPr>
          <w:rFonts w:ascii="Amiri" w:hAnsi="Amiri" w:eastAsia="Amiri" w:cs="Amiri"/>
          <w:color w:val="111111"/>
          <w:sz w:val="28"/>
          <w:sz w:val="28"/>
          <w:szCs w:val="28"/>
          <w:rtl w:val="true"/>
          <w:lang w:bidi="ar-SA"/>
        </w:rPr>
        <w:t>لا عبرة به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نقف على مستند للراوندي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الكفّارة ندباً أو وجوباً يختصّ به، فلا يتعلّق بها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اخترناه من الاستحباب و كونه ذا درجات مختلفة، يمكن حصوله بكلّ من التقادير المذكورة، و أفضلها المشهور، و أدناها إطعام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اختلاف الثلاثة باختلاف العادة، و هو ظاهر الخبر </w:t>
      </w:r>
      <w:r>
        <w:rPr>
          <w:rStyle w:val="FootnoteAnchor"/>
          <w:rtl w:val="true"/>
        </w:rPr>
        <w:footnoteReference w:id="1787"/>
      </w:r>
      <w:r>
        <w:rPr>
          <w:rFonts w:ascii="Amiri" w:hAnsi="Amiri" w:eastAsia="Amiri" w:cs="Amiri"/>
          <w:color w:val="111111"/>
          <w:sz w:val="28"/>
          <w:sz w:val="28"/>
          <w:szCs w:val="28"/>
          <w:rtl w:val="true"/>
          <w:lang w:bidi="ar-SA"/>
        </w:rPr>
        <w:t>، فالأوّل لذات الثلاثة الأول، و لذات الأربعة مع ثلث الثاني، و لذات الخمسة مع ثلثيه، و هكذا، و مثله الوسط و الأخير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الراوندي ثلَّث العشرة </w:t>
      </w:r>
      <w:r>
        <w:rPr>
          <w:rStyle w:val="FootnoteAnchor"/>
          <w:rtl w:val="true"/>
        </w:rPr>
        <w:footnoteReference w:id="1788"/>
      </w:r>
      <w:r>
        <w:rPr>
          <w:rFonts w:ascii="Amiri" w:hAnsi="Amiri" w:eastAsia="Amiri" w:cs="Amiri"/>
          <w:color w:val="111111"/>
          <w:sz w:val="28"/>
          <w:sz w:val="28"/>
          <w:szCs w:val="28"/>
          <w:rtl w:val="true"/>
          <w:lang w:bidi="ar-SA"/>
        </w:rPr>
        <w:t xml:space="preserve">، و الديلمي قسّمها إلى أربعة و ثلاثة و ثلاثة </w:t>
      </w:r>
      <w:r>
        <w:rPr>
          <w:rStyle w:val="FootnoteAnchor"/>
          <w:rtl w:val="true"/>
        </w:rPr>
        <w:footnoteReference w:id="17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فيلزم خلوص العادات عن الآخر أو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الدينار المثقال من الذهب المسكوك بسكّة المعاملة؛ للتبادر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الأكثر تعيّنه و عدم كفاية التبر أو القيمة مع الإمكان؛ لظاهر النصّ، خلافاً للفاضل في الأوّل؛ لصدق الاسم </w:t>
      </w:r>
      <w:r>
        <w:rPr>
          <w:rStyle w:val="FootnoteAnchor"/>
          <w:rtl w:val="true"/>
        </w:rPr>
        <w:footnoteReference w:id="1790"/>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مصرفه الفقراء كغيره، و يكفي الواحد؛ لإطلاق النصّ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الموطوءة تعمّ الدائمة و المنقطعة، و الحرّة و الأمة؛ لعموم النص </w:t>
      </w:r>
      <w:r>
        <w:rPr>
          <w:rStyle w:val="FootnoteAnchor"/>
          <w:rtl w:val="true"/>
        </w:rPr>
        <w:footnoteReference w:id="1792"/>
      </w:r>
      <w:r>
        <w:rPr>
          <w:rFonts w:ascii="Amiri" w:hAnsi="Amiri" w:eastAsia="Amiri" w:cs="Amiri"/>
          <w:color w:val="111111"/>
          <w:sz w:val="28"/>
          <w:sz w:val="28"/>
          <w:szCs w:val="28"/>
          <w:rtl w:val="true"/>
          <w:lang w:bidi="ar-SA"/>
        </w:rPr>
        <w:t xml:space="preserve">، و يلحقها المشتبهة و المزني بها؛ لإطلاق الموثّق و الخبر </w:t>
      </w:r>
      <w:r>
        <w:rPr>
          <w:rStyle w:val="FootnoteAnchor"/>
          <w:rtl w:val="true"/>
        </w:rPr>
        <w:footnoteReference w:id="1793"/>
      </w:r>
      <w:r>
        <w:rPr>
          <w:rFonts w:ascii="Amiri" w:hAnsi="Amiri" w:eastAsia="Amiri" w:cs="Amiri"/>
          <w:color w:val="111111"/>
          <w:sz w:val="28"/>
          <w:sz w:val="28"/>
          <w:szCs w:val="28"/>
          <w:rtl w:val="true"/>
          <w:lang w:bidi="ar-SA"/>
        </w:rPr>
        <w:t>، و التعليل بالأولويّة عليل؛ لجواز كون التكفير لإسقاط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تكرّره بتكرّر الوطء وفاقاً للثانيين و الشهيد في مختصريه </w:t>
      </w:r>
      <w:r>
        <w:rPr>
          <w:rStyle w:val="FootnoteAnchor"/>
          <w:rtl w:val="true"/>
        </w:rPr>
        <w:footnoteReference w:id="1794"/>
      </w:r>
      <w:r>
        <w:rPr>
          <w:rFonts w:ascii="Amiri" w:hAnsi="Amiri" w:eastAsia="Amiri" w:cs="Amiri"/>
          <w:color w:val="111111"/>
          <w:sz w:val="28"/>
          <w:sz w:val="28"/>
          <w:szCs w:val="28"/>
          <w:rtl w:val="true"/>
          <w:lang w:bidi="ar-SA"/>
        </w:rPr>
        <w:t xml:space="preserve">، خلافاً للحلّي مطلقاً </w:t>
      </w:r>
      <w:r>
        <w:rPr>
          <w:rStyle w:val="FootnoteAnchor"/>
          <w:rtl w:val="true"/>
        </w:rPr>
        <w:footnoteReference w:id="1795"/>
      </w:r>
      <w:r>
        <w:rPr>
          <w:rFonts w:ascii="IRNazanin" w:hAnsi="IRNazanin" w:eastAsia="IRNazanin"/>
          <w:color w:val="111111"/>
          <w:sz w:val="28"/>
          <w:sz w:val="28"/>
          <w:szCs w:val="28"/>
          <w:rtl w:val="true"/>
          <w:lang w:bidi="fa-IR"/>
        </w:rPr>
        <w:t xml:space="preserve">، و للفاضل مع سبقه أو اتّحاد الزمان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النص </w:t>
      </w:r>
      <w:r>
        <w:rPr>
          <w:rStyle w:val="FootnoteAnchor"/>
          <w:rtl w:val="true"/>
        </w:rPr>
        <w:footnoteReference w:id="1797"/>
      </w:r>
      <w:r>
        <w:rPr>
          <w:rFonts w:ascii="Amiri" w:hAnsi="Amiri" w:eastAsia="Amiri" w:cs="Amiri"/>
          <w:color w:val="111111"/>
          <w:sz w:val="28"/>
          <w:sz w:val="28"/>
          <w:szCs w:val="28"/>
          <w:rtl w:val="true"/>
          <w:lang w:bidi="ar-SA"/>
        </w:rPr>
        <w:t>، و أصالة عدم التداخل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و القياس على تكرّر الأكل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الأوّل بوجود الناقل، و الثاني بقيام الفارق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الكفّارة بالوطء و اختلافه مع اختلاف الوقت فيتعدّد، و اتّحاده مع اتّحاده فيتحدّ، لكن لوجوب تأخّرها عن الموجب لا يسقط بالسابق</w:t>
      </w:r>
      <w:r>
        <w:rPr>
          <w:rFonts w:eastAsia="Amiri" w:cs="Amiri" w:ascii="Amiri" w:hAnsi="Amiri"/>
          <w:color w:val="111111"/>
          <w:sz w:val="28"/>
          <w:szCs w:val="28"/>
          <w:rtl w:val="true"/>
          <w:lang w:bidi="ar-SA"/>
        </w:rPr>
        <w:t>.</w:t>
      </w:r>
      <w:bookmarkStart w:id="668" w:name="pg2479_11794"/>
    </w:p>
    <w:p>
      <w:pPr>
        <w:pStyle w:val="BookText"/>
        <w:rPr/>
      </w:pPr>
      <w:bookmarkEnd w:id="668"/>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اتّحادهما مع تكرّره و دلالة النص و الأصل على تكرّرها بتكرّره مكابرة، و لكون النفاس كالحيض في ذلك مع قصر زمانه يمكن فيه اجتماع الأزمنة الثلاثة في وطء واحد، و لا يتعدّد الكفارة حينئذٍ؛ للأصل و عدم تعدّد السبب بل الوقت عرفاً؛ لانصراف الإطلاق إلى الفرد الشائع</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732305_3804643083"/>
      <w:bookmarkStart w:id="670" w:name="_Toc258"/>
      <w:bookmarkEnd w:id="669"/>
      <w:r>
        <w:rPr>
          <w:rtl w:val="true"/>
        </w:rPr>
        <w:t>السابعة</w:t>
      </w:r>
      <w:r>
        <w:rPr>
          <w:rtl w:val="true"/>
        </w:rPr>
        <w:t>:</w:t>
      </w:r>
      <w:bookmarkEnd w:id="670"/>
    </w:p>
    <w:p>
      <w:pPr>
        <w:pStyle w:val="BookText"/>
        <w:rPr/>
      </w:pPr>
      <w:r>
        <w:rPr>
          <w:rFonts w:ascii="Amiri" w:hAnsi="Amiri" w:eastAsia="Amiri" w:cs="Amiri"/>
          <w:color w:val="111111"/>
          <w:sz w:val="28"/>
          <w:sz w:val="28"/>
          <w:szCs w:val="28"/>
          <w:rtl w:val="true"/>
          <w:lang w:bidi="ar-SA"/>
        </w:rPr>
        <w:t xml:space="preserve">يحرم طلاقها، و لا يصحّ مع الدخول و حضور الزوج و عدم الحمل بالإجماع و المستفيضة </w:t>
      </w:r>
      <w:r>
        <w:rPr>
          <w:rStyle w:val="FootnoteAnchor"/>
          <w:rtl w:val="true"/>
        </w:rPr>
        <w:footnoteReference w:id="1798"/>
      </w:r>
      <w:r>
        <w:rPr>
          <w:rFonts w:ascii="Amiri" w:hAnsi="Amiri" w:eastAsia="Amiri" w:cs="Amiri"/>
          <w:color w:val="111111"/>
          <w:sz w:val="28"/>
          <w:sz w:val="28"/>
          <w:szCs w:val="28"/>
          <w:rtl w:val="true"/>
          <w:lang w:bidi="ar-SA"/>
        </w:rPr>
        <w:t xml:space="preserve">، و الفقهاء الأربعة </w:t>
      </w:r>
      <w:r>
        <w:rPr>
          <w:rStyle w:val="FootnoteAnchor"/>
          <w:rtl w:val="true"/>
        </w:rPr>
        <w:footnoteReference w:id="1799"/>
      </w:r>
      <w:r>
        <w:rPr>
          <w:rFonts w:ascii="Amiri" w:hAnsi="Amiri" w:eastAsia="Amiri" w:cs="Amiri"/>
          <w:color w:val="111111"/>
          <w:sz w:val="28"/>
          <w:sz w:val="28"/>
          <w:szCs w:val="28"/>
          <w:rtl w:val="true"/>
          <w:lang w:bidi="ar-SA"/>
        </w:rPr>
        <w:t>وافقونا في التحريم دون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مع انتفائها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الحاضر من يمكنه استعلام حالها أو لم يبلغ غيبته حدّا يسوّغ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تقديره بشهر كالطوسي </w:t>
      </w:r>
      <w:r>
        <w:rPr>
          <w:rStyle w:val="FootnoteAnchor"/>
          <w:rtl w:val="true"/>
        </w:rPr>
        <w:footnoteReference w:id="1800"/>
      </w:r>
      <w:r>
        <w:rPr>
          <w:rFonts w:ascii="Amiri" w:hAnsi="Amiri" w:eastAsia="Amiri" w:cs="Amiri"/>
          <w:color w:val="111111"/>
          <w:sz w:val="28"/>
          <w:sz w:val="28"/>
          <w:szCs w:val="28"/>
          <w:rtl w:val="true"/>
          <w:lang w:bidi="ar-SA"/>
        </w:rPr>
        <w:t xml:space="preserve">، أو ثلاثة أشهر كالإسكافي </w:t>
      </w:r>
      <w:r>
        <w:rPr>
          <w:rStyle w:val="FootnoteAnchor"/>
          <w:rtl w:val="true"/>
        </w:rPr>
        <w:footnoteReference w:id="1801"/>
      </w:r>
      <w:r>
        <w:rPr>
          <w:rFonts w:ascii="Amiri" w:hAnsi="Amiri" w:eastAsia="Amiri" w:cs="Amiri"/>
          <w:color w:val="111111"/>
          <w:sz w:val="28"/>
          <w:sz w:val="28"/>
          <w:szCs w:val="28"/>
          <w:rtl w:val="true"/>
          <w:lang w:bidi="ar-SA"/>
        </w:rPr>
        <w:t xml:space="preserve">، أو بانتقالها من طهر المواقعة إلى آخر كالحلّي </w:t>
      </w:r>
      <w:r>
        <w:rPr>
          <w:rStyle w:val="FootnoteAnchor"/>
          <w:rtl w:val="true"/>
        </w:rPr>
        <w:footnoteReference w:id="1802"/>
      </w:r>
      <w:r>
        <w:rPr>
          <w:rFonts w:ascii="Amiri" w:hAnsi="Amiri" w:eastAsia="Amiri" w:cs="Amiri"/>
          <w:color w:val="111111"/>
          <w:sz w:val="28"/>
          <w:sz w:val="28"/>
          <w:szCs w:val="28"/>
          <w:rtl w:val="true"/>
          <w:lang w:bidi="ar-SA"/>
        </w:rPr>
        <w:t>أقوال، و يأتي تحقيقه</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732307_3804643083"/>
      <w:bookmarkStart w:id="672" w:name="_Toc259"/>
      <w:bookmarkEnd w:id="671"/>
      <w:r>
        <w:rPr>
          <w:rtl w:val="true"/>
        </w:rPr>
        <w:t>الثامنة</w:t>
      </w:r>
      <w:r>
        <w:rPr>
          <w:rtl w:val="true"/>
        </w:rPr>
        <w:t>:</w:t>
      </w:r>
      <w:bookmarkEnd w:id="67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لها أن تتوضّأ وقت كلّ صلاة و تجلس ذاكرة؛ للنصوص </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الصدوقين </w:t>
      </w:r>
      <w:r>
        <w:rPr>
          <w:rStyle w:val="FootnoteAnchor"/>
          <w:rtl w:val="true"/>
        </w:rPr>
        <w:footnoteReference w:id="1804"/>
      </w:r>
      <w:r>
        <w:rPr>
          <w:rFonts w:ascii="Amiri" w:hAnsi="Amiri" w:eastAsia="Amiri" w:cs="Amiri"/>
          <w:color w:val="111111"/>
          <w:sz w:val="28"/>
          <w:sz w:val="28"/>
          <w:szCs w:val="28"/>
          <w:rtl w:val="true"/>
          <w:lang w:bidi="ar-SA"/>
        </w:rPr>
        <w:t xml:space="preserve">وجوبه؛ لظاهر الحسن و الرضوي </w:t>
      </w:r>
      <w:r>
        <w:rPr>
          <w:rStyle w:val="FootnoteAnchor"/>
          <w:rtl w:val="true"/>
        </w:rPr>
        <w:footnoteReference w:id="1805"/>
      </w:r>
      <w:r>
        <w:rPr>
          <w:rFonts w:ascii="Amiri" w:hAnsi="Amiri" w:eastAsia="Amiri" w:cs="Amiri"/>
          <w:color w:val="111111"/>
          <w:sz w:val="28"/>
          <w:sz w:val="28"/>
          <w:szCs w:val="28"/>
          <w:rtl w:val="true"/>
          <w:lang w:bidi="ar-SA"/>
        </w:rPr>
        <w:t>، و حمل على الندب جمعاً، و خصّص الأكثر موضع الذكر بمصلّاها و الأخبار مطلقة</w:t>
      </w:r>
      <w:r>
        <w:rPr>
          <w:rFonts w:eastAsia="Amiri" w:cs="Amiri" w:ascii="Amiri" w:hAnsi="Amiri"/>
          <w:color w:val="111111"/>
          <w:sz w:val="28"/>
          <w:szCs w:val="28"/>
          <w:rtl w:val="true"/>
          <w:lang w:bidi="ar-SA"/>
        </w:rPr>
        <w:t>.</w:t>
      </w:r>
      <w:bookmarkStart w:id="673" w:name="pg2479_11796"/>
    </w:p>
    <w:p>
      <w:pPr>
        <w:pStyle w:val="BookText"/>
        <w:rPr/>
      </w:pPr>
      <w:bookmarkEnd w:id="673"/>
      <w:r>
        <w:rPr>
          <w:rFonts w:ascii="Amiri" w:hAnsi="Amiri" w:eastAsia="Amiri" w:cs="Amiri"/>
          <w:color w:val="111111"/>
          <w:sz w:val="28"/>
          <w:sz w:val="28"/>
          <w:szCs w:val="28"/>
          <w:rtl w:val="true"/>
          <w:lang w:bidi="ar-SA"/>
        </w:rPr>
        <w:t>و لا تنوي الرفع و الاستباحة؛ لعدم حصولهما، فتقتصر على مجرّد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الوضوء ففي شرعيّة التيمّم وجهان، و الأظهر العدم؛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لها الأغسال المستحبّة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للعمومات، و شي‌ء منها لا يرفع الحدث حتّى يمنعه الحيض</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3732309_3804643083"/>
      <w:bookmarkStart w:id="675" w:name="_Toc260"/>
      <w:bookmarkEnd w:id="674"/>
      <w:r>
        <w:rPr>
          <w:rtl w:val="true"/>
        </w:rPr>
        <w:t>التاسعة</w:t>
      </w:r>
      <w:r>
        <w:rPr>
          <w:rtl w:val="true"/>
        </w:rPr>
        <w:t>:</w:t>
      </w:r>
      <w:bookmarkEnd w:id="675"/>
    </w:p>
    <w:p>
      <w:pPr>
        <w:pStyle w:val="BookText"/>
        <w:rPr/>
      </w:pPr>
      <w:r>
        <w:rPr>
          <w:rFonts w:ascii="Amiri" w:hAnsi="Amiri" w:eastAsia="Amiri" w:cs="Amiri"/>
          <w:color w:val="111111"/>
          <w:sz w:val="28"/>
          <w:sz w:val="28"/>
          <w:szCs w:val="28"/>
          <w:rtl w:val="true"/>
          <w:lang w:bidi="ar-SA"/>
        </w:rPr>
        <w:t>وجوب الغسل عليها بعد الانقطاع مشروط بوجوب الغاية؛ لعدم وجوبه لنفسه كما مرّ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كيفيّته كغسل الجنابة ترتيباً أو ارتماساً، بالإجماع و العمومات و خصوص الموثّقين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bookmarkStart w:id="676" w:name="pg2479_11798"/>
    </w:p>
    <w:p>
      <w:pPr>
        <w:pStyle w:val="Heading5"/>
        <w:numPr>
          <w:ilvl w:val="4"/>
          <w:numId w:val="1"/>
        </w:numPr>
        <w:rPr/>
      </w:pPr>
      <w:bookmarkStart w:id="677" w:name="__RefHeading___Toc3732311_3804643083"/>
      <w:bookmarkStart w:id="678" w:name="_Toc261"/>
      <w:bookmarkEnd w:id="676"/>
      <w:bookmarkEnd w:id="677"/>
      <w:r>
        <w:rPr>
          <w:rtl w:val="true"/>
        </w:rPr>
        <w:t>بحث غسل الاستحاضة</w:t>
      </w:r>
      <w:bookmarkEnd w:id="678"/>
    </w:p>
    <w:p>
      <w:pPr>
        <w:pStyle w:val="Heading6"/>
        <w:numPr>
          <w:ilvl w:val="5"/>
          <w:numId w:val="1"/>
        </w:numPr>
        <w:rPr/>
      </w:pPr>
      <w:bookmarkStart w:id="679" w:name="__RefHeading___Toc3732313_3804643083"/>
      <w:bookmarkStart w:id="680" w:name="_Toc262"/>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و هي دم رحمي غير الحيض و النفاس و الجرح و القرح و العذرة، و في الأغلب رقيق بارد أصفر؛ للحسن و الخبر </w:t>
      </w:r>
      <w:r>
        <w:rPr>
          <w:rStyle w:val="FootnoteAnchor"/>
          <w:rtl w:val="true"/>
        </w:rPr>
        <w:footnoteReference w:id="1808"/>
      </w:r>
      <w:r>
        <w:rPr>
          <w:rFonts w:ascii="Amiri" w:hAnsi="Amiri" w:eastAsia="Amiri" w:cs="Amiri"/>
          <w:color w:val="111111"/>
          <w:sz w:val="28"/>
          <w:sz w:val="28"/>
          <w:szCs w:val="28"/>
          <w:rtl w:val="true"/>
          <w:lang w:bidi="ar-SA"/>
        </w:rPr>
        <w:t>، فاتر للوجدان و تقابله مع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بالأغلب لإمكان التخلّف في وقت القطع بعدم كون الدم أحد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 متوسّطة 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يلطّخ الدم باطن الكرسف و لا يثقبه إلى ظاهره و إن دخل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حكمها أن تغيّره أو تغسله؛ لظاهر الوفاق المحقّق و صريح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و تتوضّأ لكلّ صلاة وفاقاً للمعظم؛ للمعتبرة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خلافاً للعماني </w:t>
      </w:r>
      <w:r>
        <w:rPr>
          <w:rStyle w:val="FootnoteAnchor"/>
          <w:rtl w:val="true"/>
        </w:rPr>
        <w:footnoteReference w:id="1811"/>
      </w:r>
      <w:r>
        <w:rPr>
          <w:rFonts w:ascii="Amiri" w:hAnsi="Amiri" w:eastAsia="Amiri" w:cs="Amiri"/>
          <w:color w:val="111111"/>
          <w:sz w:val="28"/>
          <w:sz w:val="28"/>
          <w:szCs w:val="28"/>
          <w:rtl w:val="true"/>
          <w:lang w:bidi="ar-SA"/>
        </w:rPr>
        <w:t xml:space="preserve">، فأسقط الوضوء؛ لصحيح </w:t>
      </w:r>
      <w:r>
        <w:rPr>
          <w:rStyle w:val="FootnoteAnchor"/>
          <w:rtl w:val="true"/>
        </w:rPr>
        <w:footnoteReference w:id="1812"/>
      </w:r>
      <w:r>
        <w:rPr>
          <w:rFonts w:ascii="Amiri" w:hAnsi="Amiri" w:eastAsia="Amiri" w:cs="Amiri"/>
          <w:color w:val="111111"/>
          <w:sz w:val="28"/>
          <w:sz w:val="28"/>
          <w:szCs w:val="28"/>
          <w:rtl w:val="true"/>
          <w:lang w:bidi="ar-SA"/>
        </w:rPr>
        <w:t xml:space="preserve">يفيد غير مطلوبه و خبر </w:t>
      </w:r>
      <w:r>
        <w:rPr>
          <w:rStyle w:val="FootnoteAnchor"/>
          <w:rtl w:val="true"/>
        </w:rPr>
        <w:footnoteReference w:id="1813"/>
      </w:r>
      <w:r>
        <w:rPr>
          <w:rFonts w:ascii="Amiri" w:hAnsi="Amiri" w:eastAsia="Amiri" w:cs="Amiri"/>
          <w:color w:val="111111"/>
          <w:sz w:val="28"/>
          <w:sz w:val="28"/>
          <w:szCs w:val="28"/>
          <w:rtl w:val="true"/>
          <w:lang w:bidi="ar-SA"/>
        </w:rPr>
        <w:t>ترك فيه الأمر بالوضوء إحالة إلى الظهور أو يقيّد إطلاقه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للإسكافي </w:t>
      </w:r>
      <w:r>
        <w:rPr>
          <w:rStyle w:val="FootnoteAnchor"/>
          <w:rtl w:val="true"/>
        </w:rPr>
        <w:footnoteReference w:id="1814"/>
      </w:r>
      <w:r>
        <w:rPr>
          <w:rFonts w:ascii="Amiri" w:hAnsi="Amiri" w:eastAsia="Amiri" w:cs="Amiri"/>
          <w:color w:val="111111"/>
          <w:sz w:val="28"/>
          <w:sz w:val="28"/>
          <w:szCs w:val="28"/>
          <w:rtl w:val="true"/>
          <w:lang w:bidi="ar-SA"/>
        </w:rPr>
        <w:t xml:space="preserve">، فأوجب غسلًا في كلّ يوم و ليلة؛ لموثّق </w:t>
      </w:r>
      <w:r>
        <w:rPr>
          <w:rStyle w:val="FootnoteAnchor"/>
          <w:rtl w:val="true"/>
        </w:rPr>
        <w:footnoteReference w:id="1815"/>
      </w:r>
      <w:r>
        <w:rPr>
          <w:rFonts w:ascii="Amiri" w:hAnsi="Amiri" w:eastAsia="Amiri" w:cs="Amiri"/>
          <w:color w:val="111111"/>
          <w:sz w:val="28"/>
          <w:sz w:val="28"/>
          <w:szCs w:val="28"/>
          <w:rtl w:val="true"/>
          <w:lang w:bidi="ar-SA"/>
        </w:rPr>
        <w:t>هو حجّة لنا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غسل ما ظهر من فرجها؛ لتنجّسه بما لا يعفى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يثقبه إلى ظاهره و لا يسيل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فيها مع ما مرّ و تغيير الخرقة المتنجّسة به غسل لصلاة الغداة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الثالثة كالأوّلين </w:t>
      </w:r>
      <w:r>
        <w:rPr>
          <w:rStyle w:val="FootnoteAnchor"/>
          <w:rtl w:val="true"/>
        </w:rPr>
        <w:footnoteReference w:id="1816"/>
      </w:r>
      <w:r>
        <w:rPr>
          <w:rFonts w:ascii="Amiri" w:hAnsi="Amiri" w:eastAsia="Amiri" w:cs="Amiri"/>
          <w:color w:val="111111"/>
          <w:sz w:val="28"/>
          <w:sz w:val="28"/>
          <w:szCs w:val="28"/>
          <w:rtl w:val="true"/>
          <w:lang w:bidi="ar-SA"/>
        </w:rPr>
        <w:t xml:space="preserve">جعلوها كالثالثة </w:t>
      </w:r>
      <w:r>
        <w:rPr>
          <w:rStyle w:val="FootnoteAnchor"/>
          <w:rtl w:val="true"/>
        </w:rPr>
        <w:footnoteReference w:id="1817"/>
      </w:r>
      <w:r>
        <w:rPr>
          <w:rFonts w:ascii="Amiri" w:hAnsi="Amiri" w:eastAsia="Amiri" w:cs="Amiri"/>
          <w:color w:val="111111"/>
          <w:sz w:val="28"/>
          <w:sz w:val="28"/>
          <w:szCs w:val="28"/>
          <w:rtl w:val="true"/>
          <w:lang w:bidi="ar-SA"/>
        </w:rPr>
        <w:t xml:space="preserve">في وجوب الثلاثة، و عليه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الصحيح و الموثّقين و الرضوي </w:t>
      </w:r>
      <w:r>
        <w:rPr>
          <w:rStyle w:val="FootnoteAnchor"/>
          <w:rtl w:val="true"/>
        </w:rPr>
        <w:footnoteReference w:id="1819"/>
      </w:r>
      <w:r>
        <w:rPr>
          <w:rFonts w:ascii="Amiri" w:hAnsi="Amiri" w:eastAsia="Amiri" w:cs="Amiri"/>
          <w:color w:val="111111"/>
          <w:sz w:val="28"/>
          <w:sz w:val="28"/>
          <w:szCs w:val="28"/>
          <w:rtl w:val="true"/>
          <w:lang w:bidi="ar-SA"/>
        </w:rPr>
        <w:t xml:space="preserve">و ظاهر الصحيحين </w:t>
      </w:r>
      <w:r>
        <w:rPr>
          <w:rStyle w:val="FootnoteAnchor"/>
          <w:rtl w:val="true"/>
        </w:rPr>
        <w:footnoteReference w:id="1820"/>
      </w:r>
      <w:r>
        <w:rPr>
          <w:rFonts w:ascii="Amiri" w:hAnsi="Amiri" w:eastAsia="Amiri" w:cs="Amiri"/>
          <w:color w:val="111111"/>
          <w:sz w:val="28"/>
          <w:sz w:val="28"/>
          <w:szCs w:val="28"/>
          <w:rtl w:val="true"/>
          <w:lang w:bidi="ar-SA"/>
        </w:rPr>
        <w:t xml:space="preserve">، و يعضده تعليق الثلاثة في الصحاح </w:t>
      </w:r>
      <w:r>
        <w:rPr>
          <w:rStyle w:val="FootnoteAnchor"/>
          <w:rtl w:val="true"/>
        </w:rPr>
        <w:footnoteReference w:id="1821"/>
      </w:r>
      <w:r>
        <w:rPr>
          <w:rFonts w:ascii="Amiri" w:hAnsi="Amiri" w:eastAsia="Amiri" w:cs="Amiri"/>
          <w:color w:val="111111"/>
          <w:sz w:val="28"/>
          <w:sz w:val="28"/>
          <w:szCs w:val="28"/>
          <w:rtl w:val="true"/>
          <w:lang w:bidi="ar-SA"/>
        </w:rPr>
        <w:t>على كون الدم صبيباً؛ لانتفائه في المتوسّطة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الثلاثة بمطلق الاستحاضة، خرجت القليلة عنها للمعارض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المتوسّطة أيضاً لما مرّ، و الأخذ بإطلاقها يوجب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يسيل منه إلى غيره و إن لم يسل منه و لم يثقبه،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 xml:space="preserve">اعتبار الخروج منه، و قد نسب إلى الكركي </w:t>
      </w:r>
      <w:r>
        <w:rPr>
          <w:rStyle w:val="FootnoteAnchor"/>
          <w:rtl w:val="true"/>
        </w:rPr>
        <w:footnoteReference w:id="1823"/>
      </w:r>
      <w:r>
        <w:rPr>
          <w:rFonts w:ascii="Amiri" w:hAnsi="Amiri" w:eastAsia="Amiri" w:cs="Amiri"/>
          <w:color w:val="111111"/>
          <w:sz w:val="28"/>
          <w:sz w:val="28"/>
          <w:szCs w:val="28"/>
          <w:rtl w:val="true"/>
          <w:lang w:bidi="ar-SA"/>
        </w:rPr>
        <w:t>أيضاً، و ظاهر الأدلّة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فيها الثلاثة بالإجماع و النصوص </w:t>
      </w:r>
      <w:r>
        <w:rPr>
          <w:rStyle w:val="FootnoteAnchor"/>
          <w:rtl w:val="true"/>
        </w:rPr>
        <w:footnoteReference w:id="1824"/>
      </w:r>
      <w:r>
        <w:rPr>
          <w:rFonts w:ascii="Amiri" w:hAnsi="Amiri" w:eastAsia="Amiri" w:cs="Amiri"/>
          <w:color w:val="111111"/>
          <w:sz w:val="28"/>
          <w:sz w:val="28"/>
          <w:szCs w:val="28"/>
          <w:rtl w:val="true"/>
          <w:lang w:bidi="ar-SA"/>
        </w:rPr>
        <w:t xml:space="preserve">، و الوضوء مع كلّ غسل وفاقاً للمفيد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 لا مع كلّ صلاة كالحلّي </w:t>
      </w:r>
      <w:r>
        <w:rPr>
          <w:rStyle w:val="FootnoteAnchor"/>
          <w:rtl w:val="true"/>
        </w:rPr>
        <w:footnoteReference w:id="1826"/>
      </w:r>
      <w:r>
        <w:rPr>
          <w:rFonts w:ascii="Amiri" w:hAnsi="Amiri" w:eastAsia="Amiri" w:cs="Amiri"/>
          <w:color w:val="111111"/>
          <w:sz w:val="28"/>
          <w:sz w:val="28"/>
          <w:szCs w:val="28"/>
          <w:rtl w:val="true"/>
          <w:lang w:bidi="ar-SA"/>
        </w:rPr>
        <w:t>و بعض من تأخّر، و لا سقوطه رأساً كظاهر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الجزء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وجوب الوضوء مع كلّ غسل إلّا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الأخبار عنه مع ورودها في مقام البيان، و هو و إن نفاه مطلقاً إلّا أنّ المعارض أثبته في محلّ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تعرّضهم له فيه لظهوره فيختصّ الإطلاق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 إِذٰا قُمْتُمْ و ردّ باختصاصه بالقيام من النوم أو بالحدثين، و لو سلّم العموم فيخصّص بغير محلّ النزاع؛ للمعارض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في مقام البيان، و قد ظهر جوابه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نسبة إطلاق السقوط إلى الأكثر لعدم تعرّضهم للوضوء مع الأغسال، و لعلّه إحالة إلى الظهور؛ لما قرّروه من وجوبه مع كلّ غسل إلّا الجنابة، فيرجع فتواهم إلى المختار</w:t>
      </w:r>
      <w:r>
        <w:rPr>
          <w:rFonts w:eastAsia="Amiri" w:cs="Amiri" w:ascii="Amiri" w:hAnsi="Amiri"/>
          <w:color w:val="111111"/>
          <w:sz w:val="28"/>
          <w:szCs w:val="28"/>
          <w:rtl w:val="true"/>
          <w:lang w:bidi="ar-SA"/>
        </w:rPr>
        <w:t>.</w:t>
      </w:r>
      <w:bookmarkStart w:id="681" w:name="pg2479_11803"/>
    </w:p>
    <w:p>
      <w:pPr>
        <w:pStyle w:val="Heading6"/>
        <w:numPr>
          <w:ilvl w:val="5"/>
          <w:numId w:val="1"/>
        </w:numPr>
        <w:rPr/>
      </w:pPr>
      <w:bookmarkStart w:id="682" w:name="__RefHeading___Toc3732315_3804643083"/>
      <w:bookmarkStart w:id="683" w:name="_Toc263"/>
      <w:bookmarkEnd w:id="681"/>
      <w:bookmarkEnd w:id="682"/>
      <w:r>
        <w:rPr>
          <w:rtl w:val="true"/>
        </w:rPr>
        <w:t>فروع</w:t>
      </w:r>
      <w:r>
        <w:rPr>
          <w:rtl w:val="true"/>
        </w:rPr>
        <w:t>:</w:t>
      </w:r>
      <w:bookmarkEnd w:id="683"/>
    </w:p>
    <w:p>
      <w:pPr>
        <w:pStyle w:val="Heading6"/>
        <w:numPr>
          <w:ilvl w:val="5"/>
          <w:numId w:val="1"/>
        </w:numPr>
        <w:rPr/>
      </w:pPr>
      <w:bookmarkStart w:id="684" w:name="__RefHeading___Toc3732317_3804643083"/>
      <w:bookmarkStart w:id="685" w:name="_Toc264"/>
      <w:bookmarkEnd w:id="684"/>
      <w:r>
        <w:rPr>
          <w:rtl w:val="true"/>
        </w:rPr>
        <w:t>الأوّل</w:t>
      </w:r>
      <w:r>
        <w:rPr>
          <w:rtl w:val="true"/>
        </w:rPr>
        <w:t>:</w:t>
      </w:r>
      <w:bookmarkEnd w:id="685"/>
    </w:p>
    <w:p>
      <w:pPr>
        <w:pStyle w:val="BookText"/>
        <w:rPr/>
      </w:pPr>
      <w:r>
        <w:rPr>
          <w:rFonts w:ascii="Amiri" w:hAnsi="Amiri" w:eastAsia="Amiri" w:cs="Amiri"/>
          <w:color w:val="111111"/>
          <w:sz w:val="28"/>
          <w:sz w:val="28"/>
          <w:szCs w:val="28"/>
          <w:rtl w:val="true"/>
          <w:lang w:bidi="ar-SA"/>
        </w:rPr>
        <w:t>النصوص و الفتاوىٰ خالية عن تعيين قدر الكرسف و زمان اعتبار الدم، فالتعويل فيه على العرف؛ لأنّه الحاكم في مثله</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732319_3804643083"/>
      <w:bookmarkStart w:id="687" w:name="_Toc265"/>
      <w:bookmarkEnd w:id="686"/>
      <w:r>
        <w:rPr>
          <w:rtl w:val="true"/>
        </w:rPr>
        <w:t>الثاني</w:t>
      </w:r>
      <w:r>
        <w:rPr>
          <w:rtl w:val="true"/>
        </w:rPr>
        <w:t>:</w:t>
      </w:r>
      <w:bookmarkEnd w:id="687"/>
    </w:p>
    <w:p>
      <w:pPr>
        <w:pStyle w:val="BookText"/>
        <w:rPr/>
      </w:pPr>
      <w:r>
        <w:rPr>
          <w:rFonts w:ascii="Amiri" w:hAnsi="Amiri" w:eastAsia="Amiri" w:cs="Amiri"/>
          <w:color w:val="111111"/>
          <w:sz w:val="28"/>
          <w:sz w:val="28"/>
          <w:szCs w:val="28"/>
          <w:rtl w:val="true"/>
          <w:lang w:bidi="ar-SA"/>
        </w:rPr>
        <w:t xml:space="preserve">الحقّ وجوب الغسل أو الوضوء بحصول السبب و إن لم يتّصل بوقت الصلاة،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كلّ حدث متى حصل لما يقتضيه، و الاستحاضة كذلك؛ لعدم الفرق، و إطلاقات إيجابها لأحد الطهورين من دون تخصّص بوقتها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يعضدها خصوص الخبر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Style w:val="FootnoteAnchor"/>
          <w:rtl w:val="true"/>
        </w:rPr>
        <w:footnoteReference w:id="1830"/>
      </w:r>
      <w:r>
        <w:rPr>
          <w:rFonts w:ascii="Amiri" w:hAnsi="Amiri" w:eastAsia="Amiri" w:cs="Amiri"/>
          <w:color w:val="111111"/>
          <w:sz w:val="28"/>
          <w:sz w:val="28"/>
          <w:szCs w:val="28"/>
          <w:rtl w:val="true"/>
          <w:lang w:bidi="ar-SA"/>
        </w:rPr>
        <w:t>وقت الطهارة، فالعبرة به في قلّة الدم و كثرته، فلا تأثير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بمانعيّة الحدث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كثر الدم قبله ثمّ طرأت القلّة وجب الغسل عندنا، و على القول الآخر لا يجب ما لم توجد فيه متّصلة أو طارئة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 من وافقنا </w:t>
      </w:r>
      <w:r>
        <w:rPr>
          <w:rStyle w:val="FootnoteAnchor"/>
          <w:rtl w:val="true"/>
        </w:rPr>
        <w:footnoteReference w:id="1831"/>
      </w:r>
      <w:r>
        <w:rPr>
          <w:rFonts w:ascii="Amiri" w:hAnsi="Amiri" w:eastAsia="Amiri" w:cs="Amiri"/>
          <w:color w:val="111111"/>
          <w:sz w:val="28"/>
          <w:sz w:val="28"/>
          <w:szCs w:val="28"/>
          <w:rtl w:val="true"/>
          <w:lang w:bidi="ar-SA"/>
        </w:rPr>
        <w:t>اشترط في وجوب الثلاثة استمرار السيلان إلى وقت العشائين، فأوجب بطروء القلّة بعد الصبح واحداً و بعد الظهرين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البعديّة على المتّصلة ينفي الاستمرار، و على المنفصلة ينافي المختار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أثّر السبب المنفصل مع انقطاعه أو تبدّله بآخر متّصل أو منقطع</w:t>
      </w:r>
      <w:bookmarkStart w:id="688" w:name="pg2479_11805"/>
    </w:p>
    <w:p>
      <w:pPr>
        <w:pStyle w:val="BookText"/>
        <w:rPr/>
      </w:pPr>
      <w:bookmarkEnd w:id="688"/>
      <w:r>
        <w:rPr>
          <w:rFonts w:ascii="Amiri" w:hAnsi="Amiri" w:eastAsia="Amiri" w:cs="Amiri"/>
          <w:color w:val="111111"/>
          <w:sz w:val="28"/>
          <w:sz w:val="28"/>
          <w:szCs w:val="28"/>
          <w:rtl w:val="true"/>
          <w:lang w:bidi="ar-SA"/>
        </w:rPr>
        <w:t>أو متبدّل لزم اجتماع الاثنين أو الثلاثة، و يلزمه وجوب الاثنين أو الثلاثة؛ لأصالة عدم التداخل، و الأوّل منفيّ بالتقابل، و الثاني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مسلّم و التقابل لا ينافيه، و الثاني ممنوع؛ إذ التداخل هنا قطعي، فالأصل لا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 سبب متّصل أو منفصل إنّما يوجب مقتضاه لأوّل صلاة معه أو بعده، لا للّتي بعده إلّا مع البقاء أو العود بعده</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3732321_3804643083"/>
      <w:bookmarkStart w:id="690" w:name="_Toc266"/>
      <w:bookmarkEnd w:id="689"/>
      <w:r>
        <w:rPr>
          <w:rtl w:val="true"/>
        </w:rPr>
        <w:t>الثالث</w:t>
      </w:r>
      <w:r>
        <w:rPr>
          <w:rtl w:val="true"/>
        </w:rPr>
        <w:t>:</w:t>
      </w:r>
      <w:bookmarkEnd w:id="690"/>
    </w:p>
    <w:p>
      <w:pPr>
        <w:pStyle w:val="BookText"/>
        <w:rPr/>
      </w:pPr>
      <w:r>
        <w:rPr>
          <w:rFonts w:ascii="Amiri" w:hAnsi="Amiri" w:eastAsia="Amiri" w:cs="Amiri"/>
          <w:color w:val="111111"/>
          <w:sz w:val="28"/>
          <w:sz w:val="28"/>
          <w:szCs w:val="28"/>
          <w:rtl w:val="true"/>
          <w:lang w:bidi="ar-SA"/>
        </w:rPr>
        <w:t xml:space="preserve">اعتبار الجمع بين الفرضين بغسل واحد على الجواز دون الوجوب، بالإجماع، و إيماء بعض الأخبار </w:t>
      </w:r>
      <w:r>
        <w:rPr>
          <w:rStyle w:val="FootnoteAnchor"/>
          <w:rtl w:val="true"/>
        </w:rPr>
        <w:footnoteReference w:id="1832"/>
      </w:r>
      <w:r>
        <w:rPr>
          <w:rFonts w:ascii="Amiri" w:hAnsi="Amiri" w:eastAsia="Amiri" w:cs="Amiri"/>
          <w:color w:val="111111"/>
          <w:sz w:val="28"/>
          <w:sz w:val="28"/>
          <w:szCs w:val="28"/>
          <w:rtl w:val="true"/>
          <w:lang w:bidi="ar-SA"/>
        </w:rPr>
        <w:t xml:space="preserve">، فيجوز التفريق بأفراد </w:t>
      </w:r>
      <w:r>
        <w:rPr>
          <w:rStyle w:val="FootnoteAnchor"/>
          <w:rtl w:val="true"/>
        </w:rPr>
        <w:footnoteReference w:id="1833"/>
      </w:r>
      <w:r>
        <w:rPr>
          <w:rFonts w:ascii="Amiri" w:hAnsi="Amiri" w:eastAsia="Amiri" w:cs="Amiri"/>
          <w:color w:val="111111"/>
          <w:sz w:val="28"/>
          <w:sz w:val="28"/>
          <w:szCs w:val="28"/>
          <w:rtl w:val="true"/>
          <w:lang w:bidi="ar-SA"/>
        </w:rPr>
        <w:t>كلّ منهما بغسل، بل قيل باستحبابه؛ لبعض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يظهر أنّ حدوث الكثرة بعد العصر أو المغرب توجب الغسل للأُخريين</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3732323_3804643083"/>
      <w:bookmarkStart w:id="692" w:name="_Toc267"/>
      <w:bookmarkEnd w:id="691"/>
      <w:r>
        <w:rPr>
          <w:rtl w:val="true"/>
        </w:rPr>
        <w:t>الرابع</w:t>
      </w:r>
      <w:r>
        <w:rPr>
          <w:rtl w:val="true"/>
        </w:rPr>
        <w:t>:</w:t>
      </w:r>
      <w:bookmarkEnd w:id="692"/>
    </w:p>
    <w:p>
      <w:pPr>
        <w:pStyle w:val="BookText"/>
        <w:rPr/>
      </w:pPr>
      <w:r>
        <w:rPr>
          <w:rFonts w:ascii="Amiri" w:hAnsi="Amiri" w:eastAsia="Amiri" w:cs="Amiri"/>
          <w:color w:val="111111"/>
          <w:sz w:val="28"/>
          <w:sz w:val="28"/>
          <w:szCs w:val="28"/>
          <w:rtl w:val="true"/>
          <w:lang w:bidi="ar-SA"/>
        </w:rPr>
        <w:t xml:space="preserve">لا يصحّ طهارتها قبل الوقت؛ للنصوص </w:t>
      </w:r>
      <w:r>
        <w:rPr>
          <w:rStyle w:val="FootnoteAnchor"/>
          <w:rtl w:val="true"/>
        </w:rPr>
        <w:footnoteReference w:id="1834"/>
      </w:r>
      <w:r>
        <w:rPr>
          <w:rFonts w:ascii="Amiri" w:hAnsi="Amiri" w:eastAsia="Amiri" w:cs="Amiri"/>
          <w:color w:val="111111"/>
          <w:sz w:val="28"/>
          <w:sz w:val="28"/>
          <w:szCs w:val="28"/>
          <w:rtl w:val="true"/>
          <w:lang w:bidi="ar-SA"/>
        </w:rPr>
        <w:t>، بل يلزم مقارنتها الصلاة عرفاً على الأصحّ؛ لتبادرها من الأخبار، و بطلان الصلاة بالحدث، خرج موضع القطع و الضرورة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وجوب المعاقبة العرفية ضعيف، و تعليله عليل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يضرّ توسّط المقدّمات من الستر و الاستقبال و الأذان و الإقامة وفاقاً، و انتظار الجماعة بفتوى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1835"/>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bookmarkStart w:id="693" w:name="pg2479_11807"/>
    </w:p>
    <w:p>
      <w:pPr>
        <w:pStyle w:val="Heading6"/>
        <w:numPr>
          <w:ilvl w:val="5"/>
          <w:numId w:val="1"/>
        </w:numPr>
        <w:rPr/>
      </w:pPr>
      <w:bookmarkStart w:id="694" w:name="__RefHeading___Toc3732325_3804643083"/>
      <w:bookmarkStart w:id="695" w:name="_Toc268"/>
      <w:bookmarkEnd w:id="693"/>
      <w:bookmarkEnd w:id="694"/>
      <w:r>
        <w:rPr>
          <w:rtl w:val="true"/>
        </w:rPr>
        <w:t>الخامس</w:t>
      </w:r>
      <w:r>
        <w:rPr>
          <w:rtl w:val="true"/>
        </w:rPr>
        <w:t>:</w:t>
      </w:r>
      <w:bookmarkEnd w:id="695"/>
    </w:p>
    <w:p>
      <w:pPr>
        <w:pStyle w:val="BookText"/>
        <w:rPr/>
      </w:pPr>
      <w:r>
        <w:rPr>
          <w:rFonts w:ascii="Amiri" w:hAnsi="Amiri" w:eastAsia="Amiri" w:cs="Amiri"/>
          <w:color w:val="111111"/>
          <w:sz w:val="28"/>
          <w:sz w:val="28"/>
          <w:szCs w:val="28"/>
          <w:rtl w:val="true"/>
          <w:lang w:bidi="ar-SA"/>
        </w:rPr>
        <w:t>لو انقطع الدم بعض الأحيان، وجب انتظاره إن اتّسع للطهارة و الصلاة</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3732327_3804643083"/>
      <w:bookmarkStart w:id="697" w:name="_Toc269"/>
      <w:bookmarkEnd w:id="696"/>
      <w:r>
        <w:rPr>
          <w:rtl w:val="true"/>
        </w:rPr>
        <w:t>السادس</w:t>
      </w:r>
      <w:r>
        <w:rPr>
          <w:rtl w:val="true"/>
        </w:rPr>
        <w:t>:</w:t>
      </w:r>
      <w:bookmarkEnd w:id="697"/>
    </w:p>
    <w:p>
      <w:pPr>
        <w:pStyle w:val="BookText"/>
        <w:rPr/>
      </w:pPr>
      <w:r>
        <w:rPr>
          <w:rFonts w:ascii="Amiri" w:hAnsi="Amiri" w:eastAsia="Amiri" w:cs="Amiri"/>
          <w:color w:val="111111"/>
          <w:sz w:val="28"/>
          <w:sz w:val="28"/>
          <w:szCs w:val="28"/>
          <w:rtl w:val="true"/>
          <w:lang w:bidi="ar-SA"/>
        </w:rPr>
        <w:t xml:space="preserve">لا يجمع بين الفرض و النفل بوضوء واحد، فلو تنفّلت جدّدت الوضوء؛ لعارض الحدث و ظاهر الخبر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جوّز الجمع </w:t>
      </w:r>
      <w:r>
        <w:rPr>
          <w:rStyle w:val="FootnoteAnchor"/>
          <w:rtl w:val="true"/>
        </w:rPr>
        <w:footnoteReference w:id="1838"/>
      </w:r>
      <w:r>
        <w:rPr>
          <w:rFonts w:ascii="Amiri" w:hAnsi="Amiri" w:eastAsia="Amiri" w:cs="Amiri"/>
          <w:color w:val="111111"/>
          <w:sz w:val="28"/>
          <w:sz w:val="28"/>
          <w:szCs w:val="28"/>
          <w:rtl w:val="true"/>
          <w:lang w:bidi="ar-SA"/>
        </w:rPr>
        <w:t>لحجّة ضعيفة، و لو جوّز لها القضاء انسحب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لذات الكثرة و التوسّط أن تجمع بغسل واحد في وقته بينها و بين صلاة الليل و الفجر بالإجماع و صريح الرضوي </w:t>
      </w:r>
      <w:r>
        <w:rPr>
          <w:rStyle w:val="FootnoteAnchor"/>
          <w:rtl w:val="true"/>
        </w:rPr>
        <w:footnoteReference w:id="1839"/>
      </w:r>
      <w:r>
        <w:rPr>
          <w:rFonts w:ascii="Amiri" w:hAnsi="Amiri" w:eastAsia="Amiri" w:cs="Amiri"/>
          <w:color w:val="111111"/>
          <w:sz w:val="28"/>
          <w:sz w:val="28"/>
          <w:szCs w:val="28"/>
          <w:rtl w:val="true"/>
          <w:lang w:bidi="ar-SA"/>
        </w:rPr>
        <w:t>، فتقدّم الغسل على الفجر بعد تأخير الأُولىٰ و تقديم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تقتصر في التقديم على ما يرفع المقارنة العرفيّة؛ لوجوبها كما مرّ</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732329_3804643083"/>
      <w:bookmarkStart w:id="699" w:name="_Toc270"/>
      <w:bookmarkEnd w:id="698"/>
      <w:r>
        <w:rPr>
          <w:rtl w:val="true"/>
        </w:rPr>
        <w:t xml:space="preserve">فصل </w:t>
      </w:r>
      <w:r>
        <w:rPr>
          <w:rtl w:val="true"/>
        </w:rPr>
        <w:t>[</w:t>
      </w:r>
      <w:r>
        <w:rPr>
          <w:rtl w:val="true"/>
        </w:rPr>
        <w:t>تطهّر المستحاضة</w:t>
      </w:r>
      <w:r>
        <w:rPr>
          <w:rtl w:val="true"/>
        </w:rPr>
        <w:t>]</w:t>
      </w:r>
      <w:bookmarkEnd w:id="699"/>
    </w:p>
    <w:p>
      <w:pPr>
        <w:pStyle w:val="BookText"/>
        <w:rPr/>
      </w:pPr>
      <w:r>
        <w:rPr>
          <w:rFonts w:ascii="Amiri" w:hAnsi="Amiri" w:eastAsia="Amiri" w:cs="Amiri"/>
          <w:color w:val="111111"/>
          <w:sz w:val="28"/>
          <w:sz w:val="28"/>
          <w:szCs w:val="28"/>
          <w:rtl w:val="true"/>
          <w:lang w:bidi="ar-SA"/>
        </w:rPr>
        <w:t>إذا أتت بما يلزمها في الأقسام الثلاثة كانت كالطاهرة، فيصحّ فيها كلّ مشروط بالطهارة، و يحلّ وطؤها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أخلّت بشي‌ء من الطهارتين أو تغيير الخرقتين أو غسل الفرج لم يصحّ صلاتها؛ لوجود الحدث أو الخبث</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يتوقّف مسّ المصحف على الأوّلين، و قراءة العزائم على الأوّل دون البواقي، و 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الصحيح </w:t>
      </w:r>
      <w:r>
        <w:rPr>
          <w:rStyle w:val="FootnoteAnchor"/>
          <w:rtl w:val="true"/>
        </w:rPr>
        <w:footnoteReference w:id="1840"/>
      </w:r>
      <w:r>
        <w:rPr>
          <w:rFonts w:ascii="Amiri" w:hAnsi="Amiri" w:eastAsia="Amiri" w:cs="Amiri"/>
          <w:color w:val="111111"/>
          <w:sz w:val="28"/>
          <w:sz w:val="28"/>
          <w:szCs w:val="28"/>
          <w:rtl w:val="true"/>
          <w:lang w:bidi="ar-SA"/>
        </w:rPr>
        <w:t>توقّف دخول المسجد على الجميع، و قيل بعدم توقّفه على شي‌ء من الخمسة؛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من تحريم إدخال مطلق النجاسة فيه يلزم توقّفه على الثلاثة الأخيرة قطعاً، و على التخصيص بالمتقدّمة لا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توقّف وطئها على الغسل؛ للمستفيضة من الصحاح و غيرها </w:t>
      </w:r>
      <w:r>
        <w:rPr>
          <w:rStyle w:val="FootnoteAnchor"/>
          <w:rtl w:val="true"/>
        </w:rPr>
        <w:footnoteReference w:id="1841"/>
      </w:r>
      <w:r>
        <w:rPr>
          <w:rFonts w:ascii="Amiri" w:hAnsi="Amiri" w:eastAsia="Amiri" w:cs="Amiri"/>
          <w:color w:val="111111"/>
          <w:sz w:val="28"/>
          <w:sz w:val="28"/>
          <w:szCs w:val="28"/>
          <w:rtl w:val="true"/>
          <w:lang w:bidi="ar-SA"/>
        </w:rPr>
        <w:t xml:space="preserve">دون غيره من الخمسة؛ للأصل و إطلاقات حلّ الوطء و خصوص الصحيح و الموثّق </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حمنة و أُمّ حبيبة </w:t>
      </w:r>
      <w:r>
        <w:rPr>
          <w:rStyle w:val="FootnoteAnchor"/>
          <w:rtl w:val="true"/>
        </w:rPr>
        <w:footnoteReference w:id="1843"/>
      </w:r>
      <w:r>
        <w:rPr>
          <w:rFonts w:ascii="Amiri" w:hAnsi="Amiri" w:eastAsia="Amiri" w:cs="Amiri"/>
          <w:color w:val="111111"/>
          <w:sz w:val="28"/>
          <w:sz w:val="28"/>
          <w:szCs w:val="28"/>
          <w:rtl w:val="true"/>
          <w:lang w:bidi="ar-SA"/>
        </w:rPr>
        <w:t>، و إطلاقها و إن نفى التوقّف على الغسل أيضاً إلّا أنّ المعارض أثبته، فيبقىٰ نفيها للبواقي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بتوقّفه على الوضوء أيضاً؛ لأخبار لا دلالة لها، و 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يتعيّن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بتوقّفه على الجميع </w:t>
      </w:r>
      <w:r>
        <w:rPr>
          <w:rStyle w:val="FootnoteAnchor"/>
          <w:rtl w:val="true"/>
        </w:rPr>
        <w:footnoteReference w:id="1845"/>
      </w:r>
      <w:r>
        <w:rPr>
          <w:rFonts w:ascii="Amiri" w:hAnsi="Amiri" w:eastAsia="Amiri" w:cs="Amiri"/>
          <w:color w:val="111111"/>
          <w:sz w:val="28"/>
          <w:sz w:val="28"/>
          <w:szCs w:val="28"/>
          <w:rtl w:val="true"/>
          <w:lang w:bidi="ar-SA"/>
        </w:rPr>
        <w:t>لظواهر لا صراحة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بعدم توقّفه على الغسل أيضاً </w:t>
      </w:r>
      <w:r>
        <w:rPr>
          <w:rStyle w:val="FootnoteAnchor"/>
          <w:rtl w:val="true"/>
        </w:rPr>
        <w:footnoteReference w:id="1846"/>
      </w:r>
      <w:r>
        <w:rPr>
          <w:rFonts w:ascii="IRNazanin" w:hAnsi="IRNazanin" w:eastAsia="IRNazanin"/>
          <w:color w:val="111111"/>
          <w:sz w:val="28"/>
          <w:sz w:val="28"/>
          <w:szCs w:val="28"/>
          <w:rtl w:val="true"/>
          <w:lang w:bidi="fa-IR"/>
        </w:rPr>
        <w:t>لما مرّ من الإطلاقات، و قد عرفت جوابه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يتوقّف صومها على الغسل بالإجماع و الصحيح </w:t>
      </w:r>
      <w:r>
        <w:rPr>
          <w:rStyle w:val="FootnoteAnchor"/>
          <w:rtl w:val="true"/>
        </w:rPr>
        <w:footnoteReference w:id="1847"/>
      </w:r>
      <w:r>
        <w:rPr>
          <w:rFonts w:ascii="Amiri" w:hAnsi="Amiri" w:eastAsia="Amiri" w:cs="Amiri"/>
          <w:color w:val="111111"/>
          <w:sz w:val="28"/>
          <w:sz w:val="28"/>
          <w:szCs w:val="28"/>
          <w:rtl w:val="true"/>
          <w:lang w:bidi="ar-SA"/>
        </w:rPr>
        <w:t>و المكاتبة المرويّة بطرق</w:t>
      </w:r>
    </w:p>
    <w:p>
      <w:pPr>
        <w:pStyle w:val="BookText"/>
        <w:rPr/>
      </w:pPr>
      <w:r>
        <w:rPr>
          <w:rFonts w:ascii="Amiri" w:hAnsi="Amiri" w:eastAsia="Amiri" w:cs="Amiri"/>
          <w:color w:val="111111"/>
          <w:sz w:val="28"/>
          <w:sz w:val="28"/>
          <w:szCs w:val="28"/>
          <w:rtl w:val="true"/>
          <w:lang w:bidi="ar-SA"/>
        </w:rPr>
        <w:t xml:space="preserve">صحيحة </w:t>
      </w:r>
      <w:r>
        <w:rPr>
          <w:rStyle w:val="FootnoteAnchor"/>
          <w:rtl w:val="true"/>
        </w:rPr>
        <w:footnoteReference w:id="1848"/>
      </w:r>
      <w:r>
        <w:rPr>
          <w:rFonts w:ascii="Amiri" w:hAnsi="Amiri" w:eastAsia="Amiri" w:cs="Amiri"/>
          <w:color w:val="111111"/>
          <w:sz w:val="28"/>
          <w:sz w:val="28"/>
          <w:szCs w:val="28"/>
          <w:rtl w:val="true"/>
          <w:lang w:bidi="ar-SA"/>
        </w:rPr>
        <w:t>، دون غيره من الخمسة وفاقاً؛ لبداهة عدم توقّفه على إزالة الخبث و أصغر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المبطل الموجب للقضاء هو ترك الأغسال النهاريّة دون الليليّة؛ إذ المستقبلة لا تأثير لها؛ لتماميّة الصوم قبلها، و الماضية لا أثر لها مع وجوب تقديم غسل الفجر عليه كما هو الحق المشهور؛ إذ معه يرتفع حدثها و إن لم تغتسل لما مضى من العشائين، و بدونه تكون محدثة و إن اغتسلت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فما في المكاتبة من أنّ ترك جميعها يوجب القضاء معناه أنّه لتضمّنه ترك النهاريّة يوجبه، و لا يمكن حمله على أنّ ترك الليليّة أو كلّ من الليليّة و النهاريّة يوجبه، و ترك الجميع لتضمّنه إيّاه يوجب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أنّ الموجب هو ترك المجموع دون ترك البعض مطلقاً؛ لكون ذلك خلاف القطع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المانع من العبادة كالجنابة و الحيض و الاستحاضة بالنسبة إلى الصلاة و الصوم، و الاستحاضة بالقياس إليه، يجب رفعه قبلها؛ لاستحالة اجتماع الشي‌ء مع منافيه، فيلزم أن يقدّم عليها الغسل، و هو في الموسّعة يتأتّى بعد دخول الوقت، و في المضيّقة لا يمكن إلّا قبله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الباعث لوجوب تقديم غسل الفجر للصوم دون الصلاة، كما عليه الأكثر، فالتسوية </w:t>
      </w:r>
      <w:r>
        <w:rPr>
          <w:rStyle w:val="FootnoteAnchor"/>
          <w:rtl w:val="true"/>
        </w:rPr>
        <w:footnoteReference w:id="1849"/>
      </w:r>
      <w:r>
        <w:rPr>
          <w:rFonts w:ascii="Amiri" w:hAnsi="Amiri" w:eastAsia="Amiri" w:cs="Amiri"/>
          <w:color w:val="111111"/>
          <w:sz w:val="28"/>
          <w:sz w:val="28"/>
          <w:szCs w:val="28"/>
          <w:rtl w:val="true"/>
          <w:lang w:bidi="ar-SA"/>
        </w:rPr>
        <w:t xml:space="preserve">بينهما في عدم وجوبه كبعض الثالثة </w:t>
      </w:r>
      <w:r>
        <w:rPr>
          <w:rStyle w:val="FootnoteAnchor"/>
          <w:rtl w:val="true"/>
        </w:rPr>
        <w:footnoteReference w:id="1850"/>
      </w:r>
      <w:r>
        <w:rPr>
          <w:rFonts w:ascii="Amiri" w:hAnsi="Amiri" w:eastAsia="Amiri" w:cs="Amiri"/>
          <w:color w:val="111111"/>
          <w:sz w:val="28"/>
          <w:sz w:val="28"/>
          <w:szCs w:val="28"/>
          <w:rtl w:val="true"/>
          <w:lang w:bidi="ar-SA"/>
        </w:rPr>
        <w:t xml:space="preserve">باطل، و توقّف الفاضل فيه </w:t>
      </w:r>
      <w:r>
        <w:rPr>
          <w:rStyle w:val="FootnoteAnchor"/>
          <w:rtl w:val="true"/>
        </w:rPr>
        <w:footnoteReference w:id="1851"/>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أن يقتصر في التقديم على ما يحصل به الغرض، فلا يقدّم أكثر من ذلك؛ لما مرّ من ظهور الأخبار في المقارنة العرفيّة، و لوجوب تعليل الحدث بقدر الإمكان، فمع عدمها لا يعفى عن المتخلّل بين الغسل و الصلاة؛ لإمكان رفعها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بجواز الاغتسال في كلّ جزء من الليل </w:t>
      </w:r>
      <w:r>
        <w:rPr>
          <w:rStyle w:val="FootnoteAnchor"/>
          <w:rtl w:val="true"/>
        </w:rPr>
        <w:footnoteReference w:id="185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كما أفتى به الفاضل و الشهيدان </w:t>
      </w:r>
      <w:r>
        <w:rPr>
          <w:rStyle w:val="FootnoteAnchor"/>
          <w:rtl w:val="true"/>
        </w:rPr>
        <w:footnoteReference w:id="1853"/>
      </w:r>
      <w:r>
        <w:rPr>
          <w:rFonts w:ascii="Amiri" w:hAnsi="Amiri" w:eastAsia="Amiri" w:cs="Amiri"/>
          <w:color w:val="111111"/>
          <w:sz w:val="28"/>
          <w:sz w:val="28"/>
          <w:szCs w:val="28"/>
          <w:rtl w:val="true"/>
          <w:lang w:bidi="ar-SA"/>
        </w:rPr>
        <w:t xml:space="preserve">إيجاب الإخلال بالأغسال لمجرّد القضاء دون الكفّارة؛ للأصل و إطلاق المكاتبة </w:t>
      </w:r>
      <w:r>
        <w:rPr>
          <w:rStyle w:val="FootnoteAnchor"/>
          <w:rtl w:val="true"/>
        </w:rPr>
        <w:footnoteReference w:id="1854"/>
      </w:r>
      <w:r>
        <w:rPr>
          <w:rFonts w:ascii="Amiri" w:hAnsi="Amiri" w:eastAsia="Amiri" w:cs="Amiri"/>
          <w:color w:val="111111"/>
          <w:sz w:val="28"/>
          <w:sz w:val="28"/>
          <w:szCs w:val="28"/>
          <w:rtl w:val="true"/>
          <w:lang w:bidi="ar-SA"/>
        </w:rPr>
        <w:t>، و كذا الحكم في الحائض و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بما ذكر أنّ الإخلال بواجب من الغسل أو الوضوء يوجب بقاءها على الحدث إلى أن تأتي برافع يسقطه بالتداخل من طهارات الاستحاضة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عدم توقّف الصوم على ما يصاحب الغسل من الوضوء يفيد عدم تأثيره في رفع الأكبر؛ لتوقّفه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بالتوقّف و فساد الصوم بتركه </w:t>
      </w:r>
      <w:r>
        <w:rPr>
          <w:rStyle w:val="FootnoteAnchor"/>
          <w:rtl w:val="true"/>
        </w:rPr>
        <w:footnoteReference w:id="1855"/>
      </w:r>
      <w:r>
        <w:rPr>
          <w:rFonts w:ascii="IRNazanin" w:hAnsi="IRNazanin" w:eastAsia="IRNazanin"/>
          <w:color w:val="111111"/>
          <w:sz w:val="28"/>
          <w:sz w:val="28"/>
          <w:szCs w:val="28"/>
          <w:rtl w:val="true"/>
          <w:lang w:bidi="fa-IR"/>
        </w:rPr>
        <w:t>، و ضعفه ظاهر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انقطاع الدم بعد الطهارتين و الصلاة لا يسقط ما يقتضيه مع بقائه بعدها و لو بلحظة للصلاة الآتية، سواء كان انقطاع برء أو فترة؛ لأنّه حدث يوجب مقتضاه من بعض الطهارة السابقة، و إيجابه الأُخرى للصلاة الآتية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 المحقّق بعدم النقض </w:t>
      </w:r>
      <w:r>
        <w:rPr>
          <w:rStyle w:val="FootnoteAnchor"/>
          <w:rtl w:val="true"/>
        </w:rPr>
        <w:footnoteReference w:id="1856"/>
      </w:r>
      <w:r>
        <w:rPr>
          <w:rFonts w:ascii="Amiri" w:hAnsi="Amiri" w:eastAsia="Amiri" w:cs="Amiri"/>
          <w:color w:val="111111"/>
          <w:sz w:val="28"/>
          <w:sz w:val="28"/>
          <w:szCs w:val="28"/>
          <w:rtl w:val="true"/>
          <w:lang w:bidi="ar-SA"/>
        </w:rPr>
        <w:t xml:space="preserve">ضعيف، و فتوى الشيخ بإيجابه الوضوء دون الغسل </w:t>
      </w:r>
      <w:r>
        <w:rPr>
          <w:rStyle w:val="FootnoteAnchor"/>
          <w:rtl w:val="true"/>
        </w:rPr>
        <w:footnoteReference w:id="1857"/>
      </w:r>
      <w:r>
        <w:rPr>
          <w:rFonts w:ascii="IRNazanin" w:hAnsi="IRNazanin" w:eastAsia="IRNazanin"/>
          <w:color w:val="111111"/>
          <w:sz w:val="28"/>
          <w:sz w:val="28"/>
          <w:szCs w:val="28"/>
          <w:rtl w:val="true"/>
          <w:lang w:bidi="fa-IR"/>
        </w:rPr>
        <w:t>أضعف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بعدهما و قبل ما تطهّرت له من الصلاة، كسابقه في النقض و الإيجاب لها لو كان انقطاع برء؛ إذ العفو عن الحدث إنّما كان مع الاستمرار للضرورة و قد زالت بالانقطاع، فيؤثّر في مقتضاه من النقض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انقطاع فترة معلومة بالاعتياد أو إخبار عارف لم يؤثّر فيهما؛ لأنّه بالعود كالمستمرّ، فلا يزول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 بين الصورتين في الأوّل؛ لعدم العفو فيه عن المستمر أيضاً، نظراً إلى وقوع الفصل بين الدم و ما بعده من الصلاة مع اشتراط المقارنة العرفيّة بينها و بين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أثنائها كالثاني دون الأوّل،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عدم تأثير الطارئ بعد الطهارة فيما لا يؤثّر يخصّ بدم الاستحاضة، فلو تعقّبه حدث غيره وجب مقتضاه من الغسل أو الوضوء، و لو كان بولًا أو منيّاً وجب تغيير ما لاقاه من الخرقتين؛ لاختصاص العفو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يلزمها الاستظهار في منع الدم بالممكن إن لم يضرّ به؛ للأمر به في النصوص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و قبل الوضوء إلى الفراغ من الصلاة، و في الصائمة جميع النهار كما صرّح به الفاضل و الشهيدان </w:t>
      </w:r>
      <w:r>
        <w:rPr>
          <w:rStyle w:val="FootnoteAnchor"/>
          <w:rtl w:val="true"/>
        </w:rPr>
        <w:footnoteReference w:id="1859"/>
      </w:r>
      <w:r>
        <w:rPr>
          <w:rFonts w:ascii="Amiri" w:hAnsi="Amiri" w:eastAsia="Amiri" w:cs="Amiri"/>
          <w:color w:val="111111"/>
          <w:sz w:val="28"/>
          <w:sz w:val="28"/>
          <w:szCs w:val="28"/>
          <w:rtl w:val="true"/>
          <w:lang w:bidi="ar-SA"/>
        </w:rPr>
        <w:t>إذ تأثير الخارج في الغسل و توقّف</w:t>
      </w:r>
    </w:p>
    <w:p>
      <w:pPr>
        <w:pStyle w:val="BookText"/>
        <w:rPr/>
      </w:pPr>
      <w:r>
        <w:rPr>
          <w:rFonts w:ascii="Amiri" w:hAnsi="Amiri" w:eastAsia="Amiri" w:cs="Amiri"/>
          <w:color w:val="111111"/>
          <w:sz w:val="28"/>
          <w:sz w:val="28"/>
          <w:szCs w:val="28"/>
          <w:rtl w:val="true"/>
          <w:lang w:bidi="ar-SA"/>
        </w:rPr>
        <w:t>الصوم عليه يشعر بوجوب التحفّظ بقدر الإمكان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غسلها كغسل الحائض، إلّا أنّ الموالاة فيه معتبرة إذا لم يكن للبرء؛ لإيماء الأخبار </w:t>
      </w:r>
      <w:r>
        <w:rPr>
          <w:rStyle w:val="FootnoteAnchor"/>
          <w:rtl w:val="true"/>
        </w:rPr>
        <w:footnoteReference w:id="1860"/>
      </w:r>
      <w:r>
        <w:rPr>
          <w:rFonts w:ascii="Amiri" w:hAnsi="Amiri" w:eastAsia="Amiri" w:cs="Amiri"/>
          <w:color w:val="111111"/>
          <w:sz w:val="28"/>
          <w:sz w:val="28"/>
          <w:szCs w:val="28"/>
          <w:rtl w:val="true"/>
          <w:lang w:bidi="ar-SA"/>
        </w:rPr>
        <w:t xml:space="preserve">و تعليل الحدث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bookmarkStart w:id="700" w:name="pg2479_11819"/>
    </w:p>
    <w:p>
      <w:pPr>
        <w:pStyle w:val="Heading5"/>
        <w:numPr>
          <w:ilvl w:val="4"/>
          <w:numId w:val="1"/>
        </w:numPr>
        <w:rPr/>
      </w:pPr>
      <w:bookmarkStart w:id="701" w:name="__RefHeading___Toc3732331_3804643083"/>
      <w:bookmarkStart w:id="702" w:name="_Toc271"/>
      <w:bookmarkEnd w:id="700"/>
      <w:bookmarkEnd w:id="701"/>
      <w:r>
        <w:rPr>
          <w:rtl w:val="true"/>
        </w:rPr>
        <w:t>بحث غسل النفاس</w:t>
      </w:r>
      <w:bookmarkEnd w:id="702"/>
    </w:p>
    <w:p>
      <w:pPr>
        <w:pStyle w:val="Heading6"/>
        <w:numPr>
          <w:ilvl w:val="5"/>
          <w:numId w:val="1"/>
        </w:numPr>
        <w:rPr/>
      </w:pPr>
      <w:bookmarkStart w:id="703" w:name="__RefHeading___Toc3732333_3804643083"/>
      <w:bookmarkStart w:id="704" w:name="_Toc272"/>
      <w:bookmarkEnd w:id="703"/>
      <w:r>
        <w:rPr>
          <w:rtl w:val="true"/>
        </w:rPr>
        <w:t>[</w:t>
      </w:r>
      <w:r>
        <w:rPr>
          <w:rtl w:val="true"/>
        </w:rPr>
        <w:t>تعريف النفاس</w:t>
      </w:r>
      <w:r>
        <w:rPr>
          <w:rtl w:val="true"/>
        </w:rPr>
        <w:t>]</w:t>
      </w:r>
      <w:bookmarkEnd w:id="704"/>
    </w:p>
    <w:p>
      <w:pPr>
        <w:pStyle w:val="BookText"/>
        <w:rPr/>
      </w:pPr>
      <w:r>
        <w:rPr>
          <w:rFonts w:ascii="Amiri" w:hAnsi="Amiri" w:eastAsia="Amiri" w:cs="Amiri"/>
          <w:color w:val="111111"/>
          <w:sz w:val="28"/>
          <w:sz w:val="28"/>
          <w:szCs w:val="28"/>
          <w:rtl w:val="true"/>
          <w:lang w:bidi="ar-SA"/>
        </w:rPr>
        <w:t>و هو دم الولادة بعدها أو معها، وفاقاً للمعظم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المعيّة تصدق بخروجه مع جزء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خصّصه بالمتعقّب، و أخرج المصاحب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تعليق الحكم في النصوص على دم الولادة و صدقه عليه؛ إذ صدقها بخروج بعضه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ظهورها في خروج كلّه ممنوعة، بل بعض النصوص مصرّحة بتحقّق النفاس بخروج رأسه </w:t>
      </w:r>
      <w:r>
        <w:rPr>
          <w:rStyle w:val="FootnoteAnchor"/>
          <w:rtl w:val="true"/>
        </w:rPr>
        <w:footnoteReference w:id="1863"/>
      </w:r>
      <w:r>
        <w:rPr>
          <w:rFonts w:ascii="Amiri" w:hAnsi="Amiri" w:eastAsia="Amiri" w:cs="Amiri"/>
          <w:color w:val="111111"/>
          <w:sz w:val="28"/>
          <w:sz w:val="28"/>
          <w:szCs w:val="28"/>
          <w:rtl w:val="true"/>
          <w:lang w:bidi="ar-SA"/>
        </w:rPr>
        <w:t>، و البعض يعمّ المنفصل، فيصدق المعيّة بمقارنة الدم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لحقه الباقي كان كولادة التوأمين، فابتداء النفاس من الأوّل و آخره من الآخر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إفتاء </w:t>
      </w:r>
      <w:r>
        <w:rPr>
          <w:rStyle w:val="FootnoteAnchor"/>
          <w:rtl w:val="true"/>
        </w:rPr>
        <w:footnoteReference w:id="1864"/>
      </w:r>
      <w:r>
        <w:rPr>
          <w:rFonts w:ascii="Amiri" w:hAnsi="Amiri" w:eastAsia="Amiri" w:cs="Amiri"/>
          <w:color w:val="111111"/>
          <w:sz w:val="28"/>
          <w:sz w:val="28"/>
          <w:szCs w:val="28"/>
          <w:rtl w:val="true"/>
          <w:lang w:bidi="ar-SA"/>
        </w:rPr>
        <w:t>الأكثر بصدق الولادة بخروج مبدأ النشوء كلّاً أو بعضاً كالمضغة دون العلقة؛ لعدم القطع بمبدئيّتها، ضعيف بظهورها في خروج الآدمي لغة و عرفاً، فالتعدية تتوقّف على الدلالة، و انعقاد الإجماع غير ثابت؛ لسكوت الأوائل عنه</w:t>
      </w:r>
      <w:bookmarkStart w:id="705" w:name="pg2479_11822"/>
    </w:p>
    <w:p>
      <w:pPr>
        <w:pStyle w:val="BookText"/>
        <w:rPr/>
      </w:pPr>
      <w:bookmarkEnd w:id="705"/>
      <w:r>
        <w:rPr>
          <w:rFonts w:ascii="Amiri" w:hAnsi="Amiri" w:eastAsia="Amiri" w:cs="Amiri"/>
          <w:color w:val="111111"/>
          <w:sz w:val="28"/>
          <w:sz w:val="28"/>
          <w:szCs w:val="28"/>
          <w:rtl w:val="true"/>
          <w:lang w:bidi="ar-SA"/>
        </w:rPr>
        <w:t xml:space="preserve">و صدوره عن الفاضلين </w:t>
      </w:r>
      <w:r>
        <w:rPr>
          <w:rStyle w:val="FootnoteAnchor"/>
          <w:rtl w:val="true"/>
        </w:rPr>
        <w:footnoteReference w:id="1865"/>
      </w:r>
      <w:r>
        <w:rPr>
          <w:rFonts w:ascii="Amiri" w:hAnsi="Amiri" w:eastAsia="Amiri" w:cs="Amiri"/>
          <w:color w:val="111111"/>
          <w:sz w:val="28"/>
          <w:sz w:val="28"/>
          <w:szCs w:val="28"/>
          <w:rtl w:val="true"/>
          <w:lang w:bidi="ar-SA"/>
        </w:rPr>
        <w:t>و من بعدهما، فإن ثبت عليه إجماعهم في عصر فهو الحجّة، و إلّا فالأخذ به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الاقتصار على المتيقّن، و هو خروج ما يصدق عليه الاسم بترسيم الأعضاء و تصويرها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يرىٰ في الطلق أو قبل الظهور ليس نفاساً إجماعاً؛ لبعض الظواهر، و عدم صدق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يوجد معها دم فلا نفاس وفاقاً؛ للأصل و انتفاء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حصولها بدونه جائز، بل واقع، كما في المرأة التي ولدت في عصر النبي صلّى اللّٰه عليه و سلّم و سمّيت الجفوف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6" w:name="__RefHeading___Toc3732335_3804643083"/>
      <w:bookmarkStart w:id="707" w:name="_Toc273"/>
      <w:bookmarkEnd w:id="706"/>
      <w:r>
        <w:rPr>
          <w:rtl w:val="true"/>
        </w:rPr>
        <w:t xml:space="preserve">فصل </w:t>
      </w:r>
      <w:r>
        <w:rPr>
          <w:rtl w:val="true"/>
        </w:rPr>
        <w:t>[</w:t>
      </w:r>
      <w:r>
        <w:rPr>
          <w:rtl w:val="true"/>
        </w:rPr>
        <w:t>فترة ما بين الحيض و النفاس</w:t>
      </w:r>
      <w:r>
        <w:rPr>
          <w:rtl w:val="true"/>
        </w:rPr>
        <w:t>]</w:t>
      </w:r>
      <w:bookmarkEnd w:id="707"/>
    </w:p>
    <w:p>
      <w:pPr>
        <w:pStyle w:val="BookText"/>
        <w:rPr/>
      </w:pPr>
      <w:r>
        <w:rPr>
          <w:rFonts w:ascii="Amiri" w:hAnsi="Amiri" w:eastAsia="Amiri" w:cs="Amiri"/>
          <w:color w:val="111111"/>
          <w:sz w:val="28"/>
          <w:sz w:val="28"/>
          <w:szCs w:val="28"/>
          <w:rtl w:val="true"/>
          <w:lang w:bidi="ar-SA"/>
        </w:rPr>
        <w:t>يشترط تخلّل العشرة بين الحيض و النفاس، فعلى اجتماع الحيض و الحمل ما ترى قبله و يمكن كونه حيضاً يحكم به مع التخلّل لا بدونه، وفاقاً لجماعة، و خلافاً لآخرين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الموثّق </w:t>
      </w:r>
      <w:r>
        <w:rPr>
          <w:rStyle w:val="FootnoteAnchor"/>
          <w:rtl w:val="true"/>
        </w:rPr>
        <w:footnoteReference w:id="1867"/>
      </w:r>
      <w:r>
        <w:rPr>
          <w:rFonts w:ascii="Amiri" w:hAnsi="Amiri" w:eastAsia="Amiri" w:cs="Amiri"/>
          <w:color w:val="111111"/>
          <w:sz w:val="28"/>
          <w:sz w:val="28"/>
          <w:szCs w:val="28"/>
          <w:rtl w:val="true"/>
          <w:lang w:bidi="ar-SA"/>
        </w:rPr>
        <w:t xml:space="preserve">و خبرين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1868"/>
      </w:r>
      <w:r>
        <w:rPr>
          <w:rFonts w:ascii="Amiri" w:hAnsi="Amiri" w:eastAsia="Amiri" w:cs="Amiri"/>
          <w:color w:val="111111"/>
          <w:sz w:val="28"/>
          <w:sz w:val="28"/>
          <w:szCs w:val="28"/>
          <w:rtl w:val="true"/>
          <w:lang w:bidi="ar-SA"/>
        </w:rPr>
        <w:t xml:space="preserve">، كون النفاس كالحيض بإطلاق النص </w:t>
      </w:r>
      <w:r>
        <w:rPr>
          <w:rStyle w:val="FootnoteAnchor"/>
          <w:rtl w:val="true"/>
        </w:rPr>
        <w:footnoteReference w:id="1869"/>
      </w:r>
      <w:r>
        <w:rPr>
          <w:rFonts w:ascii="Amiri" w:hAnsi="Amiri" w:eastAsia="Amiri" w:cs="Amiri"/>
          <w:color w:val="111111"/>
          <w:sz w:val="28"/>
          <w:sz w:val="28"/>
          <w:szCs w:val="28"/>
          <w:rtl w:val="true"/>
          <w:lang w:bidi="ar-SA"/>
        </w:rPr>
        <w:t>و مقتضى القواعد الطبّية، فيلزم أن يتخلّلهما أقلّ الطهر</w:t>
      </w:r>
      <w:bookmarkStart w:id="708" w:name="pg2479_11824"/>
    </w:p>
    <w:p>
      <w:pPr>
        <w:pStyle w:val="BookText"/>
        <w:rPr/>
      </w:pPr>
      <w:bookmarkEnd w:id="708"/>
      <w:r>
        <w:rPr>
          <w:rFonts w:ascii="Amiri" w:hAnsi="Amiri" w:eastAsia="Amiri" w:cs="Amiri"/>
          <w:color w:val="111111"/>
          <w:sz w:val="28"/>
          <w:sz w:val="28"/>
          <w:szCs w:val="28"/>
          <w:rtl w:val="true"/>
          <w:lang w:bidi="ar-SA"/>
        </w:rPr>
        <w:t>كالحيضين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ثبوت الاشتراط في المتعقّب بدلالة الصحاح، فالمتقدّم مثله؛ لعدم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في الحقيقة، و مجرّد المشابهة لا تثبت الاتّحاد و الاشتراك في كلّ حكم بل يكفي فيه المشاركة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 كما مر</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732337_3804643083"/>
      <w:bookmarkStart w:id="710" w:name="_Toc274"/>
      <w:bookmarkEnd w:id="709"/>
      <w:r>
        <w:rPr>
          <w:rtl w:val="true"/>
        </w:rPr>
        <w:t xml:space="preserve">فصل </w:t>
      </w:r>
      <w:r>
        <w:rPr>
          <w:rtl w:val="true"/>
        </w:rPr>
        <w:t>[</w:t>
      </w:r>
      <w:r>
        <w:rPr>
          <w:rtl w:val="true"/>
        </w:rPr>
        <w:t>أقلّ النفاس و أكثره</w:t>
      </w:r>
      <w:r>
        <w:rPr>
          <w:rtl w:val="true"/>
        </w:rPr>
        <w:t>]</w:t>
      </w:r>
      <w:bookmarkEnd w:id="710"/>
    </w:p>
    <w:p>
      <w:pPr>
        <w:pStyle w:val="BookText"/>
        <w:rPr/>
      </w:pPr>
      <w:r>
        <w:rPr>
          <w:rFonts w:ascii="Amiri" w:hAnsi="Amiri" w:eastAsia="Amiri" w:cs="Amiri"/>
          <w:color w:val="111111"/>
          <w:sz w:val="28"/>
          <w:sz w:val="28"/>
          <w:szCs w:val="28"/>
          <w:rtl w:val="true"/>
          <w:lang w:bidi="ar-SA"/>
        </w:rPr>
        <w:t xml:space="preserve">أقلّه لا حدّ له بالإجماعين و النصوص </w:t>
      </w:r>
      <w:r>
        <w:rPr>
          <w:rStyle w:val="FootnoteAnchor"/>
          <w:rtl w:val="true"/>
        </w:rPr>
        <w:footnoteReference w:id="1870"/>
      </w:r>
      <w:r>
        <w:rPr>
          <w:rFonts w:ascii="Amiri" w:hAnsi="Amiri" w:eastAsia="Amiri" w:cs="Amiri"/>
          <w:color w:val="111111"/>
          <w:sz w:val="28"/>
          <w:sz w:val="28"/>
          <w:szCs w:val="28"/>
          <w:rtl w:val="true"/>
          <w:lang w:bidi="ar-SA"/>
        </w:rPr>
        <w:t>، فيجوز كونه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مجرّد الولادة أحد الحدثين الموجب لإحدى الطهارتين كبعض العامّة </w:t>
      </w:r>
      <w:r>
        <w:rPr>
          <w:rStyle w:val="FootnoteAnchor"/>
          <w:rtl w:val="true"/>
        </w:rPr>
        <w:footnoteReference w:id="1871"/>
      </w:r>
      <w:r>
        <w:rPr>
          <w:rFonts w:ascii="Amiri" w:hAnsi="Amiri" w:eastAsia="Amiri" w:cs="Amiri"/>
          <w:color w:val="111111"/>
          <w:sz w:val="28"/>
          <w:sz w:val="28"/>
          <w:szCs w:val="28"/>
          <w:rtl w:val="true"/>
          <w:lang w:bidi="ar-SA"/>
        </w:rPr>
        <w:t>تشريع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للمعتادة و العشرة للمبتدأة و المضطربة، وفاقاً للجعفي </w:t>
      </w:r>
      <w:r>
        <w:rPr>
          <w:rStyle w:val="FootnoteAnchor"/>
          <w:rtl w:val="true"/>
        </w:rPr>
        <w:footnoteReference w:id="1872"/>
      </w:r>
      <w:r>
        <w:rPr>
          <w:rFonts w:ascii="Amiri" w:hAnsi="Amiri" w:eastAsia="Amiri" w:cs="Amiri"/>
          <w:color w:val="111111"/>
          <w:sz w:val="28"/>
          <w:sz w:val="28"/>
          <w:szCs w:val="28"/>
          <w:rtl w:val="true"/>
          <w:lang w:bidi="ar-SA"/>
        </w:rPr>
        <w:t xml:space="preserve">، و أكثر المتأخّرين، و عليه الشهيد،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 و اختاره الفاضل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العادة فيها و ثمانية عشر فيهما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العشرة مطلقاً كالشيخ، و والد الصدوق </w:t>
      </w:r>
      <w:r>
        <w:rPr>
          <w:rStyle w:val="FootnoteAnchor"/>
          <w:rtl w:val="true"/>
        </w:rPr>
        <w:footnoteReference w:id="1876"/>
      </w:r>
      <w:r>
        <w:rPr>
          <w:rFonts w:ascii="Amiri" w:hAnsi="Amiri" w:eastAsia="Amiri" w:cs="Amiri"/>
          <w:color w:val="111111"/>
          <w:sz w:val="28"/>
          <w:sz w:val="28"/>
          <w:szCs w:val="28"/>
          <w:rtl w:val="true"/>
          <w:lang w:bidi="ar-SA"/>
        </w:rPr>
        <w:t xml:space="preserve">، و المفيد في أحد قوليه </w:t>
      </w:r>
      <w:r>
        <w:rPr>
          <w:rStyle w:val="FootnoteAnchor"/>
          <w:rtl w:val="true"/>
        </w:rPr>
        <w:footnoteReference w:id="18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القاضي، و الحلّي </w:t>
      </w:r>
      <w:r>
        <w:rPr>
          <w:rStyle w:val="FootnoteAnchor"/>
          <w:rtl w:val="true"/>
        </w:rPr>
        <w:footnoteReference w:id="1878"/>
      </w:r>
      <w:r>
        <w:rPr>
          <w:rFonts w:ascii="Amiri" w:hAnsi="Amiri" w:eastAsia="Amiri" w:cs="Amiri"/>
          <w:color w:val="111111"/>
          <w:sz w:val="28"/>
          <w:sz w:val="28"/>
          <w:szCs w:val="28"/>
          <w:rtl w:val="true"/>
          <w:lang w:bidi="ar-SA"/>
        </w:rPr>
        <w:t xml:space="preserve">و قد نسب إلى الشهرة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ثمانية عشر كذلك كالسيّد، و الصدوق </w:t>
      </w:r>
      <w:r>
        <w:rPr>
          <w:rStyle w:val="FootnoteAnchor"/>
          <w:rtl w:val="true"/>
        </w:rPr>
        <w:footnoteReference w:id="1880"/>
      </w:r>
      <w:r>
        <w:rPr>
          <w:rFonts w:ascii="Amiri" w:hAnsi="Amiri" w:eastAsia="Amiri" w:cs="Amiri"/>
          <w:color w:val="111111"/>
          <w:sz w:val="28"/>
          <w:sz w:val="28"/>
          <w:szCs w:val="28"/>
          <w:rtl w:val="true"/>
          <w:lang w:bidi="ar-SA"/>
        </w:rPr>
        <w:t xml:space="preserve">، و المفيد في قوله الآخر </w:t>
      </w:r>
      <w:r>
        <w:rPr>
          <w:rStyle w:val="FootnoteAnchor"/>
          <w:rtl w:val="true"/>
        </w:rPr>
        <w:footnoteReference w:id="1881"/>
      </w:r>
      <w:r>
        <w:rPr>
          <w:rFonts w:ascii="Amiri" w:hAnsi="Amiri" w:eastAsia="Amiri" w:cs="Amiri"/>
          <w:color w:val="111111"/>
          <w:sz w:val="28"/>
          <w:sz w:val="28"/>
          <w:szCs w:val="28"/>
          <w:rtl w:val="true"/>
          <w:lang w:bidi="ar-SA"/>
        </w:rPr>
        <w:t xml:space="preserve">، و به أفتى الإسكافي، و الديلمي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أحد و عشرون كذلك كالعماني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المعتبرة و غيرها </w:t>
      </w:r>
      <w:r>
        <w:rPr>
          <w:rStyle w:val="FootnoteAnchor"/>
          <w:rtl w:val="true"/>
        </w:rPr>
        <w:footnoteReference w:id="1884"/>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w:t>
      </w:r>
      <w:r>
        <w:rPr>
          <w:rStyle w:val="FootnoteAnchor"/>
          <w:rtl w:val="true"/>
        </w:rPr>
        <w:footnoteReference w:id="1885"/>
      </w:r>
      <w:r>
        <w:rPr>
          <w:rFonts w:ascii="Amiri" w:hAnsi="Amiri" w:eastAsia="Amiri" w:cs="Amiri"/>
          <w:color w:val="111111"/>
          <w:sz w:val="28"/>
          <w:sz w:val="28"/>
          <w:szCs w:val="28"/>
          <w:rtl w:val="true"/>
          <w:lang w:bidi="ar-SA"/>
        </w:rPr>
        <w:t xml:space="preserve">، و شهادة المفيد أو الطوسي بورود أخبار معتمدة بأنّ أكثر النفاس عشرة </w:t>
      </w:r>
      <w:r>
        <w:rPr>
          <w:rStyle w:val="FootnoteAnchor"/>
          <w:rtl w:val="true"/>
        </w:rPr>
        <w:footnoteReference w:id="1886"/>
      </w:r>
      <w:r>
        <w:rPr>
          <w:rFonts w:ascii="Amiri" w:hAnsi="Amiri" w:eastAsia="Amiri" w:cs="Amiri"/>
          <w:color w:val="111111"/>
          <w:sz w:val="28"/>
          <w:sz w:val="28"/>
          <w:szCs w:val="28"/>
          <w:rtl w:val="true"/>
          <w:lang w:bidi="ar-SA"/>
        </w:rPr>
        <w:t>، و ما نقله الحلّي من سؤاله المفيد عن اختلاف فتاويه في ذلك فعلى أيّها العمل، و جوابه بأنّ عملي في ذلك على عشرة أيّام؛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دم نفاس يكون زمانه أكثر من زمان الحيض</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 و لما ثبت من المعتبرة رجوع المعتادة عند الاستمرار إلى العادة فيخصّص أدلّة الرجوع إلى العشرة بغيرها من المبتدأة و المضطربة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كون الحائض كذلك مع اشتراكهما في الحقيقة و الحكم إلّا ما أخرجه الدليل، و استصحاب وجوب العبادة، خرج قدر العادة و العشرة بالإجماع، فيبقى</w:t>
      </w:r>
    </w:p>
    <w:p>
      <w:pPr>
        <w:pStyle w:val="BookText"/>
        <w:rPr/>
      </w:pPr>
      <w:r>
        <w:rPr>
          <w:rFonts w:ascii="IRNazanin" w:hAnsi="IRNazanin" w:eastAsia="IRNazanin"/>
          <w:color w:val="111111"/>
          <w:sz w:val="28"/>
          <w:sz w:val="28"/>
          <w:szCs w:val="28"/>
          <w:rtl w:val="true"/>
          <w:lang w:bidi="fa-IR"/>
        </w:rPr>
        <w:t>الزائد؛ لعدم القطع بالسقوط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عليه، و لا نزاع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المصرّحة بكون أيّام النفاس ثمانية عشر و سبعة عشر </w:t>
      </w:r>
      <w:r>
        <w:rPr>
          <w:rStyle w:val="FootnoteAnchor"/>
          <w:rtl w:val="true"/>
        </w:rPr>
        <w:footnoteReference w:id="1888"/>
      </w:r>
      <w:r>
        <w:rPr>
          <w:rFonts w:ascii="Amiri" w:hAnsi="Amiri" w:eastAsia="Amiri" w:cs="Amiri"/>
          <w:color w:val="111111"/>
          <w:sz w:val="28"/>
          <w:sz w:val="28"/>
          <w:szCs w:val="28"/>
          <w:rtl w:val="true"/>
          <w:lang w:bidi="ar-SA"/>
        </w:rPr>
        <w:t xml:space="preserve">أو تسعة عشر أو عشرين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 عنها الشيخ و غيره بالحمل على التقيّة </w:t>
      </w:r>
      <w:r>
        <w:rPr>
          <w:rStyle w:val="FootnoteAnchor"/>
          <w:rtl w:val="true"/>
        </w:rPr>
        <w:footnoteReference w:id="1890"/>
      </w:r>
      <w:r>
        <w:rPr>
          <w:rFonts w:ascii="Amiri" w:hAnsi="Amiri" w:eastAsia="Amiri" w:cs="Amiri"/>
          <w:color w:val="111111"/>
          <w:sz w:val="28"/>
          <w:sz w:val="28"/>
          <w:szCs w:val="28"/>
          <w:rtl w:val="true"/>
          <w:lang w:bidi="ar-SA"/>
        </w:rPr>
        <w:t xml:space="preserve">، كما يرشد إليه اختلافها الوارد بحسب اختلاف العامّة، فلعلّهم أفتوا عند كلّ فرقة بحسب مذهبهم، على أنّ الحجّة منها منحصر بأخبار الثمانية عشر؛ إذ غيرها ممّا لم يقل بمضمونه منّا أحد، و أكثرها وردت في قصّة بنت عميس و فيها ما ينفي الدلالة على المطلوب، و قد ورد النصّ بخصوصه في نفيها لأجله، كما بيّنا الجميع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في المعتادة بالرجوع إلى العادة لا بدّ له من تخصيص هذه الأخبار بالمضطربة و المبتدأة و القول باضطراب الأسماء، و هو كما ترى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العشرة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أخبار الثمانية عشر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الأخذ بأحدهما يوجب طرح الآخر، و ما هو أقوى منه من أخبار الرجوع إلى العادة، و فساده ظاهر</w:t>
      </w:r>
      <w:r>
        <w:rPr>
          <w:rFonts w:eastAsia="Amiri" w:cs="Amiri" w:ascii="Amiri" w:hAnsi="Amiri"/>
          <w:color w:val="111111"/>
          <w:sz w:val="28"/>
          <w:szCs w:val="28"/>
          <w:rtl w:val="true"/>
          <w:lang w:bidi="ar-SA"/>
        </w:rPr>
        <w:t>.</w:t>
      </w:r>
      <w:bookmarkStart w:id="711" w:name="pg2479_11830"/>
    </w:p>
    <w:p>
      <w:pPr>
        <w:pStyle w:val="BookText"/>
        <w:rPr/>
      </w:pPr>
      <w:bookmarkEnd w:id="711"/>
      <w:r>
        <w:rPr>
          <w:rFonts w:ascii="Amiri" w:hAnsi="Amiri" w:eastAsia="Amiri" w:cs="Amiri"/>
          <w:color w:val="111111"/>
          <w:sz w:val="28"/>
          <w:sz w:val="28"/>
          <w:szCs w:val="28"/>
          <w:rtl w:val="true"/>
          <w:lang w:bidi="ar-SA"/>
        </w:rPr>
        <w:t>و لعلّ مراد القائل بالعشرة أنّها أكثر أيّام النفاس، لا أنّ كلّ 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الشيخ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رواه البزنطي في كتابه،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1895"/>
      </w:r>
      <w:r>
        <w:rPr>
          <w:rFonts w:ascii="IRNazanin" w:hAnsi="IRNazanin" w:eastAsia="IRNazanin"/>
          <w:color w:val="111111"/>
          <w:sz w:val="28"/>
          <w:sz w:val="28"/>
          <w:szCs w:val="28"/>
          <w:rtl w:val="true"/>
          <w:lang w:bidi="fa-IR"/>
        </w:rPr>
        <w:t>، و هو مردود بالضعف و الشذوذ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قد ورد نصوص مصرّحة باعتبار الأزيد ممّا مرّ كالثلاثين </w:t>
      </w:r>
      <w:r>
        <w:rPr>
          <w:rStyle w:val="FootnoteAnchor"/>
          <w:rtl w:val="true"/>
        </w:rPr>
        <w:footnoteReference w:id="1896"/>
      </w:r>
      <w:r>
        <w:rPr>
          <w:rFonts w:ascii="Amiri" w:hAnsi="Amiri" w:eastAsia="Amiri" w:cs="Amiri"/>
          <w:color w:val="111111"/>
          <w:sz w:val="28"/>
          <w:sz w:val="28"/>
          <w:szCs w:val="28"/>
          <w:rtl w:val="true"/>
          <w:lang w:bidi="ar-SA"/>
        </w:rPr>
        <w:t xml:space="preserve">و الأربعين </w:t>
      </w:r>
      <w:r>
        <w:rPr>
          <w:rStyle w:val="FootnoteAnchor"/>
          <w:rtl w:val="true"/>
        </w:rPr>
        <w:footnoteReference w:id="1897"/>
      </w:r>
      <w:r>
        <w:rPr>
          <w:rFonts w:ascii="Amiri" w:hAnsi="Amiri" w:eastAsia="Amiri" w:cs="Amiri"/>
          <w:color w:val="111111"/>
          <w:sz w:val="28"/>
          <w:sz w:val="28"/>
          <w:szCs w:val="28"/>
          <w:rtl w:val="true"/>
          <w:lang w:bidi="ar-SA"/>
        </w:rPr>
        <w:t xml:space="preserve">و الخمسين </w:t>
      </w:r>
      <w:r>
        <w:rPr>
          <w:rStyle w:val="FootnoteAnchor"/>
          <w:rtl w:val="true"/>
        </w:rPr>
        <w:footnoteReference w:id="1898"/>
      </w:r>
      <w:r>
        <w:rPr>
          <w:rFonts w:ascii="Amiri" w:hAnsi="Amiri" w:eastAsia="Amiri" w:cs="Amiri"/>
          <w:color w:val="111111"/>
          <w:sz w:val="28"/>
          <w:sz w:val="28"/>
          <w:szCs w:val="28"/>
          <w:rtl w:val="true"/>
          <w:lang w:bidi="ar-SA"/>
        </w:rPr>
        <w:t>، و هي محمولة على التقيّة قطعاً</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3732339_3804643083"/>
      <w:bookmarkStart w:id="713" w:name="_Toc275"/>
      <w:bookmarkEnd w:id="712"/>
      <w:r>
        <w:rPr>
          <w:rtl w:val="true"/>
        </w:rPr>
        <w:t>فروع</w:t>
      </w:r>
      <w:r>
        <w:rPr>
          <w:rtl w:val="true"/>
        </w:rPr>
        <w:t>:</w:t>
      </w:r>
      <w:bookmarkEnd w:id="713"/>
    </w:p>
    <w:p>
      <w:pPr>
        <w:pStyle w:val="Heading6"/>
        <w:numPr>
          <w:ilvl w:val="5"/>
          <w:numId w:val="1"/>
        </w:numPr>
        <w:rPr/>
      </w:pPr>
      <w:bookmarkStart w:id="714" w:name="__RefHeading___Toc3732341_3804643083"/>
      <w:bookmarkStart w:id="715" w:name="_Toc276"/>
      <w:bookmarkEnd w:id="714"/>
      <w:r>
        <w:rPr>
          <w:rtl w:val="true"/>
        </w:rPr>
        <w:t>الأوّل</w:t>
      </w:r>
      <w:r>
        <w:rPr>
          <w:rtl w:val="true"/>
        </w:rPr>
        <w:t>:</w:t>
      </w:r>
      <w:bookmarkEnd w:id="715"/>
    </w:p>
    <w:p>
      <w:pPr>
        <w:pStyle w:val="BookText"/>
        <w:rPr/>
      </w:pPr>
      <w:r>
        <w:rPr>
          <w:rFonts w:ascii="Amiri" w:hAnsi="Amiri" w:eastAsia="Amiri" w:cs="Amiri"/>
          <w:color w:val="111111"/>
          <w:sz w:val="28"/>
          <w:sz w:val="28"/>
          <w:szCs w:val="28"/>
          <w:rtl w:val="true"/>
          <w:lang w:bidi="ar-SA"/>
        </w:rPr>
        <w:t>النفساء كالحائض في الاستظهار عند التجاوز عن العادة، و في الرجوع إليها عند التجاوز عن العشرة و جعل الجميع نفاساً إذا انقطع عليها أو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احتمل الرجوع إليها عند الانقطاع عليها </w:t>
      </w:r>
      <w:r>
        <w:rPr>
          <w:rStyle w:val="FootnoteAnchor"/>
          <w:rtl w:val="true"/>
        </w:rPr>
        <w:footnoteReference w:id="1899"/>
      </w:r>
      <w:r>
        <w:rPr>
          <w:rFonts w:ascii="Amiri" w:hAnsi="Amiri" w:eastAsia="Amiri" w:cs="Amiri"/>
          <w:color w:val="111111"/>
          <w:sz w:val="28"/>
          <w:sz w:val="28"/>
          <w:szCs w:val="28"/>
          <w:rtl w:val="true"/>
          <w:lang w:bidi="ar-SA"/>
        </w:rPr>
        <w:t xml:space="preserve">أيضاً؛ لعموم الأخبار </w:t>
      </w:r>
      <w:r>
        <w:rPr>
          <w:rStyle w:val="FootnoteAnchor"/>
          <w:rtl w:val="true"/>
        </w:rPr>
        <w:footnoteReference w:id="1900"/>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المبتدأة أو المضطربة تبقى على النفاس حتّى ينقضي العشرة، فتصير مستحاضة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بالمعتادة هنا ذات العدديّة و إن لم تعلم الوقت؛ إذ أثر الرجوع إنّما</w:t>
      </w:r>
      <w:bookmarkStart w:id="716" w:name="pg2479_11832"/>
    </w:p>
    <w:p>
      <w:pPr>
        <w:pStyle w:val="BookText"/>
        <w:rPr/>
      </w:pPr>
      <w:bookmarkEnd w:id="716"/>
      <w:r>
        <w:rPr>
          <w:rFonts w:ascii="Amiri" w:hAnsi="Amiri" w:eastAsia="Amiri" w:cs="Amiri"/>
          <w:color w:val="111111"/>
          <w:sz w:val="28"/>
          <w:sz w:val="28"/>
          <w:szCs w:val="28"/>
          <w:rtl w:val="true"/>
          <w:lang w:bidi="ar-SA"/>
        </w:rPr>
        <w:t>يظهر في العدد؛ لامتناع العدول عن وقت النفاس إلى زمن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بالمضطربة هنا المتحيّرة أو ناسية العدد و إن ذكرت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ترى بعد أكثر النفاس استحاضة، و لا يكون حيضاً؛ إذ الحيض لا يتعقّبه إلّا بتخلّل العشرة، فما ترى بعده حيض مع الإمكان</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732343_3804643083"/>
      <w:bookmarkStart w:id="718" w:name="_Toc277"/>
      <w:bookmarkEnd w:id="717"/>
      <w:r>
        <w:rPr>
          <w:rtl w:val="true"/>
        </w:rPr>
        <w:t>الثاني</w:t>
      </w:r>
      <w:r>
        <w:rPr>
          <w:rtl w:val="true"/>
        </w:rPr>
        <w:t>:</w:t>
      </w:r>
      <w:bookmarkEnd w:id="718"/>
    </w:p>
    <w:p>
      <w:pPr>
        <w:pStyle w:val="BookText"/>
        <w:rPr/>
      </w:pPr>
      <w:r>
        <w:rPr>
          <w:rFonts w:ascii="Amiri" w:hAnsi="Amiri" w:eastAsia="Amiri" w:cs="Amiri"/>
          <w:color w:val="111111"/>
          <w:sz w:val="28"/>
          <w:sz w:val="28"/>
          <w:szCs w:val="28"/>
          <w:rtl w:val="true"/>
          <w:lang w:bidi="ar-SA"/>
        </w:rPr>
        <w:t xml:space="preserve">لو استقرّت لها عادة في النفاس لم ترجع إليها إجماعاً، و ما يفيده ظاهر الموثّق و الخبر </w:t>
      </w:r>
      <w:r>
        <w:rPr>
          <w:rStyle w:val="FootnoteAnchor"/>
          <w:rtl w:val="true"/>
        </w:rPr>
        <w:footnoteReference w:id="1901"/>
      </w:r>
      <w:r>
        <w:rPr>
          <w:rFonts w:ascii="Amiri" w:hAnsi="Amiri" w:eastAsia="Amiri" w:cs="Amiri"/>
          <w:color w:val="111111"/>
          <w:sz w:val="28"/>
          <w:sz w:val="28"/>
          <w:szCs w:val="28"/>
          <w:rtl w:val="true"/>
          <w:lang w:bidi="ar-SA"/>
        </w:rPr>
        <w:t>من الرجوع إليها شاذّ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العادة في الحيض بتكلّف</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732345_3804643083"/>
      <w:bookmarkStart w:id="720" w:name="_Toc278"/>
      <w:bookmarkEnd w:id="719"/>
      <w:r>
        <w:rPr>
          <w:rtl w:val="true"/>
        </w:rPr>
        <w:t>الثالث</w:t>
      </w:r>
      <w:r>
        <w:rPr>
          <w:rtl w:val="true"/>
        </w:rPr>
        <w:t>:</w:t>
      </w:r>
      <w:bookmarkEnd w:id="720"/>
    </w:p>
    <w:p>
      <w:pPr>
        <w:pStyle w:val="BookText"/>
        <w:rPr/>
      </w:pPr>
      <w:r>
        <w:rPr>
          <w:rFonts w:ascii="Amiri" w:hAnsi="Amiri" w:eastAsia="Amiri" w:cs="Amiri"/>
          <w:color w:val="111111"/>
          <w:sz w:val="28"/>
          <w:sz w:val="28"/>
          <w:szCs w:val="28"/>
          <w:rtl w:val="true"/>
          <w:lang w:bidi="ar-SA"/>
        </w:rPr>
        <w:t>لو لم تر دماً حتّى ينقضي الأكثر فلا نفاس، فما ترى بعده إمّا حيض أو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ترى في العاشر خاصّة أو قبله و بعد العادة، فعلى اعتبار العشرة مطلقاً يكون نفاساً كذلك؛ إذ النفاس حينئذٍ هو الدم الحادث في جميعها أو بعضها، و قد حصل هنا في النهاية أو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الاتّصال بالولادة غير لازم، و الأصل عدم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اخترناه من رجوع المعتادة إلى عادتها مع التجاوز عنها فهو نفاس في غيرها مطلقاً؛ لحدوثه في زمن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إذا كانت عادتها عشرة أو أقل و انقطع على العاشر؛ لمصادفته جزء من العشرة التي هي العادة أو بمنزلتها، نظراً إلى كون الجميع نفاساً مع الانقطاع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القطع باستناد ما ترى في العاشر خاصّة إلى الولادة لإفراد الفصل، لا ينفي كونه نفاساً مع اقتضاء القواعد ذلك، كما في الحيض</w:t>
      </w:r>
      <w:r>
        <w:rPr>
          <w:rFonts w:eastAsia="Amiri" w:cs="Amiri" w:ascii="Amiri" w:hAnsi="Amiri"/>
          <w:color w:val="111111"/>
          <w:sz w:val="28"/>
          <w:szCs w:val="28"/>
          <w:rtl w:val="true"/>
          <w:lang w:bidi="ar-SA"/>
        </w:rPr>
        <w:t>.</w:t>
      </w:r>
      <w:bookmarkStart w:id="721" w:name="pg2479_11834"/>
    </w:p>
    <w:p>
      <w:pPr>
        <w:pStyle w:val="BookText"/>
        <w:rPr/>
      </w:pPr>
      <w:bookmarkEnd w:id="721"/>
      <w:r>
        <w:rPr>
          <w:rFonts w:ascii="Amiri" w:hAnsi="Amiri" w:eastAsia="Amiri" w:cs="Amiri"/>
          <w:color w:val="111111"/>
          <w:sz w:val="28"/>
          <w:sz w:val="28"/>
          <w:szCs w:val="28"/>
          <w:rtl w:val="true"/>
          <w:lang w:bidi="ar-SA"/>
        </w:rPr>
        <w:t>و لو تجاوز عنه لم يكن نفاساً؛ إذ حينئذٍ يلزمها الرجوع إلى العادة، فما يصادف جزء منها فهو نفاس، و الزائد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لحدوثه بعد العادة مع التجاوز عن العاشر لا يتحقّق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حدث في جزء منها و انقطع عليه فمنه إليه نفاس، و لو تجاوز عنه انحصر النفاس به</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732347_3804643083"/>
      <w:bookmarkStart w:id="723" w:name="_Toc279"/>
      <w:bookmarkEnd w:id="722"/>
      <w:r>
        <w:rPr>
          <w:rtl w:val="true"/>
        </w:rPr>
        <w:t>الرابع</w:t>
      </w:r>
      <w:r>
        <w:rPr>
          <w:rtl w:val="true"/>
        </w:rPr>
        <w:t>:</w:t>
      </w:r>
      <w:bookmarkEnd w:id="723"/>
    </w:p>
    <w:p>
      <w:pPr>
        <w:pStyle w:val="BookText"/>
        <w:rPr/>
      </w:pPr>
      <w:r>
        <w:rPr>
          <w:rFonts w:ascii="Amiri" w:hAnsi="Amiri" w:eastAsia="Amiri" w:cs="Amiri"/>
          <w:color w:val="111111"/>
          <w:sz w:val="28"/>
          <w:sz w:val="28"/>
          <w:szCs w:val="28"/>
          <w:rtl w:val="true"/>
          <w:lang w:bidi="ar-SA"/>
        </w:rPr>
        <w:t xml:space="preserve">لو رأت مرّتين في العشرة، فهما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نفاس؛ لأنّ الطهر لا ينقص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في الأوّل و العاشر و انقطع عليه فالعشرة نفاس، كما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تجاوز عنه فكذلك في المبتدأة و المضطربة و ذات العشرة، و ذات الأقل نفاسها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صادف الثاني جزء من العادة فجميعها نفاس؛ لوجود الدم في طرفيها، لكن بعد الانقطاع الأوّل تغتسل و تصلّي و تصوم؛ لجواز عدم العود، فإذا عاد في العشرة كما ذكر تقضي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في العاشر فقط، فهو النفاس خاصّة للثلاث الأُول لا للرابعة، بل هي لو رأت في آخر عادتها فهو النفاس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 ذات السبعة لو رأت لحظتين من طرفيها فنفاسها الجميع، و آخرها فهو لا غير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رأت مع الولادة و سابقها و استمر إلى أن يتجاوز العشرة فالأربعة الأخيرة و سابعها فقط، و تجاوزها فهو لا غير و أوّلها و سابعها مع التجاوز فمجموع العادة و الأوّل، و بعد العادة مع التجاوز فالأوّل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القياس</w:t>
      </w:r>
      <w:r>
        <w:rPr>
          <w:rFonts w:eastAsia="Amiri" w:cs="Amiri" w:ascii="Amiri" w:hAnsi="Amiri"/>
          <w:color w:val="111111"/>
          <w:sz w:val="28"/>
          <w:szCs w:val="28"/>
          <w:rtl w:val="true"/>
          <w:lang w:bidi="ar-SA"/>
        </w:rPr>
        <w:t>.</w:t>
      </w:r>
      <w:bookmarkStart w:id="724" w:name="pg2479_11836"/>
    </w:p>
    <w:p>
      <w:pPr>
        <w:pStyle w:val="Heading6"/>
        <w:numPr>
          <w:ilvl w:val="5"/>
          <w:numId w:val="1"/>
        </w:numPr>
        <w:rPr/>
      </w:pPr>
      <w:bookmarkStart w:id="725" w:name="__RefHeading___Toc3732349_3804643083"/>
      <w:bookmarkStart w:id="726" w:name="_Toc280"/>
      <w:bookmarkEnd w:id="724"/>
      <w:bookmarkEnd w:id="725"/>
      <w:r>
        <w:rPr>
          <w:rtl w:val="true"/>
        </w:rPr>
        <w:t xml:space="preserve">باب </w:t>
      </w:r>
      <w:r>
        <w:rPr>
          <w:rtl w:val="true"/>
        </w:rPr>
        <w:t>[</w:t>
      </w:r>
      <w:r>
        <w:rPr>
          <w:rtl w:val="true"/>
        </w:rPr>
        <w:t>نفاس ذات التوأمين</w:t>
      </w:r>
      <w:r>
        <w:rPr>
          <w:rtl w:val="true"/>
        </w:rPr>
        <w:t>]:</w:t>
      </w:r>
      <w:bookmarkEnd w:id="726"/>
    </w:p>
    <w:p>
      <w:pPr>
        <w:pStyle w:val="BookText"/>
        <w:rPr/>
      </w:pPr>
      <w:r>
        <w:rPr>
          <w:rFonts w:ascii="Amiri" w:hAnsi="Amiri" w:eastAsia="Amiri" w:cs="Amiri"/>
          <w:color w:val="111111"/>
          <w:sz w:val="28"/>
          <w:sz w:val="28"/>
          <w:szCs w:val="28"/>
          <w:rtl w:val="true"/>
          <w:lang w:bidi="ar-SA"/>
        </w:rPr>
        <w:t>ذات التوأمين يتعدّد نفاسها؛ لتعدّد العلّة فيتحقّق لكلّ منهما نفاس يعتبر العدد من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يتخلّل بينهما الطهر بأن يبتدئ الثاني بعد انقطاع الأوّل أو مضي ما يزيد على أكثر النفاس من بدء الأوّل و إن كان بعيداً، بل الحيض و إن كان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بينهما الفصل، و يمكن اتّصالهما مع التداخل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تعاقب الولادتين يتّحد النفاس صورة و إن تعدّد حقيقة مع التداخل في جميع الأجزاء، و بدونه يتعدّد إمّا مع استقلال كلّ منهما أو مع التداخل في بعض الأجزاء، و مواضع الكلّ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عليهما حكم الأكثر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 الأجزاء المنقطعة من واحد و خروجها مرّتين فصاعداً كالتوأمين أو الأكثر في الحكم؛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على مصرّح به سوى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3732351_3804643083"/>
      <w:bookmarkStart w:id="728" w:name="_Toc281"/>
      <w:bookmarkEnd w:id="727"/>
      <w:r>
        <w:rPr>
          <w:rtl w:val="true"/>
        </w:rPr>
        <w:t xml:space="preserve">مسألة </w:t>
      </w:r>
      <w:r>
        <w:rPr>
          <w:rtl w:val="true"/>
        </w:rPr>
        <w:t>[</w:t>
      </w:r>
      <w:r>
        <w:rPr>
          <w:rtl w:val="true"/>
        </w:rPr>
        <w:t>الفرق بين الحائض و النفساء</w:t>
      </w:r>
      <w:r>
        <w:rPr>
          <w:rtl w:val="true"/>
        </w:rPr>
        <w:t>]:</w:t>
      </w:r>
      <w:bookmarkEnd w:id="7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غسلها كغسل الحائض إجماعاً، و هي مثلها في كلّ حكم،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عند الكلّ، و الأكثر عند البعض، و رجوع الحائض إلى التمييز و الأقران و الروايات دونها، و اشتراط أقل الطهر بين الحيضين دون النفاسين، كما في التوأمين</w:t>
      </w:r>
      <w:r>
        <w:rPr>
          <w:rFonts w:eastAsia="Amiri" w:cs="Amiri" w:ascii="Amiri" w:hAnsi="Amiri"/>
          <w:color w:val="111111"/>
          <w:sz w:val="28"/>
          <w:szCs w:val="28"/>
          <w:rtl w:val="true"/>
          <w:lang w:bidi="ar-SA"/>
        </w:rPr>
        <w:t>.</w:t>
      </w:r>
      <w:bookmarkStart w:id="729" w:name="pg2479_11838"/>
    </w:p>
    <w:p>
      <w:pPr>
        <w:pStyle w:val="Heading5"/>
        <w:numPr>
          <w:ilvl w:val="4"/>
          <w:numId w:val="1"/>
        </w:numPr>
        <w:rPr/>
      </w:pPr>
      <w:bookmarkStart w:id="730" w:name="__RefHeading___Toc3732353_3804643083"/>
      <w:bookmarkStart w:id="731" w:name="_Toc282"/>
      <w:bookmarkEnd w:id="729"/>
      <w:bookmarkEnd w:id="730"/>
      <w:r>
        <w:rPr>
          <w:rtl w:val="true"/>
        </w:rPr>
        <w:t>بحث غسل المسّ</w:t>
      </w:r>
      <w:bookmarkEnd w:id="731"/>
    </w:p>
    <w:p>
      <w:pPr>
        <w:pStyle w:val="Heading6"/>
        <w:numPr>
          <w:ilvl w:val="5"/>
          <w:numId w:val="1"/>
        </w:numPr>
        <w:rPr/>
      </w:pPr>
      <w:bookmarkStart w:id="732" w:name="__RefHeading___Toc3732355_3804643083"/>
      <w:bookmarkStart w:id="733" w:name="_Toc283"/>
      <w:bookmarkEnd w:id="732"/>
      <w:r>
        <w:rPr>
          <w:rtl w:val="true"/>
        </w:rPr>
        <w:t xml:space="preserve">فصل </w:t>
      </w:r>
      <w:r>
        <w:rPr>
          <w:rtl w:val="true"/>
        </w:rPr>
        <w:t>[</w:t>
      </w:r>
      <w:r>
        <w:rPr>
          <w:rtl w:val="true"/>
        </w:rPr>
        <w:t>وجوبه</w:t>
      </w:r>
      <w:r>
        <w:rPr>
          <w:rtl w:val="true"/>
        </w:rPr>
        <w:t>]</w:t>
      </w:r>
      <w:bookmarkEnd w:id="733"/>
    </w:p>
    <w:p>
      <w:pPr>
        <w:pStyle w:val="BookText"/>
        <w:rPr/>
      </w:pPr>
      <w:r>
        <w:rPr>
          <w:rFonts w:ascii="Amiri" w:hAnsi="Amiri" w:eastAsia="Amiri" w:cs="Amiri"/>
          <w:color w:val="111111"/>
          <w:sz w:val="28"/>
          <w:sz w:val="28"/>
          <w:szCs w:val="28"/>
          <w:rtl w:val="true"/>
          <w:lang w:bidi="ar-SA"/>
        </w:rPr>
        <w:t xml:space="preserve">يجب الغسل بمسّ الميّت الآدمي، بعد البرد و قبل غسله، وفاقاً للمعظم؛ للمستفيضة من الصحاح و غيرها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السيّد على استحبابه </w:t>
      </w:r>
      <w:r>
        <w:rPr>
          <w:rStyle w:val="FootnoteAnchor"/>
          <w:rtl w:val="true"/>
        </w:rPr>
        <w:footnoteReference w:id="1904"/>
      </w:r>
      <w:r>
        <w:rPr>
          <w:rFonts w:ascii="Amiri" w:hAnsi="Amiri" w:eastAsia="Amiri" w:cs="Amiri"/>
          <w:color w:val="111111"/>
          <w:sz w:val="28"/>
          <w:sz w:val="28"/>
          <w:szCs w:val="28"/>
          <w:rtl w:val="true"/>
          <w:lang w:bidi="ar-SA"/>
        </w:rPr>
        <w:t>لكونه نجاسة كنجاسة بدن الجنب، فلا يجب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بعض الأخبار </w:t>
      </w:r>
      <w:r>
        <w:rPr>
          <w:rStyle w:val="FootnoteAnchor"/>
          <w:rtl w:val="true"/>
        </w:rPr>
        <w:footnoteReference w:id="1905"/>
      </w:r>
      <w:r>
        <w:rPr>
          <w:rFonts w:ascii="Amiri" w:hAnsi="Amiri" w:eastAsia="Amiri" w:cs="Amiri"/>
          <w:color w:val="111111"/>
          <w:sz w:val="28"/>
          <w:sz w:val="28"/>
          <w:szCs w:val="28"/>
          <w:rtl w:val="true"/>
          <w:lang w:bidi="ar-SA"/>
        </w:rPr>
        <w:t>من كون غسل الميّت أو مسّه أو غير غسل الجنابة من الأغسال سنّة، يتعيّن حمل السنّة فيه على معناها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الخبر من إجزاء الوضوء </w:t>
      </w:r>
      <w:r>
        <w:rPr>
          <w:rStyle w:val="FootnoteAnchor"/>
          <w:rtl w:val="true"/>
        </w:rPr>
        <w:footnoteReference w:id="1906"/>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أوّل التوقيع </w:t>
      </w:r>
      <w:r>
        <w:rPr>
          <w:rStyle w:val="FootnoteAnchor"/>
          <w:rtl w:val="true"/>
        </w:rPr>
        <w:footnoteReference w:id="1907"/>
      </w:r>
      <w:r>
        <w:rPr>
          <w:rFonts w:ascii="Amiri" w:hAnsi="Amiri" w:eastAsia="Amiri" w:cs="Amiri"/>
          <w:color w:val="111111"/>
          <w:sz w:val="28"/>
          <w:sz w:val="28"/>
          <w:szCs w:val="28"/>
          <w:rtl w:val="true"/>
          <w:lang w:bidi="ar-SA"/>
        </w:rPr>
        <w:t>من كفاية غسل اليد لمن مسّه محمول على المسّ قبل برده، كما دلّ عليه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الإجماع و المستفيضة عدم وجوبه قبل البرد و بعد غسله، و الموثّق الموجب له بعده </w:t>
      </w:r>
      <w:r>
        <w:rPr>
          <w:rStyle w:val="FootnoteAnchor"/>
          <w:rtl w:val="true"/>
        </w:rPr>
        <w:footnoteReference w:id="1908"/>
      </w:r>
      <w:r>
        <w:rPr>
          <w:rFonts w:ascii="Amiri" w:hAnsi="Amiri" w:eastAsia="Amiri" w:cs="Amiri"/>
          <w:color w:val="111111"/>
          <w:sz w:val="28"/>
          <w:sz w:val="28"/>
          <w:szCs w:val="28"/>
          <w:rtl w:val="true"/>
          <w:lang w:bidi="ar-SA"/>
        </w:rPr>
        <w:t>شاذّ متروك، و قد تفرّد بنقله المشهور بنقل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 كالمسلم في وجوبه بمسّه؛ لبعض الإطلاقات، و أغلظيّة نجاسته، فيثبت الحكم بمفهوم 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w:t>
      </w:r>
      <w:r>
        <w:rPr>
          <w:rStyle w:val="FootnoteAnchor"/>
          <w:rtl w:val="true"/>
        </w:rPr>
        <w:footnoteReference w:id="1909"/>
      </w:r>
      <w:r>
        <w:rPr>
          <w:rFonts w:ascii="Amiri" w:hAnsi="Amiri" w:eastAsia="Amiri" w:cs="Amiri"/>
          <w:color w:val="111111"/>
          <w:sz w:val="28"/>
          <w:sz w:val="28"/>
          <w:szCs w:val="28"/>
          <w:rtl w:val="true"/>
          <w:lang w:bidi="ar-SA"/>
        </w:rPr>
        <w:t xml:space="preserve">العدم فيه ضعيف، و التعليل بكونه كالبهيمة عليل، و بظهور بعض الأخبار في المسلم </w:t>
      </w:r>
      <w:r>
        <w:rPr>
          <w:rStyle w:val="FootnoteAnchor"/>
          <w:rtl w:val="true"/>
        </w:rPr>
        <w:footnoteReference w:id="1910"/>
      </w:r>
      <w:r>
        <w:rPr>
          <w:rFonts w:ascii="Amiri" w:hAnsi="Amiri" w:eastAsia="Amiri" w:cs="Amiri"/>
          <w:color w:val="111111"/>
          <w:sz w:val="28"/>
          <w:sz w:val="28"/>
          <w:szCs w:val="28"/>
          <w:rtl w:val="true"/>
          <w:lang w:bidi="ar-SA"/>
        </w:rPr>
        <w:t>فيحمل المطلق على المقيّد ساقط؛ لعدم التنافي بينهما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سقوط الغسل بمسّ المغسول مع تعذّر الخليطين أو أحدهما؛ لإطلاق الأدلّة، و توهّم فساد هذا الغسل بعد الإجماع على صحّته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بمسّ مغسول الكافر عند الاضطرار؛ لما ذكر، و دعوىٰ ظهور الغسل في المعتبر عند الاختيار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تقدّم غسله؛ للإطلاقات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هذا الغسل مجرّد خبر </w:t>
      </w:r>
      <w:r>
        <w:rPr>
          <w:rStyle w:val="FootnoteAnchor"/>
          <w:rtl w:val="true"/>
        </w:rPr>
        <w:footnoteReference w:id="1911"/>
      </w:r>
      <w:r>
        <w:rPr>
          <w:rFonts w:ascii="Amiri" w:hAnsi="Amiri" w:eastAsia="Amiri" w:cs="Amiri"/>
          <w:color w:val="111111"/>
          <w:sz w:val="28"/>
          <w:sz w:val="28"/>
          <w:szCs w:val="28"/>
          <w:rtl w:val="true"/>
          <w:lang w:bidi="ar-SA"/>
        </w:rPr>
        <w:t>لا يصلح ليخصّص أدلّة تنجيس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 غسل الميّت بخروج النطفة الّتي خلق منها به و صيرورته لذلك كالجنب في وجوب الغسل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صحّة هذا الغسل بالإجماع المعلوم بالتتبّع، و النقل، و هذا الخبر المنجبر بالعمل يترتّب عليه حكم الغسل بعد الموت من سقوط الغسل بالمسّ و غيره</w:t>
      </w:r>
      <w:r>
        <w:rPr>
          <w:rFonts w:eastAsia="Amiri" w:cs="Amiri" w:ascii="Amiri" w:hAnsi="Amiri"/>
          <w:color w:val="111111"/>
          <w:sz w:val="28"/>
          <w:szCs w:val="28"/>
          <w:rtl w:val="true"/>
          <w:lang w:bidi="ar-SA"/>
        </w:rPr>
        <w:t>.</w:t>
      </w:r>
      <w:bookmarkStart w:id="734" w:name="pg2479_11841"/>
    </w:p>
    <w:p>
      <w:pPr>
        <w:pStyle w:val="BookText"/>
        <w:rPr/>
      </w:pPr>
      <w:bookmarkEnd w:id="734"/>
      <w:r>
        <w:rPr>
          <w:rFonts w:ascii="Amiri" w:hAnsi="Amiri" w:eastAsia="Amiri" w:cs="Amiri"/>
          <w:color w:val="111111"/>
          <w:sz w:val="28"/>
          <w:sz w:val="28"/>
          <w:szCs w:val="28"/>
          <w:rtl w:val="true"/>
          <w:lang w:bidi="ar-SA"/>
        </w:rPr>
        <w:t>و دعوىٰ انصراف إطلاق الغسل المسقط إليه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بمسّ الشهيد، وفاقاً للفاضلين و غيرهما </w:t>
      </w:r>
      <w:r>
        <w:rPr>
          <w:rStyle w:val="FootnoteAnchor"/>
          <w:rtl w:val="true"/>
        </w:rPr>
        <w:footnoteReference w:id="1913"/>
      </w:r>
      <w:r>
        <w:rPr>
          <w:rFonts w:ascii="Amiri" w:hAnsi="Amiri" w:eastAsia="Amiri" w:cs="Amiri"/>
          <w:color w:val="111111"/>
          <w:sz w:val="28"/>
          <w:sz w:val="28"/>
          <w:szCs w:val="28"/>
          <w:rtl w:val="true"/>
          <w:lang w:bidi="ar-SA"/>
        </w:rPr>
        <w:t>للأصل، و ظهور مسقطات الغسل عنه، و منجّسات الميّت و طهره بالغسل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ما </w:t>
      </w:r>
      <w:r>
        <w:rPr>
          <w:rStyle w:val="FootnoteAnchor"/>
          <w:rtl w:val="true"/>
        </w:rPr>
        <w:footnoteReference w:id="1914"/>
      </w:r>
      <w:r>
        <w:rPr>
          <w:rFonts w:ascii="Amiri" w:hAnsi="Amiri" w:eastAsia="Amiri" w:cs="Amiri"/>
          <w:color w:val="111111"/>
          <w:sz w:val="28"/>
          <w:sz w:val="28"/>
          <w:szCs w:val="28"/>
          <w:rtl w:val="true"/>
          <w:lang w:bidi="ar-SA"/>
        </w:rPr>
        <w:t>دلّ علىٰ وجوبه بالغسل أو بمسّ من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بعض الأخبار لو سلّم مقيّد بما ذكر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بمسّ الميمّم و لو عن بعض الغسلات؛ لتعلّق السقوط على الغسل و لم يحصل، و ربما قيل به </w:t>
      </w:r>
      <w:r>
        <w:rPr>
          <w:rStyle w:val="FootnoteAnchor"/>
          <w:rtl w:val="true"/>
        </w:rPr>
        <w:footnoteReference w:id="1915"/>
      </w:r>
      <w:r>
        <w:rPr>
          <w:rFonts w:ascii="Amiri" w:hAnsi="Amiri" w:eastAsia="Amiri" w:cs="Amiri"/>
          <w:color w:val="111111"/>
          <w:sz w:val="28"/>
          <w:sz w:val="28"/>
          <w:szCs w:val="28"/>
          <w:rtl w:val="true"/>
          <w:lang w:bidi="ar-SA"/>
        </w:rPr>
        <w:t>للبدليّة و عموم المنزلة المستفاد من بعض الأخبار</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3732357_3804643083"/>
      <w:bookmarkStart w:id="736" w:name="_Toc284"/>
      <w:bookmarkEnd w:id="735"/>
      <w:r>
        <w:rPr>
          <w:rtl w:val="true"/>
        </w:rPr>
        <w:t xml:space="preserve">فصل </w:t>
      </w:r>
      <w:r>
        <w:rPr>
          <w:rtl w:val="true"/>
        </w:rPr>
        <w:t>[</w:t>
      </w:r>
      <w:r>
        <w:rPr>
          <w:rtl w:val="true"/>
        </w:rPr>
        <w:t>نوع نجاسة الميّت</w:t>
      </w:r>
      <w:r>
        <w:rPr>
          <w:rtl w:val="true"/>
        </w:rPr>
        <w:t>]</w:t>
      </w:r>
      <w:bookmarkEnd w:id="736"/>
    </w:p>
    <w:p>
      <w:pPr>
        <w:pStyle w:val="BookText"/>
        <w:rPr/>
      </w:pPr>
      <w:r>
        <w:rPr>
          <w:rFonts w:ascii="Amiri" w:hAnsi="Amiri" w:eastAsia="Amiri" w:cs="Amiri"/>
          <w:color w:val="111111"/>
          <w:sz w:val="28"/>
          <w:sz w:val="28"/>
          <w:szCs w:val="28"/>
          <w:rtl w:val="true"/>
          <w:lang w:bidi="ar-SA"/>
        </w:rPr>
        <w:t>الميّت نجس بالنجاستين العينيّة و الحكميّة، و هما مطلقان علىٰ ما يتعدّىٰ نجاسته مع الرطوبة، و هو مطلق الخبث، و خلافه مع توقّف رفعه على النيّة كبدن الجنب، و علىٰ ما كان عيناً محسوسة قابلة للإزالة، و خلافه مع تنجيسه الملاقي له بالرطوبة، و علىٰ ما كان عيناً غير قابلة للتطهير كالكلب و أخويه، و عيناً قابلة له كبدن الجنب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ثبت بالنصّ و الإجماع وجوب غسله و تنجيسه الملاقي بالرطوبة ثبتت له العينيّة بالمعنى الأوّل، و الحكميّة بالثالث مع اشتراط رفعه بالنيّة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للقوم هنا كلمات غير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الملاقي له إن كان بدن الإنسان، فمع اليبوسة ثبتت له الحكميّة، و مع الرطوبة العينيّة للماس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غيره، فمع الرطوبة يثبت له العينيّة، و مع اليبوسة لا ينجس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وجوب غسل اللامس و الغسل بالمسّ بعد البرد كسقوط الثاني قبله ممّا لا ريب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الأوّل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وجوبه وفاقاً للعماني و الفاضل و جماعة </w:t>
      </w:r>
      <w:r>
        <w:rPr>
          <w:rStyle w:val="FootnoteAnchor"/>
          <w:rtl w:val="true"/>
        </w:rPr>
        <w:footnoteReference w:id="1916"/>
      </w:r>
      <w:r>
        <w:rPr>
          <w:rFonts w:ascii="Amiri" w:hAnsi="Amiri" w:eastAsia="Amiri" w:cs="Amiri"/>
          <w:color w:val="111111"/>
          <w:sz w:val="28"/>
          <w:sz w:val="28"/>
          <w:szCs w:val="28"/>
          <w:rtl w:val="true"/>
          <w:lang w:bidi="ar-SA"/>
        </w:rPr>
        <w:t xml:space="preserve">، و خلافاً للشهيد و بعض الثالثة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التوقيع، و صدق الموت الموجب للنجاسة كما يقتضيه التقييد بالتعدية، و تجويز دفنه بظهور علائم الموت، و هي لا تتوقّف على البرد، و خصوصاً في المطعون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يندفع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الإجماع من الشيخ </w:t>
      </w:r>
      <w:r>
        <w:rPr>
          <w:rStyle w:val="FootnoteAnchor"/>
          <w:rtl w:val="true"/>
        </w:rPr>
        <w:footnoteReference w:id="1918"/>
      </w:r>
      <w:r>
        <w:rPr>
          <w:rFonts w:ascii="Amiri" w:hAnsi="Amiri" w:eastAsia="Amiri" w:cs="Amiri"/>
          <w:color w:val="111111"/>
          <w:sz w:val="28"/>
          <w:sz w:val="28"/>
          <w:szCs w:val="28"/>
          <w:rtl w:val="true"/>
          <w:lang w:bidi="ar-SA"/>
        </w:rPr>
        <w:t>، و لا عبرة به مع مخالفة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القطع بنجاسته قبل البرد، و ردّ باستلزام الموت لها كما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التلازم بين النجاسة و الغسل؛ لأنّه لمس النجس، و دفع بالمنع؛ لتعليق النجاسة على الموت و الغسل على البرد كما يستفاد من النصوص</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 لغسل المسّ تمام الغسل، فلا يسقط بمسّ ما غسل قبله، وفاقاً للأكثر؛ للاستصحاب، و عموم موجباته، خرج ما بعده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للشهيد </w:t>
      </w:r>
      <w:r>
        <w:rPr>
          <w:rStyle w:val="FootnoteAnchor"/>
          <w:rtl w:val="true"/>
        </w:rPr>
        <w:footnoteReference w:id="1919"/>
      </w:r>
      <w:r>
        <w:rPr>
          <w:rFonts w:ascii="Amiri" w:hAnsi="Amiri" w:eastAsia="Amiri" w:cs="Amiri"/>
          <w:color w:val="111111"/>
          <w:sz w:val="28"/>
          <w:sz w:val="28"/>
          <w:szCs w:val="28"/>
          <w:rtl w:val="true"/>
          <w:lang w:bidi="ar-SA"/>
        </w:rPr>
        <w:t>لوجوه لا يخفى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غسل عضو لرفع النجاسة العينيّة عنه يسقط غسله، لا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الحكميّة فلتوقّف رفعها على الغسل بتمامه، فلا يرتفع عنه بمجرّد غسله، فيلزم ما يوجبه من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العظم من قطعة مبانة من حيّ أو ميّت يجب الغسل بمسّه، وفاقاً لظاهر المعظم؛ لصريح الخبر و الرضوي </w:t>
      </w:r>
      <w:r>
        <w:rPr>
          <w:rStyle w:val="FootnoteAnchor"/>
          <w:rtl w:val="true"/>
        </w:rPr>
        <w:footnoteReference w:id="1920"/>
      </w:r>
      <w:r>
        <w:rPr>
          <w:rFonts w:ascii="Amiri" w:hAnsi="Amiri" w:eastAsia="Amiri" w:cs="Amiri"/>
          <w:color w:val="111111"/>
          <w:sz w:val="28"/>
          <w:sz w:val="28"/>
          <w:szCs w:val="28"/>
          <w:rtl w:val="true"/>
          <w:lang w:bidi="ar-SA"/>
        </w:rPr>
        <w:t xml:space="preserve">، و 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استحبابه </w:t>
      </w:r>
      <w:r>
        <w:rPr>
          <w:rStyle w:val="FootnoteAnchor"/>
          <w:rtl w:val="true"/>
        </w:rPr>
        <w:footnoteReference w:id="1922"/>
      </w:r>
      <w:r>
        <w:rPr>
          <w:rFonts w:ascii="Amiri" w:hAnsi="Amiri" w:eastAsia="Amiri" w:cs="Amiri"/>
          <w:color w:val="111111"/>
          <w:sz w:val="28"/>
          <w:sz w:val="28"/>
          <w:szCs w:val="28"/>
          <w:rtl w:val="true"/>
          <w:lang w:bidi="ar-SA"/>
        </w:rPr>
        <w:t>لمستند لا عبرة به، و مقتضى الخبرين عدم وجوبه بمسّ ما لا عظم فيه، و هو موضع الوفاق، و إن وجب غسل ما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وجوبه بمسّ المتّصل من السن و العظم المجرّد؛ لصدق مسّ الميّت، دون المنفصل، وفاقاً للمعظم، و خلافاً للشهيد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و طهارة العظم في نفسه فلا ينجس غيره، و لو فرضت نجاسته فحيثيّة لا توجب الغسل، بل مجرّد غسل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ورد بتغيّر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دوران الغسل معه وجوداً و عدماً، و دفع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بوجوبه لمسّ المتّصل من الشعر و الظفر؛ لصدق مسّ الميّت </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 عدمه؛ لعدمه عرفاً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الماس في الحكم كالممسوس، و المسّ بالسن و العظم المجرّد يوجب الغسل، و بالظفر و الشعر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اشتراط الغسل بحلول الحياة في الماسّ و الممسوس، فمع انتفائها عن الثاني لا يغسل و لا يغسله، و عن الأوّل كذلك مع اليبوسة، و مع الرطوبة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حدث ناقض؛ فلا يصحّ ما يشترط بالوضوء إلّا بغسلة مع الوضوء، وفاقاً لظاهر الأكثر، 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و به أفتى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فيكون واجباً لغيره كسائر الأغسال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 الرضا عليه السّلام </w:t>
      </w:r>
      <w:r>
        <w:rPr>
          <w:rStyle w:val="FootnoteAnchor"/>
          <w:rtl w:val="true"/>
        </w:rPr>
        <w:footnoteReference w:id="1927"/>
      </w:r>
      <w:r>
        <w:rPr>
          <w:rFonts w:ascii="Amiri" w:hAnsi="Amiri" w:eastAsia="Amiri" w:cs="Amiri"/>
          <w:color w:val="111111"/>
          <w:sz w:val="28"/>
          <w:sz w:val="28"/>
          <w:szCs w:val="28"/>
          <w:rtl w:val="true"/>
          <w:lang w:bidi="ar-SA"/>
        </w:rPr>
        <w:t>و وجوب الوضوء معه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ناقضيّته، و القول بوجوبه لنفسه </w:t>
      </w:r>
      <w:r>
        <w:rPr>
          <w:rStyle w:val="FootnoteAnchor"/>
          <w:rtl w:val="true"/>
        </w:rPr>
        <w:footnoteReference w:id="1928"/>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هذا الغسل كسائر الأغسال الواجبة غير الجنابة، فيجب معه الوضوء متقدّماً أو متأخّراً، مع أفضليّة التقديم</w:t>
      </w:r>
      <w:r>
        <w:rPr>
          <w:rFonts w:eastAsia="Amiri" w:cs="Amiri" w:ascii="Amiri" w:hAnsi="Amiri"/>
          <w:color w:val="111111"/>
          <w:sz w:val="28"/>
          <w:szCs w:val="28"/>
          <w:rtl w:val="true"/>
          <w:lang w:bidi="ar-SA"/>
        </w:rPr>
        <w:t>.</w:t>
      </w:r>
      <w:bookmarkStart w:id="737" w:name="pg2479_11849"/>
    </w:p>
    <w:p>
      <w:pPr>
        <w:pStyle w:val="Heading5"/>
        <w:numPr>
          <w:ilvl w:val="4"/>
          <w:numId w:val="1"/>
        </w:numPr>
        <w:rPr/>
      </w:pPr>
      <w:bookmarkStart w:id="738" w:name="__RefHeading___Toc3732359_3804643083"/>
      <w:bookmarkStart w:id="739" w:name="_Toc285"/>
      <w:bookmarkEnd w:id="737"/>
      <w:bookmarkEnd w:id="738"/>
      <w:r>
        <w:rPr>
          <w:rtl w:val="true"/>
        </w:rPr>
        <w:t>بحث غسل الميّت و سائر أحكامه الخاصّة</w:t>
      </w:r>
      <w:bookmarkEnd w:id="739"/>
    </w:p>
    <w:p>
      <w:pPr>
        <w:pStyle w:val="Heading6"/>
        <w:numPr>
          <w:ilvl w:val="5"/>
          <w:numId w:val="1"/>
        </w:numPr>
        <w:rPr/>
      </w:pPr>
      <w:bookmarkStart w:id="740" w:name="__RefHeading___Toc3732361_3804643083"/>
      <w:bookmarkStart w:id="741" w:name="_Toc286"/>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بحث غسل الميّت و سائر أحكامه الخاصّة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يستحبّ عيادة المريض، بالضرورة الدينيّة، و النصوص المستفيضة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يهدى له هديّة، من تفّاحة أو أُترجة و نحو ذلك؛ للخبر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يدعو له العائد، و يلتمس منه الدعاء؛ لاستجابة دعوته، كما في النصوص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يخفّف الجلوس عنده؛ للنبويّ و العلويّ و غيرهما </w:t>
      </w:r>
      <w:r>
        <w:rPr>
          <w:rStyle w:val="FootnoteAnchor"/>
          <w:rtl w:val="true"/>
        </w:rPr>
        <w:footnoteReference w:id="1933"/>
      </w:r>
      <w:r>
        <w:rPr>
          <w:rFonts w:ascii="Amiri" w:hAnsi="Amiri" w:eastAsia="Amiri" w:cs="Amiri"/>
          <w:color w:val="111111"/>
          <w:sz w:val="28"/>
          <w:sz w:val="28"/>
          <w:szCs w:val="28"/>
          <w:rtl w:val="true"/>
          <w:lang w:bidi="ar-SA"/>
        </w:rPr>
        <w:t>إلّا أن يحبّ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طال مرضه تُرك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 أن يأذن للمؤمنين في الدخول عليه، و يستشفي ببركاتهم و دعواتهم و أسآرهم، و بالقرآن و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يترك الشكاية و يتلقّى بلواه بصبر جميل، و أن يقرّ عندهم بالعقائد الدينيّة، و يشهدهم عليه، كما في النبويّ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الوصيّة، و تجب في الحق الواجب عليه من أسرار العباد،</w:t>
      </w:r>
      <w:bookmarkStart w:id="742" w:name="pg2479_11851"/>
    </w:p>
    <w:p>
      <w:pPr>
        <w:pStyle w:val="BookText"/>
        <w:rPr/>
      </w:pPr>
      <w:bookmarkEnd w:id="742"/>
      <w:r>
        <w:rPr>
          <w:rFonts w:ascii="Amiri" w:hAnsi="Amiri" w:eastAsia="Amiri" w:cs="Amiri"/>
          <w:color w:val="111111"/>
          <w:sz w:val="28"/>
          <w:sz w:val="28"/>
          <w:szCs w:val="28"/>
          <w:rtl w:val="true"/>
          <w:lang w:bidi="ar-SA"/>
        </w:rPr>
        <w:t xml:space="preserve">بالنصّ </w:t>
      </w:r>
      <w:r>
        <w:rPr>
          <w:rStyle w:val="FootnoteAnchor"/>
          <w:rtl w:val="true"/>
        </w:rPr>
        <w:footnoteReference w:id="1935"/>
      </w:r>
      <w:r>
        <w:rPr>
          <w:rFonts w:ascii="Amiri" w:hAnsi="Amiri" w:eastAsia="Amiri" w:cs="Amiri"/>
          <w:color w:val="111111"/>
          <w:sz w:val="28"/>
          <w:sz w:val="28"/>
          <w:szCs w:val="28"/>
          <w:rtl w:val="true"/>
          <w:lang w:bidi="ar-SA"/>
        </w:rPr>
        <w:t>و الإجماع و وجوب دفع الضرر بشرط تعلّقه بالمال أو به و بالبدن، و لو تعلّق بالبدن خاصّة فقيل بوجوبه؛ لعموم النص و وجوب دفع الضرر، و 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له الوصاية بالولاية لثقة أمين على أمواله و أطفاله و تفويض أمره و أُمورهم إليه، ليقضي عنه الحقوق و الديون و يحفظ أموالهم من التضييع و التلف </w:t>
      </w:r>
      <w:r>
        <w:rPr>
          <w:rStyle w:val="FootnoteAnchor"/>
          <w:rtl w:val="true"/>
        </w:rPr>
        <w:footnoteReference w:id="1936"/>
      </w:r>
      <w:r>
        <w:rPr>
          <w:rFonts w:ascii="Amiri" w:hAnsi="Amiri" w:eastAsia="Amiri" w:cs="Amiri"/>
          <w:color w:val="111111"/>
          <w:sz w:val="28"/>
          <w:sz w:val="28"/>
          <w:szCs w:val="28"/>
          <w:rtl w:val="true"/>
          <w:lang w:bidi="ar-SA"/>
        </w:rPr>
        <w:t>، تأسّياً بالنبي صلّى اللّٰه عليه و سلّم، و الأئمّة عليهم السّلام و من بعدهم من سلفنا الأخيار و كبراء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أحكام الأموات خمسة</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3732363_3804643083"/>
      <w:bookmarkStart w:id="744" w:name="_Toc287"/>
      <w:bookmarkEnd w:id="743"/>
      <w:r>
        <w:rPr>
          <w:rtl w:val="true"/>
        </w:rPr>
        <w:t>الأوّل</w:t>
      </w:r>
      <w:r>
        <w:rPr>
          <w:rtl w:val="true"/>
        </w:rPr>
        <w:t xml:space="preserve">: </w:t>
      </w:r>
      <w:r>
        <w:rPr>
          <w:rtl w:val="true"/>
        </w:rPr>
        <w:t>الاحتضار</w:t>
      </w:r>
      <w:bookmarkEnd w:id="744"/>
    </w:p>
    <w:p>
      <w:pPr>
        <w:pStyle w:val="Heading6"/>
        <w:numPr>
          <w:ilvl w:val="5"/>
          <w:numId w:val="1"/>
        </w:numPr>
        <w:rPr/>
      </w:pPr>
      <w:bookmarkStart w:id="745" w:name="__RefHeading___Toc3732365_3804643083"/>
      <w:bookmarkStart w:id="746" w:name="_Toc288"/>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و الحقّ المشهور وجوب توجيه المحتضر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 xml:space="preserve">استحبابه، و عليه بعض الثالثة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المستفيضة </w:t>
      </w:r>
      <w:r>
        <w:rPr>
          <w:rStyle w:val="FootnoteAnchor"/>
          <w:rtl w:val="true"/>
        </w:rPr>
        <w:footnoteReference w:id="1939"/>
      </w:r>
      <w:r>
        <w:rPr>
          <w:rFonts w:ascii="Amiri" w:hAnsi="Amiri" w:eastAsia="Amiri" w:cs="Amiri"/>
          <w:color w:val="111111"/>
          <w:sz w:val="28"/>
          <w:sz w:val="28"/>
          <w:szCs w:val="28"/>
          <w:rtl w:val="true"/>
          <w:lang w:bidi="ar-SA"/>
        </w:rPr>
        <w:t>، و شيوعه بين الصحابة و التابعين و من لحقهم من سلفنا الصالحين، و هو آية الوجوب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انتهاضها حجّة للوجوب، فيستحبّ؛ لحسنه في مواطن</w:t>
      </w:r>
      <w:bookmarkStart w:id="747" w:name="pg2479_11853"/>
    </w:p>
    <w:p>
      <w:pPr>
        <w:pStyle w:val="BookText"/>
        <w:rPr/>
      </w:pPr>
      <w:bookmarkEnd w:id="747"/>
      <w:r>
        <w:rPr>
          <w:rFonts w:ascii="IRNazanin" w:hAnsi="IRNazanin" w:eastAsia="IRNazanin"/>
          <w:color w:val="111111"/>
          <w:sz w:val="28"/>
          <w:sz w:val="28"/>
          <w:szCs w:val="28"/>
          <w:rtl w:val="true"/>
          <w:lang w:bidi="fa-IR"/>
        </w:rPr>
        <w:t>الدعاء و الاسترحام، و 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المتيقّن ثبوته من المستفيضة وجوبه عند الاحتضار إلى النقل من موضعه، فلا يجب بعده، و لو حال إمكانه إلّا فيما ثبت بنصّ آخر، كحال الغسل و الصلاة 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ثبوت استحبابه عند وضعه قرب المغتسل و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هذا الحكم بين الكبير و الصغير؛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اختصاصه بمن يعتقد وجوبه، فلا ينسحب إلى غيره ممّن يحكم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الوجوب بوليّه، بل يعمّ كلّ من علم باحتضاره و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بفعل البعض عن الباقين؛ لكون أحكامه كفائيّة موجبة لمخاطبة الكلّ و سقوطها بفعل البعض، بالإجماعين و عموم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يخصّص الولي في البعض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سقوطها عمّن علم بالموت يتوقّف علىٰ علمه بقيام الغير، و لا يكفي الظن به، وفاقاً لجماعة، و خلافاً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التكليف، و عدم دليل علىٰ سقوطه بالظن، و اعتباره في بعض الموارد لا يثبت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حصول العلم غالباً، و هو تشكيك في مقابلة الضرورة</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3732367_3804643083"/>
      <w:bookmarkStart w:id="749" w:name="_Toc289"/>
      <w:bookmarkEnd w:id="748"/>
      <w:r>
        <w:rPr>
          <w:rtl w:val="true"/>
        </w:rPr>
        <w:t>و يستحبّ</w:t>
      </w:r>
      <w:r>
        <w:rPr>
          <w:rtl w:val="true"/>
        </w:rPr>
        <w:t>:</w:t>
      </w:r>
      <w:bookmarkEnd w:id="74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تلقينه الشهادتين و الإقرار بالأئمّة عليهم السّلام و كلمات الفرج، بالإجماع و المستفيضة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ليجعل خاتمته كلمة التوحيد؛ للنبوي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اعتقل لسانه اقتصر على العقد بالقلب؛ ليدفع ما يلقي الشيطان في 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تغميض عينيه؛ للموثّق و الخبر </w:t>
      </w:r>
      <w:r>
        <w:rPr>
          <w:rStyle w:val="FootnoteAnchor"/>
          <w:rtl w:val="true"/>
        </w:rPr>
        <w:footnoteReference w:id="1942"/>
      </w:r>
      <w:r>
        <w:rPr>
          <w:rFonts w:ascii="Amiri" w:hAnsi="Amiri" w:eastAsia="Amiri" w:cs="Amiri"/>
          <w:color w:val="111111"/>
          <w:sz w:val="28"/>
          <w:sz w:val="28"/>
          <w:szCs w:val="28"/>
          <w:rtl w:val="true"/>
          <w:lang w:bidi="ar-SA"/>
        </w:rPr>
        <w:t>، و لئلّا يقبح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تطبيق فيه؛ لنقل الإجماع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شدّ لحييه؛ للموثق </w:t>
      </w:r>
      <w:r>
        <w:rPr>
          <w:rStyle w:val="FootnoteAnchor"/>
          <w:rtl w:val="true"/>
        </w:rPr>
        <w:footnoteReference w:id="1944"/>
      </w:r>
      <w:r>
        <w:rPr>
          <w:rFonts w:ascii="Amiri" w:hAnsi="Amiri" w:eastAsia="Amiri" w:cs="Amiri"/>
          <w:color w:val="111111"/>
          <w:sz w:val="28"/>
          <w:sz w:val="28"/>
          <w:szCs w:val="28"/>
          <w:rtl w:val="true"/>
          <w:lang w:bidi="ar-SA"/>
        </w:rPr>
        <w:t>، و لئلّا يسترخي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يديه إلى جنبيه، و ساقيه؛ ليكون أطوع للغسل و الدرج في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تغطيته بثوبه؛ لنقل الإجماع </w:t>
      </w:r>
      <w:r>
        <w:rPr>
          <w:rStyle w:val="FootnoteAnchor"/>
          <w:rtl w:val="true"/>
        </w:rPr>
        <w:footnoteReference w:id="1945"/>
      </w:r>
      <w:r>
        <w:rPr>
          <w:rFonts w:ascii="Amiri" w:hAnsi="Amiri" w:eastAsia="Amiri" w:cs="Amiri"/>
          <w:color w:val="111111"/>
          <w:sz w:val="28"/>
          <w:sz w:val="28"/>
          <w:szCs w:val="28"/>
          <w:rtl w:val="true"/>
          <w:lang w:bidi="ar-SA"/>
        </w:rPr>
        <w:t>، و لما فيه من الستر و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إلى مصلّاه مع تعسّر النزع؛ للمستفيضة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قراءة القرآن عنده؛ للرضوي </w:t>
      </w:r>
      <w:r>
        <w:rPr>
          <w:rStyle w:val="FootnoteAnchor"/>
          <w:rtl w:val="true"/>
        </w:rPr>
        <w:footnoteReference w:id="1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الصافّات؛ للخبر </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 للنبويّ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أمره بحسن الظن؛ للنصوص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الإسراج عنده إن مات ليلًا؛ لظاهر الخبر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bookmarkStart w:id="750" w:name="pg2479_11857"/>
    </w:p>
    <w:p>
      <w:pPr>
        <w:pStyle w:val="BookText"/>
        <w:rPr/>
      </w:pPr>
      <w:bookmarkEnd w:id="750"/>
      <w:r>
        <w:rPr>
          <w:rFonts w:ascii="Amiri" w:hAnsi="Amiri" w:eastAsia="Amiri" w:cs="Amiri"/>
          <w:color w:val="111111"/>
          <w:sz w:val="28"/>
          <w:sz w:val="28"/>
          <w:szCs w:val="28"/>
          <w:rtl w:val="true"/>
          <w:lang w:bidi="ar-SA"/>
        </w:rPr>
        <w:t xml:space="preserve">و تعجيل تجهيزه؛ للإجماع و المستفيضة </w:t>
      </w:r>
      <w:r>
        <w:rPr>
          <w:rStyle w:val="FootnoteAnchor"/>
          <w:rtl w:val="true"/>
        </w:rPr>
        <w:footnoteReference w:id="1952"/>
      </w:r>
      <w:r>
        <w:rPr>
          <w:rFonts w:ascii="Amiri" w:hAnsi="Amiri" w:eastAsia="Amiri" w:cs="Amiri"/>
          <w:color w:val="111111"/>
          <w:sz w:val="28"/>
          <w:sz w:val="28"/>
          <w:szCs w:val="28"/>
          <w:rtl w:val="true"/>
          <w:lang w:bidi="ar-SA"/>
        </w:rPr>
        <w:t>، إلّا مع اشتباه الموت فيقتصر إلى القطع به بظهور علائمه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الاشتباه متكثّرة معروفة، و علائمه متعدّدة مشهورة،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يومين أو ثلاثة، كما في الأخبار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المصلوب لا يترك على خشبته أكثر من ثلاثة؛ للإجماع و الخبر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3732369_3804643083"/>
      <w:bookmarkStart w:id="752" w:name="_Toc290"/>
      <w:bookmarkEnd w:id="751"/>
      <w:r>
        <w:rPr>
          <w:rtl w:val="true"/>
        </w:rPr>
        <w:t>و يكره</w:t>
      </w:r>
      <w:r>
        <w:rPr>
          <w:rtl w:val="true"/>
        </w:rPr>
        <w:t>:</w:t>
      </w:r>
      <w:bookmarkEnd w:id="752"/>
    </w:p>
    <w:p>
      <w:pPr>
        <w:pStyle w:val="BookText"/>
        <w:rPr/>
      </w:pPr>
      <w:r>
        <w:rPr>
          <w:rFonts w:ascii="Amiri" w:hAnsi="Amiri" w:eastAsia="Amiri" w:cs="Amiri"/>
          <w:color w:val="111111"/>
          <w:sz w:val="28"/>
          <w:sz w:val="28"/>
          <w:szCs w:val="28"/>
          <w:rtl w:val="true"/>
          <w:lang w:bidi="ar-SA"/>
        </w:rPr>
        <w:t xml:space="preserve">أن يطرح حديد على بطنه؛ لنقل الإجماع </w:t>
      </w:r>
      <w:r>
        <w:rPr>
          <w:rStyle w:val="FootnoteAnchor"/>
          <w:rtl w:val="true"/>
        </w:rPr>
        <w:footnoteReference w:id="1955"/>
      </w:r>
      <w:r>
        <w:rPr>
          <w:rFonts w:ascii="Amiri" w:hAnsi="Amiri" w:eastAsia="Amiri" w:cs="Amiri"/>
          <w:color w:val="111111"/>
          <w:sz w:val="28"/>
          <w:sz w:val="28"/>
          <w:szCs w:val="28"/>
          <w:rtl w:val="true"/>
          <w:lang w:bidi="ar-SA"/>
        </w:rPr>
        <w:t>، 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مذاكرة عن الشيوخ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يحضره الجنب و الحائض؛ لنقل الإجماع </w:t>
      </w:r>
      <w:r>
        <w:rPr>
          <w:rStyle w:val="FootnoteAnchor"/>
          <w:rtl w:val="true"/>
        </w:rPr>
        <w:footnoteReference w:id="1957"/>
      </w:r>
      <w:r>
        <w:rPr>
          <w:rFonts w:ascii="Amiri" w:hAnsi="Amiri" w:eastAsia="Amiri" w:cs="Amiri"/>
          <w:color w:val="111111"/>
          <w:sz w:val="28"/>
          <w:sz w:val="28"/>
          <w:szCs w:val="28"/>
          <w:rtl w:val="true"/>
          <w:lang w:bidi="ar-SA"/>
        </w:rPr>
        <w:t xml:space="preserve">و المستفيضة </w:t>
      </w:r>
      <w:r>
        <w:rPr>
          <w:rStyle w:val="FootnoteAnchor"/>
          <w:rtl w:val="true"/>
        </w:rPr>
        <w:footnoteReference w:id="1958"/>
      </w:r>
      <w:r>
        <w:rPr>
          <w:rFonts w:ascii="Amiri" w:hAnsi="Amiri" w:eastAsia="Amiri" w:cs="Amiri"/>
          <w:color w:val="111111"/>
          <w:sz w:val="28"/>
          <w:sz w:val="28"/>
          <w:szCs w:val="28"/>
          <w:rtl w:val="true"/>
          <w:lang w:bidi="ar-SA"/>
        </w:rPr>
        <w:t>، و لا كراهة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زوالها بالتيمّم مع تعذّر الغسل بشرط الانقطاع فيها؛ لإباحته الأقوىٰ و 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يترك وحده؛ للأخبار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يظهر الجزع عليه؛ لأنّه إعانة علىٰ موته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الموت ينبغي إعلام الناس به؛ ليشهدوا جنازته، كما في النصوص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bookmarkStart w:id="753" w:name="pg2479_11859"/>
    </w:p>
    <w:p>
      <w:pPr>
        <w:pStyle w:val="Heading6"/>
        <w:numPr>
          <w:ilvl w:val="5"/>
          <w:numId w:val="1"/>
        </w:numPr>
        <w:rPr/>
      </w:pPr>
      <w:bookmarkStart w:id="754" w:name="__RefHeading___Toc3732371_3804643083"/>
      <w:bookmarkStart w:id="755" w:name="_Toc291"/>
      <w:bookmarkEnd w:id="753"/>
      <w:bookmarkEnd w:id="754"/>
      <w:r>
        <w:rPr>
          <w:rtl w:val="true"/>
        </w:rPr>
        <w:t>الثاني</w:t>
      </w:r>
      <w:r>
        <w:rPr>
          <w:rtl w:val="true"/>
        </w:rPr>
        <w:t xml:space="preserve">: </w:t>
      </w:r>
      <w:r>
        <w:rPr>
          <w:rtl w:val="true"/>
        </w:rPr>
        <w:t>التغسيل</w:t>
      </w:r>
      <w:bookmarkEnd w:id="755"/>
    </w:p>
    <w:p>
      <w:pPr>
        <w:pStyle w:val="Heading6"/>
        <w:numPr>
          <w:ilvl w:val="5"/>
          <w:numId w:val="1"/>
        </w:numPr>
        <w:rPr/>
      </w:pPr>
      <w:bookmarkStart w:id="756" w:name="__RefHeading___Toc3732373_3804643083"/>
      <w:bookmarkStart w:id="757" w:name="_Toc292"/>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و هو كسائر أحكامه فرض كفاية، بالإجماع و الظواهر، و إن كان الأولى به أولى؛ للإجماع، و عموم الآية </w:t>
      </w:r>
      <w:r>
        <w:rPr>
          <w:rStyle w:val="FootnoteAnchor"/>
          <w:rtl w:val="true"/>
        </w:rPr>
        <w:footnoteReference w:id="1961"/>
      </w:r>
      <w:r>
        <w:rPr>
          <w:rFonts w:ascii="Amiri" w:hAnsi="Amiri" w:eastAsia="Amiri" w:cs="Amiri"/>
          <w:color w:val="111111"/>
          <w:sz w:val="28"/>
          <w:sz w:val="28"/>
          <w:szCs w:val="28"/>
          <w:rtl w:val="true"/>
          <w:lang w:bidi="ar-SA"/>
        </w:rPr>
        <w:t xml:space="preserve">، و خصوص المستفيضة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الأولويّة بمعنى أفضليّة التقديم، أو وجوبه بمعنى التأثيم بتركه، و إن صحّت العبادة و سقطت عن الولي لخروجه عن حقيقتها، فلا ينافي الكفائيّة، و حمله على تحريمها بتركه الموجب لفسادها المقتضي لعدم سقوطها عن الولي بفعل الغير ينفيها و يثبت العينيّة، فيلزم عدم سقوطها عنه به و لو بإذنه؛ إذ العيني لا يسقط بفعل الغير مطلقاً، و هو خلاف الإجماع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بأولى الناس به أولاهم بميراثه، وفاقاً للمشهور؛ لنقل الإجماع </w:t>
      </w:r>
      <w:r>
        <w:rPr>
          <w:rStyle w:val="FootnoteAnchor"/>
          <w:rtl w:val="true"/>
        </w:rPr>
        <w:footnoteReference w:id="1963"/>
      </w:r>
      <w:r>
        <w:rPr>
          <w:rFonts w:ascii="Amiri" w:hAnsi="Amiri" w:eastAsia="Amiri" w:cs="Amiri"/>
          <w:color w:val="111111"/>
          <w:sz w:val="28"/>
          <w:sz w:val="28"/>
          <w:szCs w:val="28"/>
          <w:rtl w:val="true"/>
          <w:lang w:bidi="ar-SA"/>
        </w:rPr>
        <w:t xml:space="preserve">، و كونه لغة بمعنى المتصرّف في الأمر، كما في خبر الغدير </w:t>
      </w:r>
      <w:r>
        <w:rPr>
          <w:rStyle w:val="FootnoteAnchor"/>
          <w:rtl w:val="true"/>
        </w:rPr>
        <w:footnoteReference w:id="1964"/>
      </w:r>
      <w:r>
        <w:rPr>
          <w:rFonts w:ascii="Amiri" w:hAnsi="Amiri" w:eastAsia="Amiri" w:cs="Amiri"/>
          <w:color w:val="111111"/>
          <w:sz w:val="28"/>
          <w:sz w:val="28"/>
          <w:szCs w:val="28"/>
          <w:rtl w:val="true"/>
          <w:lang w:bidi="ar-SA"/>
        </w:rPr>
        <w:t xml:space="preserve">، لا أشدّهم به علاقة كما توهّم </w:t>
      </w:r>
      <w:r>
        <w:rPr>
          <w:rStyle w:val="FootnoteAnchor"/>
          <w:rtl w:val="true"/>
        </w:rPr>
        <w:footnoteReference w:id="1965"/>
      </w:r>
      <w:r>
        <w:rPr>
          <w:rFonts w:ascii="Amiri" w:hAnsi="Amiri" w:eastAsia="Amiri" w:cs="Amiri"/>
          <w:color w:val="111111"/>
          <w:sz w:val="28"/>
          <w:sz w:val="28"/>
          <w:szCs w:val="28"/>
          <w:rtl w:val="true"/>
          <w:lang w:bidi="ar-SA"/>
        </w:rPr>
        <w:t xml:space="preserve">إذ الشرع يأباه، و اللغة </w:t>
      </w:r>
      <w:r>
        <w:rPr>
          <w:rStyle w:val="FootnoteAnchor"/>
          <w:rtl w:val="true"/>
        </w:rPr>
        <w:footnoteReference w:id="1966"/>
      </w:r>
      <w:r>
        <w:rPr>
          <w:rFonts w:ascii="Amiri" w:hAnsi="Amiri" w:eastAsia="Amiri" w:cs="Amiri"/>
          <w:color w:val="111111"/>
          <w:sz w:val="28"/>
          <w:sz w:val="28"/>
          <w:szCs w:val="28"/>
          <w:rtl w:val="true"/>
          <w:lang w:bidi="ar-SA"/>
        </w:rPr>
        <w:t>لا تساعده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تبادره منه عرفاً ممنوعة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هنا بمعنى الولي للطفل و البكر و الميّت في قضاء عبادته، و ما هو إلّا المتصرّف في أمرهم، الراجع إلى الأولى بميراثهم، كما دلّ عليه الصحيح و المرسل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بالأولويّة في الميراث أكثريّة النصيب، بل التقدّم في المرتبة، و مع التساوي فيها، فالذكر أولى من الأُنثى، و الأب من الابن، و هو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تفويض الأولى إلى غيره إلّا تفويض </w:t>
      </w:r>
      <w:r>
        <w:rPr>
          <w:rStyle w:val="FootnoteAnchor"/>
          <w:rtl w:val="true"/>
        </w:rPr>
        <w:footnoteReference w:id="1968"/>
      </w:r>
      <w:r>
        <w:rPr>
          <w:rFonts w:ascii="Amiri" w:hAnsi="Amiri" w:eastAsia="Amiri" w:cs="Amiri"/>
          <w:color w:val="111111"/>
          <w:sz w:val="28"/>
          <w:sz w:val="28"/>
          <w:szCs w:val="28"/>
          <w:rtl w:val="true"/>
          <w:lang w:bidi="ar-SA"/>
        </w:rPr>
        <w:t>كلّ من الرجل و المرأة إلى الآخر في غير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ينتفي الأولويّة بوجود مانع التوريث، كالقتل و الرقّية؛ لتابعيّتها له، 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تعدّد الأولياء، فالرجل أولى من المرأة في الرجل إجماعاً، و في المرأة على المشهور؛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 المباشرة لانتفاء المماثلة لا يسقط الولاية؛ لجواز إذنه للمماثل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بأولويّتها </w:t>
      </w:r>
      <w:r>
        <w:rPr>
          <w:rStyle w:val="FootnoteAnchor"/>
          <w:rtl w:val="true"/>
        </w:rPr>
        <w:footnoteReference w:id="1969"/>
      </w:r>
      <w:r>
        <w:rPr>
          <w:rFonts w:ascii="IRNazanin" w:hAnsi="IRNazanin" w:eastAsia="IRNazanin"/>
          <w:color w:val="111111"/>
          <w:sz w:val="28"/>
          <w:sz w:val="28"/>
          <w:szCs w:val="28"/>
          <w:rtl w:val="true"/>
          <w:lang w:bidi="fa-IR"/>
        </w:rPr>
        <w:t>للأصل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الكلّ نظر، إلّا أنّ ثبوت جواز الإذن للغير هنا مع ما ثبت في الموارد المختلفة من أولويّة الرجل من المرأة في التصرّف يقوّي الظنّ 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فقد الولي أو آبائه عن الإذن، فليأذن الإمام أو نائبه أو المسلمون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الزوج أولى بزوجته في أحكامها من كلّ قريب؛ للإجماع و الموثّق و الخبرين </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أولويّة الأخ منه </w:t>
      </w:r>
      <w:r>
        <w:rPr>
          <w:rStyle w:val="FootnoteAnchor"/>
          <w:rtl w:val="true"/>
        </w:rPr>
        <w:footnoteReference w:id="1971"/>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bookmarkStart w:id="758" w:name="pg2479_11863"/>
    </w:p>
    <w:p>
      <w:pPr>
        <w:pStyle w:val="Heading6"/>
        <w:numPr>
          <w:ilvl w:val="5"/>
          <w:numId w:val="1"/>
        </w:numPr>
        <w:rPr/>
      </w:pPr>
      <w:bookmarkStart w:id="759" w:name="__RefHeading___Toc3732375_3804643083"/>
      <w:bookmarkStart w:id="760" w:name="_Toc293"/>
      <w:bookmarkEnd w:id="758"/>
      <w:bookmarkEnd w:id="759"/>
      <w:r>
        <w:rPr>
          <w:rtl w:val="true"/>
        </w:rPr>
        <w:t xml:space="preserve">فصل </w:t>
      </w:r>
      <w:r>
        <w:rPr>
          <w:rtl w:val="true"/>
        </w:rPr>
        <w:t>[</w:t>
      </w:r>
      <w:r>
        <w:rPr>
          <w:rtl w:val="true"/>
        </w:rPr>
        <w:t>المماثلة بين الغاسل و الميّت</w:t>
      </w:r>
      <w:r>
        <w:rPr>
          <w:rtl w:val="true"/>
        </w:rPr>
        <w:t>]</w:t>
      </w:r>
      <w:bookmarkEnd w:id="760"/>
    </w:p>
    <w:p>
      <w:pPr>
        <w:pStyle w:val="Heading6"/>
        <w:numPr>
          <w:ilvl w:val="5"/>
          <w:numId w:val="1"/>
        </w:numPr>
        <w:rPr/>
      </w:pPr>
      <w:bookmarkStart w:id="761" w:name="__RefHeading___Toc3732377_3804643083"/>
      <w:bookmarkStart w:id="762" w:name="_Toc294"/>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لا خلاف في وجوب المماثلة بين الغاسل و الميّت، و لزوم تولية الغير مع فقدها من دون سقوط الولاية؛ إلّا في مواضع</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3732379_3804643083"/>
      <w:bookmarkStart w:id="764" w:name="_Toc295"/>
      <w:bookmarkEnd w:id="763"/>
      <w:r>
        <w:rPr>
          <w:rtl w:val="true"/>
        </w:rPr>
        <w:t>الأوّل</w:t>
      </w:r>
      <w:r>
        <w:rPr>
          <w:rtl w:val="true"/>
        </w:rPr>
        <w:t xml:space="preserve">: </w:t>
      </w:r>
      <w:r>
        <w:rPr>
          <w:rtl w:val="true"/>
        </w:rPr>
        <w:t>تغسيل كلّ من الزوجين صاحبه</w:t>
      </w:r>
      <w:r>
        <w:rPr>
          <w:rtl w:val="true"/>
        </w:rPr>
        <w:t>.</w:t>
      </w:r>
      <w:bookmarkEnd w:id="764"/>
    </w:p>
    <w:p>
      <w:pPr>
        <w:pStyle w:val="BookText"/>
        <w:rPr/>
      </w:pPr>
      <w:r>
        <w:rPr>
          <w:rFonts w:ascii="Amiri" w:hAnsi="Amiri" w:eastAsia="Amiri" w:cs="Amiri"/>
          <w:color w:val="111111"/>
          <w:sz w:val="28"/>
          <w:sz w:val="28"/>
          <w:szCs w:val="28"/>
          <w:rtl w:val="true"/>
          <w:lang w:bidi="ar-SA"/>
        </w:rPr>
        <w:t xml:space="preserve">و الحقّ جوازه مع استحباب كونه من وراء الثياب، وفاقاً لجماعة </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وجوبه كآخرين </w:t>
      </w:r>
      <w:r>
        <w:rPr>
          <w:rStyle w:val="FootnoteAnchor"/>
          <w:rtl w:val="true"/>
        </w:rPr>
        <w:footnoteReference w:id="1973"/>
      </w:r>
      <w:r>
        <w:rPr>
          <w:rFonts w:ascii="Amiri" w:hAnsi="Amiri" w:eastAsia="Amiri" w:cs="Amiri"/>
          <w:color w:val="111111"/>
          <w:sz w:val="28"/>
          <w:sz w:val="28"/>
          <w:szCs w:val="28"/>
          <w:rtl w:val="true"/>
          <w:lang w:bidi="ar-SA"/>
        </w:rPr>
        <w:t xml:space="preserve">، و لا عدم جوازه إلّا مع الضرورة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المعتبرة </w:t>
      </w:r>
      <w:r>
        <w:rPr>
          <w:rStyle w:val="FootnoteAnchor"/>
          <w:rtl w:val="true"/>
        </w:rPr>
        <w:footnoteReference w:id="1975"/>
      </w:r>
      <w:r>
        <w:rPr>
          <w:rFonts w:ascii="Amiri" w:hAnsi="Amiri" w:eastAsia="Amiri" w:cs="Amiri"/>
          <w:color w:val="111111"/>
          <w:sz w:val="28"/>
          <w:sz w:val="28"/>
          <w:szCs w:val="28"/>
          <w:rtl w:val="true"/>
          <w:lang w:bidi="ar-SA"/>
        </w:rPr>
        <w:t xml:space="preserve">، و استصحاب جواز النظر، و اشتهاره في الصدر الأوّل من غير نكير، كما يظهر من تغسيل علي فاطمة عليهما السّلام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جواز تغسيل الزوجة زوجها دون العكس مطلقاً، كأحد الصحيحين </w:t>
      </w:r>
      <w:r>
        <w:rPr>
          <w:rStyle w:val="FootnoteAnchor"/>
          <w:rtl w:val="true"/>
        </w:rPr>
        <w:footnoteReference w:id="1977"/>
      </w:r>
      <w:r>
        <w:rPr>
          <w:rFonts w:ascii="Amiri" w:hAnsi="Amiri" w:eastAsia="Amiri" w:cs="Amiri"/>
          <w:color w:val="111111"/>
          <w:sz w:val="28"/>
          <w:sz w:val="28"/>
          <w:szCs w:val="28"/>
          <w:rtl w:val="true"/>
          <w:lang w:bidi="ar-SA"/>
        </w:rPr>
        <w:t xml:space="preserve">، أو بدون الساتر كآخر </w:t>
      </w:r>
      <w:r>
        <w:rPr>
          <w:rStyle w:val="FootnoteAnchor"/>
          <w:rtl w:val="true"/>
        </w:rPr>
        <w:footnoteReference w:id="1978"/>
      </w:r>
      <w:r>
        <w:rPr>
          <w:rFonts w:ascii="Amiri" w:hAnsi="Amiri" w:eastAsia="Amiri" w:cs="Amiri"/>
          <w:color w:val="111111"/>
          <w:sz w:val="28"/>
          <w:sz w:val="28"/>
          <w:szCs w:val="28"/>
          <w:rtl w:val="true"/>
          <w:lang w:bidi="ar-SA"/>
        </w:rPr>
        <w:t>، محمول على التقيّة، أو تأكّد الاستحباب، بعد حمل الأوّل على الثاني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الصحاح </w:t>
      </w:r>
      <w:r>
        <w:rPr>
          <w:rStyle w:val="FootnoteAnchor"/>
          <w:rtl w:val="true"/>
        </w:rPr>
        <w:footnoteReference w:id="1979"/>
      </w:r>
      <w:r>
        <w:rPr>
          <w:rFonts w:ascii="Amiri" w:hAnsi="Amiri" w:eastAsia="Amiri" w:cs="Amiri"/>
          <w:color w:val="111111"/>
          <w:sz w:val="28"/>
          <w:sz w:val="28"/>
          <w:szCs w:val="28"/>
          <w:rtl w:val="true"/>
          <w:lang w:bidi="ar-SA"/>
        </w:rPr>
        <w:t>بثبوته في تغسيل الزوج زوجته، مع ما يأتي من ثبوته في مطلق التغسيل، و الجمع بينهما و بين ما مرّ من المعتبرة إمّا بإبقائه</w:t>
      </w:r>
    </w:p>
    <w:p>
      <w:pPr>
        <w:pStyle w:val="BookText"/>
        <w:rPr/>
      </w:pPr>
      <w:r>
        <w:rPr>
          <w:rFonts w:ascii="Amiri" w:hAnsi="Amiri" w:eastAsia="Amiri" w:cs="Amiri"/>
          <w:color w:val="111111"/>
          <w:sz w:val="28"/>
          <w:sz w:val="28"/>
          <w:szCs w:val="28"/>
          <w:rtl w:val="true"/>
          <w:lang w:bidi="ar-SA"/>
        </w:rPr>
        <w:t>على الإطلاق و حملها على الندب، أو بحمله عليها و القول بالوجوب، و الأوّل أولىٰ؛ لعدم معقوليّته مع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مستند الموجب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التغسيل في بعضها بالضرورة، و أُجيب بالحمل على الندب أو التقيّة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تعليل تغسيل عليّ فاطمة سلام اللّٰه عليهما بكونها صدّيقة لا يغسّلها إلّا صدّيق، أو بكونها زوجته في الدنيا و الآخرة </w:t>
      </w:r>
      <w:r>
        <w:rPr>
          <w:rStyle w:val="FootnoteAnchor"/>
          <w:rtl w:val="true"/>
        </w:rPr>
        <w:footnoteReference w:id="1980"/>
      </w:r>
      <w:r>
        <w:rPr>
          <w:rFonts w:ascii="Amiri" w:hAnsi="Amiri" w:eastAsia="Amiri" w:cs="Amiri"/>
          <w:color w:val="111111"/>
          <w:sz w:val="28"/>
          <w:sz w:val="28"/>
          <w:szCs w:val="28"/>
          <w:rtl w:val="true"/>
          <w:lang w:bidi="ar-SA"/>
        </w:rPr>
        <w:t>لا ينافي المختار، مع أنّ حمله على التقيّة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مسّ كلّ منهما صاحبه، و لو عند المخالف؛ لجواز النظر، و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الزوجة بين الدائمة و المنقطعة، و الحرّة و الأمة، و المدخول بها و غيرها؛ لإطلاق الأدلّة و عدة الرجعي كالزوجيّة، دون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يبطلها الإيلاء و الظهار، فالتغسيل بعدهما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تغسيل الرجل أمته المزوّجة و المعتدّة و المكاتبة و المعتق بعضها؛ لتحريمها عليه بالتزويج و الكتابة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المشهور جواز تغسيل غيرها و لو كانت مدبّرة أو أُمّ ولد؛ لاستصحاب حكم الملك، و كونها في حكم الزوجة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جواز العكس مطلقاً، أو في أُمّ الولد خاصّة، أو عدمه مطلقاً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و المحقّق، و بعضهم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bookmarkStart w:id="765" w:name="pg2479_11867"/>
    </w:p>
    <w:p>
      <w:pPr>
        <w:pStyle w:val="BookText"/>
        <w:rPr/>
      </w:pPr>
      <w:bookmarkEnd w:id="765"/>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الملك 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 بانتقال الأمة إلى الوارث، و انعتاق أُمّ الولد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للثالث، و على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إيصاء السجّاد عليه السّلام أن تغسّله أُمّ ولده، كما في الخبر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كون الملكيّة كالزوجيّة في عدم اقتضاء زوالها؛ لبقاء حكمها من جواز المسّ و النظر، فكما أنّ الثانية تستصحب مع انقطاعها بالموت، فليستصحب حكم الأُولى أيضاً بالانتقال أو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الإيصاء و إن لم يثبت استقلالها بالتغسيل؛ إذ الإمام لا يغسّله إلّا الإمام، فاللازم حمله على المعاونة، إلّا أنّ صريح الرضوي </w:t>
      </w:r>
      <w:r>
        <w:rPr>
          <w:rStyle w:val="FootnoteAnchor"/>
          <w:rtl w:val="true"/>
        </w:rPr>
        <w:footnoteReference w:id="1983"/>
      </w:r>
      <w:r>
        <w:rPr>
          <w:rFonts w:ascii="Amiri" w:hAnsi="Amiri" w:eastAsia="Amiri" w:cs="Amiri"/>
          <w:color w:val="111111"/>
          <w:sz w:val="28"/>
          <w:sz w:val="28"/>
          <w:szCs w:val="28"/>
          <w:rtl w:val="true"/>
          <w:lang w:bidi="ar-SA"/>
        </w:rPr>
        <w:t>أثبت فيها جواز النظر و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مطلقاً أصوب، و إن كان في أُمّ الولد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التفرقة بين الزوجيّة و الملكيّة أو بين الانتقال و الانعتاق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الأخبار أنّ المعتبر من الساتر ما يستر جميع البدن سوى الأعضاء الخمسة، و لا ضير في انكشافها و لو على اشتراطه؛ لجواز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النصوص و الفتاوى تطهّره بتمام الغسل، و كأنّه لما صبّ عليه من الماء مع اعتقاد العصر هنا، و إن وجب في إزالة الخبث</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3732381_3804643083"/>
      <w:bookmarkStart w:id="767" w:name="_Toc296"/>
      <w:bookmarkEnd w:id="766"/>
      <w:r>
        <w:rPr>
          <w:rtl w:val="true"/>
        </w:rPr>
        <w:t>الثاني</w:t>
      </w:r>
      <w:r>
        <w:rPr>
          <w:rtl w:val="true"/>
        </w:rPr>
        <w:t xml:space="preserve">: </w:t>
      </w:r>
      <w:r>
        <w:rPr>
          <w:rtl w:val="true"/>
        </w:rPr>
        <w:t>تغسيل المحرم</w:t>
      </w:r>
      <w:r>
        <w:rPr>
          <w:rtl w:val="true"/>
        </w:rPr>
        <w:t>:</w:t>
      </w:r>
      <w:bookmarkEnd w:id="7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جوازه مع الضرورة و الستر مجمع عليه، و النصوص به </w:t>
      </w:r>
      <w:r>
        <w:rPr>
          <w:rStyle w:val="FootnoteAnchor"/>
          <w:rtl w:val="true"/>
        </w:rPr>
        <w:footnoteReference w:id="1984"/>
      </w:r>
      <w:r>
        <w:rPr>
          <w:rFonts w:ascii="Amiri" w:hAnsi="Amiri" w:eastAsia="Amiri" w:cs="Amiri"/>
          <w:color w:val="111111"/>
          <w:sz w:val="28"/>
          <w:sz w:val="28"/>
          <w:szCs w:val="28"/>
          <w:rtl w:val="true"/>
          <w:lang w:bidi="ar-SA"/>
        </w:rPr>
        <w:t xml:space="preserve">متظافرة، و مع الاختيار و التجريد أصحّ القولين؛ لإطلاق المستفيضة </w:t>
      </w:r>
      <w:r>
        <w:rPr>
          <w:rStyle w:val="FootnoteAnchor"/>
          <w:rtl w:val="true"/>
        </w:rPr>
        <w:footnoteReference w:id="1985"/>
      </w:r>
      <w:r>
        <w:rPr>
          <w:rFonts w:ascii="IRNazanin" w:hAnsi="IRNazanin" w:eastAsia="IRNazanin"/>
          <w:color w:val="111111"/>
          <w:sz w:val="28"/>
          <w:sz w:val="28"/>
          <w:szCs w:val="28"/>
          <w:rtl w:val="true"/>
          <w:lang w:bidi="fa-IR"/>
        </w:rPr>
        <w:t>، و جواز اللمس و النظر</w:t>
      </w:r>
      <w:bookmarkStart w:id="768" w:name="pg2479_11869"/>
    </w:p>
    <w:p>
      <w:pPr>
        <w:pStyle w:val="BookText"/>
        <w:rPr/>
      </w:pPr>
      <w:bookmarkEnd w:id="768"/>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الأكثر؛ لتقييد المستفيضة الأُخرى </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بالحمل على الثلاث جمعاً، و هو أولىٰ من حمل الاولىٰ على الثانية بوجوه</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3732383_3804643083"/>
      <w:bookmarkStart w:id="770" w:name="_Toc297"/>
      <w:bookmarkEnd w:id="769"/>
      <w:r>
        <w:rPr>
          <w:rtl w:val="true"/>
        </w:rPr>
        <w:t>الثالث</w:t>
      </w:r>
      <w:r>
        <w:rPr>
          <w:rtl w:val="true"/>
        </w:rPr>
        <w:t xml:space="preserve">: </w:t>
      </w:r>
      <w:r>
        <w:rPr>
          <w:rtl w:val="true"/>
        </w:rPr>
        <w:t>تغسيل ابن الثلاث و بنتها</w:t>
      </w:r>
      <w:r>
        <w:rPr>
          <w:rtl w:val="true"/>
        </w:rPr>
        <w:t>:</w:t>
      </w:r>
      <w:bookmarkEnd w:id="770"/>
    </w:p>
    <w:p>
      <w:pPr>
        <w:pStyle w:val="BookText"/>
        <w:rPr/>
      </w:pPr>
      <w:r>
        <w:rPr>
          <w:rFonts w:ascii="Amiri" w:hAnsi="Amiri" w:eastAsia="Amiri" w:cs="Amiri"/>
          <w:color w:val="111111"/>
          <w:sz w:val="28"/>
          <w:sz w:val="28"/>
          <w:szCs w:val="28"/>
          <w:rtl w:val="true"/>
          <w:lang w:bidi="ar-SA"/>
        </w:rPr>
        <w:t>فإنّ المعظم جوّزوا الصورتين مطلقاً، دون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 xml:space="preserve">اشترط فيهما فقد المماثل، و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مطلقاً دون الثانية </w:t>
      </w:r>
      <w:r>
        <w:rPr>
          <w:rStyle w:val="FootnoteAnchor"/>
          <w:rtl w:val="true"/>
        </w:rPr>
        <w:footnoteReference w:id="1988"/>
      </w:r>
      <w:r>
        <w:rPr>
          <w:rFonts w:ascii="Amiri" w:hAnsi="Amiri" w:eastAsia="Amiri" w:cs="Amiri"/>
          <w:color w:val="111111"/>
          <w:sz w:val="28"/>
          <w:sz w:val="28"/>
          <w:szCs w:val="28"/>
          <w:rtl w:val="true"/>
          <w:lang w:bidi="ar-SA"/>
        </w:rPr>
        <w:t xml:space="preserve">، و المفيد </w:t>
      </w:r>
      <w:r>
        <w:rPr>
          <w:rStyle w:val="FootnoteAnchor"/>
          <w:rtl w:val="true"/>
        </w:rPr>
        <w:footnoteReference w:id="1989"/>
      </w:r>
      <w:r>
        <w:rPr>
          <w:rFonts w:ascii="IRNazanin" w:hAnsi="IRNazanin" w:eastAsia="IRNazanin"/>
          <w:color w:val="111111"/>
          <w:sz w:val="28"/>
          <w:sz w:val="28"/>
          <w:szCs w:val="28"/>
          <w:rtl w:val="true"/>
          <w:lang w:bidi="fa-IR"/>
        </w:rPr>
        <w:t xml:space="preserve">بغسل ابن الخمس، و الصدوق </w:t>
      </w:r>
      <w:r>
        <w:rPr>
          <w:rStyle w:val="FootnoteAnchor"/>
          <w:rtl w:val="true"/>
        </w:rPr>
        <w:footnoteReference w:id="1990"/>
      </w:r>
      <w:r>
        <w:rPr>
          <w:rFonts w:ascii="IRNazanin" w:hAnsi="IRNazanin" w:eastAsia="IRNazanin"/>
          <w:color w:val="111111"/>
          <w:sz w:val="28"/>
          <w:sz w:val="28"/>
          <w:szCs w:val="28"/>
          <w:rtl w:val="true"/>
          <w:lang w:bidi="fa-IR"/>
        </w:rPr>
        <w:t>ثبّت الأقل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تابعيّة الغسل لجواز المسّ و النظر كالموثّق </w:t>
      </w:r>
      <w:r>
        <w:rPr>
          <w:rStyle w:val="FootnoteAnchor"/>
          <w:rtl w:val="true"/>
        </w:rPr>
        <w:footnoteReference w:id="1991"/>
      </w:r>
      <w:r>
        <w:rPr>
          <w:rFonts w:ascii="Amiri" w:hAnsi="Amiri" w:eastAsia="Amiri" w:cs="Amiri"/>
          <w:color w:val="111111"/>
          <w:sz w:val="28"/>
          <w:sz w:val="28"/>
          <w:szCs w:val="28"/>
          <w:rtl w:val="true"/>
          <w:lang w:bidi="ar-SA"/>
        </w:rPr>
        <w:t>المجوّز لتغسيل المرأة و الرجل الصبيّ و الصبيّة و إن أثبت تغسيل غير المماثل ما لم يبلغ الحلم، إلّا أنّ الإجماع أخرج عنهما الزائد على الخمس، فتوهّم الجواز فيه ساقط، و هما مع الأصل و العمومات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من تغسيل الرجل بنت الأقل من خمس يثبت الجواز في الخمس و الأقل مطلقاً، و التقييد بالأقل في الخبر لتوقّف القطع بعدم الزيادة عليه، فهو من باب المقدّمة فيثبت قول المفيد و الصدوق؛ إذ الظاهر توافقهما في التجويز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اكتفاء كلّ منهما بذكر إحداهما عن</w:t>
      </w:r>
      <w:bookmarkStart w:id="771" w:name="pg2479_11871"/>
    </w:p>
    <w:p>
      <w:pPr>
        <w:pStyle w:val="BookText"/>
        <w:rPr/>
      </w:pPr>
      <w:bookmarkEnd w:id="771"/>
      <w:r>
        <w:rPr>
          <w:rFonts w:ascii="Amiri" w:hAnsi="Amiri" w:eastAsia="Amiri" w:cs="Amiri"/>
          <w:color w:val="111111"/>
          <w:sz w:val="28"/>
          <w:sz w:val="28"/>
          <w:szCs w:val="28"/>
          <w:rtl w:val="true"/>
          <w:lang w:bidi="ar-SA"/>
        </w:rPr>
        <w:t>الأُخرى لعدم تعقّل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المحقّق لبيانه ضعيف، فسقوط قوله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له أصلًا، فاندفاعه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الأكثر و هو نقل الإجماع على تغسيل ذي الثلاث منهما، و الخبر المجوّز لتغسيل النساء ابن الثلاث </w:t>
      </w:r>
      <w:r>
        <w:rPr>
          <w:rStyle w:val="FootnoteAnchor"/>
          <w:rtl w:val="true"/>
        </w:rPr>
        <w:footnoteReference w:id="1993"/>
      </w:r>
      <w:r>
        <w:rPr>
          <w:rFonts w:ascii="Amiri" w:hAnsi="Amiri" w:eastAsia="Amiri" w:cs="Amiri"/>
          <w:color w:val="111111"/>
          <w:sz w:val="28"/>
          <w:sz w:val="28"/>
          <w:szCs w:val="28"/>
          <w:rtl w:val="true"/>
          <w:lang w:bidi="ar-SA"/>
        </w:rPr>
        <w:t xml:space="preserve">، مضافاً إلى بعض ما مرّ لا ينافي الجواز في ذي الخمس مع قيام الحجّة، فهو أقوى المذاهب، و المختار عندنا، و قد اختاره الديلمي </w:t>
      </w:r>
      <w:r>
        <w:rPr>
          <w:rStyle w:val="FootnoteAnchor"/>
          <w:rtl w:val="true"/>
        </w:rPr>
        <w:footnoteReference w:id="1994"/>
      </w:r>
      <w:r>
        <w:rPr>
          <w:rFonts w:ascii="Amiri" w:hAnsi="Amiri" w:eastAsia="Amiri" w:cs="Amiri"/>
          <w:color w:val="111111"/>
          <w:sz w:val="28"/>
          <w:sz w:val="28"/>
          <w:szCs w:val="28"/>
          <w:rtl w:val="true"/>
          <w:lang w:bidi="ar-SA"/>
        </w:rPr>
        <w:t>و جمع آخر أيضاً</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3732385_3804643083"/>
      <w:bookmarkStart w:id="773" w:name="_Toc298"/>
      <w:bookmarkEnd w:id="772"/>
      <w:r>
        <w:rPr>
          <w:rtl w:val="true"/>
        </w:rPr>
        <w:t xml:space="preserve">فصل </w:t>
      </w:r>
      <w:r>
        <w:rPr>
          <w:rtl w:val="true"/>
        </w:rPr>
        <w:t>[</w:t>
      </w:r>
      <w:r>
        <w:rPr>
          <w:rtl w:val="true"/>
        </w:rPr>
        <w:t>فقد المماثل و المحرم</w:t>
      </w:r>
      <w:r>
        <w:rPr>
          <w:rtl w:val="true"/>
        </w:rPr>
        <w:t>]</w:t>
      </w:r>
      <w:bookmarkEnd w:id="773"/>
    </w:p>
    <w:p>
      <w:pPr>
        <w:pStyle w:val="BookText"/>
        <w:rPr/>
      </w:pPr>
      <w:r>
        <w:rPr>
          <w:rFonts w:ascii="Amiri" w:hAnsi="Amiri" w:eastAsia="Amiri" w:cs="Amiri"/>
          <w:color w:val="111111"/>
          <w:sz w:val="28"/>
          <w:sz w:val="28"/>
          <w:szCs w:val="28"/>
          <w:rtl w:val="true"/>
          <w:lang w:bidi="ar-SA"/>
        </w:rPr>
        <w:t xml:space="preserve">لو فقد المماثل و المحرم سقط الغسل؛ للمستفيضة </w:t>
      </w:r>
      <w:r>
        <w:rPr>
          <w:rStyle w:val="FootnoteAnchor"/>
          <w:rtl w:val="true"/>
        </w:rPr>
        <w:footnoteReference w:id="1995"/>
      </w:r>
      <w:r>
        <w:rPr>
          <w:rFonts w:ascii="Amiri" w:hAnsi="Amiri" w:eastAsia="Amiri" w:cs="Amiri"/>
          <w:color w:val="111111"/>
          <w:sz w:val="28"/>
          <w:sz w:val="28"/>
          <w:szCs w:val="28"/>
          <w:rtl w:val="true"/>
          <w:lang w:bidi="ar-SA"/>
        </w:rPr>
        <w:t xml:space="preserve">،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ظاهرها سقوط التيمّم أيضاً، كما قطع الشيخ و المحقّق </w:t>
      </w:r>
      <w:r>
        <w:rPr>
          <w:rStyle w:val="FootnoteAnchor"/>
          <w:rtl w:val="true"/>
        </w:rPr>
        <w:footnoteReference w:id="1997"/>
      </w:r>
      <w:r>
        <w:rPr>
          <w:rFonts w:ascii="Amiri" w:hAnsi="Amiri" w:eastAsia="Amiri" w:cs="Amiri"/>
          <w:color w:val="111111"/>
          <w:sz w:val="28"/>
          <w:sz w:val="28"/>
          <w:szCs w:val="28"/>
          <w:rtl w:val="true"/>
          <w:lang w:bidi="ar-SA"/>
        </w:rPr>
        <w:t>، و يعضده وجود مانع الغسل فيه أيضاً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جوّز المفيد تغسيل غيرهما من وراء الستر مطلقاً </w:t>
      </w:r>
      <w:r>
        <w:rPr>
          <w:rStyle w:val="FootnoteAnchor"/>
          <w:rtl w:val="true"/>
        </w:rPr>
        <w:footnoteReference w:id="1998"/>
      </w:r>
      <w:r>
        <w:rPr>
          <w:rFonts w:ascii="Amiri" w:hAnsi="Amiri" w:eastAsia="Amiri" w:cs="Amiri"/>
          <w:color w:val="111111"/>
          <w:sz w:val="28"/>
          <w:sz w:val="28"/>
          <w:szCs w:val="28"/>
          <w:rtl w:val="true"/>
          <w:lang w:bidi="ar-SA"/>
        </w:rPr>
        <w:t>، و الحلبيّان بشرط</w:t>
      </w:r>
      <w:bookmarkStart w:id="774" w:name="pg2479_11873"/>
    </w:p>
    <w:p>
      <w:pPr>
        <w:pStyle w:val="BookText"/>
        <w:rPr/>
      </w:pPr>
      <w:bookmarkEnd w:id="774"/>
      <w:r>
        <w:rPr>
          <w:rFonts w:ascii="Amiri" w:hAnsi="Amiri" w:eastAsia="Amiri" w:cs="Amiri"/>
          <w:color w:val="111111"/>
          <w:sz w:val="28"/>
          <w:sz w:val="28"/>
          <w:szCs w:val="28"/>
          <w:rtl w:val="true"/>
          <w:lang w:bidi="ar-SA"/>
        </w:rPr>
        <w:t xml:space="preserve">تغميض العين </w:t>
      </w:r>
      <w:r>
        <w:rPr>
          <w:rStyle w:val="FootnoteAnchor"/>
          <w:rtl w:val="true"/>
        </w:rPr>
        <w:footnoteReference w:id="1999"/>
      </w:r>
      <w:r>
        <w:rPr>
          <w:rFonts w:ascii="Amiri" w:hAnsi="Amiri" w:eastAsia="Amiri" w:cs="Amiri"/>
          <w:color w:val="111111"/>
          <w:sz w:val="28"/>
          <w:sz w:val="28"/>
          <w:szCs w:val="28"/>
          <w:rtl w:val="true"/>
          <w:lang w:bidi="ar-SA"/>
        </w:rPr>
        <w:t>لأخبار ضعيفة مضطربة ينافي بعضها بعضاً، و ليس فيها مصرّح بقولهما، فيتعيّن طرحها</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3732387_3804643083"/>
      <w:bookmarkStart w:id="776" w:name="_Toc299"/>
      <w:bookmarkEnd w:id="775"/>
      <w:r>
        <w:rPr>
          <w:rtl w:val="true"/>
        </w:rPr>
        <w:t xml:space="preserve">فصل </w:t>
      </w:r>
      <w:r>
        <w:rPr>
          <w:rtl w:val="true"/>
        </w:rPr>
        <w:t>[</w:t>
      </w:r>
      <w:r>
        <w:rPr>
          <w:rtl w:val="true"/>
        </w:rPr>
        <w:t>تغسيل الذمّي للمسلم</w:t>
      </w:r>
      <w:r>
        <w:rPr>
          <w:rtl w:val="true"/>
        </w:rPr>
        <w:t>]</w:t>
      </w:r>
      <w:bookmarkEnd w:id="776"/>
    </w:p>
    <w:p>
      <w:pPr>
        <w:pStyle w:val="BookText"/>
        <w:rPr/>
      </w:pPr>
      <w:r>
        <w:rPr>
          <w:rFonts w:ascii="Amiri" w:hAnsi="Amiri" w:eastAsia="Amiri" w:cs="Amiri"/>
          <w:color w:val="111111"/>
          <w:sz w:val="28"/>
          <w:sz w:val="28"/>
          <w:szCs w:val="28"/>
          <w:rtl w:val="true"/>
          <w:lang w:bidi="ar-SA"/>
        </w:rPr>
        <w:t xml:space="preserve">المعظم على تغسيل المماثل الذمّي بعد اغتساله مع فقد المماثل و المحرم؛ للموثّق و الخبر و الرضوي </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نفاه المحقّق </w:t>
      </w:r>
      <w:r>
        <w:rPr>
          <w:rStyle w:val="FootnoteAnchor"/>
          <w:rtl w:val="true"/>
        </w:rPr>
        <w:footnoteReference w:id="2001"/>
      </w:r>
      <w:r>
        <w:rPr>
          <w:rFonts w:ascii="Amiri" w:hAnsi="Amiri" w:eastAsia="Amiri" w:cs="Amiri"/>
          <w:color w:val="111111"/>
          <w:sz w:val="28"/>
          <w:sz w:val="28"/>
          <w:szCs w:val="28"/>
          <w:rtl w:val="true"/>
          <w:lang w:bidi="ar-SA"/>
        </w:rPr>
        <w:t>، و أسقط الغسل؛ لنجاسته و فساد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بمنع النجاسة و لزوم النيّة أو اعتبارها هنا كالعتق بيّن الفساد؛ لثبوت نجاسته كما مرّ، و لزوم قصد القربة في كلّ عبادة، و عدم تأتّيه من الكافر، و صحّة عتقه؛ لعدم كونه عبادة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المراد بالغسل هنا صورته دون الحقيقي الشرعي، و قد شرّعت لإزالة النجاسة العينيّة الطارئة، و هو يحصل بصبّ الكافر من دون نيّة، و لا يمنع منه نجاسته و إن منعت من إزالة نجاسته العينيّة الحاصلة بالموت؛ لتعدّيها إليه غالباً بملاقاته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تغسيله مجرّد صبّ شرّع لإزالة الأخباث العارضة، و إن لم يرتفع ما يحصل بالموت من النجاسة العينيّة و الحكميّة؛ لنجاسته و فساد نيّته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يجب الغسل بمسّه، و الإعادة لو وجد مماثل أو محرم مسلم؛ لعدم</w:t>
      </w:r>
      <w:bookmarkStart w:id="777" w:name="pg2479_11875"/>
    </w:p>
    <w:p>
      <w:pPr>
        <w:pStyle w:val="BookText"/>
        <w:rPr/>
      </w:pPr>
      <w:bookmarkEnd w:id="777"/>
      <w:r>
        <w:rPr>
          <w:rFonts w:ascii="Amiri" w:hAnsi="Amiri" w:eastAsia="Amiri" w:cs="Amiri"/>
          <w:color w:val="111111"/>
          <w:sz w:val="28"/>
          <w:sz w:val="28"/>
          <w:szCs w:val="28"/>
          <w:rtl w:val="true"/>
          <w:lang w:bidi="ar-SA"/>
        </w:rPr>
        <w:t>الغسل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الحق عدم إعادة ما شرّع للاضطرار عند زواله؛ لحصول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يخصّ بالذمّي، فلا ينسحب إلى الحربي، اقتصاراً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المماثل من الذمّي أيضاً دفن بغير غسل، و لا يقربه غير المماثل منه؛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المذهب عدم التيمّم أيضاً، و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 و قيل بوجوبه </w:t>
      </w:r>
      <w:r>
        <w:rPr>
          <w:rStyle w:val="FootnoteAnchor"/>
          <w:rtl w:val="true"/>
        </w:rPr>
        <w:footnoteReference w:id="2003"/>
      </w:r>
      <w:r>
        <w:rPr>
          <w:rFonts w:ascii="Amiri" w:hAnsi="Amiri" w:eastAsia="Amiri" w:cs="Amiri"/>
          <w:color w:val="111111"/>
          <w:sz w:val="28"/>
          <w:sz w:val="28"/>
          <w:szCs w:val="28"/>
          <w:rtl w:val="true"/>
          <w:lang w:bidi="ar-SA"/>
        </w:rPr>
        <w:t xml:space="preserve">لرواية </w:t>
      </w:r>
      <w:r>
        <w:rPr>
          <w:rStyle w:val="FootnoteAnchor"/>
          <w:rtl w:val="true"/>
        </w:rPr>
        <w:footnoteReference w:id="2004"/>
      </w:r>
      <w:r>
        <w:rPr>
          <w:rFonts w:ascii="Amiri" w:hAnsi="Amiri" w:eastAsia="Amiri" w:cs="Amiri"/>
          <w:color w:val="111111"/>
          <w:sz w:val="28"/>
          <w:sz w:val="28"/>
          <w:szCs w:val="28"/>
          <w:rtl w:val="true"/>
          <w:lang w:bidi="ar-SA"/>
        </w:rPr>
        <w:t>متروكة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تغسيل المميّز الميت وجهان، و مقتضى القواعد صحّته</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3732389_3804643083"/>
      <w:bookmarkStart w:id="779" w:name="_Toc300"/>
      <w:bookmarkEnd w:id="778"/>
      <w:r>
        <w:rPr>
          <w:rtl w:val="true"/>
        </w:rPr>
        <w:t xml:space="preserve">فصل </w:t>
      </w:r>
      <w:r>
        <w:rPr>
          <w:rtl w:val="true"/>
        </w:rPr>
        <w:t>[</w:t>
      </w:r>
      <w:r>
        <w:rPr>
          <w:rtl w:val="true"/>
        </w:rPr>
        <w:t>تغسيل الكافر و المخالف</w:t>
      </w:r>
      <w:r>
        <w:rPr>
          <w:rtl w:val="true"/>
        </w:rPr>
        <w:t>]</w:t>
      </w:r>
      <w:bookmarkEnd w:id="779"/>
    </w:p>
    <w:p>
      <w:pPr>
        <w:pStyle w:val="BookText"/>
        <w:rPr/>
      </w:pPr>
      <w:r>
        <w:rPr>
          <w:rFonts w:ascii="Amiri" w:hAnsi="Amiri" w:eastAsia="Amiri" w:cs="Amiri"/>
          <w:color w:val="111111"/>
          <w:sz w:val="28"/>
          <w:sz w:val="28"/>
          <w:szCs w:val="28"/>
          <w:rtl w:val="true"/>
          <w:lang w:bidi="ar-SA"/>
        </w:rPr>
        <w:t xml:space="preserve">لا يجوز تغسيل الكافر و غيره من الأعمال، و لو كان ذمّيا إجماعاً؛ لظاهر الآيتين و الأخبار </w:t>
      </w:r>
      <w:r>
        <w:rPr>
          <w:rStyle w:val="FootnoteAnchor"/>
          <w:rtl w:val="true"/>
        </w:rPr>
        <w:footnoteReference w:id="2005"/>
      </w:r>
      <w:r>
        <w:rPr>
          <w:rFonts w:ascii="Amiri" w:hAnsi="Amiri" w:eastAsia="Amiri" w:cs="Amiri"/>
          <w:color w:val="111111"/>
          <w:sz w:val="28"/>
          <w:sz w:val="28"/>
          <w:szCs w:val="28"/>
          <w:rtl w:val="true"/>
          <w:lang w:bidi="ar-SA"/>
        </w:rPr>
        <w:t>، و عدم تطهّره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القريب كغيره؛ لعموم الأدلّة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جوّز الشافعي تغسيله و تكفينه </w:t>
      </w:r>
      <w:r>
        <w:rPr>
          <w:rStyle w:val="FootnoteAnchor"/>
          <w:rtl w:val="true"/>
        </w:rPr>
        <w:footnoteReference w:id="2006"/>
      </w:r>
      <w:r>
        <w:rPr>
          <w:rFonts w:ascii="Amiri" w:hAnsi="Amiri" w:eastAsia="Amiri" w:cs="Amiri"/>
          <w:color w:val="111111"/>
          <w:sz w:val="28"/>
          <w:sz w:val="28"/>
          <w:szCs w:val="28"/>
          <w:rtl w:val="true"/>
          <w:lang w:bidi="ar-SA"/>
        </w:rPr>
        <w:t xml:space="preserve">، و السيّد مواراته </w:t>
      </w:r>
      <w:r>
        <w:rPr>
          <w:rStyle w:val="FootnoteAnchor"/>
          <w:rtl w:val="true"/>
        </w:rPr>
        <w:footnoteReference w:id="2007"/>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صٰاحِبْهُمٰا فِي الدُّنْيٰا مَعْرُوفاً </w:t>
      </w:r>
      <w:r>
        <w:rPr>
          <w:rStyle w:val="FootnoteAnchor"/>
          <w:rtl w:val="true"/>
        </w:rPr>
        <w:footnoteReference w:id="2008"/>
      </w:r>
      <w:r>
        <w:rPr>
          <w:rFonts w:ascii="Amiri" w:hAnsi="Amiri" w:eastAsia="Amiri" w:cs="Amiri"/>
          <w:color w:val="111111"/>
          <w:sz w:val="28"/>
          <w:sz w:val="28"/>
          <w:szCs w:val="28"/>
          <w:rtl w:val="true"/>
          <w:lang w:bidi="ar-SA"/>
        </w:rPr>
        <w:t>و تغسيل علي عليه السّلام أباه، و جواز تغسيله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من الآخرة، و كون التجهيز من المعروف غير معلوم، فلا يتناوله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طالب مات مسلماً بدلالة القواطع، و هذا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تنظيف الحيّ على تغسيل الميّت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وجوب تجهيز المسلم المخالف في الإمامة؛ للعمومات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للمفيد و القاضي و الحلّي و بعض الثالثة </w:t>
      </w:r>
      <w:r>
        <w:rPr>
          <w:rStyle w:val="FootnoteAnchor"/>
          <w:rtl w:val="true"/>
        </w:rPr>
        <w:footnoteReference w:id="2010"/>
      </w:r>
      <w:r>
        <w:rPr>
          <w:rFonts w:ascii="Amiri" w:hAnsi="Amiri" w:eastAsia="Amiri" w:cs="Amiri"/>
          <w:color w:val="111111"/>
          <w:sz w:val="28"/>
          <w:sz w:val="28"/>
          <w:szCs w:val="28"/>
          <w:rtl w:val="true"/>
          <w:lang w:bidi="ar-SA"/>
        </w:rPr>
        <w:t>لحكمهم بكفره، و ضعفه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تجهيزه بنحو ما يعتقده، إلّا أن يعرف، فيجهّز تجهيز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طفل المسلم بحكمه في وجوب الغسل، بالإجماع و النصوص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السقط إذا تمّت له أربعة أشهر فصاعداً؛ للمستفيضة </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على وجوب تكفينه و دفنه؛ للموثّقين و الرضوي </w:t>
      </w:r>
      <w:r>
        <w:rPr>
          <w:rStyle w:val="FootnoteAnchor"/>
          <w:rtl w:val="true"/>
        </w:rPr>
        <w:footnoteReference w:id="2013"/>
      </w:r>
      <w:r>
        <w:rPr>
          <w:rFonts w:ascii="Amiri" w:hAnsi="Amiri" w:eastAsia="Amiri" w:cs="Amiri"/>
          <w:color w:val="111111"/>
          <w:sz w:val="28"/>
          <w:sz w:val="28"/>
          <w:szCs w:val="28"/>
          <w:rtl w:val="true"/>
          <w:lang w:bidi="ar-SA"/>
        </w:rPr>
        <w:t xml:space="preserve">، و اكتفى المحقّق بلفّه في خرقة و دفنه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الناقص عن الأربعة لا يغسّل؛ لانتفاء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الخبر و الرضوي </w:t>
      </w:r>
      <w:r>
        <w:rPr>
          <w:rStyle w:val="FootnoteAnchor"/>
          <w:rtl w:val="true"/>
        </w:rPr>
        <w:footnoteReference w:id="2015"/>
      </w:r>
      <w:r>
        <w:rPr>
          <w:rFonts w:ascii="Amiri" w:hAnsi="Amiri" w:eastAsia="Amiri" w:cs="Amiri"/>
          <w:color w:val="111111"/>
          <w:sz w:val="28"/>
          <w:sz w:val="28"/>
          <w:szCs w:val="28"/>
          <w:rtl w:val="true"/>
          <w:lang w:bidi="ar-SA"/>
        </w:rPr>
        <w:t>دفنه بدون اللف، و ظاهر الأكثر وجوبه، و لا أعرف مأخذه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مسبيّة؛ لعموم التبعيّة، و ولد زناه؛ لصدق التولّد منه،</w:t>
      </w:r>
      <w:bookmarkStart w:id="780" w:name="pg2479_11879"/>
    </w:p>
    <w:p>
      <w:pPr>
        <w:pStyle w:val="BookText"/>
        <w:rPr/>
      </w:pPr>
      <w:bookmarkEnd w:id="780"/>
      <w:r>
        <w:rPr>
          <w:rFonts w:ascii="Amiri" w:hAnsi="Amiri" w:eastAsia="Amiri" w:cs="Amiri"/>
          <w:color w:val="111111"/>
          <w:sz w:val="28"/>
          <w:sz w:val="28"/>
          <w:szCs w:val="28"/>
          <w:rtl w:val="true"/>
          <w:lang w:bidi="ar-SA"/>
        </w:rPr>
        <w:t>و اللقيط و لو في دار الحرب مع احتمال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فيها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البالغ المظهر للإسلام يجب تجهيزه،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يجهّز كلّ ميّت وجد 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يجهّز ما يوجد في دار الكفر، إلّا أن يكون فيه علامة تخصّ بالمسلم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موتى المسلمين بالكفّار وجب غسل الجميع؛ لتوقّف الواجب عليه، و مع التمييز لعلامة قويّة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الغسل بمسّ الجميع لا ريب فيه، و بمسّ البعض محلّ كلام، و الأصل ترجّح عدمه</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3732391_3804643083"/>
      <w:bookmarkStart w:id="782" w:name="_Toc301"/>
      <w:bookmarkEnd w:id="781"/>
      <w:r>
        <w:rPr>
          <w:rtl w:val="true"/>
        </w:rPr>
        <w:t xml:space="preserve">فصل </w:t>
      </w:r>
      <w:r>
        <w:rPr>
          <w:rtl w:val="true"/>
        </w:rPr>
        <w:t>[</w:t>
      </w:r>
      <w:r>
        <w:rPr>
          <w:rtl w:val="true"/>
        </w:rPr>
        <w:t>أحكام الشهيد</w:t>
      </w:r>
      <w:r>
        <w:rPr>
          <w:rtl w:val="true"/>
        </w:rPr>
        <w:t>]</w:t>
      </w:r>
      <w:bookmarkEnd w:id="782"/>
    </w:p>
    <w:p>
      <w:pPr>
        <w:pStyle w:val="Heading6"/>
        <w:numPr>
          <w:ilvl w:val="5"/>
          <w:numId w:val="1"/>
        </w:numPr>
        <w:rPr/>
      </w:pPr>
      <w:bookmarkStart w:id="783" w:name="__RefHeading___Toc3732393_3804643083"/>
      <w:bookmarkStart w:id="784" w:name="_Toc302"/>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الشهيد إذا مات في المعركة لا يغسّل و لا يكفّن، بل يصلّى عليه و يدفن، بالإجماع و المستفيضة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الشهيد يعمّ كلّ مقتول في حماية الدين، و لو بدفاع مأمور به في زمن الغيبة مع الكفرة و البغاة، وفاقاً للمحقّقين، و الشهيدين </w:t>
      </w:r>
      <w:r>
        <w:rPr>
          <w:rStyle w:val="FootnoteAnchor"/>
          <w:rtl w:val="true"/>
        </w:rPr>
        <w:footnoteReference w:id="2017"/>
      </w:r>
      <w:r>
        <w:rPr>
          <w:rFonts w:ascii="Amiri" w:hAnsi="Amiri" w:eastAsia="Amiri" w:cs="Amiri"/>
          <w:color w:val="111111"/>
          <w:sz w:val="28"/>
          <w:sz w:val="28"/>
          <w:szCs w:val="28"/>
          <w:rtl w:val="true"/>
          <w:lang w:bidi="ar-SA"/>
        </w:rPr>
        <w:t>، و أكثر الثالثة؛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يخصّ بمن قتل بين يدي المعصوم أو نائبه الخاص، كما عليه الأكثر؛ لعدم حجّة على التخصيص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يتناول غير المقتول في حماية الدين ممّن قتل ظلماً من العدو أو من قطّاع الطريق أو في حماية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يطلق عليه الشهيد، كالمطعون و الغريق</w:t>
      </w:r>
      <w:bookmarkStart w:id="785" w:name="pg2479_11881"/>
    </w:p>
    <w:p>
      <w:pPr>
        <w:pStyle w:val="BookText"/>
        <w:rPr/>
      </w:pPr>
      <w:bookmarkEnd w:id="785"/>
      <w:r>
        <w:rPr>
          <w:rFonts w:ascii="Amiri" w:hAnsi="Amiri" w:eastAsia="Amiri" w:cs="Amiri"/>
          <w:color w:val="111111"/>
          <w:sz w:val="28"/>
          <w:sz w:val="28"/>
          <w:szCs w:val="28"/>
          <w:rtl w:val="true"/>
          <w:lang w:bidi="ar-SA"/>
        </w:rPr>
        <w:t>و المبطون و أمثالها؛ إذ مورد النصوص و هو المقتول في سبيل اللّٰه أو في المعركة أو بين الصفين لا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النصوص وجوب تغسيله و تكفينه إن أُدرك و به رمق و لو مات في المعركة، فإطلاق الفتاوىٰ مبنيّ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يدفن معه كلّ ما يصدق عليه الثوب، و ينزع عليه غيره كالفرو و الجلود و السلاح؛ لظاهر النصوص، و عليه فتوى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للقوم أقوال أُخر </w:t>
      </w:r>
      <w:r>
        <w:rPr>
          <w:rStyle w:val="FootnoteAnchor"/>
          <w:rtl w:val="true"/>
        </w:rPr>
        <w:footnoteReference w:id="2018"/>
      </w:r>
      <w:r>
        <w:rPr>
          <w:rFonts w:ascii="IRNazanin" w:hAnsi="IRNazanin" w:eastAsia="IRNazanin"/>
          <w:color w:val="111111"/>
          <w:sz w:val="28"/>
          <w:sz w:val="28"/>
          <w:szCs w:val="28"/>
          <w:rtl w:val="true"/>
          <w:lang w:bidi="fa-IR"/>
        </w:rPr>
        <w:t>لا مستند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الجنب كغيره في سقوطه، وفاقاً للأكثر؛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للسيّد و الإسكافي </w:t>
      </w:r>
      <w:r>
        <w:rPr>
          <w:rStyle w:val="FootnoteAnchor"/>
          <w:rtl w:val="true"/>
        </w:rPr>
        <w:footnoteReference w:id="2019"/>
      </w:r>
      <w:r>
        <w:rPr>
          <w:rFonts w:ascii="Amiri" w:hAnsi="Amiri" w:eastAsia="Amiri" w:cs="Amiri"/>
          <w:color w:val="111111"/>
          <w:sz w:val="28"/>
          <w:sz w:val="28"/>
          <w:szCs w:val="28"/>
          <w:rtl w:val="true"/>
          <w:lang w:bidi="ar-SA"/>
        </w:rPr>
        <w:t>لأخبار لا دلالة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الحائض و النفساء مع شرط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الكبير و الصغير، و الذكر و الأُنثى، و الحرّ و العبد، و لا بين آلات القتل؛ لعموم الأدلّة، و قضايا الطفّ و بدر و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تكفينه مشروط ببقاء ثيابه، فلو جرّد كفّن؛ لظاهر الأخبار، و قضيّة حمزة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3732395_3804643083"/>
      <w:bookmarkStart w:id="787" w:name="_Toc303"/>
      <w:bookmarkEnd w:id="786"/>
      <w:r>
        <w:rPr>
          <w:rtl w:val="true"/>
        </w:rPr>
        <w:t>[</w:t>
      </w:r>
      <w:r>
        <w:rPr>
          <w:rtl w:val="true"/>
        </w:rPr>
        <w:t>سقوط الغسل</w:t>
      </w:r>
      <w:r>
        <w:rPr>
          <w:rtl w:val="true"/>
        </w:rPr>
        <w:t>]</w:t>
      </w:r>
      <w:bookmarkEnd w:id="7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الغسل بفقد الغاسل، و الماء أو وصلته، و بعجز المسلم عن التغسيل، و عدم إمكانه لتناثر لحمه كالمتحرّق و الملسوع و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 عليهم الماء، و مع التعذّر يجب التيمّم؛ لعموم البدليّة</w:t>
      </w:r>
      <w:r>
        <w:rPr>
          <w:rFonts w:eastAsia="Amiri" w:cs="Amiri" w:ascii="Amiri" w:hAnsi="Amiri"/>
          <w:color w:val="111111"/>
          <w:sz w:val="28"/>
          <w:szCs w:val="28"/>
          <w:rtl w:val="true"/>
          <w:lang w:bidi="ar-SA"/>
        </w:rPr>
        <w:t>.</w:t>
      </w:r>
      <w:bookmarkStart w:id="788" w:name="pg2479_11883"/>
    </w:p>
    <w:p>
      <w:pPr>
        <w:pStyle w:val="Heading6"/>
        <w:numPr>
          <w:ilvl w:val="5"/>
          <w:numId w:val="1"/>
        </w:numPr>
        <w:rPr/>
      </w:pPr>
      <w:bookmarkStart w:id="789" w:name="__RefHeading___Toc3732397_3804643083"/>
      <w:bookmarkStart w:id="790" w:name="_Toc304"/>
      <w:bookmarkEnd w:id="788"/>
      <w:bookmarkEnd w:id="789"/>
      <w:r>
        <w:rPr>
          <w:rtl w:val="true"/>
        </w:rPr>
        <w:t xml:space="preserve">فصل </w:t>
      </w:r>
      <w:r>
        <w:rPr>
          <w:rtl w:val="true"/>
        </w:rPr>
        <w:t>[</w:t>
      </w:r>
      <w:r>
        <w:rPr>
          <w:rtl w:val="true"/>
        </w:rPr>
        <w:t>حكم القطعة المبانة</w:t>
      </w:r>
      <w:r>
        <w:rPr>
          <w:rtl w:val="true"/>
        </w:rPr>
        <w:t>]</w:t>
      </w:r>
      <w:bookmarkEnd w:id="790"/>
    </w:p>
    <w:p>
      <w:pPr>
        <w:pStyle w:val="BookText"/>
        <w:rPr/>
      </w:pPr>
      <w:r>
        <w:rPr>
          <w:rFonts w:ascii="Amiri" w:hAnsi="Amiri" w:eastAsia="Amiri" w:cs="Amiri"/>
          <w:color w:val="111111"/>
          <w:sz w:val="28"/>
          <w:sz w:val="28"/>
          <w:szCs w:val="28"/>
          <w:rtl w:val="true"/>
          <w:lang w:bidi="ar-SA"/>
        </w:rPr>
        <w:t xml:space="preserve">الحقّ وجوب الأربعة من أنواع التجهيز في الصدر أو ما يشمله أو القلب، و في جميع العظام، و غير الصلاة من الأربعة فيما فيه العظم، و مجرّد الدفن في غيرها من لحم أو عظم مفرد، وفاقاً للشهيدين و جماعة </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اليدين في الأوّلين </w:t>
      </w:r>
      <w:r>
        <w:rPr>
          <w:rStyle w:val="FootnoteAnchor"/>
          <w:rtl w:val="true"/>
        </w:rPr>
        <w:footnoteReference w:id="20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العظام كما فيه العظم </w:t>
      </w:r>
      <w:r>
        <w:rPr>
          <w:rStyle w:val="FootnoteAnchor"/>
          <w:rtl w:val="true"/>
        </w:rPr>
        <w:footnoteReference w:id="2023"/>
      </w:r>
      <w:r>
        <w:rPr>
          <w:rFonts w:ascii="Amiri" w:hAnsi="Amiri" w:eastAsia="Amiri" w:cs="Amiri"/>
          <w:color w:val="111111"/>
          <w:sz w:val="28"/>
          <w:sz w:val="28"/>
          <w:szCs w:val="28"/>
          <w:rtl w:val="true"/>
          <w:lang w:bidi="ar-SA"/>
        </w:rPr>
        <w:t xml:space="preserve">، و الأكثر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أنّهم سكتوا عمّا فيه القلب، و أوجب الإسكافي الغسل و الصلاة في العضو التامّ و في العظم المفرد </w:t>
      </w:r>
      <w:r>
        <w:rPr>
          <w:rStyle w:val="FootnoteAnchor"/>
          <w:rtl w:val="true"/>
        </w:rPr>
        <w:footnoteReference w:id="2024"/>
      </w:r>
      <w:r>
        <w:rPr>
          <w:rFonts w:ascii="Amiri" w:hAnsi="Amiri" w:eastAsia="Amiri" w:cs="Amiri"/>
          <w:color w:val="111111"/>
          <w:sz w:val="28"/>
          <w:sz w:val="28"/>
          <w:szCs w:val="28"/>
          <w:rtl w:val="true"/>
          <w:lang w:bidi="ar-SA"/>
        </w:rPr>
        <w:t xml:space="preserve">، و والد الصدوق في بقيّة أكيل السبع أو عظامه </w:t>
      </w:r>
      <w:r>
        <w:rPr>
          <w:rStyle w:val="FootnoteAnchor"/>
          <w:rtl w:val="true"/>
        </w:rPr>
        <w:footnoteReference w:id="2025"/>
      </w:r>
      <w:r>
        <w:rPr>
          <w:rFonts w:ascii="Amiri" w:hAnsi="Amiri" w:eastAsia="Amiri" w:cs="Amiri"/>
          <w:color w:val="111111"/>
          <w:sz w:val="28"/>
          <w:sz w:val="28"/>
          <w:szCs w:val="28"/>
          <w:rtl w:val="true"/>
          <w:lang w:bidi="ar-SA"/>
        </w:rPr>
        <w:t xml:space="preserve">، و الديلمي أوجب في اللحم المجرّد لفّه بخرقة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يتضمّن أحكاماً ستّة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 المرفوع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w:t>
      </w:r>
      <w:r>
        <w:rPr>
          <w:rStyle w:val="FootnoteAnchor"/>
          <w:rtl w:val="true"/>
        </w:rPr>
        <w:footnoteReference w:id="2028"/>
      </w:r>
      <w:r>
        <w:rPr>
          <w:rFonts w:ascii="Amiri" w:hAnsi="Amiri" w:eastAsia="Amiri" w:cs="Amiri"/>
          <w:color w:val="111111"/>
          <w:sz w:val="28"/>
          <w:sz w:val="28"/>
          <w:szCs w:val="28"/>
          <w:rtl w:val="true"/>
          <w:lang w:bidi="ar-SA"/>
        </w:rPr>
        <w:t xml:space="preserve">، بل الحسن الموجب للصلاة على مطلق العظم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الصحيح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الخبرين </w:t>
      </w:r>
      <w:r>
        <w:rPr>
          <w:rStyle w:val="FootnoteAnchor"/>
          <w:rtl w:val="true"/>
        </w:rPr>
        <w:footnoteReference w:id="2031"/>
      </w:r>
      <w:r>
        <w:rPr>
          <w:rFonts w:ascii="Amiri" w:hAnsi="Amiri" w:eastAsia="Amiri" w:cs="Amiri"/>
          <w:color w:val="111111"/>
          <w:sz w:val="28"/>
          <w:sz w:val="28"/>
          <w:szCs w:val="28"/>
          <w:rtl w:val="true"/>
          <w:lang w:bidi="ar-SA"/>
        </w:rPr>
        <w:t>، و بعضها و إن تضمّن مجرّد الصلاة دون الثلاثة الأُخر إلّا أنّ استلزامها لها ثابت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الخامس</w:t>
      </w:r>
    </w:p>
    <w:p>
      <w:pPr>
        <w:pStyle w:val="BookText"/>
        <w:rPr/>
      </w:pPr>
      <w:r>
        <w:rPr>
          <w:rFonts w:ascii="Amiri" w:hAnsi="Amiri" w:eastAsia="Amiri" w:cs="Amiri"/>
          <w:color w:val="111111"/>
          <w:sz w:val="28"/>
          <w:sz w:val="28"/>
          <w:szCs w:val="28"/>
          <w:rtl w:val="true"/>
          <w:lang w:bidi="ar-SA"/>
        </w:rPr>
        <w:t xml:space="preserve">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تغسيل يد بن عتاب </w:t>
      </w:r>
      <w:r>
        <w:rPr>
          <w:rStyle w:val="FootnoteAnchor"/>
          <w:rtl w:val="true"/>
        </w:rPr>
        <w:footnoteReference w:id="2032"/>
      </w:r>
      <w:r>
        <w:rPr>
          <w:rFonts w:ascii="Amiri" w:hAnsi="Amiri" w:eastAsia="Amiri" w:cs="Amiri"/>
          <w:color w:val="111111"/>
          <w:sz w:val="28"/>
          <w:sz w:val="28"/>
          <w:szCs w:val="28"/>
          <w:rtl w:val="true"/>
          <w:lang w:bidi="ar-SA"/>
        </w:rPr>
        <w:t xml:space="preserve">بمحضر الصحابة </w:t>
      </w:r>
      <w:r>
        <w:rPr>
          <w:rStyle w:val="FootnoteAnchor"/>
          <w:rtl w:val="true"/>
        </w:rPr>
        <w:footnoteReference w:id="2033"/>
      </w:r>
      <w:r>
        <w:rPr>
          <w:rFonts w:ascii="Amiri" w:hAnsi="Amiri" w:eastAsia="Amiri" w:cs="Amiri"/>
          <w:color w:val="111111"/>
          <w:sz w:val="28"/>
          <w:sz w:val="28"/>
          <w:szCs w:val="28"/>
          <w:rtl w:val="true"/>
          <w:lang w:bidi="ar-SA"/>
        </w:rPr>
        <w:t xml:space="preserve">، و يعضده المرسل الموجب للغسل بمسّ كلّ ما فيه عظم </w:t>
      </w:r>
      <w:r>
        <w:rPr>
          <w:rStyle w:val="FootnoteAnchor"/>
          <w:rtl w:val="true"/>
        </w:rPr>
        <w:footnoteReference w:id="2034"/>
      </w:r>
      <w:r>
        <w:rPr>
          <w:rFonts w:ascii="Amiri" w:hAnsi="Amiri" w:eastAsia="Amiri" w:cs="Amiri"/>
          <w:color w:val="111111"/>
          <w:sz w:val="28"/>
          <w:sz w:val="28"/>
          <w:szCs w:val="28"/>
          <w:rtl w:val="true"/>
          <w:lang w:bidi="ar-SA"/>
        </w:rPr>
        <w:t>إذ ما يجب الغسل بمسّه يجب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عدم الدليل على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w:t>
      </w:r>
      <w:r>
        <w:rPr>
          <w:rStyle w:val="FootnoteAnchor"/>
          <w:rtl w:val="true"/>
        </w:rPr>
        <w:footnoteReference w:id="2035"/>
      </w:r>
      <w:r>
        <w:rPr>
          <w:rFonts w:ascii="Amiri" w:hAnsi="Amiri" w:eastAsia="Amiri" w:cs="Amiri"/>
          <w:color w:val="111111"/>
          <w:sz w:val="28"/>
          <w:sz w:val="28"/>
          <w:szCs w:val="28"/>
          <w:rtl w:val="true"/>
          <w:lang w:bidi="ar-SA"/>
        </w:rPr>
        <w:t>، و لا دلالة له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يحضرني حجّة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مستندهما ما نقله من الوفاق،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2036"/>
      </w:r>
      <w:r>
        <w:rPr>
          <w:rFonts w:ascii="Amiri" w:hAnsi="Amiri" w:eastAsia="Amiri" w:cs="Amiri"/>
          <w:color w:val="111111"/>
          <w:sz w:val="28"/>
          <w:sz w:val="28"/>
          <w:szCs w:val="28"/>
          <w:rtl w:val="true"/>
          <w:lang w:bidi="ar-SA"/>
        </w:rPr>
        <w:t xml:space="preserve">الموجب للصلاة على كلّ عظم بلا لحم، و ما ورد في المرسل و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037"/>
      </w:r>
      <w:r>
        <w:rPr>
          <w:rFonts w:ascii="Amiri" w:hAnsi="Amiri" w:eastAsia="Amiri" w:cs="Amiri"/>
          <w:color w:val="111111"/>
          <w:sz w:val="28"/>
          <w:sz w:val="28"/>
          <w:szCs w:val="28"/>
          <w:rtl w:val="true"/>
          <w:lang w:bidi="ar-SA"/>
        </w:rPr>
        <w:t>من وجوب الصلاة على العضو التامّ و عدم وجوبها على الناقص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بالحمل على الاستحباب؛ لمعارضتهما المستفيضة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الرضوي </w:t>
      </w:r>
      <w:r>
        <w:rPr>
          <w:rStyle w:val="FootnoteAnchor"/>
          <w:rtl w:val="true"/>
        </w:rPr>
        <w:footnoteReference w:id="2039"/>
      </w:r>
      <w:r>
        <w:rPr>
          <w:rFonts w:ascii="Amiri" w:hAnsi="Amiri" w:eastAsia="Amiri" w:cs="Amiri"/>
          <w:color w:val="111111"/>
          <w:sz w:val="28"/>
          <w:sz w:val="28"/>
          <w:szCs w:val="28"/>
          <w:rtl w:val="true"/>
          <w:lang w:bidi="ar-SA"/>
        </w:rPr>
        <w:t>، و هي لا تفيد الاختصاص، بل بيان لبعض الأفراد، و كأنّ مبنى فتواه أيضاً على ذلك، فلا يلزم مخالفته للجماعة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عدم الفرق في القطعة بين المبانة من ميّت أو حيّ؛ لإطلاق المرسل </w:t>
      </w:r>
      <w:r>
        <w:rPr>
          <w:rStyle w:val="FootnoteAnchor"/>
          <w:rtl w:val="true"/>
        </w:rPr>
        <w:footnoteReference w:id="2040"/>
      </w:r>
      <w:r>
        <w:rPr>
          <w:rFonts w:ascii="Amiri" w:hAnsi="Amiri" w:eastAsia="Amiri" w:cs="Amiri"/>
          <w:color w:val="111111"/>
          <w:sz w:val="28"/>
          <w:sz w:val="28"/>
          <w:szCs w:val="28"/>
          <w:rtl w:val="true"/>
          <w:lang w:bidi="ar-SA"/>
        </w:rPr>
        <w:t>، و كون التكفين الثابت من بعض الأخبار صريحاً و من بعضها بملاحظة</w:t>
      </w:r>
      <w:bookmarkStart w:id="791" w:name="pg2479_11887"/>
    </w:p>
    <w:p>
      <w:pPr>
        <w:pStyle w:val="BookText"/>
        <w:rPr/>
      </w:pPr>
      <w:bookmarkEnd w:id="791"/>
      <w:r>
        <w:rPr>
          <w:rFonts w:ascii="Amiri" w:hAnsi="Amiri" w:eastAsia="Amiri" w:cs="Amiri"/>
          <w:color w:val="111111"/>
          <w:sz w:val="28"/>
          <w:sz w:val="28"/>
          <w:szCs w:val="28"/>
          <w:rtl w:val="true"/>
          <w:lang w:bidi="ar-SA"/>
        </w:rPr>
        <w:t>الاستلزام المذكور بالقطع الثلاث؛ لأنّه المتبادر، و يحتمل الاكتفاء بواحدة، و وجوب التحنّط في غير الأخير مع بقاء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كون القلب وحده كاللحم المجرّد؛ لظاهر الأخبار </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كالصدر </w:t>
      </w:r>
      <w:r>
        <w:rPr>
          <w:rStyle w:val="FootnoteAnchor"/>
          <w:rtl w:val="true"/>
        </w:rPr>
        <w:footnoteReference w:id="2042"/>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3732399_3804643083"/>
      <w:bookmarkStart w:id="793" w:name="_Toc305"/>
      <w:bookmarkEnd w:id="792"/>
      <w:r>
        <w:rPr>
          <w:rtl w:val="true"/>
        </w:rPr>
        <w:t xml:space="preserve">فصل </w:t>
      </w:r>
      <w:r>
        <w:rPr>
          <w:rtl w:val="true"/>
        </w:rPr>
        <w:t>[</w:t>
      </w:r>
      <w:r>
        <w:rPr>
          <w:rtl w:val="true"/>
        </w:rPr>
        <w:t>حكم المرجوم و المقاد</w:t>
      </w:r>
      <w:r>
        <w:rPr>
          <w:rtl w:val="true"/>
        </w:rPr>
        <w:t>]</w:t>
      </w:r>
      <w:bookmarkEnd w:id="793"/>
    </w:p>
    <w:p>
      <w:pPr>
        <w:pStyle w:val="BookText"/>
        <w:rPr/>
      </w:pPr>
      <w:r>
        <w:rPr>
          <w:rFonts w:ascii="Amiri" w:hAnsi="Amiri" w:eastAsia="Amiri" w:cs="Amiri"/>
          <w:color w:val="111111"/>
          <w:sz w:val="28"/>
          <w:sz w:val="28"/>
          <w:szCs w:val="28"/>
          <w:rtl w:val="true"/>
          <w:lang w:bidi="ar-SA"/>
        </w:rPr>
        <w:t xml:space="preserve">من يرجم أو يُقاد </w:t>
      </w:r>
      <w:r>
        <w:rPr>
          <w:rStyle w:val="FootnoteAnchor"/>
          <w:rtl w:val="true"/>
        </w:rPr>
        <w:footnoteReference w:id="2043"/>
      </w:r>
      <w:r>
        <w:rPr>
          <w:rFonts w:ascii="Amiri" w:hAnsi="Amiri" w:eastAsia="Amiri" w:cs="Amiri"/>
          <w:color w:val="111111"/>
          <w:sz w:val="28"/>
          <w:sz w:val="28"/>
          <w:szCs w:val="28"/>
          <w:rtl w:val="true"/>
          <w:lang w:bidi="ar-SA"/>
        </w:rPr>
        <w:t xml:space="preserve">يؤمر بالغسل و التحنيط و التكفين ثمّ يقتل و لا يغسل، بل يصلّى عليه و يدفن بالإجماعين و المستفيضة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ينسحب الحكم إلى كلّ من وجب قتله؛ للمشاركة في السبب،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يغتسل قبل القتل وجب تغسيله بعده على المشهور؛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الفتاوى وجوب الأمر به، و ليس في النصوص منه أثر، فيكفي اغتساله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مع الجهل أو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تحتّم التقديم و كونه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التخيير و كونه رخصة ضعيف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الغسل كغسل الميّت؛ لبدليّته الموجبة للمماثلة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تضمّن النص</w:t>
      </w:r>
      <w:bookmarkStart w:id="794" w:name="pg2479_11889"/>
    </w:p>
    <w:p>
      <w:pPr>
        <w:pStyle w:val="BookText"/>
        <w:rPr/>
      </w:pPr>
      <w:bookmarkEnd w:id="794"/>
      <w:r>
        <w:rPr>
          <w:rFonts w:ascii="Amiri" w:hAnsi="Amiri" w:eastAsia="Amiri" w:cs="Amiri"/>
          <w:color w:val="111111"/>
          <w:sz w:val="28"/>
          <w:sz w:val="28"/>
          <w:szCs w:val="28"/>
          <w:rtl w:val="true"/>
          <w:lang w:bidi="ar-SA"/>
        </w:rPr>
        <w:t xml:space="preserve">للتحنيط و التكفين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فيه الغسلات الثلاث، و القول بكفاية الواحدة </w:t>
      </w:r>
      <w:r>
        <w:rPr>
          <w:rStyle w:val="FootnoteAnchor"/>
          <w:rtl w:val="true"/>
        </w:rPr>
        <w:footnoteReference w:id="204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تداخل غيره من الأغسال فيه؛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التداخل في بعض الموارد بدلالة خارجة لا يثبت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موته قبله بعد الاغتسال، وجب الإعادة، اقتصاراً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قتل بسبب آخر؛ لأصالة عدم إجراء الغسل بسبب عن الغسل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الغسل يقوم مقام الغسل بعد الموت في إيجابه طهارته و عدم وجوب الغسل بمسّه، فلا يجب غسل آخر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الصلاة بالإجماعين، و عموم الأمر، و خصوص بعض النصوص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3732401_3804643083"/>
      <w:bookmarkStart w:id="796" w:name="_Toc306"/>
      <w:bookmarkEnd w:id="795"/>
      <w:r>
        <w:rPr>
          <w:rtl w:val="true"/>
        </w:rPr>
        <w:t xml:space="preserve">فصل </w:t>
      </w:r>
      <w:r>
        <w:rPr>
          <w:rtl w:val="true"/>
        </w:rPr>
        <w:t>[</w:t>
      </w:r>
      <w:r>
        <w:rPr>
          <w:rtl w:val="true"/>
        </w:rPr>
        <w:t>حكم المحرم</w:t>
      </w:r>
      <w:r>
        <w:rPr>
          <w:rtl w:val="true"/>
        </w:rPr>
        <w:t>]</w:t>
      </w:r>
      <w:bookmarkEnd w:id="79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 كالمحلّ في الحكم، إلّا في التحنيط بالكافور و وضعه في ماء غسله؛ لصريح المستفيضة </w:t>
      </w:r>
      <w:r>
        <w:rPr>
          <w:rStyle w:val="FootnoteAnchor"/>
          <w:rtl w:val="true"/>
        </w:rPr>
        <w:footnoteReference w:id="2049"/>
      </w:r>
      <w:r>
        <w:rPr>
          <w:rFonts w:ascii="Amiri" w:hAnsi="Amiri" w:eastAsia="Amiri" w:cs="Amiri"/>
          <w:color w:val="111111"/>
          <w:sz w:val="28"/>
          <w:sz w:val="28"/>
          <w:szCs w:val="28"/>
          <w:rtl w:val="true"/>
          <w:lang w:bidi="ar-SA"/>
        </w:rPr>
        <w:t xml:space="preserve">، و هي مصرّحة بتغطية رأسه، و يعضدها إطلاقات التسوية بين الموتى في الأحكام، خرج حكم الكافور بالنصّ </w:t>
      </w:r>
      <w:r>
        <w:rPr>
          <w:rStyle w:val="FootnoteAnchor"/>
          <w:rtl w:val="true"/>
        </w:rPr>
        <w:footnoteReference w:id="2050"/>
      </w: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منها</w:t>
      </w:r>
      <w:bookmarkStart w:id="797" w:name="pg2479_11891"/>
    </w:p>
    <w:p>
      <w:pPr>
        <w:pStyle w:val="BookText"/>
        <w:rPr/>
      </w:pPr>
      <w:bookmarkEnd w:id="797"/>
      <w:r>
        <w:rPr>
          <w:rFonts w:ascii="Amiri" w:hAnsi="Amiri" w:eastAsia="Amiri" w:cs="Amiri"/>
          <w:color w:val="111111"/>
          <w:sz w:val="28"/>
          <w:sz w:val="28"/>
          <w:szCs w:val="28"/>
          <w:rtl w:val="true"/>
          <w:lang w:bidi="ar-SA"/>
        </w:rPr>
        <w:t xml:space="preserve">السيّد و العماني </w:t>
      </w:r>
      <w:r>
        <w:rPr>
          <w:rStyle w:val="FootnoteAnchor"/>
          <w:rtl w:val="true"/>
        </w:rPr>
        <w:footnoteReference w:id="2051"/>
      </w:r>
      <w:r>
        <w:rPr>
          <w:rFonts w:ascii="Amiri" w:hAnsi="Amiri" w:eastAsia="Amiri" w:cs="Amiri"/>
          <w:color w:val="111111"/>
          <w:sz w:val="28"/>
          <w:sz w:val="28"/>
          <w:szCs w:val="28"/>
          <w:rtl w:val="true"/>
          <w:lang w:bidi="ar-SA"/>
        </w:rPr>
        <w:t>لأدلّة ضعيفة لا يعبأ بها في مقابلة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إباحة الكافور له لو مات بعد طواف الزيارة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لزوال تحريم الطيب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به المعتكف و المعتدّة و إن حرم عليهما الطيب حيّين؛ لعدم النص، و 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كون الحداد للتفجّع على الزوج و قد زال بالموت</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3732403_3804643083"/>
      <w:bookmarkStart w:id="799" w:name="_Toc307"/>
      <w:bookmarkEnd w:id="798"/>
      <w:r>
        <w:rPr>
          <w:rtl w:val="true"/>
        </w:rPr>
        <w:t xml:space="preserve">فصل </w:t>
      </w:r>
      <w:r>
        <w:rPr>
          <w:rtl w:val="true"/>
        </w:rPr>
        <w:t>[</w:t>
      </w:r>
      <w:r>
        <w:rPr>
          <w:rtl w:val="true"/>
        </w:rPr>
        <w:t>حكم الجنين</w:t>
      </w:r>
      <w:r>
        <w:rPr>
          <w:rtl w:val="true"/>
        </w:rPr>
        <w:t>]</w:t>
      </w:r>
      <w:bookmarkEnd w:id="799"/>
    </w:p>
    <w:p>
      <w:pPr>
        <w:pStyle w:val="BookText"/>
        <w:rPr/>
      </w:pPr>
      <w:r>
        <w:rPr>
          <w:rFonts w:ascii="Amiri" w:hAnsi="Amiri" w:eastAsia="Amiri" w:cs="Amiri"/>
          <w:color w:val="111111"/>
          <w:sz w:val="28"/>
          <w:sz w:val="28"/>
          <w:szCs w:val="28"/>
          <w:rtl w:val="true"/>
          <w:lang w:bidi="ar-SA"/>
        </w:rPr>
        <w:t xml:space="preserve">ما في بطن الميّتة من الجنين مع موته كالجزء من امّه، و كفى تغسيلها عن تغسيله، و مع حياته تشقّ بطنها و يخرج بالإجماع و المستفيضة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المعروف كون الشقّ من الأيسر، لنقل الإجماع </w:t>
      </w:r>
      <w:r>
        <w:rPr>
          <w:rStyle w:val="FootnoteAnchor"/>
          <w:rtl w:val="true"/>
        </w:rPr>
        <w:footnoteReference w:id="2054"/>
      </w:r>
      <w:r>
        <w:rPr>
          <w:rFonts w:ascii="Amiri" w:hAnsi="Amiri" w:eastAsia="Amiri" w:cs="Amiri"/>
          <w:color w:val="111111"/>
          <w:sz w:val="28"/>
          <w:sz w:val="28"/>
          <w:szCs w:val="28"/>
          <w:rtl w:val="true"/>
          <w:lang w:bidi="ar-SA"/>
        </w:rPr>
        <w:t xml:space="preserve">و عبارة الرضوي </w:t>
      </w:r>
      <w:r>
        <w:rPr>
          <w:rStyle w:val="FootnoteAnchor"/>
          <w:rtl w:val="true"/>
        </w:rPr>
        <w:footnoteReference w:id="2055"/>
      </w:r>
      <w:r>
        <w:rPr>
          <w:rFonts w:ascii="IRNazanin" w:hAnsi="IRNazanin" w:eastAsia="IRNazanin"/>
          <w:color w:val="111111"/>
          <w:sz w:val="28"/>
          <w:sz w:val="28"/>
          <w:szCs w:val="28"/>
          <w:rtl w:val="true"/>
          <w:lang w:bidi="fa-IR"/>
        </w:rPr>
        <w:t xml:space="preserve">، و قد أفتى بها الصدوقان </w:t>
      </w:r>
      <w:r>
        <w:rPr>
          <w:rStyle w:val="FootnoteAnchor"/>
          <w:rtl w:val="true"/>
        </w:rPr>
        <w:footnoteReference w:id="2056"/>
      </w:r>
      <w:r>
        <w:rPr>
          <w:rFonts w:ascii="Amiri" w:hAnsi="Amiri" w:eastAsia="Amiri" w:cs="Amiri"/>
          <w:color w:val="111111"/>
          <w:sz w:val="28"/>
          <w:sz w:val="28"/>
          <w:szCs w:val="28"/>
          <w:rtl w:val="true"/>
          <w:lang w:bidi="ar-SA"/>
        </w:rPr>
        <w:t>، كما هو دأبهما في الإفتاء بعباراته، و بذلك يعلم اعتماد الأوائل عليه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خياطة الموضع بعد الإخراج كما عليه المعظم؛ للمرسل و المقطوع </w:t>
      </w:r>
      <w:r>
        <w:rPr>
          <w:rStyle w:val="FootnoteAnchor"/>
          <w:rtl w:val="true"/>
        </w:rPr>
        <w:footnoteReference w:id="2057"/>
      </w:r>
      <w:r>
        <w:rPr>
          <w:rFonts w:ascii="Amiri" w:hAnsi="Amiri" w:eastAsia="Amiri" w:cs="Amiri"/>
          <w:color w:val="111111"/>
          <w:sz w:val="28"/>
          <w:sz w:val="28"/>
          <w:szCs w:val="28"/>
          <w:rtl w:val="true"/>
          <w:lang w:bidi="ar-SA"/>
        </w:rPr>
        <w:t>، و ضعفهما منجبر بالعمل، مع أنّه نوع حرمة للميّت و حفظ له عن التبدّد، و نفاها</w:t>
      </w:r>
      <w:bookmarkStart w:id="800" w:name="pg2479_11893"/>
    </w:p>
    <w:p>
      <w:pPr>
        <w:pStyle w:val="BookText"/>
        <w:rPr/>
      </w:pPr>
      <w:bookmarkEnd w:id="800"/>
      <w:r>
        <w:rPr>
          <w:rFonts w:ascii="Amiri" w:hAnsi="Amiri" w:eastAsia="Amiri" w:cs="Amiri"/>
          <w:color w:val="111111"/>
          <w:sz w:val="28"/>
          <w:sz w:val="28"/>
          <w:szCs w:val="28"/>
          <w:rtl w:val="true"/>
          <w:lang w:bidi="ar-SA"/>
        </w:rPr>
        <w:t xml:space="preserve">المحقّق </w:t>
      </w:r>
      <w:r>
        <w:rPr>
          <w:rStyle w:val="FootnoteAnchor"/>
          <w:rtl w:val="true"/>
        </w:rPr>
        <w:footnoteReference w:id="2058"/>
      </w:r>
      <w:r>
        <w:rPr>
          <w:rFonts w:ascii="Amiri" w:hAnsi="Amiri" w:eastAsia="Amiri" w:cs="Amiri"/>
          <w:color w:val="111111"/>
          <w:sz w:val="28"/>
          <w:sz w:val="28"/>
          <w:szCs w:val="28"/>
          <w:rtl w:val="true"/>
          <w:lang w:bidi="ar-SA"/>
        </w:rPr>
        <w:t>لضعف الخبرين و كونه نوع زجر له، و جوابه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كون الولد ممّا يعيش عادة؛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و هي حيّة قطّع و أُخرج؛ لنقل الإجماع </w:t>
      </w:r>
      <w:r>
        <w:rPr>
          <w:rStyle w:val="FootnoteAnchor"/>
          <w:rtl w:val="true"/>
        </w:rPr>
        <w:footnoteReference w:id="2059"/>
      </w:r>
      <w:r>
        <w:rPr>
          <w:rFonts w:ascii="Amiri" w:hAnsi="Amiri" w:eastAsia="Amiri" w:cs="Amiri"/>
          <w:color w:val="111111"/>
          <w:sz w:val="28"/>
          <w:sz w:val="28"/>
          <w:szCs w:val="28"/>
          <w:rtl w:val="true"/>
          <w:lang w:bidi="ar-SA"/>
        </w:rPr>
        <w:t xml:space="preserve">و صريح الخبرين و الرضوي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الشق و التقطيع إذا تعذّر الإخراج بدونهما، و لو أمكن بعلاج حرما و تعيّن</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3732405_3804643083"/>
      <w:bookmarkStart w:id="802" w:name="_Toc308"/>
      <w:bookmarkEnd w:id="801"/>
      <w:r>
        <w:rPr>
          <w:rtl w:val="true"/>
        </w:rPr>
        <w:t>فصل</w:t>
      </w:r>
      <w:bookmarkEnd w:id="802"/>
    </w:p>
    <w:p>
      <w:pPr>
        <w:pStyle w:val="Heading6"/>
        <w:numPr>
          <w:ilvl w:val="5"/>
          <w:numId w:val="1"/>
        </w:numPr>
        <w:rPr/>
      </w:pPr>
      <w:bookmarkStart w:id="803" w:name="__RefHeading___Toc3732407_3804643083"/>
      <w:bookmarkStart w:id="804" w:name="_Toc309"/>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تغسيل الميّت من وكيد السنن، و النصوص بعظم أجره متظافرة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قبله إزالة النجاسة العارضة، بالإجماع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يغسل بماء السدر، ثمّ الكافور، ثمّ القراح، وفاقاً للمعظم؛ لنقل الإجماع </w:t>
      </w:r>
      <w:r>
        <w:rPr>
          <w:rStyle w:val="FootnoteAnchor"/>
          <w:rtl w:val="true"/>
        </w:rPr>
        <w:footnoteReference w:id="2062"/>
      </w:r>
      <w:r>
        <w:rPr>
          <w:rFonts w:ascii="Amiri" w:hAnsi="Amiri" w:eastAsia="Amiri" w:cs="Amiri"/>
          <w:color w:val="111111"/>
          <w:sz w:val="28"/>
          <w:sz w:val="28"/>
          <w:szCs w:val="28"/>
          <w:rtl w:val="true"/>
          <w:lang w:bidi="ar-SA"/>
        </w:rPr>
        <w:t xml:space="preserve">و المتظافرة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الديلمي اكتفى بالأخير </w:t>
      </w:r>
      <w:r>
        <w:rPr>
          <w:rStyle w:val="FootnoteAnchor"/>
          <w:rtl w:val="true"/>
        </w:rPr>
        <w:footnoteReference w:id="2064"/>
      </w:r>
      <w:r>
        <w:rPr>
          <w:rFonts w:ascii="IRNazanin" w:hAnsi="IRNazanin" w:eastAsia="IRNazanin"/>
          <w:color w:val="111111"/>
          <w:sz w:val="28"/>
          <w:sz w:val="28"/>
          <w:szCs w:val="28"/>
          <w:rtl w:val="true"/>
          <w:lang w:bidi="fa-IR"/>
        </w:rPr>
        <w:t xml:space="preserve">لخبر </w:t>
      </w:r>
      <w:r>
        <w:rPr>
          <w:rStyle w:val="FootnoteAnchor"/>
          <w:rtl w:val="true"/>
        </w:rPr>
        <w:footnoteReference w:id="2065"/>
      </w:r>
      <w:r>
        <w:rPr>
          <w:rFonts w:ascii="Amiri" w:hAnsi="Amiri" w:eastAsia="Amiri" w:cs="Amiri"/>
          <w:color w:val="111111"/>
          <w:sz w:val="28"/>
          <w:sz w:val="28"/>
          <w:szCs w:val="28"/>
          <w:rtl w:val="true"/>
          <w:lang w:bidi="ar-SA"/>
        </w:rPr>
        <w:t>لا دلالة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مقتضاها وجوب الترتيب بين الغسلات الثلاث، كما ذكر، و في كلّ منها</w:t>
      </w:r>
      <w:bookmarkStart w:id="805" w:name="pg2479_11895"/>
    </w:p>
    <w:p>
      <w:pPr>
        <w:pStyle w:val="BookText"/>
        <w:rPr/>
      </w:pPr>
      <w:bookmarkEnd w:id="805"/>
      <w:r>
        <w:rPr>
          <w:rFonts w:ascii="Amiri" w:hAnsi="Amiri" w:eastAsia="Amiri" w:cs="Amiri"/>
          <w:color w:val="111111"/>
          <w:sz w:val="28"/>
          <w:sz w:val="28"/>
          <w:szCs w:val="28"/>
          <w:rtl w:val="true"/>
          <w:lang w:bidi="ar-SA"/>
        </w:rPr>
        <w:t xml:space="preserve">بتقديم الرأس ثمّ الأيمن ثمّ الأيسر كغسل الجنابة و عليهما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066"/>
      </w:r>
      <w:r>
        <w:rPr>
          <w:rFonts w:ascii="IRNazanin" w:hAnsi="IRNazanin" w:eastAsia="IRNazanin"/>
          <w:color w:val="111111"/>
          <w:sz w:val="28"/>
          <w:sz w:val="28"/>
          <w:szCs w:val="28"/>
          <w:rtl w:val="true"/>
          <w:lang w:bidi="fa-IR"/>
        </w:rPr>
        <w:t xml:space="preserve">، و عموم الخبر </w:t>
      </w:r>
      <w:r>
        <w:rPr>
          <w:rStyle w:val="FootnoteAnchor"/>
          <w:rtl w:val="true"/>
        </w:rPr>
        <w:footnoteReference w:id="2067"/>
      </w:r>
      <w:r>
        <w:rPr>
          <w:rFonts w:ascii="Amiri" w:hAnsi="Amiri" w:eastAsia="Amiri" w:cs="Amiri"/>
          <w:color w:val="111111"/>
          <w:sz w:val="28"/>
          <w:sz w:val="28"/>
          <w:szCs w:val="28"/>
          <w:rtl w:val="true"/>
          <w:lang w:bidi="ar-SA"/>
        </w:rPr>
        <w:t>يعضد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ابن حمزة بالاستحباب في الأوّل </w:t>
      </w:r>
      <w:r>
        <w:rPr>
          <w:rStyle w:val="FootnoteAnchor"/>
          <w:rtl w:val="true"/>
        </w:rPr>
        <w:footnoteReference w:id="2068"/>
      </w:r>
      <w:r>
        <w:rPr>
          <w:rFonts w:ascii="Amiri" w:hAnsi="Amiri" w:eastAsia="Amiri" w:cs="Amiri"/>
          <w:color w:val="111111"/>
          <w:sz w:val="28"/>
          <w:sz w:val="28"/>
          <w:szCs w:val="28"/>
          <w:rtl w:val="true"/>
          <w:lang w:bidi="ar-SA"/>
        </w:rPr>
        <w:t xml:space="preserve">ضعيف، و الخبر المشعر بعدم الترتيب </w:t>
      </w:r>
      <w:r>
        <w:rPr>
          <w:rStyle w:val="FootnoteAnchor"/>
          <w:rtl w:val="true"/>
        </w:rPr>
        <w:footnoteReference w:id="2069"/>
      </w:r>
      <w:r>
        <w:rPr>
          <w:rFonts w:ascii="Amiri" w:hAnsi="Amiri" w:eastAsia="Amiri" w:cs="Amiri"/>
          <w:color w:val="111111"/>
          <w:sz w:val="28"/>
          <w:sz w:val="28"/>
          <w:szCs w:val="28"/>
          <w:rtl w:val="true"/>
          <w:lang w:bidi="ar-SA"/>
        </w:rPr>
        <w:t>متروك الظاهر؛ لاشتماله على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الترتيب في الثاني بغمسه في الكثير كغسل الجنابة؛ لمساواتها بالنص </w:t>
      </w:r>
      <w:r>
        <w:rPr>
          <w:rStyle w:val="FootnoteAnchor"/>
          <w:rtl w:val="true"/>
        </w:rPr>
        <w:footnoteReference w:id="2070"/>
      </w:r>
      <w:r>
        <w:rPr>
          <w:rFonts w:ascii="IRNazanin" w:hAnsi="IRNazanin" w:eastAsia="IRNazanin"/>
          <w:color w:val="111111"/>
          <w:sz w:val="28"/>
          <w:sz w:val="28"/>
          <w:szCs w:val="28"/>
          <w:rtl w:val="true"/>
          <w:lang w:bidi="fa-IR"/>
        </w:rPr>
        <w:t>، و حصول ما هو المطلوب من الغسل</w:t>
      </w:r>
      <w:r>
        <w:rPr>
          <w:rFonts w:eastAsia="IRNazanin" w:cs="IRNazanin"/>
          <w:color w:val="111111"/>
          <w:sz w:val="28"/>
          <w:szCs w:val="28"/>
          <w:rtl w:val="true"/>
          <w:lang w:bidi="fa-IR"/>
        </w:rPr>
        <w:t>.</w:t>
      </w:r>
    </w:p>
    <w:p>
      <w:pPr>
        <w:pStyle w:val="Heading6"/>
        <w:numPr>
          <w:ilvl w:val="5"/>
          <w:numId w:val="1"/>
        </w:numPr>
        <w:rPr/>
      </w:pPr>
      <w:bookmarkStart w:id="806" w:name="__RefHeading___Toc3732409_3804643083"/>
      <w:bookmarkStart w:id="807" w:name="_Toc310"/>
      <w:bookmarkEnd w:id="806"/>
      <w:r>
        <w:rPr>
          <w:rtl w:val="true"/>
        </w:rPr>
        <w:t>فروع</w:t>
      </w:r>
      <w:r>
        <w:rPr>
          <w:rtl w:val="true"/>
        </w:rPr>
        <w:t>:</w:t>
      </w:r>
      <w:bookmarkEnd w:id="807"/>
    </w:p>
    <w:p>
      <w:pPr>
        <w:pStyle w:val="Heading6"/>
        <w:numPr>
          <w:ilvl w:val="5"/>
          <w:numId w:val="1"/>
        </w:numPr>
        <w:rPr/>
      </w:pPr>
      <w:bookmarkStart w:id="808" w:name="__RefHeading___Toc3732411_3804643083"/>
      <w:bookmarkStart w:id="809" w:name="_Toc311"/>
      <w:bookmarkEnd w:id="808"/>
      <w:r>
        <w:rPr>
          <w:rtl w:val="true"/>
        </w:rPr>
        <w:t xml:space="preserve">الأوّل </w:t>
      </w:r>
      <w:r>
        <w:rPr>
          <w:rtl w:val="true"/>
        </w:rPr>
        <w:t>[</w:t>
      </w:r>
      <w:r>
        <w:rPr>
          <w:rtl w:val="true"/>
        </w:rPr>
        <w:t>معنىٰ القراح و الخليط</w:t>
      </w:r>
      <w:r>
        <w:rPr>
          <w:rtl w:val="true"/>
        </w:rPr>
        <w:t>]:</w:t>
      </w:r>
      <w:bookmarkEnd w:id="809"/>
    </w:p>
    <w:p>
      <w:pPr>
        <w:pStyle w:val="BookText"/>
        <w:rPr/>
      </w:pPr>
      <w:r>
        <w:rPr>
          <w:rFonts w:ascii="Amiri" w:hAnsi="Amiri" w:eastAsia="Amiri" w:cs="Amiri"/>
          <w:color w:val="111111"/>
          <w:sz w:val="28"/>
          <w:sz w:val="28"/>
          <w:szCs w:val="28"/>
          <w:rtl w:val="true"/>
          <w:lang w:bidi="ar-SA"/>
        </w:rPr>
        <w:t>المراد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الخالص عن الخليط و إن خالطه غيره إذا لم يخرجه عن الإطلاق، فتعبيره بالخالص عن كل شي‌ء و إخراج مثل ماء السيل عنه باطل؛ لإجماعهم على إطلاق 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الخليط مسمّاه ما لم يرفع الإطلاق، و لم يثبت الإضافة المنافية له سواء أثبت المجامعة أم لا، وفاقاً للمشهور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بعضهم اشترط إحدى الإضافتين </w:t>
      </w:r>
      <w:r>
        <w:rPr>
          <w:rStyle w:val="FootnoteAnchor"/>
          <w:rtl w:val="true"/>
        </w:rPr>
        <w:footnoteReference w:id="2071"/>
      </w:r>
      <w:r>
        <w:rPr>
          <w:rFonts w:ascii="Amiri" w:hAnsi="Amiri" w:eastAsia="Amiri" w:cs="Amiri"/>
          <w:color w:val="111111"/>
          <w:sz w:val="28"/>
          <w:sz w:val="28"/>
          <w:szCs w:val="28"/>
          <w:rtl w:val="true"/>
          <w:lang w:bidi="ar-SA"/>
        </w:rPr>
        <w:t xml:space="preserve">، و بعضهم لم يشترط بقاء الإطلاق </w:t>
      </w:r>
      <w:r>
        <w:rPr>
          <w:rStyle w:val="FootnoteAnchor"/>
          <w:rtl w:val="true"/>
        </w:rPr>
        <w:footnoteReference w:id="20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المفيد قدّر السدر برطل و نحوه </w:t>
      </w:r>
      <w:r>
        <w:rPr>
          <w:rStyle w:val="FootnoteAnchor"/>
          <w:rtl w:val="true"/>
        </w:rPr>
        <w:footnoteReference w:id="2073"/>
      </w:r>
      <w:r>
        <w:rPr>
          <w:rFonts w:ascii="Amiri" w:hAnsi="Amiri" w:eastAsia="Amiri" w:cs="Amiri"/>
          <w:color w:val="111111"/>
          <w:sz w:val="28"/>
          <w:sz w:val="28"/>
          <w:szCs w:val="28"/>
          <w:rtl w:val="true"/>
          <w:lang w:bidi="ar-SA"/>
        </w:rPr>
        <w:t xml:space="preserve">، و القاضي برطل و نصفه </w:t>
      </w:r>
      <w:r>
        <w:rPr>
          <w:rStyle w:val="FootnoteAnchor"/>
          <w:rtl w:val="true"/>
        </w:rPr>
        <w:footnoteReference w:id="2074"/>
      </w:r>
      <w:r>
        <w:rPr>
          <w:rFonts w:ascii="IRNazanin" w:hAnsi="IRNazanin" w:eastAsia="IRNazanin"/>
          <w:color w:val="111111"/>
          <w:sz w:val="28"/>
          <w:sz w:val="28"/>
          <w:szCs w:val="28"/>
          <w:rtl w:val="true"/>
          <w:lang w:bidi="fa-IR"/>
        </w:rPr>
        <w:t xml:space="preserve">، و بعض بسبع ورقات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الخليطين أو تقييدهما بشي‌ء، أو الكافور بكونه حبّات أو نصف حبّة، أو الجمع بين المطلق منهما و الماء المطلق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يفيد كفاية ما يصدق به التسمية، سواء وافق أحد التقديرات المذكورة أم لا، و أثبت إحدى الإضافتين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به الأقوال المخالفة سوى الثاني؛ إذ مع شمول الوارد في النصوص ما أثبت الإضافة الرافعة للإطلاق يلزم عدم اشتراط بقائه، إلّا أنّ المعارض ألزمنا إلى تخصيصه بما لا يرفعه، و هو كون الغسلتين الأُوليين كالثالثة في الطهوريّة؛ لوفاقهم على وجوب الترتيب فيهما و بينهما و طهارة ما بهما و تقديم إزالة الخبث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من شرائط الأغسال الشرعيّة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طهوريّتهما يلزم بقاء الإطلاق؛ إذ غير المطلق لا يطهّر، و تخصيص الطهوريّة بالثالثة، و جعلهما للتنظيف و الحفظ من الهوام منفي بما ذكر؛ إذ ما شرّع للتنظيف و الحفظ لا يلزم فيه الترتيب و لا تقديم إزالة الخبث عليه بمائه؛ 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وفاقهم على حصول التطهّر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قولهم في كثير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و سدر</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ظاهر في اشتراط بقاء الإطلاق</w:t>
      </w:r>
      <w:r>
        <w:rPr>
          <w:rFonts w:eastAsia="Amiri" w:cs="Amiri" w:ascii="Amiri" w:hAnsi="Amiri"/>
          <w:color w:val="111111"/>
          <w:sz w:val="28"/>
          <w:szCs w:val="28"/>
          <w:rtl w:val="true"/>
          <w:lang w:bidi="ar-SA"/>
        </w:rPr>
        <w:t>.</w:t>
      </w:r>
      <w:bookmarkStart w:id="810" w:name="pg2479_11900"/>
    </w:p>
    <w:p>
      <w:pPr>
        <w:pStyle w:val="BookText"/>
        <w:rPr/>
      </w:pPr>
      <w:bookmarkEnd w:id="810"/>
      <w:r>
        <w:rPr>
          <w:rFonts w:ascii="Amiri" w:hAnsi="Amiri" w:eastAsia="Amiri" w:cs="Amiri"/>
          <w:color w:val="111111"/>
          <w:sz w:val="28"/>
          <w:sz w:val="28"/>
          <w:szCs w:val="28"/>
          <w:rtl w:val="true"/>
          <w:lang w:bidi="ar-SA"/>
        </w:rPr>
        <w:t>للمخالف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الأوّل إليهما في الخبر </w:t>
      </w:r>
      <w:r>
        <w:rPr>
          <w:rStyle w:val="FootnoteAnchor"/>
          <w:rtl w:val="true"/>
        </w:rPr>
        <w:footnoteReference w:id="2077"/>
      </w:r>
      <w:r>
        <w:rPr>
          <w:rFonts w:ascii="Amiri" w:hAnsi="Amiri" w:eastAsia="Amiri" w:cs="Amiri"/>
          <w:color w:val="111111"/>
          <w:sz w:val="28"/>
          <w:sz w:val="28"/>
          <w:szCs w:val="28"/>
          <w:rtl w:val="true"/>
          <w:lang w:bidi="ar-SA"/>
        </w:rPr>
        <w:t>، فإنّه ظاهر في اشتراط الإضافة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قدّمناه؛ لأنّ المثبت للإضافة المجامعة أحد أفراد المسمّى؛ لأنّه يعمّه و ما لا يثبت إضافة أصلًا، فأين إفادته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بتغسيل الرأس من رغوة السدر في الخبر و الرضوي </w:t>
      </w:r>
      <w:r>
        <w:rPr>
          <w:rStyle w:val="FootnoteAnchor"/>
          <w:rtl w:val="true"/>
        </w:rPr>
        <w:footnoteReference w:id="2078"/>
      </w:r>
      <w:r>
        <w:rPr>
          <w:rFonts w:ascii="Amiri" w:hAnsi="Amiri" w:eastAsia="Amiri" w:cs="Amiri"/>
          <w:color w:val="111111"/>
          <w:sz w:val="28"/>
          <w:sz w:val="28"/>
          <w:szCs w:val="28"/>
          <w:rtl w:val="true"/>
          <w:lang w:bidi="ar-SA"/>
        </w:rPr>
        <w:t>، و مقتضاه اشتراط الإضافة الرافعة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بحمل الرغوة على ما لا يخرج عن الإطلاق، جمعاً، و هو ما يحصل من ضرب الماء مع سدر لا يخرجه عنه، فإنّ مسمّاها، بل الأزيد منه يحصل من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الندب بعد جعله فعلًا خارجاً عن حقيقة الغسل مقدّماً عليه، كما ذكره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الأصحاب من ترغية السدر يتعيّن فيه أيضاً أحد الحملين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على حجّة للمفيد 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w:t>
      </w:r>
      <w:r>
        <w:rPr>
          <w:rStyle w:val="FootnoteAnchor"/>
          <w:rtl w:val="true"/>
        </w:rPr>
        <w:footnoteReference w:id="2079"/>
      </w:r>
      <w:r>
        <w:rPr>
          <w:rFonts w:ascii="IRNazanin" w:hAnsi="IRNazanin" w:eastAsia="IRNazanin"/>
          <w:color w:val="111111"/>
          <w:sz w:val="28"/>
          <w:sz w:val="28"/>
          <w:szCs w:val="28"/>
          <w:rtl w:val="true"/>
          <w:lang w:bidi="fa-IR"/>
        </w:rPr>
        <w:t>، و هما محمولان على الندب جمعاً</w:t>
      </w:r>
      <w:r>
        <w:rPr>
          <w:rFonts w:eastAsia="IRNazanin" w:cs="IRNazanin"/>
          <w:color w:val="111111"/>
          <w:sz w:val="28"/>
          <w:szCs w:val="28"/>
          <w:rtl w:val="true"/>
          <w:lang w:bidi="fa-IR"/>
        </w:rPr>
        <w:t>.</w:t>
      </w:r>
    </w:p>
    <w:p>
      <w:pPr>
        <w:pStyle w:val="Heading6"/>
        <w:numPr>
          <w:ilvl w:val="5"/>
          <w:numId w:val="1"/>
        </w:numPr>
        <w:rPr/>
      </w:pPr>
      <w:bookmarkStart w:id="811" w:name="__RefHeading___Toc3732413_3804643083"/>
      <w:bookmarkStart w:id="812" w:name="_Toc312"/>
      <w:bookmarkEnd w:id="811"/>
      <w:r>
        <w:rPr>
          <w:rtl w:val="true"/>
        </w:rPr>
        <w:t xml:space="preserve">الثاني </w:t>
      </w:r>
      <w:r>
        <w:rPr>
          <w:rtl w:val="true"/>
        </w:rPr>
        <w:t>[</w:t>
      </w:r>
      <w:r>
        <w:rPr>
          <w:rtl w:val="true"/>
        </w:rPr>
        <w:t>غسل الرأس</w:t>
      </w:r>
      <w:r>
        <w:rPr>
          <w:rtl w:val="true"/>
        </w:rPr>
        <w:t>]:</w:t>
      </w:r>
      <w:bookmarkEnd w:id="812"/>
    </w:p>
    <w:p>
      <w:pPr>
        <w:pStyle w:val="BookText"/>
        <w:rPr/>
      </w:pPr>
      <w:r>
        <w:rPr>
          <w:rFonts w:ascii="Amiri" w:hAnsi="Amiri" w:eastAsia="Amiri" w:cs="Amiri"/>
          <w:color w:val="111111"/>
          <w:sz w:val="28"/>
          <w:sz w:val="28"/>
          <w:szCs w:val="28"/>
          <w:rtl w:val="true"/>
          <w:lang w:bidi="ar-SA"/>
        </w:rPr>
        <w:t xml:space="preserve">يستحب إضافة كلّ من شقّي الرأس بعد غسل مجموعة إلى الجانب الذي يليه في التغسيل؛ للخبرين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3" w:name="__RefHeading___Toc3732415_3804643083"/>
      <w:bookmarkStart w:id="814" w:name="_Toc313"/>
      <w:bookmarkEnd w:id="813"/>
      <w:r>
        <w:rPr>
          <w:rtl w:val="true"/>
        </w:rPr>
        <w:t xml:space="preserve">الثالث </w:t>
      </w:r>
      <w:r>
        <w:rPr>
          <w:rtl w:val="true"/>
        </w:rPr>
        <w:t>[</w:t>
      </w:r>
      <w:r>
        <w:rPr>
          <w:rtl w:val="true"/>
        </w:rPr>
        <w:t>وجوب النيّة</w:t>
      </w:r>
      <w:r>
        <w:rPr>
          <w:rtl w:val="true"/>
        </w:rPr>
        <w:t>]:</w:t>
      </w:r>
      <w:bookmarkEnd w:id="81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الغسل كغيره في وجوب النيّة؛ لنقل الوفاق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و كونه</w:t>
      </w:r>
    </w:p>
    <w:p>
      <w:pPr>
        <w:pStyle w:val="BookText"/>
        <w:rPr/>
      </w:pPr>
      <w:r>
        <w:rPr>
          <w:rFonts w:ascii="Amiri" w:hAnsi="Amiri" w:eastAsia="Amiri" w:cs="Amiri"/>
          <w:color w:val="111111"/>
          <w:sz w:val="28"/>
          <w:sz w:val="28"/>
          <w:szCs w:val="28"/>
          <w:rtl w:val="true"/>
          <w:lang w:bidi="ar-SA"/>
        </w:rPr>
        <w:t xml:space="preserve">عبادة فلا يصحّ بدونها، و كونه كغسل الجنابة بالنصّ </w:t>
      </w:r>
      <w:r>
        <w:rPr>
          <w:rStyle w:val="FootnoteAnchor"/>
          <w:rtl w:val="true"/>
        </w:rPr>
        <w:footnoteReference w:id="2082"/>
      </w:r>
      <w:r>
        <w:rPr>
          <w:rFonts w:ascii="Amiri" w:hAnsi="Amiri" w:eastAsia="Amiri" w:cs="Amiri"/>
          <w:color w:val="111111"/>
          <w:sz w:val="28"/>
          <w:sz w:val="28"/>
          <w:szCs w:val="28"/>
          <w:rtl w:val="true"/>
          <w:lang w:bidi="ar-SA"/>
        </w:rPr>
        <w:t>فيثبت له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الترتيب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غسلًا حقيقيّا معتبراً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للمرتضىٰ </w:t>
      </w:r>
      <w:r>
        <w:rPr>
          <w:rStyle w:val="FootnoteAnchor"/>
          <w:rtl w:val="true"/>
        </w:rPr>
        <w:footnoteReference w:id="2083"/>
      </w:r>
      <w:r>
        <w:rPr>
          <w:rFonts w:ascii="Amiri" w:hAnsi="Amiri" w:eastAsia="Amiri" w:cs="Amiri"/>
          <w:color w:val="111111"/>
          <w:sz w:val="28"/>
          <w:sz w:val="28"/>
          <w:szCs w:val="28"/>
          <w:rtl w:val="true"/>
          <w:lang w:bidi="ar-SA"/>
        </w:rPr>
        <w:t>لكونه كإزالة الخبث،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بالمغصوب و فيه من الماء و المكان كسائر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على قوله؛ إذ إزالة النجاسة لا يشترط بإباحتهما، و لا يعتبر في نيّته الرفع؛ لامتناعه، و لا الاستباحة؛ إذ وجوبه لنفسه لا لإباحة الغير، و ترتّب سائر الأحكام عليه؛ لدلالة النصوص على الترتيب لا لمطلق نيّته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تعدّد النيّة بتعدّد الغسلات؛ لتغايرهما إسماً و صورة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بكفاية واحدة </w:t>
      </w:r>
      <w:r>
        <w:rPr>
          <w:rStyle w:val="FootnoteAnchor"/>
          <w:rtl w:val="true"/>
        </w:rPr>
        <w:footnoteReference w:id="2084"/>
      </w:r>
      <w:r>
        <w:rPr>
          <w:rFonts w:ascii="Amiri" w:hAnsi="Amiri" w:eastAsia="Amiri" w:cs="Amiri"/>
          <w:color w:val="111111"/>
          <w:sz w:val="28"/>
          <w:sz w:val="28"/>
          <w:szCs w:val="28"/>
          <w:rtl w:val="true"/>
          <w:lang w:bidi="ar-SA"/>
        </w:rPr>
        <w:t>لأنّه فعل واحد مركّب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بالتخيير </w:t>
      </w:r>
      <w:r>
        <w:rPr>
          <w:rStyle w:val="FootnoteAnchor"/>
          <w:rtl w:val="true"/>
        </w:rPr>
        <w:footnoteReference w:id="2085"/>
      </w:r>
      <w:r>
        <w:rPr>
          <w:rFonts w:ascii="Amiri" w:hAnsi="Amiri" w:eastAsia="Amiri" w:cs="Amiri"/>
          <w:color w:val="111111"/>
          <w:sz w:val="28"/>
          <w:sz w:val="28"/>
          <w:szCs w:val="28"/>
          <w:rtl w:val="true"/>
          <w:lang w:bidi="ar-SA"/>
        </w:rPr>
        <w:t>لوحدته معنى و حقيقة و تعدّده اسماً و صورة فيتخيّر في مراعاة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الترتيب في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لشبهه بغسل الجنابة في النصوص و الفتاوى يرجّح التعدّد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اتّحد الغاسل فهو الناوي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تعدّد نوى الكلّ؛ لتحكّم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قلّب البعض و صبّ الآخر فالمشهور وجوبها على الصاب؛ لأنّه الغاسل حقيقة، و قيل بإجزائها من المقلّب </w:t>
      </w:r>
      <w:r>
        <w:rPr>
          <w:rStyle w:val="FootnoteAnchor"/>
          <w:rtl w:val="true"/>
        </w:rPr>
        <w:footnoteReference w:id="2086"/>
      </w:r>
      <w:r>
        <w:rPr>
          <w:rFonts w:ascii="Amiri" w:hAnsi="Amiri" w:eastAsia="Amiri" w:cs="Amiri"/>
          <w:color w:val="111111"/>
          <w:sz w:val="28"/>
          <w:sz w:val="28"/>
          <w:szCs w:val="28"/>
          <w:rtl w:val="true"/>
          <w:lang w:bidi="ar-SA"/>
        </w:rPr>
        <w:t xml:space="preserve">لأنّه المباشر و الصابّ كالآلة له، و يعضده إطلاق الغاسل عليه في الموثّقين و الحسن و الرضوي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bookmarkStart w:id="815" w:name="pg2479_11903"/>
    </w:p>
    <w:p>
      <w:pPr>
        <w:pStyle w:val="BookText"/>
        <w:rPr/>
      </w:pPr>
      <w:bookmarkEnd w:id="815"/>
      <w:r>
        <w:rPr>
          <w:rFonts w:ascii="Amiri" w:hAnsi="Amiri" w:eastAsia="Amiri" w:cs="Amiri"/>
          <w:color w:val="111111"/>
          <w:sz w:val="28"/>
          <w:sz w:val="28"/>
          <w:szCs w:val="28"/>
          <w:rtl w:val="true"/>
          <w:lang w:bidi="ar-SA"/>
        </w:rPr>
        <w:t>فالحق اشتراكهما في التغسيل؛ إذ حقيقة الغسل و هو إجراء الماء في جميع الأعضاء يحصل بفعلهما، فيجب النيّة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غسل كلّ واحد بعضه على الترتيب وجبت على كلّ واحد؛ لاستحالة ابتناء فعل مكلّف على نيّة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بكفاية الأوّل </w:t>
      </w:r>
      <w:r>
        <w:rPr>
          <w:rStyle w:val="FootnoteAnchor"/>
          <w:rtl w:val="true"/>
        </w:rPr>
        <w:footnoteReference w:id="2088"/>
      </w:r>
      <w:r>
        <w:rPr>
          <w:rFonts w:ascii="Amiri" w:hAnsi="Amiri" w:eastAsia="Amiri" w:cs="Amiri"/>
          <w:color w:val="111111"/>
          <w:sz w:val="28"/>
          <w:sz w:val="28"/>
          <w:szCs w:val="28"/>
          <w:rtl w:val="true"/>
          <w:lang w:bidi="ar-SA"/>
        </w:rPr>
        <w:t>إذ وقتها عند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يغسل بعده لم يتعلّق به نيّة الأوّل، فلو لم ينو الثاني أيضاً لزم وقوع بعض الغسل بلا نيّة،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الاشتراك بحيث استقلّ فعل كلّ واحد بتغسيل جميع الأعضاء حتّى لولا غيره لتأدّي الواجب، كفى نيّة البعض، فمعها يسقط الوجوب عن الآخر و إن استحبّت منه</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3732417_3804643083"/>
      <w:bookmarkStart w:id="817" w:name="_Toc314"/>
      <w:bookmarkEnd w:id="816"/>
      <w:r>
        <w:rPr>
          <w:rtl w:val="true"/>
        </w:rPr>
        <w:t xml:space="preserve">الرابع </w:t>
      </w:r>
      <w:r>
        <w:rPr>
          <w:rtl w:val="true"/>
        </w:rPr>
        <w:t>[</w:t>
      </w:r>
      <w:r>
        <w:rPr>
          <w:rtl w:val="true"/>
        </w:rPr>
        <w:t>وضوء الميّت</w:t>
      </w:r>
      <w:r>
        <w:rPr>
          <w:rtl w:val="true"/>
        </w:rPr>
        <w:t>]:</w:t>
      </w:r>
      <w:bookmarkEnd w:id="817"/>
    </w:p>
    <w:p>
      <w:pPr>
        <w:pStyle w:val="BookText"/>
        <w:rPr/>
      </w:pPr>
      <w:r>
        <w:rPr>
          <w:rFonts w:ascii="Amiri" w:hAnsi="Amiri" w:eastAsia="Amiri" w:cs="Amiri"/>
          <w:color w:val="111111"/>
          <w:sz w:val="28"/>
          <w:sz w:val="28"/>
          <w:szCs w:val="28"/>
          <w:rtl w:val="true"/>
          <w:lang w:bidi="ar-SA"/>
        </w:rPr>
        <w:t>الحقّ استحباب وضوئه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وجوبه كالحلبي </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حرمته كبعض الثالثة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 في المستفيضة </w:t>
      </w:r>
      <w:r>
        <w:rPr>
          <w:rStyle w:val="FootnoteAnchor"/>
          <w:rtl w:val="true"/>
        </w:rPr>
        <w:footnoteReference w:id="2091"/>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 و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أكثر ما ورد في مقام البيان من الأخبار عنه، و الصحيح الوارد فيه </w:t>
      </w:r>
      <w:r>
        <w:rPr>
          <w:rStyle w:val="FootnoteAnchor"/>
          <w:rtl w:val="true"/>
        </w:rPr>
        <w:footnoteReference w:id="2093"/>
      </w:r>
      <w:r>
        <w:rPr>
          <w:rFonts w:ascii="Amiri" w:hAnsi="Amiri" w:eastAsia="Amiri" w:cs="Amiri"/>
          <w:color w:val="111111"/>
          <w:sz w:val="28"/>
          <w:sz w:val="28"/>
          <w:szCs w:val="28"/>
          <w:rtl w:val="true"/>
          <w:lang w:bidi="ar-SA"/>
        </w:rPr>
        <w:t>كالصريح فيه، و يؤيّده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w:t>
      </w:r>
      <w:bookmarkStart w:id="818" w:name="pg2479_11905"/>
    </w:p>
    <w:p>
      <w:pPr>
        <w:pStyle w:val="BookText"/>
        <w:rPr/>
      </w:pPr>
      <w:bookmarkEnd w:id="818"/>
      <w:r>
        <w:rPr>
          <w:rFonts w:ascii="Amiri" w:hAnsi="Amiri" w:eastAsia="Amiri" w:cs="Amiri"/>
          <w:color w:val="111111"/>
          <w:sz w:val="28"/>
          <w:sz w:val="28"/>
          <w:szCs w:val="28"/>
          <w:rtl w:val="true"/>
          <w:lang w:bidi="ar-SA"/>
        </w:rPr>
        <w:t xml:space="preserve">الطائفة على تركه </w:t>
      </w:r>
      <w:r>
        <w:rPr>
          <w:rStyle w:val="FootnoteAnchor"/>
          <w:rtl w:val="true"/>
        </w:rPr>
        <w:footnoteReference w:id="2094"/>
      </w:r>
      <w:r>
        <w:rPr>
          <w:rFonts w:ascii="IRNazanin" w:hAnsi="IRNazanin" w:eastAsia="IRNazanin"/>
          <w:color w:val="111111"/>
          <w:sz w:val="28"/>
          <w:sz w:val="28"/>
          <w:szCs w:val="28"/>
          <w:rtl w:val="true"/>
          <w:lang w:bidi="fa-IR"/>
        </w:rPr>
        <w:t>، و إن جاز فاللازم حمل الأوامر على الندب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إبقاؤها على الظاهر، و حمل إطلاق ما ورد في مقام البيان عليه، و يأبى عنه الصحيح </w:t>
      </w:r>
      <w:r>
        <w:rPr>
          <w:rStyle w:val="FootnoteAnchor"/>
          <w:rtl w:val="true"/>
        </w:rPr>
        <w:footnoteReference w:id="2095"/>
      </w:r>
      <w:r>
        <w:rPr>
          <w:rFonts w:ascii="Amiri" w:hAnsi="Amiri" w:eastAsia="Amiri" w:cs="Amiri"/>
          <w:color w:val="111111"/>
          <w:sz w:val="28"/>
          <w:sz w:val="28"/>
          <w:szCs w:val="28"/>
          <w:rtl w:val="true"/>
          <w:lang w:bidi="ar-SA"/>
        </w:rPr>
        <w:t>، و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للتحريم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كون الوضوء مع الغسل بدعة و غسل الميّت كغسل الجنابة، و لا وضوء فيه، فيحمل الأوامر على التقيّة، كما يومي إليه أضرابه في الصحيح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عن الأوّل بظهوره في غسل الجنابة كما مرّ، و عن الثاني بمنع إفادته عموم المساواة، و لو سلّم فيخصّص بغيره للمعارض، و حمل الأوامر على التقيّة فرع المعارض، و السكوت عنه في الصحيح و غيره ينافي الوجوب، دون الندب</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3732419_3804643083"/>
      <w:bookmarkStart w:id="820" w:name="_Toc315"/>
      <w:bookmarkEnd w:id="819"/>
      <w:r>
        <w:rPr>
          <w:rtl w:val="true"/>
        </w:rPr>
        <w:t xml:space="preserve">الخامس </w:t>
      </w:r>
      <w:r>
        <w:rPr>
          <w:rtl w:val="true"/>
        </w:rPr>
        <w:t>[</w:t>
      </w:r>
      <w:r>
        <w:rPr>
          <w:rtl w:val="true"/>
        </w:rPr>
        <w:t>فقد الخليطين</w:t>
      </w:r>
      <w:r>
        <w:rPr>
          <w:rtl w:val="true"/>
        </w:rPr>
        <w:t>]:</w:t>
      </w:r>
      <w:bookmarkEnd w:id="820"/>
    </w:p>
    <w:p>
      <w:pPr>
        <w:pStyle w:val="BookText"/>
        <w:rPr/>
      </w:pPr>
      <w:r>
        <w:rPr>
          <w:rFonts w:ascii="Amiri" w:hAnsi="Amiri" w:eastAsia="Amiri" w:cs="Amiri"/>
          <w:color w:val="111111"/>
          <w:sz w:val="28"/>
          <w:sz w:val="28"/>
          <w:szCs w:val="28"/>
          <w:rtl w:val="true"/>
          <w:lang w:bidi="ar-SA"/>
        </w:rPr>
        <w:t>لو فقد الخليطان غسل ثلاثاً بالقراح، 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 المرّة، خلافاً لآخرين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قولهم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و سدر، و ماء و كافور </w:t>
      </w:r>
      <w:r>
        <w:rPr>
          <w:rStyle w:val="FootnoteAnchor"/>
          <w:rtl w:val="true"/>
        </w:rPr>
        <w:footnoteReference w:id="2098"/>
      </w:r>
      <w:r>
        <w:rPr>
          <w:rFonts w:ascii="Amiri" w:hAnsi="Amiri" w:eastAsia="Amiri" w:cs="Amiri"/>
          <w:color w:val="111111"/>
          <w:sz w:val="28"/>
          <w:sz w:val="28"/>
          <w:szCs w:val="28"/>
          <w:rtl w:val="true"/>
          <w:lang w:bidi="ar-SA"/>
        </w:rPr>
        <w:t>، على كون المأمور به شيئين، فلو تعذّر أحدهما لم يسقط الآخر؛ للاستصحاب و أصالة عدم اشتراطه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عموم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ما استطعتم</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 و توقّف</w:t>
      </w:r>
      <w:bookmarkStart w:id="821" w:name="pg2479_11907"/>
    </w:p>
    <w:p>
      <w:pPr>
        <w:pStyle w:val="BookText"/>
        <w:rPr/>
      </w:pPr>
      <w:bookmarkEnd w:id="821"/>
      <w:r>
        <w:rPr>
          <w:rFonts w:ascii="Amiri" w:hAnsi="Amiri" w:eastAsia="Amiri" w:cs="Amiri"/>
          <w:color w:val="111111"/>
          <w:sz w:val="28"/>
          <w:sz w:val="28"/>
          <w:szCs w:val="28"/>
          <w:rtl w:val="true"/>
          <w:lang w:bidi="ar-SA"/>
        </w:rPr>
        <w:t>البراءة عن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الاشتراط و تعلّق التكليف بالمجموع لا بكلّ واحد، منفيّة بالأصل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الشكّ في الزائد، و تعذّر المأمور به فيسقط التكليف به، و شرعيّة الأُوليين لفائدة لا توجد بدون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اندفاع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ينوي البدليّة في الأوّليين؛ ليحصل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وجدا بعد الغسل و قبل الدفن لم يجب الإعادة؛ لحصول الامتثال الموجب للإجزاء</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3732421_3804643083"/>
      <w:bookmarkStart w:id="823" w:name="_Toc316"/>
      <w:bookmarkEnd w:id="822"/>
      <w:r>
        <w:rPr>
          <w:rtl w:val="true"/>
        </w:rPr>
        <w:t xml:space="preserve">السادس </w:t>
      </w:r>
      <w:r>
        <w:rPr>
          <w:rtl w:val="true"/>
        </w:rPr>
        <w:t>[</w:t>
      </w:r>
      <w:r>
        <w:rPr>
          <w:rtl w:val="true"/>
        </w:rPr>
        <w:t>نقص الماء</w:t>
      </w:r>
      <w:r>
        <w:rPr>
          <w:rtl w:val="true"/>
        </w:rPr>
        <w:t>]:</w:t>
      </w:r>
      <w:bookmarkEnd w:id="823"/>
    </w:p>
    <w:p>
      <w:pPr>
        <w:pStyle w:val="BookText"/>
        <w:rPr/>
      </w:pPr>
      <w:r>
        <w:rPr>
          <w:rFonts w:ascii="Amiri" w:hAnsi="Amiri" w:eastAsia="Amiri" w:cs="Amiri"/>
          <w:color w:val="111111"/>
          <w:sz w:val="28"/>
          <w:sz w:val="28"/>
          <w:szCs w:val="28"/>
          <w:rtl w:val="true"/>
          <w:lang w:bidi="ar-SA"/>
        </w:rPr>
        <w:t xml:space="preserve">لو وجد من الماء ما يكفي لغسلة قدّم السدر، و لغسلتين أتبع بالكافور وفاقاً لجماعة، استصحاباً للترتيب، و قيل يقدّم القراح في الأوّل لكونه أقوى في التطهير و السدر عليه في الثاني </w:t>
      </w:r>
      <w:r>
        <w:rPr>
          <w:rStyle w:val="FootnoteAnchor"/>
          <w:rtl w:val="true"/>
        </w:rPr>
        <w:footnoteReference w:id="2102"/>
      </w:r>
      <w:r>
        <w:rPr>
          <w:rFonts w:ascii="IRNazanin" w:hAnsi="IRNazanin" w:eastAsia="IRNazanin"/>
          <w:color w:val="111111"/>
          <w:sz w:val="28"/>
          <w:sz w:val="28"/>
          <w:szCs w:val="28"/>
          <w:rtl w:val="true"/>
          <w:lang w:bidi="fa-IR"/>
        </w:rPr>
        <w:t>، و 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ييمّم بدل الفائت في الموضعين؛ لعموم البدليّة، و استقلال كلّ من الثلاث بالاسم و الحكم، فيتعدّد البدل بتعدّده</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3732423_3804643083"/>
      <w:bookmarkStart w:id="825" w:name="_Toc317"/>
      <w:bookmarkEnd w:id="824"/>
      <w:r>
        <w:rPr>
          <w:rtl w:val="true"/>
        </w:rPr>
        <w:t>السابع</w:t>
      </w:r>
      <w:r>
        <w:rPr>
          <w:rtl w:val="true"/>
        </w:rPr>
        <w:t>:</w:t>
      </w:r>
      <w:bookmarkEnd w:id="825"/>
    </w:p>
    <w:p>
      <w:pPr>
        <w:pStyle w:val="BookText"/>
        <w:rPr/>
      </w:pPr>
      <w:r>
        <w:rPr>
          <w:rFonts w:ascii="Amiri" w:hAnsi="Amiri" w:eastAsia="Amiri" w:cs="Amiri"/>
          <w:color w:val="111111"/>
          <w:sz w:val="28"/>
          <w:sz w:val="28"/>
          <w:szCs w:val="28"/>
          <w:rtl w:val="true"/>
          <w:lang w:bidi="ar-SA"/>
        </w:rPr>
        <w:t xml:space="preserve">المعروف منهم كفاية مطلق الكافور لإطلاق النصوص </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الخام منه كما نسب إلى بعضهم </w:t>
      </w:r>
      <w:r>
        <w:rPr>
          <w:rStyle w:val="FootnoteAnchor"/>
          <w:rtl w:val="true"/>
        </w:rPr>
        <w:footnoteReference w:id="2104"/>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Heading6"/>
        <w:numPr>
          <w:ilvl w:val="5"/>
          <w:numId w:val="1"/>
        </w:numPr>
        <w:rPr/>
      </w:pPr>
      <w:bookmarkStart w:id="826" w:name="__RefHeading___Toc3732425_3804643083"/>
      <w:bookmarkStart w:id="827" w:name="_Toc318"/>
      <w:bookmarkEnd w:id="826"/>
      <w:r>
        <w:rPr>
          <w:rtl w:val="true"/>
        </w:rPr>
        <w:t>الثامن</w:t>
      </w:r>
      <w:r>
        <w:rPr>
          <w:rtl w:val="true"/>
        </w:rPr>
        <w:t>:</w:t>
      </w:r>
      <w:bookmarkEnd w:id="82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خيف تناثر مثل المحترق أو المجدور يمّم بالإجماع و الخبر </w:t>
      </w:r>
      <w:r>
        <w:rPr>
          <w:rStyle w:val="FootnoteAnchor"/>
          <w:rtl w:val="true"/>
        </w:rPr>
        <w:footnoteReference w:id="2105"/>
      </w:r>
      <w:r>
        <w:rPr>
          <w:rFonts w:ascii="IRNazanin" w:hAnsi="IRNazanin" w:eastAsia="IRNazanin"/>
          <w:color w:val="111111"/>
          <w:sz w:val="28"/>
          <w:sz w:val="28"/>
          <w:szCs w:val="28"/>
          <w:rtl w:val="true"/>
          <w:lang w:bidi="fa-IR"/>
        </w:rPr>
        <w:t>، و ضعفه</w:t>
      </w:r>
      <w:bookmarkStart w:id="828" w:name="pg2479_11909"/>
    </w:p>
    <w:p>
      <w:pPr>
        <w:pStyle w:val="BookText"/>
        <w:rPr/>
      </w:pPr>
      <w:bookmarkEnd w:id="828"/>
      <w:r>
        <w:rPr>
          <w:rFonts w:ascii="IRNazanin" w:hAnsi="IRNazanin" w:eastAsia="IRNazanin"/>
          <w:color w:val="111111"/>
          <w:sz w:val="28"/>
          <w:sz w:val="28"/>
          <w:szCs w:val="28"/>
          <w:rtl w:val="true"/>
          <w:lang w:bidi="fa-IR"/>
        </w:rPr>
        <w:t>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حصل التناثر بالصبّ و المسّ دون الصبّ وحده تعيّن مع كفايته، و عليه يحمل أوامر الصبّ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تعدّد التيمّم بتعدّد الغسلات؛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تعذّر الغسل لمانع وجب التيمم بعدد الغسلات؛ لعموم البدليّة عند التعذّر، و استقلال كلّ منها في اقتضاء البدل</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3732427_3804643083"/>
      <w:bookmarkStart w:id="830" w:name="_Toc319"/>
      <w:bookmarkEnd w:id="829"/>
      <w:r>
        <w:rPr>
          <w:rtl w:val="true"/>
        </w:rPr>
        <w:t xml:space="preserve">التاسع </w:t>
      </w:r>
      <w:r>
        <w:rPr>
          <w:rtl w:val="true"/>
        </w:rPr>
        <w:t>[</w:t>
      </w:r>
      <w:r>
        <w:rPr>
          <w:rtl w:val="true"/>
        </w:rPr>
        <w:t>غسل الميّت الجنب</w:t>
      </w:r>
      <w:r>
        <w:rPr>
          <w:rtl w:val="true"/>
        </w:rPr>
        <w:t>]:</w:t>
      </w:r>
      <w:bookmarkEnd w:id="830"/>
    </w:p>
    <w:p>
      <w:pPr>
        <w:pStyle w:val="BookText"/>
        <w:rPr/>
      </w:pPr>
      <w:r>
        <w:rPr>
          <w:rFonts w:ascii="Amiri" w:hAnsi="Amiri" w:eastAsia="Amiri" w:cs="Amiri"/>
          <w:color w:val="111111"/>
          <w:sz w:val="28"/>
          <w:sz w:val="28"/>
          <w:szCs w:val="28"/>
          <w:rtl w:val="true"/>
          <w:lang w:bidi="ar-SA"/>
        </w:rPr>
        <w:t xml:space="preserve">إذا مات الجنب أو الحائض أو النفساء لم يجب أزيد من غسل الميّت، بل و لم يستحبّ؛ للإجماع و المستفيضة </w:t>
      </w:r>
      <w:r>
        <w:rPr>
          <w:rStyle w:val="FootnoteAnchor"/>
          <w:rtl w:val="true"/>
        </w:rPr>
        <w:footnoteReference w:id="2106"/>
      </w:r>
      <w:r>
        <w:rPr>
          <w:rFonts w:ascii="Amiri" w:hAnsi="Amiri" w:eastAsia="Amiri" w:cs="Amiri"/>
          <w:color w:val="111111"/>
          <w:sz w:val="28"/>
          <w:sz w:val="28"/>
          <w:szCs w:val="28"/>
          <w:rtl w:val="true"/>
          <w:lang w:bidi="ar-SA"/>
        </w:rPr>
        <w:t>، و يؤكّده ما مرّ من ثبوت التداخل في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المعارض من الأخبار الثلاثة لعيص </w:t>
      </w:r>
      <w:r>
        <w:rPr>
          <w:rStyle w:val="FootnoteAnchor"/>
          <w:rtl w:val="true"/>
        </w:rPr>
        <w:footnoteReference w:id="2107"/>
      </w:r>
      <w:r>
        <w:rPr>
          <w:rFonts w:ascii="Amiri" w:hAnsi="Amiri" w:eastAsia="Amiri" w:cs="Amiri"/>
          <w:color w:val="111111"/>
          <w:sz w:val="28"/>
          <w:sz w:val="28"/>
          <w:szCs w:val="28"/>
          <w:rtl w:val="true"/>
          <w:lang w:bidi="ar-SA"/>
        </w:rPr>
        <w:t>غير مقاوم، فاللازم طرحه أو تأويله</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3732429_3804643083"/>
      <w:bookmarkStart w:id="832" w:name="_Toc320"/>
      <w:bookmarkEnd w:id="831"/>
      <w:r>
        <w:rPr>
          <w:rtl w:val="true"/>
        </w:rPr>
        <w:t xml:space="preserve">العاشر </w:t>
      </w:r>
      <w:r>
        <w:rPr>
          <w:rtl w:val="true"/>
        </w:rPr>
        <w:t>[</w:t>
      </w:r>
      <w:r>
        <w:rPr>
          <w:rtl w:val="true"/>
        </w:rPr>
        <w:t>ستر العورة</w:t>
      </w:r>
      <w:r>
        <w:rPr>
          <w:rtl w:val="true"/>
        </w:rPr>
        <w:t>]:</w:t>
      </w:r>
      <w:bookmarkEnd w:id="832"/>
    </w:p>
    <w:p>
      <w:pPr>
        <w:pStyle w:val="BookText"/>
        <w:rPr/>
      </w:pPr>
      <w:r>
        <w:rPr>
          <w:rFonts w:ascii="Amiri" w:hAnsi="Amiri" w:eastAsia="Amiri" w:cs="Amiri"/>
          <w:color w:val="111111"/>
          <w:sz w:val="28"/>
          <w:sz w:val="28"/>
          <w:szCs w:val="28"/>
          <w:rtl w:val="true"/>
          <w:lang w:bidi="ar-SA"/>
        </w:rPr>
        <w:t xml:space="preserve">يجب ستر عورته، إلّا مع جواز النظر أو الأمن منه بالإجماع و النصوص </w:t>
      </w:r>
      <w:r>
        <w:rPr>
          <w:rStyle w:val="FootnoteAnchor"/>
          <w:rtl w:val="true"/>
        </w:rPr>
        <w:footnoteReference w:id="2108"/>
      </w:r>
      <w:r>
        <w:rPr>
          <w:rFonts w:ascii="Amiri" w:hAnsi="Amiri" w:eastAsia="Amiri" w:cs="Amiri"/>
          <w:color w:val="111111"/>
          <w:sz w:val="28"/>
          <w:sz w:val="28"/>
          <w:szCs w:val="28"/>
          <w:rtl w:val="true"/>
          <w:lang w:bidi="ar-SA"/>
        </w:rPr>
        <w:t>، و لا خلاف في جواز ستره بقميصه و بغيره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أفضليّة الأوّل، وفاقاً للمشهور؛ للمستفيضة </w:t>
      </w:r>
      <w:r>
        <w:rPr>
          <w:rStyle w:val="FootnoteAnchor"/>
          <w:rtl w:val="true"/>
        </w:rPr>
        <w:footnoteReference w:id="2109"/>
      </w:r>
      <w:r>
        <w:rPr>
          <w:rFonts w:ascii="Amiri" w:hAnsi="Amiri" w:eastAsia="Amiri" w:cs="Amiri"/>
          <w:color w:val="111111"/>
          <w:sz w:val="28"/>
          <w:sz w:val="28"/>
          <w:szCs w:val="28"/>
          <w:rtl w:val="true"/>
          <w:lang w:bidi="ar-SA"/>
        </w:rPr>
        <w:t xml:space="preserve">، و فعل عليّ عليه السّلام بالنبيّ صلّى اللّٰه عليه و سلّم </w:t>
      </w:r>
      <w:r>
        <w:rPr>
          <w:rStyle w:val="FootnoteAnchor"/>
          <w:rtl w:val="true"/>
        </w:rPr>
        <w:footnoteReference w:id="2110"/>
      </w:r>
      <w:r>
        <w:rPr>
          <w:rFonts w:ascii="Amiri" w:hAnsi="Amiri" w:eastAsia="Amiri" w:cs="Amiri"/>
          <w:color w:val="111111"/>
          <w:sz w:val="28"/>
          <w:sz w:val="28"/>
          <w:szCs w:val="28"/>
          <w:rtl w:val="true"/>
          <w:lang w:bidi="ar-SA"/>
        </w:rPr>
        <w:t xml:space="preserve">لا الثاني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Style w:val="FootnoteAnchor"/>
          <w:rtl w:val="true"/>
        </w:rPr>
        <w:footnoteReference w:id="2111"/>
      </w:r>
      <w:r>
        <w:rPr>
          <w:rFonts w:ascii="IRNazanin" w:hAnsi="IRNazanin" w:eastAsia="IRNazanin"/>
          <w:color w:val="111111"/>
          <w:sz w:val="28"/>
          <w:sz w:val="28"/>
          <w:szCs w:val="28"/>
          <w:rtl w:val="true"/>
          <w:lang w:bidi="fa-IR"/>
        </w:rPr>
        <w:t>لضعف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إلى</w:t>
      </w:r>
      <w:bookmarkStart w:id="833" w:name="pg2479_11911"/>
    </w:p>
    <w:p>
      <w:pPr>
        <w:pStyle w:val="BookText"/>
        <w:rPr/>
      </w:pPr>
      <w:bookmarkEnd w:id="833"/>
      <w:r>
        <w:rPr>
          <w:rFonts w:ascii="Amiri" w:hAnsi="Amiri" w:eastAsia="Amiri" w:cs="Amiri"/>
          <w:color w:val="111111"/>
          <w:sz w:val="28"/>
          <w:sz w:val="28"/>
          <w:szCs w:val="28"/>
          <w:rtl w:val="true"/>
          <w:lang w:bidi="ar-SA"/>
        </w:rPr>
        <w:t xml:space="preserve">الأكثر </w:t>
      </w:r>
      <w:r>
        <w:rPr>
          <w:rStyle w:val="FootnoteAnchor"/>
          <w:rtl w:val="true"/>
        </w:rPr>
        <w:footnoteReference w:id="2112"/>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تطهّر القميص أو الخرقة بعد الغسل؛ لإطلاق الأخبار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جرّد عن القميص استحبّ أن يفتق، و ينزع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الفتق مشروط بإذن الوارث، فلو تعذّر لصغر أو غيبة لم يجز؛ لأنّه إتلاف محترم لحكم مستحبّ</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3732431_3804643083"/>
      <w:bookmarkStart w:id="835" w:name="_Toc321"/>
      <w:bookmarkEnd w:id="834"/>
      <w:r>
        <w:rPr>
          <w:rtl w:val="true"/>
        </w:rPr>
        <w:t xml:space="preserve">الحادي عشر </w:t>
      </w:r>
      <w:r>
        <w:rPr>
          <w:rtl w:val="true"/>
        </w:rPr>
        <w:t>[</w:t>
      </w:r>
      <w:r>
        <w:rPr>
          <w:rtl w:val="true"/>
        </w:rPr>
        <w:t>استقبال القبلة</w:t>
      </w:r>
      <w:r>
        <w:rPr>
          <w:rtl w:val="true"/>
        </w:rPr>
        <w:t>]:</w:t>
      </w:r>
      <w:bookmarkEnd w:id="835"/>
    </w:p>
    <w:p>
      <w:pPr>
        <w:pStyle w:val="BookText"/>
        <w:rPr/>
      </w:pPr>
      <w:r>
        <w:rPr>
          <w:rFonts w:ascii="Amiri" w:hAnsi="Amiri" w:eastAsia="Amiri" w:cs="Amiri"/>
          <w:color w:val="111111"/>
          <w:sz w:val="28"/>
          <w:sz w:val="28"/>
          <w:szCs w:val="28"/>
          <w:rtl w:val="true"/>
          <w:lang w:bidi="ar-SA"/>
        </w:rPr>
        <w:t xml:space="preserve">يستحبّ الاستقبال به حالة الغسل، وفاقاً للمشهور، و قيل بوجوبه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w:t>
      </w:r>
      <w:r>
        <w:rPr>
          <w:rStyle w:val="FootnoteAnchor"/>
          <w:rtl w:val="true"/>
        </w:rPr>
        <w:footnoteReference w:id="2115"/>
      </w:r>
      <w:r>
        <w:rPr>
          <w:rFonts w:ascii="Amiri" w:hAnsi="Amiri" w:eastAsia="Amiri" w:cs="Amiri"/>
          <w:color w:val="111111"/>
          <w:sz w:val="28"/>
          <w:sz w:val="28"/>
          <w:szCs w:val="28"/>
          <w:rtl w:val="true"/>
          <w:lang w:bidi="ar-SA"/>
        </w:rPr>
        <w:t xml:space="preserve">و استفاضة الأوامر به </w:t>
      </w:r>
      <w:r>
        <w:rPr>
          <w:rStyle w:val="FootnoteAnchor"/>
          <w:rtl w:val="true"/>
        </w:rPr>
        <w:footnoteReference w:id="2116"/>
      </w:r>
      <w:r>
        <w:rPr>
          <w:rFonts w:ascii="IRNazanin" w:hAnsi="IRNazanin" w:eastAsia="IRNazanin"/>
          <w:color w:val="111111"/>
          <w:sz w:val="28"/>
          <w:sz w:val="28"/>
          <w:szCs w:val="28"/>
          <w:rtl w:val="true"/>
          <w:lang w:bidi="fa-IR"/>
        </w:rPr>
        <w:t>، و على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w:t>
      </w:r>
      <w:r>
        <w:rPr>
          <w:rStyle w:val="FootnoteAnchor"/>
          <w:rtl w:val="true"/>
        </w:rPr>
        <w:footnoteReference w:id="2117"/>
      </w:r>
      <w:r>
        <w:rPr>
          <w:rFonts w:ascii="Amiri" w:hAnsi="Amiri" w:eastAsia="Amiri" w:cs="Amiri"/>
          <w:color w:val="111111"/>
          <w:sz w:val="28"/>
          <w:sz w:val="28"/>
          <w:szCs w:val="28"/>
          <w:rtl w:val="true"/>
          <w:lang w:bidi="ar-SA"/>
        </w:rPr>
        <w:t xml:space="preserve">و صريح الصحيح </w:t>
      </w:r>
      <w:r>
        <w:rPr>
          <w:rStyle w:val="FootnoteAnchor"/>
          <w:rtl w:val="true"/>
        </w:rPr>
        <w:footnoteReference w:id="2118"/>
      </w:r>
      <w:r>
        <w:rPr>
          <w:rFonts w:ascii="Amiri" w:hAnsi="Amiri" w:eastAsia="Amiri" w:cs="Amiri"/>
          <w:color w:val="111111"/>
          <w:sz w:val="28"/>
          <w:sz w:val="28"/>
          <w:szCs w:val="28"/>
          <w:rtl w:val="true"/>
          <w:lang w:bidi="ar-SA"/>
        </w:rPr>
        <w:t>، فيحمل الأوامر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الموجب أخذ بظاهرها، فيلزمه طرح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حملها على الندب، كما مرّ</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3732433_3804643083"/>
      <w:bookmarkStart w:id="837" w:name="_Toc322"/>
      <w:bookmarkEnd w:id="836"/>
      <w:r>
        <w:rPr>
          <w:rtl w:val="true"/>
        </w:rPr>
        <w:t xml:space="preserve">الثاني عشر </w:t>
      </w:r>
      <w:r>
        <w:rPr>
          <w:rtl w:val="true"/>
        </w:rPr>
        <w:t>[</w:t>
      </w:r>
      <w:r>
        <w:rPr>
          <w:rtl w:val="true"/>
        </w:rPr>
        <w:t>ملاقاة النجاسة</w:t>
      </w:r>
      <w:r>
        <w:rPr>
          <w:rtl w:val="true"/>
        </w:rPr>
        <w:t>]:</w:t>
      </w:r>
      <w:bookmarkEnd w:id="83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خرجت منه نجاسة في أثناء الغسل أو التكفين أو بعدهما، فإن لم تلاق الكفن غسلت و صحّ الغسل، وفاقاً للمشهور؛ للمستفيضة </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الأوّل أيضاً إطلاقات إزالة النجاسة، و الثاني الأصل و حصول الامتثال، و عدم رافعيّة هذا</w:t>
      </w:r>
    </w:p>
    <w:p>
      <w:pPr>
        <w:pStyle w:val="BookText"/>
        <w:rPr/>
      </w:pPr>
      <w:r>
        <w:rPr>
          <w:rFonts w:ascii="Amiri" w:hAnsi="Amiri" w:eastAsia="Amiri" w:cs="Amiri"/>
          <w:color w:val="111111"/>
          <w:sz w:val="28"/>
          <w:sz w:val="28"/>
          <w:szCs w:val="28"/>
          <w:rtl w:val="true"/>
          <w:lang w:bidi="ar-SA"/>
        </w:rPr>
        <w:t>الغسل فلا ينقضه خروج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العماني أوجب إعادته </w:t>
      </w:r>
      <w:r>
        <w:rPr>
          <w:rStyle w:val="FootnoteAnchor"/>
          <w:rtl w:val="true"/>
        </w:rPr>
        <w:footnoteReference w:id="2120"/>
      </w:r>
      <w:r>
        <w:rPr>
          <w:rFonts w:ascii="Amiri" w:hAnsi="Amiri" w:eastAsia="Amiri" w:cs="Amiri"/>
          <w:color w:val="111111"/>
          <w:sz w:val="28"/>
          <w:sz w:val="28"/>
          <w:szCs w:val="28"/>
          <w:rtl w:val="true"/>
          <w:lang w:bidi="ar-SA"/>
        </w:rPr>
        <w:t>لناقضيّة الحدث،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لاقته فقبل وضعه في القبر يغسل، و بعده يقرض، 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الشيخين وجوب القرض مطلقاً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الغسل، خرج ما بعد الوضع فيبقى الباقي، و كون القرض إتلافاً محرّماً فيقتصر فيه على موضع القطع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الأمر بالقرض في الحسن و المرسلين </w:t>
      </w:r>
      <w:r>
        <w:rPr>
          <w:rStyle w:val="FootnoteAnchor"/>
          <w:rtl w:val="true"/>
        </w:rPr>
        <w:footnoteReference w:id="2122"/>
      </w:r>
      <w:r>
        <w:rPr>
          <w:rFonts w:ascii="Amiri" w:hAnsi="Amiri" w:eastAsia="Amiri" w:cs="Amiri"/>
          <w:color w:val="111111"/>
          <w:sz w:val="28"/>
          <w:sz w:val="28"/>
          <w:szCs w:val="28"/>
          <w:rtl w:val="true"/>
          <w:lang w:bidi="ar-SA"/>
        </w:rPr>
        <w:t>، و هو يعارض عمومي الأمر بالغسل و النهي عن الإتلاف، فيخصّصانه بما بعد الدفن، و يخصّصهما بما قبله، و إبقاؤه على حاله، و تخصيصهما بغير الكفن يوجب تخصيص الأقوى بالأضعف دون العكس،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الحكمين صريح الرضوي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القرض، و قد عرفت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اشتراط القطع بعد الوضع بتعذّر الغسل، فلو أمكن قدّم؛ للتعليل المذكور، و به يقيّد إطلاق النصوص و الفتاوىٰ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حرمة إخراجه للتطهير؛ لما فيه من هتكه، مع أنّ الغير محلّ النجاسة و نجاسة الجسد مع القرض مغتفرة؛ لخلوّ أدلّته عنه، و اختصاص أخبار الغسل </w:t>
      </w:r>
      <w:r>
        <w:rPr>
          <w:rStyle w:val="FootnoteAnchor"/>
          <w:rtl w:val="true"/>
        </w:rPr>
        <w:footnoteReference w:id="2124"/>
      </w:r>
      <w:r>
        <w:rPr>
          <w:rFonts w:ascii="IRNazanin" w:hAnsi="IRNazanin" w:eastAsia="IRNazanin"/>
          <w:color w:val="111111"/>
          <w:sz w:val="28"/>
          <w:sz w:val="28"/>
          <w:szCs w:val="28"/>
          <w:rtl w:val="true"/>
          <w:lang w:bidi="fa-IR"/>
        </w:rPr>
        <w:t>بما قبل الوضع</w:t>
      </w:r>
      <w:r>
        <w:rPr>
          <w:rFonts w:eastAsia="IRNazanin" w:cs="IRNazanin"/>
          <w:color w:val="111111"/>
          <w:sz w:val="28"/>
          <w:szCs w:val="28"/>
          <w:rtl w:val="true"/>
          <w:lang w:bidi="fa-IR"/>
        </w:rPr>
        <w:t>.</w:t>
      </w:r>
      <w:bookmarkStart w:id="838" w:name="pg2479_11915"/>
    </w:p>
    <w:p>
      <w:pPr>
        <w:pStyle w:val="BookText"/>
        <w:rPr/>
      </w:pPr>
      <w:bookmarkEnd w:id="838"/>
      <w:r>
        <w:rPr>
          <w:rFonts w:ascii="Amiri" w:hAnsi="Amiri" w:eastAsia="Amiri" w:cs="Amiri"/>
          <w:color w:val="111111"/>
          <w:sz w:val="28"/>
          <w:sz w:val="28"/>
          <w:szCs w:val="28"/>
          <w:rtl w:val="true"/>
          <w:lang w:bidi="ar-SA"/>
        </w:rPr>
        <w:t xml:space="preserve">و لو تفاحشت النجاسة بحيث تعذّر الغسل و القطع، فالظاهر سقوطهما، كما صرّح به الشهيدان و الكركي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9" w:name="__RefHeading___Toc3732435_3804643083"/>
      <w:bookmarkStart w:id="840" w:name="_Toc323"/>
      <w:bookmarkEnd w:id="839"/>
      <w:r>
        <w:rPr>
          <w:rtl w:val="true"/>
        </w:rPr>
        <w:t xml:space="preserve">فصل </w:t>
      </w:r>
      <w:r>
        <w:rPr>
          <w:rtl w:val="true"/>
        </w:rPr>
        <w:t>[</w:t>
      </w:r>
      <w:r>
        <w:rPr>
          <w:rtl w:val="true"/>
        </w:rPr>
        <w:t>مستحبّات غسل الميّت</w:t>
      </w:r>
      <w:r>
        <w:rPr>
          <w:rtl w:val="true"/>
        </w:rPr>
        <w:t>]</w:t>
      </w:r>
      <w:bookmarkEnd w:id="840"/>
    </w:p>
    <w:p>
      <w:pPr>
        <w:pStyle w:val="Heading6"/>
        <w:numPr>
          <w:ilvl w:val="5"/>
          <w:numId w:val="1"/>
        </w:numPr>
        <w:rPr/>
      </w:pPr>
      <w:bookmarkStart w:id="841" w:name="__RefHeading___Toc3732437_3804643083"/>
      <w:bookmarkStart w:id="842" w:name="_Toc324"/>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قد ظهر ممّا ذكر استحباب أُمور 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فرجيه و يديه إلى نصف الذراع، في كلّ غسلة بمائها؛ للإجماع، و الخبرين و الرضوي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غسل رأسه برغوة السدر، كما ذكره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النصوص ما يثبته، و ما ورد من غسله برغوته و بالسدر </w:t>
      </w:r>
      <w:r>
        <w:rPr>
          <w:rStyle w:val="FootnoteAnchor"/>
          <w:rtl w:val="true"/>
        </w:rPr>
        <w:footnoteReference w:id="2127"/>
      </w:r>
      <w:r>
        <w:rPr>
          <w:rFonts w:ascii="Amiri" w:hAnsi="Amiri" w:eastAsia="Amiri" w:cs="Amiri"/>
          <w:color w:val="111111"/>
          <w:sz w:val="28"/>
          <w:sz w:val="28"/>
          <w:szCs w:val="28"/>
          <w:rtl w:val="true"/>
          <w:lang w:bidi="ar-SA"/>
        </w:rPr>
        <w:t xml:space="preserve">إنّما هو في الغسل الواجب، و لذا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الأيمن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من أجزاء الواجب، و كأنّهم عثروا على نصّ أو حملوا ما في الأخبار على الندب؛ لما مرّ من اشتراط الإطلاق في ماء الغسل، و الرغوة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التعرّض حينئذٍ فيها لغسله الواجب أحاله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البدأة في غسله بالشقّ الأيمن ثم الأيسر؛ للخبر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التثليث في كلّ غسلة واجبة و مستحبّة، بالإجماع و الحسن و الخبرين و الرضوي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توالي الصبّ في كلّ غسلة، من دون قطع، حتّى يتمّ العضو؛ للرضوي </w:t>
      </w:r>
      <w:r>
        <w:rPr>
          <w:rStyle w:val="FootnoteAnchor"/>
          <w:rtl w:val="true"/>
        </w:rPr>
        <w:footnoteReference w:id="2132"/>
      </w:r>
      <w:r>
        <w:rPr>
          <w:rFonts w:ascii="Amiri" w:hAnsi="Amiri" w:eastAsia="Amiri" w:cs="Amiri"/>
          <w:color w:val="111111"/>
          <w:sz w:val="28"/>
          <w:sz w:val="28"/>
          <w:szCs w:val="28"/>
          <w:rtl w:val="true"/>
          <w:lang w:bidi="ar-SA"/>
        </w:rPr>
        <w:t>، و تصريح جماعة من كبراء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إكثار الماء عرفاً؛ لأخبار التثليث </w:t>
      </w:r>
      <w:r>
        <w:rPr>
          <w:rStyle w:val="FootnoteAnchor"/>
          <w:rtl w:val="true"/>
        </w:rPr>
        <w:footnoteReference w:id="2133"/>
      </w:r>
      <w:r>
        <w:rPr>
          <w:rFonts w:ascii="Amiri" w:hAnsi="Amiri" w:eastAsia="Amiri" w:cs="Amiri"/>
          <w:color w:val="111111"/>
          <w:sz w:val="28"/>
          <w:sz w:val="28"/>
          <w:szCs w:val="28"/>
          <w:rtl w:val="true"/>
          <w:lang w:bidi="ar-SA"/>
        </w:rPr>
        <w:t xml:space="preserve">، و خصوص المستفيضة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وضعه على ساجة؛ لعمل الطائفة، و إيماء بعض الأخبار </w:t>
      </w:r>
      <w:r>
        <w:rPr>
          <w:rStyle w:val="FootnoteAnchor"/>
          <w:rtl w:val="true"/>
        </w:rPr>
        <w:footnoteReference w:id="2135"/>
      </w:r>
      <w:r>
        <w:rPr>
          <w:rFonts w:ascii="Amiri" w:hAnsi="Amiri" w:eastAsia="Amiri" w:cs="Amiri"/>
          <w:color w:val="111111"/>
          <w:sz w:val="28"/>
          <w:sz w:val="28"/>
          <w:szCs w:val="28"/>
          <w:rtl w:val="true"/>
          <w:lang w:bidi="ar-SA"/>
        </w:rPr>
        <w:t>، و ليكن على مرتفع؛ لئلّا يعود عليه ماء الغسل، مع انحدار مكان الرجلين؛ لئلا يجتمع الماء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حشو المخرج بالقطن، وفاقاً للمعظم؛ للموثّق و الخبر و الرضوي </w:t>
      </w:r>
      <w:r>
        <w:rPr>
          <w:rStyle w:val="FootnoteAnchor"/>
          <w:rtl w:val="true"/>
        </w:rPr>
        <w:footnoteReference w:id="2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عنه الحلّي </w:t>
      </w:r>
      <w:r>
        <w:rPr>
          <w:rStyle w:val="FootnoteAnchor"/>
          <w:rtl w:val="true"/>
        </w:rPr>
        <w:footnoteReference w:id="2137"/>
      </w:r>
      <w:r>
        <w:rPr>
          <w:rFonts w:ascii="Amiri" w:hAnsi="Amiri" w:eastAsia="Amiri" w:cs="Amiri"/>
          <w:color w:val="111111"/>
          <w:sz w:val="28"/>
          <w:sz w:val="28"/>
          <w:szCs w:val="28"/>
          <w:rtl w:val="true"/>
          <w:lang w:bidi="ar-SA"/>
        </w:rPr>
        <w:t>لمنافاته الحرمة، و ضعفه ظاهر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مسح بطنه في الأُوليين قبلهما؛ لنقل الإجماع </w:t>
      </w:r>
      <w:r>
        <w:rPr>
          <w:rStyle w:val="FootnoteAnchor"/>
          <w:rtl w:val="true"/>
        </w:rPr>
        <w:footnoteReference w:id="2138"/>
      </w:r>
      <w:r>
        <w:rPr>
          <w:rFonts w:ascii="Amiri" w:hAnsi="Amiri" w:eastAsia="Amiri" w:cs="Amiri"/>
          <w:color w:val="111111"/>
          <w:sz w:val="28"/>
          <w:sz w:val="28"/>
          <w:szCs w:val="28"/>
          <w:rtl w:val="true"/>
          <w:lang w:bidi="ar-SA"/>
        </w:rPr>
        <w:t xml:space="preserve">و الخبرين و الرضوي </w:t>
      </w:r>
      <w:r>
        <w:rPr>
          <w:rStyle w:val="FootnoteAnchor"/>
          <w:rtl w:val="true"/>
        </w:rPr>
        <w:footnoteReference w:id="2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للتحفّظ من خروج شي‌ء بعد الغسل؛ لعدم الماسكة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أثبته تارة </w:t>
      </w:r>
      <w:r>
        <w:rPr>
          <w:rStyle w:val="FootnoteAnchor"/>
          <w:rtl w:val="true"/>
        </w:rPr>
        <w:footnoteReference w:id="2140"/>
      </w:r>
      <w:r>
        <w:rPr>
          <w:rFonts w:ascii="Amiri" w:hAnsi="Amiri" w:eastAsia="Amiri" w:cs="Amiri"/>
          <w:color w:val="111111"/>
          <w:sz w:val="28"/>
          <w:sz w:val="28"/>
          <w:szCs w:val="28"/>
          <w:rtl w:val="true"/>
          <w:lang w:bidi="ar-SA"/>
        </w:rPr>
        <w:t xml:space="preserve">، و أنكره اخرىٰ </w:t>
      </w:r>
      <w:r>
        <w:rPr>
          <w:rStyle w:val="FootnoteAnchor"/>
          <w:rtl w:val="true"/>
        </w:rPr>
        <w:footnoteReference w:id="2141"/>
      </w:r>
      <w:r>
        <w:rPr>
          <w:rFonts w:ascii="Amiri" w:hAnsi="Amiri" w:eastAsia="Amiri" w:cs="Amiri"/>
          <w:color w:val="111111"/>
          <w:sz w:val="28"/>
          <w:sz w:val="28"/>
          <w:szCs w:val="28"/>
          <w:rtl w:val="true"/>
          <w:lang w:bidi="ar-SA"/>
        </w:rPr>
        <w:t>لمساواته الحيّ في الحرمة، و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يستحبّ في الثالثة إجماعاً، بل يكره، حذراً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الحامل الّتي مات ولدها، خوفاً من الإجهاض، و لو أجهضت بذلك لزمه عشر دية امّه، كما أفتىٰ به جماعة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تليين أصابعه و مفاصله برفق، إلّا مع التعسير؛ لنقل الإجماع </w:t>
      </w:r>
      <w:r>
        <w:rPr>
          <w:rStyle w:val="FootnoteAnchor"/>
          <w:rtl w:val="true"/>
        </w:rPr>
        <w:footnoteReference w:id="2143"/>
      </w:r>
      <w:r>
        <w:rPr>
          <w:rFonts w:ascii="Amiri" w:hAnsi="Amiri" w:eastAsia="Amiri" w:cs="Amiri"/>
          <w:color w:val="111111"/>
          <w:sz w:val="28"/>
          <w:sz w:val="28"/>
          <w:szCs w:val="28"/>
          <w:rtl w:val="true"/>
          <w:lang w:bidi="ar-SA"/>
        </w:rPr>
        <w:t xml:space="preserve">و الخبر و الرضوي </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 العماني </w:t>
      </w:r>
      <w:r>
        <w:rPr>
          <w:rStyle w:val="FootnoteAnchor"/>
          <w:rtl w:val="true"/>
        </w:rPr>
        <w:footnoteReference w:id="2145"/>
      </w:r>
      <w:r>
        <w:rPr>
          <w:rFonts w:ascii="IRNazanin" w:hAnsi="IRNazanin" w:eastAsia="IRNazanin"/>
          <w:color w:val="111111"/>
          <w:sz w:val="28"/>
          <w:sz w:val="28"/>
          <w:szCs w:val="28"/>
          <w:rtl w:val="true"/>
          <w:lang w:bidi="fa-IR"/>
        </w:rPr>
        <w:t xml:space="preserve">لظاهر الحسن و الخبر </w:t>
      </w:r>
      <w:r>
        <w:rPr>
          <w:rStyle w:val="FootnoteAnchor"/>
          <w:rtl w:val="true"/>
        </w:rPr>
        <w:footnoteReference w:id="2146"/>
      </w:r>
      <w:r>
        <w:rPr>
          <w:rFonts w:ascii="Amiri" w:hAnsi="Amiri" w:eastAsia="Amiri" w:cs="Amiri"/>
          <w:color w:val="111111"/>
          <w:sz w:val="28"/>
          <w:sz w:val="28"/>
          <w:szCs w:val="28"/>
          <w:rtl w:val="true"/>
          <w:lang w:bidi="ar-SA"/>
        </w:rPr>
        <w:t xml:space="preserve">، و أُجيب بالحمل علىٰ ما بعد الغسل </w:t>
      </w:r>
      <w:r>
        <w:rPr>
          <w:rStyle w:val="FootnoteAnchor"/>
          <w:rtl w:val="true"/>
        </w:rPr>
        <w:footnoteReference w:id="2147"/>
      </w:r>
      <w:r>
        <w:rPr>
          <w:rFonts w:ascii="Amiri" w:hAnsi="Amiri" w:eastAsia="Amiri" w:cs="Amiri"/>
          <w:color w:val="111111"/>
          <w:sz w:val="28"/>
          <w:sz w:val="28"/>
          <w:szCs w:val="28"/>
          <w:rtl w:val="true"/>
          <w:lang w:bidi="ar-SA"/>
        </w:rPr>
        <w:t>أو العصر المنافي للرفق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الرفق حال الغسل؛ للصحيح و الحسن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الغسل تحت الظلال، لا في الفضاء؛ لنقل الإجماع </w:t>
      </w:r>
      <w:r>
        <w:rPr>
          <w:rStyle w:val="FootnoteAnchor"/>
          <w:rtl w:val="true"/>
        </w:rPr>
        <w:footnoteReference w:id="2149"/>
      </w:r>
      <w:r>
        <w:rPr>
          <w:rFonts w:ascii="Amiri" w:hAnsi="Amiri" w:eastAsia="Amiri" w:cs="Amiri"/>
          <w:color w:val="111111"/>
          <w:sz w:val="28"/>
          <w:sz w:val="28"/>
          <w:szCs w:val="28"/>
          <w:rtl w:val="true"/>
          <w:lang w:bidi="ar-SA"/>
        </w:rPr>
        <w:t xml:space="preserve">، و الصحيح و الخبر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 شي‌ء من الذريرة مع الكافور في الثانية؛ للصحيح و الحسن </w:t>
      </w:r>
      <w:r>
        <w:rPr>
          <w:rStyle w:val="FootnoteAnchor"/>
          <w:rtl w:val="true"/>
        </w:rPr>
        <w:footnoteReference w:id="2151"/>
      </w:r>
      <w:r>
        <w:rPr>
          <w:rFonts w:ascii="Amiri" w:hAnsi="Amiri" w:eastAsia="Amiri" w:cs="Amiri"/>
          <w:color w:val="111111"/>
          <w:sz w:val="28"/>
          <w:sz w:val="28"/>
          <w:szCs w:val="28"/>
          <w:rtl w:val="true"/>
          <w:lang w:bidi="ar-SA"/>
        </w:rPr>
        <w:t>، و كأنّها لطيب المسحوق، و قد فسّرت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إرسال الماء في غير الكنيف المعدّ للنجاسة، من حفيرة تحفر أو بالوعة معدّة لصبّ الماء دون البول؛ للإجماع و الصحيح و الحسن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وضع الغاسل خرقة على يده اليسرىٰ حال الغسل؛ للصحيح و الرضوي </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 عند غسل العورة؛ إذ المس كالنظر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يحمل ما في الموثّق و الحسن </w:t>
      </w:r>
      <w:r>
        <w:rPr>
          <w:rStyle w:val="FootnoteAnchor"/>
          <w:rtl w:val="true"/>
        </w:rPr>
        <w:footnoteReference w:id="2154"/>
      </w:r>
      <w:r>
        <w:rPr>
          <w:rFonts w:ascii="Amiri" w:hAnsi="Amiri" w:eastAsia="Amiri" w:cs="Amiri"/>
          <w:color w:val="111111"/>
          <w:sz w:val="28"/>
          <w:sz w:val="28"/>
          <w:szCs w:val="28"/>
          <w:rtl w:val="true"/>
          <w:lang w:bidi="ar-SA"/>
        </w:rPr>
        <w:t>من تخصّصه بغسل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وقوف الغاسل عن يمينه، كما قيل </w:t>
      </w:r>
      <w:r>
        <w:rPr>
          <w:rStyle w:val="FootnoteAnchor"/>
          <w:rtl w:val="true"/>
        </w:rPr>
        <w:footnoteReference w:id="2155"/>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يجعله بين رجليه، بل يقف على جانبه</w:t>
      </w:r>
      <w:r>
        <w:rPr>
          <w:rFonts w:eastAsia="Amiri" w:cs="Amiri" w:ascii="Amiri" w:hAnsi="Amiri"/>
          <w:color w:val="111111"/>
          <w:sz w:val="28"/>
          <w:szCs w:val="28"/>
          <w:rtl w:val="true"/>
          <w:lang w:bidi="ar-SA"/>
        </w:rPr>
        <w:t xml:space="preserve">» </w:t>
      </w:r>
      <w:r>
        <w:rPr>
          <w:rStyle w:val="FootnoteAnchor"/>
          <w:rtl w:val="true"/>
        </w:rPr>
        <w:footnoteReference w:id="2156"/>
      </w:r>
      <w:r>
        <w:rPr>
          <w:rFonts w:ascii="Amiri" w:hAnsi="Amiri" w:eastAsia="Amiri" w:cs="Amiri"/>
          <w:color w:val="111111"/>
          <w:sz w:val="28"/>
          <w:sz w:val="28"/>
          <w:szCs w:val="28"/>
          <w:rtl w:val="true"/>
          <w:lang w:bidi="ar-SA"/>
        </w:rPr>
        <w:t>، و هو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غسله يديه إلى المرفقين بعد الأُوليين؛ للخبر </w:t>
      </w:r>
      <w:r>
        <w:rPr>
          <w:rStyle w:val="FootnoteAnchor"/>
          <w:rtl w:val="true"/>
        </w:rPr>
        <w:footnoteReference w:id="2157"/>
      </w:r>
      <w:r>
        <w:rPr>
          <w:rFonts w:ascii="Amiri" w:hAnsi="Amiri" w:eastAsia="Amiri" w:cs="Amiri"/>
          <w:color w:val="111111"/>
          <w:sz w:val="28"/>
          <w:sz w:val="28"/>
          <w:szCs w:val="28"/>
          <w:rtl w:val="true"/>
          <w:lang w:bidi="ar-SA"/>
        </w:rPr>
        <w:t xml:space="preserve">، لا مع كلّ غسلة كما قيل </w:t>
      </w:r>
      <w:r>
        <w:rPr>
          <w:rStyle w:val="FootnoteAnchor"/>
          <w:rtl w:val="true"/>
        </w:rPr>
        <w:footnoteReference w:id="2158"/>
      </w:r>
      <w:r>
        <w:rPr>
          <w:rFonts w:ascii="IRNazanin" w:hAnsi="IRNazanin" w:eastAsia="IRNazanin"/>
          <w:color w:val="111111"/>
          <w:sz w:val="28"/>
          <w:sz w:val="28"/>
          <w:szCs w:val="28"/>
          <w:rtl w:val="true"/>
          <w:lang w:bidi="fa-IR"/>
        </w:rPr>
        <w:t>لعدم المستند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تنشيفه بعد الفراغ بثوب؛ للمستفيضة </w:t>
      </w:r>
      <w:r>
        <w:rPr>
          <w:rStyle w:val="FootnoteAnchor"/>
          <w:rtl w:val="true"/>
        </w:rPr>
        <w:footnoteReference w:id="2159"/>
      </w:r>
      <w:r>
        <w:rPr>
          <w:rFonts w:ascii="Amiri" w:hAnsi="Amiri" w:eastAsia="Amiri" w:cs="Amiri"/>
          <w:color w:val="111111"/>
          <w:sz w:val="28"/>
          <w:sz w:val="28"/>
          <w:szCs w:val="28"/>
          <w:rtl w:val="true"/>
          <w:lang w:bidi="ar-SA"/>
        </w:rPr>
        <w:t>، و قد علّل بصونه الكفن عن البلل</w:t>
      </w:r>
      <w:r>
        <w:rPr>
          <w:rFonts w:eastAsia="Amiri" w:cs="Amiri" w:ascii="Amiri" w:hAnsi="Amiri"/>
          <w:color w:val="111111"/>
          <w:sz w:val="28"/>
          <w:szCs w:val="28"/>
          <w:rtl w:val="true"/>
          <w:lang w:bidi="ar-SA"/>
        </w:rPr>
        <w:t>.</w:t>
      </w:r>
      <w:bookmarkStart w:id="843" w:name="pg2479_11924"/>
    </w:p>
    <w:p>
      <w:pPr>
        <w:pStyle w:val="Heading6"/>
        <w:numPr>
          <w:ilvl w:val="5"/>
          <w:numId w:val="1"/>
        </w:numPr>
        <w:rPr/>
      </w:pPr>
      <w:bookmarkStart w:id="844" w:name="__RefHeading___Toc3732439_3804643083"/>
      <w:bookmarkStart w:id="845" w:name="_Toc325"/>
      <w:bookmarkEnd w:id="843"/>
      <w:bookmarkEnd w:id="844"/>
      <w:r>
        <w:rPr>
          <w:rtl w:val="true"/>
        </w:rPr>
        <w:t>مسألة و يكره فيه</w:t>
      </w:r>
      <w:r>
        <w:rPr>
          <w:rtl w:val="true"/>
        </w:rPr>
        <w:t>:</w:t>
      </w:r>
      <w:bookmarkEnd w:id="845"/>
    </w:p>
    <w:p>
      <w:pPr>
        <w:pStyle w:val="BookText"/>
        <w:rPr/>
      </w:pPr>
      <w:r>
        <w:rPr>
          <w:rFonts w:ascii="Amiri" w:hAnsi="Amiri" w:eastAsia="Amiri" w:cs="Amiri"/>
          <w:color w:val="111111"/>
          <w:sz w:val="28"/>
          <w:sz w:val="28"/>
          <w:szCs w:val="28"/>
          <w:rtl w:val="true"/>
          <w:lang w:bidi="ar-SA"/>
        </w:rPr>
        <w:t xml:space="preserve">إقعاد الميّت؛ للصحيح </w:t>
      </w:r>
      <w:r>
        <w:rPr>
          <w:rStyle w:val="FootnoteAnchor"/>
          <w:rtl w:val="true"/>
        </w:rPr>
        <w:footnoteReference w:id="2160"/>
      </w:r>
      <w:r>
        <w:rPr>
          <w:rFonts w:ascii="IRNazanin" w:hAnsi="IRNazanin" w:eastAsia="IRNazanin"/>
          <w:color w:val="111111"/>
          <w:sz w:val="28"/>
          <w:sz w:val="28"/>
          <w:szCs w:val="28"/>
          <w:rtl w:val="true"/>
          <w:lang w:bidi="fa-IR"/>
        </w:rPr>
        <w:t xml:space="preserve">و نقل الإجماع </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منافاته للرفق المأمور به </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الأمر به </w:t>
      </w:r>
      <w:r>
        <w:rPr>
          <w:rStyle w:val="FootnoteAnchor"/>
          <w:rtl w:val="true"/>
        </w:rPr>
        <w:footnoteReference w:id="2163"/>
      </w:r>
      <w:r>
        <w:rPr>
          <w:rFonts w:ascii="Amiri" w:hAnsi="Amiri" w:eastAsia="Amiri" w:cs="Amiri"/>
          <w:color w:val="111111"/>
          <w:sz w:val="28"/>
          <w:sz w:val="28"/>
          <w:szCs w:val="28"/>
          <w:rtl w:val="true"/>
          <w:lang w:bidi="ar-SA"/>
        </w:rPr>
        <w:t xml:space="preserve">محمول على التقيّة؛ لوفاق العامّة على استحبابه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جعله بين رجليه؛ للخبر </w:t>
      </w:r>
      <w:r>
        <w:rPr>
          <w:rStyle w:val="FootnoteAnchor"/>
          <w:rtl w:val="true"/>
        </w:rPr>
        <w:footnoteReference w:id="2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البأس عنه في الآخر </w:t>
      </w:r>
      <w:r>
        <w:rPr>
          <w:rStyle w:val="FootnoteAnchor"/>
          <w:rtl w:val="true"/>
        </w:rPr>
        <w:footnoteReference w:id="2166"/>
      </w:r>
      <w:r>
        <w:rPr>
          <w:rFonts w:ascii="Amiri" w:hAnsi="Amiri" w:eastAsia="Amiri" w:cs="Amiri"/>
          <w:color w:val="111111"/>
          <w:sz w:val="28"/>
          <w:sz w:val="28"/>
          <w:szCs w:val="28"/>
          <w:rtl w:val="true"/>
          <w:lang w:bidi="ar-SA"/>
        </w:rPr>
        <w:t>محمول على الجواز أو توقّف غسله عليه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 ظفره، و حلق شعره و تسريحه؛ للخبرين </w:t>
      </w:r>
      <w:r>
        <w:rPr>
          <w:rStyle w:val="FootnoteAnchor"/>
          <w:rtl w:val="true"/>
        </w:rPr>
        <w:footnoteReference w:id="2167"/>
      </w:r>
      <w:r>
        <w:rPr>
          <w:rFonts w:ascii="Amiri" w:hAnsi="Amiri" w:eastAsia="Amiri" w:cs="Amiri"/>
          <w:color w:val="111111"/>
          <w:sz w:val="28"/>
          <w:sz w:val="28"/>
          <w:szCs w:val="28"/>
          <w:rtl w:val="true"/>
          <w:lang w:bidi="ar-SA"/>
        </w:rPr>
        <w:t xml:space="preserve">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حرّمها </w:t>
      </w:r>
      <w:r>
        <w:rPr>
          <w:rStyle w:val="FootnoteAnchor"/>
          <w:rtl w:val="true"/>
        </w:rPr>
        <w:footnoteReference w:id="2169"/>
      </w:r>
      <w:r>
        <w:rPr>
          <w:rFonts w:ascii="Amiri" w:hAnsi="Amiri" w:eastAsia="Amiri" w:cs="Amiri"/>
          <w:color w:val="111111"/>
          <w:sz w:val="28"/>
          <w:sz w:val="28"/>
          <w:szCs w:val="28"/>
          <w:rtl w:val="true"/>
          <w:lang w:bidi="ar-SA"/>
        </w:rPr>
        <w:t xml:space="preserve">ابن حمزة لظاهر النهي </w:t>
      </w:r>
      <w:r>
        <w:rPr>
          <w:rStyle w:val="FootnoteAnchor"/>
          <w:rtl w:val="true"/>
        </w:rPr>
        <w:footnoteReference w:id="2170"/>
      </w:r>
      <w:r>
        <w:rPr>
          <w:rFonts w:ascii="Amiri" w:hAnsi="Amiri" w:eastAsia="Amiri" w:cs="Amiri"/>
          <w:color w:val="111111"/>
          <w:sz w:val="28"/>
          <w:sz w:val="28"/>
          <w:szCs w:val="28"/>
          <w:rtl w:val="true"/>
          <w:lang w:bidi="ar-SA"/>
        </w:rPr>
        <w:t xml:space="preserve">في المستفيضة </w:t>
      </w:r>
      <w:r>
        <w:rPr>
          <w:rStyle w:val="FootnoteAnchor"/>
          <w:rtl w:val="true"/>
        </w:rPr>
        <w:footnoteReference w:id="2171"/>
      </w:r>
      <w:r>
        <w:rPr>
          <w:rFonts w:ascii="Amiri" w:hAnsi="Amiri" w:eastAsia="Amiri" w:cs="Amiri"/>
          <w:color w:val="111111"/>
          <w:sz w:val="28"/>
          <w:sz w:val="28"/>
          <w:szCs w:val="28"/>
          <w:rtl w:val="true"/>
          <w:lang w:bidi="ar-SA"/>
        </w:rPr>
        <w:t xml:space="preserve">، و أُجيب بالحمل على الكراهة </w:t>
      </w:r>
      <w:r>
        <w:rPr>
          <w:rStyle w:val="FootnoteAnchor"/>
          <w:rtl w:val="true"/>
        </w:rPr>
        <w:footnoteReference w:id="2172"/>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انفصل منه شي‌ء ممّا ذكر وجب دفنه معه؛ للأخبار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bookmarkStart w:id="846" w:name="pg2479_11926"/>
    </w:p>
    <w:p>
      <w:pPr>
        <w:pStyle w:val="BookText"/>
        <w:rPr/>
      </w:pPr>
      <w:bookmarkEnd w:id="846"/>
      <w:r>
        <w:rPr>
          <w:rFonts w:ascii="IRNazanin" w:hAnsi="IRNazanin" w:eastAsia="IRNazanin"/>
          <w:color w:val="111111"/>
          <w:sz w:val="28"/>
          <w:sz w:val="28"/>
          <w:szCs w:val="28"/>
          <w:rtl w:val="true"/>
          <w:lang w:bidi="fa-IR"/>
        </w:rPr>
        <w:t xml:space="preserve">و غسله بالمسخّن بالنار؛ لنقل الإجماع </w:t>
      </w:r>
      <w:r>
        <w:rPr>
          <w:rStyle w:val="FootnoteAnchor"/>
          <w:rtl w:val="true"/>
        </w:rPr>
        <w:footnoteReference w:id="2174"/>
      </w:r>
      <w:r>
        <w:rPr>
          <w:rFonts w:ascii="Amiri" w:hAnsi="Amiri" w:eastAsia="Amiri" w:cs="Amiri"/>
          <w:color w:val="111111"/>
          <w:sz w:val="28"/>
          <w:sz w:val="28"/>
          <w:szCs w:val="28"/>
          <w:rtl w:val="true"/>
          <w:lang w:bidi="ar-SA"/>
        </w:rPr>
        <w:t xml:space="preserve">و المستفيضة </w:t>
      </w:r>
      <w:r>
        <w:rPr>
          <w:rStyle w:val="FootnoteAnchor"/>
          <w:rtl w:val="true"/>
        </w:rPr>
        <w:footnoteReference w:id="2175"/>
      </w:r>
      <w:r>
        <w:rPr>
          <w:rFonts w:ascii="Amiri" w:hAnsi="Amiri" w:eastAsia="Amiri" w:cs="Amiri"/>
          <w:color w:val="111111"/>
          <w:sz w:val="28"/>
          <w:sz w:val="28"/>
          <w:szCs w:val="28"/>
          <w:rtl w:val="true"/>
          <w:lang w:bidi="ar-SA"/>
        </w:rPr>
        <w:t xml:space="preserve">، إلّا مع تضرّر الغاسل لشدّة البرد، كما في الرضوي </w:t>
      </w:r>
      <w:r>
        <w:rPr>
          <w:rStyle w:val="FootnoteAnchor"/>
          <w:rtl w:val="true"/>
        </w:rPr>
        <w:footnoteReference w:id="2176"/>
      </w:r>
      <w:r>
        <w:rPr>
          <w:rFonts w:ascii="Amiri" w:hAnsi="Amiri" w:eastAsia="Amiri" w:cs="Amiri"/>
          <w:color w:val="111111"/>
          <w:sz w:val="28"/>
          <w:sz w:val="28"/>
          <w:szCs w:val="28"/>
          <w:rtl w:val="true"/>
          <w:lang w:bidi="ar-SA"/>
        </w:rPr>
        <w:t xml:space="preserve">، و فتوى الشيخين و الصدوقين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الدخنة، بعود أو غيره من الأطياب؛ للخبرين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البأس عنه في الحسن </w:t>
      </w:r>
      <w:r>
        <w:rPr>
          <w:rStyle w:val="FootnoteAnchor"/>
          <w:rtl w:val="true"/>
        </w:rPr>
        <w:footnoteReference w:id="2179"/>
      </w:r>
      <w:r>
        <w:rPr>
          <w:rFonts w:ascii="Amiri" w:hAnsi="Amiri" w:eastAsia="Amiri" w:cs="Amiri"/>
          <w:color w:val="111111"/>
          <w:sz w:val="28"/>
          <w:sz w:val="28"/>
          <w:szCs w:val="28"/>
          <w:rtl w:val="true"/>
          <w:lang w:bidi="ar-SA"/>
        </w:rPr>
        <w:t>محمول على التقيّة أو الجواز</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3732441_3804643083"/>
      <w:bookmarkStart w:id="848" w:name="_Toc326"/>
      <w:bookmarkEnd w:id="847"/>
      <w:r>
        <w:rPr>
          <w:rtl w:val="true"/>
        </w:rPr>
        <w:t>الثالث</w:t>
      </w:r>
      <w:r>
        <w:rPr>
          <w:rtl w:val="true"/>
        </w:rPr>
        <w:t xml:space="preserve">: </w:t>
      </w:r>
      <w:r>
        <w:rPr>
          <w:rtl w:val="true"/>
        </w:rPr>
        <w:t>الكفن</w:t>
      </w:r>
      <w:bookmarkEnd w:id="848"/>
    </w:p>
    <w:p>
      <w:pPr>
        <w:pStyle w:val="Heading6"/>
        <w:numPr>
          <w:ilvl w:val="5"/>
          <w:numId w:val="1"/>
        </w:numPr>
        <w:rPr/>
      </w:pPr>
      <w:bookmarkStart w:id="849" w:name="__RefHeading___Toc3732443_3804643083"/>
      <w:bookmarkStart w:id="850" w:name="_Toc327"/>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 xml:space="preserve">و الواجب منه ثلاث قطع، وفاقاً للمعظم؛ لنقل الإجماع </w:t>
      </w:r>
      <w:r>
        <w:rPr>
          <w:rStyle w:val="FootnoteAnchor"/>
          <w:rtl w:val="true"/>
        </w:rPr>
        <w:footnoteReference w:id="2180"/>
      </w:r>
      <w:r>
        <w:rPr>
          <w:rFonts w:ascii="IRNazanin" w:hAnsi="IRNazanin" w:eastAsia="IRNazanin"/>
          <w:color w:val="111111"/>
          <w:sz w:val="28"/>
          <w:sz w:val="28"/>
          <w:szCs w:val="28"/>
          <w:rtl w:val="true"/>
          <w:lang w:bidi="fa-IR"/>
        </w:rPr>
        <w:t xml:space="preserve">، و تظافر النصوص </w:t>
      </w:r>
      <w:r>
        <w:rPr>
          <w:rStyle w:val="FootnoteAnchor"/>
          <w:rtl w:val="true"/>
        </w:rPr>
        <w:footnoteReference w:id="2181"/>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الديلمي بكونه قطعة واحدة </w:t>
      </w:r>
      <w:r>
        <w:rPr>
          <w:rStyle w:val="FootnoteAnchor"/>
          <w:rtl w:val="true"/>
        </w:rPr>
        <w:footnoteReference w:id="2182"/>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لفائف ثلاث شاملة لجميع الجسد، أو لفافتان و قميص يصل إلى نصف الساق، بمعنى ثبوت التخيّر بينهما، وفاقاً للإسكافي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و جلّ الثالثة؛ لانحصار النصوص فيما تيقّن الأُولى أو الثانية فيجمع بينهما بالحمل على التخيير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الخبر و المرسل </w:t>
      </w:r>
      <w:r>
        <w:rPr>
          <w:rStyle w:val="FootnoteAnchor"/>
          <w:rtl w:val="true"/>
        </w:rPr>
        <w:footnoteReference w:id="2184"/>
      </w:r>
      <w:r>
        <w:rPr>
          <w:rFonts w:ascii="Amiri" w:hAnsi="Amiri" w:eastAsia="Amiri" w:cs="Amiri"/>
          <w:color w:val="111111"/>
          <w:sz w:val="28"/>
          <w:sz w:val="28"/>
          <w:szCs w:val="28"/>
          <w:rtl w:val="true"/>
          <w:lang w:bidi="ar-SA"/>
        </w:rPr>
        <w:t>تصريح به، مع أفضليّة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الأخير</w:t>
      </w:r>
    </w:p>
    <w:p>
      <w:pPr>
        <w:pStyle w:val="BookText"/>
        <w:rPr/>
      </w:pPr>
      <w:r>
        <w:rPr>
          <w:rFonts w:ascii="IRNazanin" w:hAnsi="IRNazanin" w:eastAsia="IRNazanin"/>
          <w:color w:val="111111"/>
          <w:sz w:val="28"/>
          <w:sz w:val="28"/>
          <w:szCs w:val="28"/>
          <w:rtl w:val="true"/>
          <w:lang w:bidi="fa-IR"/>
        </w:rPr>
        <w:t xml:space="preserve">عبّر عن أحد الثلاث بالإزار </w:t>
      </w:r>
      <w:r>
        <w:rPr>
          <w:rStyle w:val="FootnoteAnchor"/>
          <w:rtl w:val="true"/>
        </w:rPr>
        <w:footnoteReference w:id="2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تصفّح العرف و اللغة </w:t>
      </w:r>
      <w:r>
        <w:rPr>
          <w:rStyle w:val="FootnoteAnchor"/>
          <w:rtl w:val="true"/>
        </w:rPr>
        <w:footnoteReference w:id="2186"/>
      </w:r>
      <w:r>
        <w:rPr>
          <w:rFonts w:ascii="IRNazanin" w:hAnsi="IRNazanin" w:eastAsia="IRNazanin"/>
          <w:color w:val="111111"/>
          <w:sz w:val="28"/>
          <w:sz w:val="28"/>
          <w:szCs w:val="28"/>
          <w:rtl w:val="true"/>
          <w:lang w:bidi="fa-IR"/>
        </w:rPr>
        <w:t xml:space="preserve">و الأخبار </w:t>
      </w:r>
      <w:r>
        <w:rPr>
          <w:rStyle w:val="FootnoteAnchor"/>
          <w:rtl w:val="true"/>
        </w:rPr>
        <w:footnoteReference w:id="2187"/>
      </w:r>
      <w:r>
        <w:rPr>
          <w:rFonts w:ascii="Amiri" w:hAnsi="Amiri" w:eastAsia="Amiri" w:cs="Amiri"/>
          <w:color w:val="111111"/>
          <w:sz w:val="28"/>
          <w:sz w:val="28"/>
          <w:szCs w:val="28"/>
          <w:rtl w:val="true"/>
          <w:lang w:bidi="ar-SA"/>
        </w:rPr>
        <w:t xml:space="preserve">يعطي ظهوره في اللفافة الشاملة، دون المئزر كما توهّم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على أنّ الثلاث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 لفّافة، و مئزر يستر ما بين السرّة و الركبة؛ لحمل الإزار الوارد في بعضها </w:t>
      </w:r>
      <w:r>
        <w:rPr>
          <w:rStyle w:val="FootnoteAnchor"/>
          <w:rtl w:val="true"/>
        </w:rPr>
        <w:footnoteReference w:id="2189"/>
      </w:r>
      <w:r>
        <w:rPr>
          <w:rFonts w:ascii="Amiri" w:hAnsi="Amiri" w:eastAsia="Amiri" w:cs="Amiri"/>
          <w:color w:val="111111"/>
          <w:sz w:val="28"/>
          <w:sz w:val="28"/>
          <w:szCs w:val="28"/>
          <w:rtl w:val="true"/>
          <w:lang w:bidi="ar-SA"/>
        </w:rPr>
        <w:t xml:space="preserve">على المئزر، و إرجاع البواقي إليه بتقييدين في المتضمّنة لثلاث لفائف </w:t>
      </w:r>
      <w:r>
        <w:rPr>
          <w:rStyle w:val="FootnoteAnchor"/>
          <w:rtl w:val="true"/>
        </w:rPr>
        <w:footnoteReference w:id="2190"/>
      </w:r>
      <w:r>
        <w:rPr>
          <w:rFonts w:ascii="Amiri" w:hAnsi="Amiri" w:eastAsia="Amiri" w:cs="Amiri"/>
          <w:color w:val="111111"/>
          <w:sz w:val="28"/>
          <w:sz w:val="28"/>
          <w:szCs w:val="28"/>
          <w:rtl w:val="true"/>
          <w:lang w:bidi="ar-SA"/>
        </w:rPr>
        <w:t xml:space="preserve">، و تقييد في المتضمّنة لقميص و لفّافتين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بظهور الإزار في اللفّافة شرعاً و عرفاً، بل لغة </w:t>
      </w:r>
      <w:r>
        <w:rPr>
          <w:rStyle w:val="FootnoteAnchor"/>
          <w:rtl w:val="true"/>
        </w:rPr>
        <w:footnoteReference w:id="2192"/>
      </w:r>
      <w:r>
        <w:rPr>
          <w:rFonts w:ascii="Amiri" w:hAnsi="Amiri" w:eastAsia="Amiri" w:cs="Amiri"/>
          <w:color w:val="111111"/>
          <w:sz w:val="28"/>
          <w:sz w:val="28"/>
          <w:szCs w:val="28"/>
          <w:rtl w:val="true"/>
          <w:lang w:bidi="ar-SA"/>
        </w:rPr>
        <w:t>، و الإطلاق عليه نادراً غير ضائر و حمله عليها في بعض الأخبار متعيّن، و بعضها صريح في اعتبار الشمول في الثلاثة أو الاثنين اللذين هما غير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بعضها من كون الإزار تحت اللفافة </w:t>
      </w:r>
      <w:r>
        <w:rPr>
          <w:rStyle w:val="FootnoteAnchor"/>
          <w:rtl w:val="true"/>
        </w:rPr>
        <w:footnoteReference w:id="2193"/>
      </w:r>
      <w:r>
        <w:rPr>
          <w:rFonts w:ascii="Amiri" w:hAnsi="Amiri" w:eastAsia="Amiri" w:cs="Amiri"/>
          <w:color w:val="111111"/>
          <w:sz w:val="28"/>
          <w:sz w:val="28"/>
          <w:szCs w:val="28"/>
          <w:rtl w:val="true"/>
          <w:lang w:bidi="ar-SA"/>
        </w:rPr>
        <w:t>لا يعيّن حمله على المئزر؛ إذ اعتبار كون أحد الشاملين تحت الآخر الأشمل لا ضير فيه، و استحباب التكفين في ثوبي الإحرام لا يوجب كون إحدى الثلاث مئزراً؛ إذ عدم الشمول في أحدهما غير لازم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من بعض النصوص الواردة في تكفين النبي صلّى اللّٰه عليه و سلّم و الصادق عليه السّلام في</w:t>
      </w:r>
      <w:bookmarkStart w:id="851" w:name="pg2479_11930"/>
    </w:p>
    <w:p>
      <w:pPr>
        <w:pStyle w:val="BookText"/>
        <w:rPr/>
      </w:pPr>
      <w:bookmarkEnd w:id="851"/>
      <w:r>
        <w:rPr>
          <w:rFonts w:ascii="Amiri" w:hAnsi="Amiri" w:eastAsia="Amiri" w:cs="Amiri"/>
          <w:color w:val="111111"/>
          <w:sz w:val="28"/>
          <w:sz w:val="28"/>
          <w:szCs w:val="28"/>
          <w:rtl w:val="true"/>
          <w:lang w:bidi="ar-SA"/>
        </w:rPr>
        <w:t xml:space="preserve">ثوبي الإحرام </w:t>
      </w:r>
      <w:r>
        <w:rPr>
          <w:rStyle w:val="FootnoteAnchor"/>
          <w:rtl w:val="true"/>
        </w:rPr>
        <w:footnoteReference w:id="2194"/>
      </w:r>
      <w:r>
        <w:rPr>
          <w:rFonts w:ascii="IRNazanin" w:hAnsi="IRNazanin" w:eastAsia="IRNazanin"/>
          <w:color w:val="111111"/>
          <w:sz w:val="28"/>
          <w:sz w:val="28"/>
          <w:szCs w:val="28"/>
          <w:rtl w:val="true"/>
          <w:lang w:bidi="fa-IR"/>
        </w:rPr>
        <w:t>شمولهما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قميص و لفّافتان لا غير، و هو فتوى الصدوقين و العماني </w:t>
      </w:r>
      <w:r>
        <w:rPr>
          <w:rStyle w:val="FootnoteAnchor"/>
          <w:rtl w:val="true"/>
        </w:rPr>
        <w:footnoteReference w:id="2195"/>
      </w:r>
      <w:r>
        <w:rPr>
          <w:rFonts w:ascii="Amiri" w:hAnsi="Amiri" w:eastAsia="Amiri" w:cs="Amiri"/>
          <w:color w:val="111111"/>
          <w:sz w:val="28"/>
          <w:sz w:val="28"/>
          <w:szCs w:val="28"/>
          <w:rtl w:val="true"/>
          <w:lang w:bidi="ar-SA"/>
        </w:rPr>
        <w:t xml:space="preserve">، أخذاً بالأخبار المتضمّنة للقميص </w:t>
      </w:r>
      <w:r>
        <w:rPr>
          <w:rStyle w:val="FootnoteAnchor"/>
          <w:rtl w:val="true"/>
        </w:rPr>
        <w:footnoteReference w:id="2196"/>
      </w:r>
      <w:r>
        <w:rPr>
          <w:rFonts w:ascii="Amiri" w:hAnsi="Amiri" w:eastAsia="Amiri" w:cs="Amiri"/>
          <w:color w:val="111111"/>
          <w:sz w:val="28"/>
          <w:sz w:val="28"/>
          <w:szCs w:val="28"/>
          <w:rtl w:val="true"/>
          <w:lang w:bidi="ar-SA"/>
        </w:rPr>
        <w:t>و حمل المطلقات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بعدم إمكان الحمل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بكفاية كلّ ثلاثة من الثلاثات الثلاث </w:t>
      </w:r>
      <w:r>
        <w:rPr>
          <w:rStyle w:val="FootnoteAnchor"/>
          <w:rtl w:val="true"/>
        </w:rPr>
        <w:footnoteReference w:id="2197"/>
      </w:r>
      <w:r>
        <w:rPr>
          <w:rFonts w:ascii="Amiri" w:hAnsi="Amiri" w:eastAsia="Amiri" w:cs="Amiri"/>
          <w:color w:val="111111"/>
          <w:sz w:val="28"/>
          <w:sz w:val="28"/>
          <w:szCs w:val="28"/>
          <w:rtl w:val="true"/>
          <w:lang w:bidi="ar-SA"/>
        </w:rPr>
        <w:t xml:space="preserve">، عملًا بجميع الأخبار، بعد حمل الإزار فيما يتضمّنه على المئزر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 ممّا مرّ، مع أنّه إحداث ثالث من بعض الثالثة، فلا يعبأ به</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3732445_3804643083"/>
      <w:bookmarkStart w:id="853" w:name="_Toc328"/>
      <w:bookmarkEnd w:id="852"/>
      <w:r>
        <w:rPr>
          <w:rtl w:val="true"/>
        </w:rPr>
        <w:t>فروع</w:t>
      </w:r>
      <w:r>
        <w:rPr>
          <w:rtl w:val="true"/>
        </w:rPr>
        <w:t>:</w:t>
      </w:r>
      <w:bookmarkEnd w:id="853"/>
    </w:p>
    <w:p>
      <w:pPr>
        <w:pStyle w:val="Heading6"/>
        <w:numPr>
          <w:ilvl w:val="5"/>
          <w:numId w:val="1"/>
        </w:numPr>
        <w:rPr/>
      </w:pPr>
      <w:bookmarkStart w:id="854" w:name="__RefHeading___Toc3732447_3804643083"/>
      <w:bookmarkStart w:id="855" w:name="_Toc329"/>
      <w:bookmarkEnd w:id="854"/>
      <w:r>
        <w:rPr>
          <w:rtl w:val="true"/>
        </w:rPr>
        <w:t>الأوّل</w:t>
      </w:r>
      <w:r>
        <w:rPr>
          <w:rtl w:val="true"/>
        </w:rPr>
        <w:t>:</w:t>
      </w:r>
      <w:bookmarkEnd w:id="855"/>
    </w:p>
    <w:p>
      <w:pPr>
        <w:pStyle w:val="BookText"/>
        <w:rPr/>
      </w:pPr>
      <w:r>
        <w:rPr>
          <w:rFonts w:ascii="Amiri" w:hAnsi="Amiri" w:eastAsia="Amiri" w:cs="Amiri"/>
          <w:color w:val="111111"/>
          <w:sz w:val="28"/>
          <w:sz w:val="28"/>
          <w:szCs w:val="28"/>
          <w:rtl w:val="true"/>
          <w:lang w:bidi="ar-SA"/>
        </w:rPr>
        <w:t>المعتبر في القميص أن يصل إلى نصف الساق؛ لأنّه المتعارف، و يجوز الزيادة بما يصل إلى القدم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اللفافة شموله البدن بأسره، و ينبغي الزيادة بحيث يمكن شدّه من الطرفين، و جعل أحد جانبيه على الآخر</w:t>
      </w:r>
      <w:r>
        <w:rPr>
          <w:rFonts w:eastAsia="Amiri" w:cs="Amiri" w:ascii="Amiri" w:hAnsi="Amiri"/>
          <w:color w:val="111111"/>
          <w:sz w:val="28"/>
          <w:szCs w:val="28"/>
          <w:rtl w:val="true"/>
          <w:lang w:bidi="ar-SA"/>
        </w:rPr>
        <w:t>.</w:t>
      </w:r>
      <w:bookmarkStart w:id="856" w:name="pg2479_11932"/>
    </w:p>
    <w:p>
      <w:pPr>
        <w:pStyle w:val="BookText"/>
        <w:rPr/>
      </w:pPr>
      <w:bookmarkEnd w:id="856"/>
      <w:r>
        <w:rPr>
          <w:rFonts w:ascii="Amiri" w:hAnsi="Amiri" w:eastAsia="Amiri" w:cs="Amiri"/>
          <w:color w:val="111111"/>
          <w:sz w:val="28"/>
          <w:sz w:val="28"/>
          <w:szCs w:val="28"/>
          <w:rtl w:val="true"/>
          <w:lang w:bidi="ar-SA"/>
        </w:rPr>
        <w:t>و في المئزر على اعتباره أن يستر ما بين السرّة و الركبة، و يجوز كونه إلى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الاكتفاء فيه بما يستر العورة بعيد، و التعليل بأنّ شرعيّته بسترها عليل</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3732449_3804643083"/>
      <w:bookmarkStart w:id="858" w:name="_Toc330"/>
      <w:bookmarkEnd w:id="857"/>
      <w:r>
        <w:rPr>
          <w:rtl w:val="true"/>
        </w:rPr>
        <w:t>الثاني</w:t>
      </w:r>
      <w:r>
        <w:rPr>
          <w:rtl w:val="true"/>
        </w:rPr>
        <w:t>:</w:t>
      </w:r>
      <w:bookmarkEnd w:id="858"/>
    </w:p>
    <w:p>
      <w:pPr>
        <w:pStyle w:val="BookText"/>
        <w:rPr/>
      </w:pPr>
      <w:r>
        <w:rPr>
          <w:rFonts w:ascii="Amiri" w:hAnsi="Amiri" w:eastAsia="Amiri" w:cs="Amiri"/>
          <w:color w:val="111111"/>
          <w:sz w:val="28"/>
          <w:sz w:val="28"/>
          <w:szCs w:val="28"/>
          <w:rtl w:val="true"/>
          <w:lang w:bidi="ar-SA"/>
        </w:rPr>
        <w:t>لو تعذّر الثلاث كفى ما يوجد؛ لأنّ الضرورة تسقط أصل الكفن، فكيف لا يسقط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وجوب التكفين بالبعض مع وجوده؛ للعمومات و كون حرمة الميّت كحرمة الحيّ، فاحتمال ثبوت الجواز دون الوجوب لفقد النصّ ضعيف</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732451_3804643083"/>
      <w:bookmarkStart w:id="860" w:name="_Toc331"/>
      <w:bookmarkEnd w:id="859"/>
      <w:r>
        <w:rPr>
          <w:rtl w:val="true"/>
        </w:rPr>
        <w:t>الثالث</w:t>
      </w:r>
      <w:r>
        <w:rPr>
          <w:rtl w:val="true"/>
        </w:rPr>
        <w:t>:</w:t>
      </w:r>
      <w:bookmarkEnd w:id="860"/>
    </w:p>
    <w:p>
      <w:pPr>
        <w:pStyle w:val="BookText"/>
        <w:rPr/>
      </w:pPr>
      <w:r>
        <w:rPr>
          <w:rFonts w:ascii="Amiri" w:hAnsi="Amiri" w:eastAsia="Amiri" w:cs="Amiri"/>
          <w:color w:val="111111"/>
          <w:sz w:val="28"/>
          <w:sz w:val="28"/>
          <w:szCs w:val="28"/>
          <w:rtl w:val="true"/>
          <w:lang w:bidi="ar-SA"/>
        </w:rPr>
        <w:t>المعتبر في جنسه القصد بحسب حال الميّت، فلا يقتصر على الأدون و إن ماكس الوارث أو كان صغيراً؛ لوجوب حمل اللفظ على ما هو المتعارف و اللائق بحال المكلّف</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3732453_3804643083"/>
      <w:bookmarkStart w:id="862" w:name="_Toc332"/>
      <w:bookmarkEnd w:id="861"/>
      <w:r>
        <w:rPr>
          <w:rtl w:val="true"/>
        </w:rPr>
        <w:t>الرابع</w:t>
      </w:r>
      <w:r>
        <w:rPr>
          <w:rtl w:val="true"/>
        </w:rPr>
        <w:t>:</w:t>
      </w:r>
      <w:bookmarkEnd w:id="862"/>
    </w:p>
    <w:p>
      <w:pPr>
        <w:pStyle w:val="BookText"/>
        <w:rPr/>
      </w:pPr>
      <w:r>
        <w:rPr>
          <w:rFonts w:ascii="Amiri" w:hAnsi="Amiri" w:eastAsia="Amiri" w:cs="Amiri"/>
          <w:color w:val="111111"/>
          <w:sz w:val="28"/>
          <w:sz w:val="28"/>
          <w:szCs w:val="28"/>
          <w:rtl w:val="true"/>
          <w:lang w:bidi="ar-SA"/>
        </w:rPr>
        <w:t>في اعتبار ستر البشرة في كلّ من الثلاث، أو في المجموع، أو عدمه مطلقاً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الأوّل؛ إذ المتعارف في الثوب كونه ساتراً، و حمل اللفظ على الشائع الغالب لازم، فلا يكفي الرقيق الحاكي لما تحته</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3732455_3804643083"/>
      <w:bookmarkStart w:id="864" w:name="_Toc333"/>
      <w:bookmarkEnd w:id="863"/>
      <w:r>
        <w:rPr>
          <w:rtl w:val="true"/>
        </w:rPr>
        <w:t>الخامس</w:t>
      </w:r>
      <w:r>
        <w:rPr>
          <w:rtl w:val="true"/>
        </w:rPr>
        <w:t>:</w:t>
      </w:r>
      <w:bookmarkEnd w:id="864"/>
    </w:p>
    <w:p>
      <w:pPr>
        <w:pStyle w:val="BookText"/>
        <w:rPr/>
      </w:pPr>
      <w:r>
        <w:rPr>
          <w:rFonts w:ascii="Amiri" w:hAnsi="Amiri" w:eastAsia="Amiri" w:cs="Amiri"/>
          <w:color w:val="111111"/>
          <w:sz w:val="28"/>
          <w:sz w:val="28"/>
          <w:szCs w:val="28"/>
          <w:rtl w:val="true"/>
          <w:lang w:bidi="ar-SA"/>
        </w:rPr>
        <w:t xml:space="preserve">لا يجزئ النجس و المغصوب، إجماعاً؛ للأمر بإزالة النجاسة عنه </w:t>
      </w:r>
      <w:r>
        <w:rPr>
          <w:rStyle w:val="FootnoteAnchor"/>
          <w:rtl w:val="true"/>
        </w:rPr>
        <w:footnoteReference w:id="2199"/>
      </w:r>
      <w:r>
        <w:rPr>
          <w:rFonts w:ascii="Amiri" w:hAnsi="Amiri" w:eastAsia="Amiri" w:cs="Amiri"/>
          <w:color w:val="111111"/>
          <w:sz w:val="28"/>
          <w:sz w:val="28"/>
          <w:szCs w:val="28"/>
          <w:rtl w:val="true"/>
          <w:lang w:bidi="ar-SA"/>
        </w:rPr>
        <w:t xml:space="preserve">، و النهي عن إتلاف مال الغير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الجلد؛ لعدم صدق الثوب عليه عرفاً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المتّخذ من الشعر و الصوف و الوبر من غير المأكول؛ لاشتراط كونه ممّا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المأكول، فإنّه جائز على الحقّ المشهور؛ لصدق الثوب و انتفاء</w:t>
      </w:r>
    </w:p>
    <w:p>
      <w:pPr>
        <w:pStyle w:val="BookText"/>
        <w:rPr/>
      </w:pP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الإسكافي منع من ثوب الصوف </w:t>
      </w:r>
      <w:r>
        <w:rPr>
          <w:rStyle w:val="FootnoteAnchor"/>
          <w:rtl w:val="true"/>
        </w:rPr>
        <w:footnoteReference w:id="2201"/>
      </w:r>
      <w:r>
        <w:rPr>
          <w:rFonts w:ascii="Amiri" w:hAnsi="Amiri" w:eastAsia="Amiri" w:cs="Amiri"/>
          <w:color w:val="111111"/>
          <w:sz w:val="28"/>
          <w:sz w:val="28"/>
          <w:szCs w:val="28"/>
          <w:rtl w:val="true"/>
          <w:lang w:bidi="ar-SA"/>
        </w:rPr>
        <w:t xml:space="preserve">، و العمومات و صريح الرضوي </w:t>
      </w:r>
      <w:r>
        <w:rPr>
          <w:rStyle w:val="FootnoteAnchor"/>
          <w:rtl w:val="true"/>
        </w:rPr>
        <w:footnoteReference w:id="2202"/>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الحرير المحض، إجماعاً؛ لفعل السلف، و المضمر و الرضوي </w:t>
      </w:r>
      <w:r>
        <w:rPr>
          <w:rStyle w:val="FootnoteAnchor"/>
          <w:rtl w:val="true"/>
        </w:rPr>
        <w:footnoteReference w:id="2203"/>
      </w:r>
      <w:r>
        <w:rPr>
          <w:rFonts w:ascii="Amiri" w:hAnsi="Amiri" w:eastAsia="Amiri" w:cs="Amiri"/>
          <w:color w:val="111111"/>
          <w:sz w:val="28"/>
          <w:sz w:val="28"/>
          <w:szCs w:val="28"/>
          <w:rtl w:val="true"/>
          <w:lang w:bidi="ar-SA"/>
        </w:rPr>
        <w:t xml:space="preserve">و المستفيضة الناهية عن التكفين بكسوة الكعبة </w:t>
      </w:r>
      <w:r>
        <w:rPr>
          <w:rStyle w:val="FootnoteAnchor"/>
          <w:rtl w:val="true"/>
        </w:rPr>
        <w:footnoteReference w:id="2204"/>
      </w:r>
      <w:r>
        <w:rPr>
          <w:rFonts w:ascii="Amiri" w:hAnsi="Amiri" w:eastAsia="Amiri" w:cs="Amiri"/>
          <w:color w:val="111111"/>
          <w:sz w:val="28"/>
          <w:sz w:val="28"/>
          <w:szCs w:val="28"/>
          <w:rtl w:val="true"/>
          <w:lang w:bidi="ar-SA"/>
        </w:rPr>
        <w:t>مع تجويز البيع و الهبة، فالمنع لكونها حريراً، و لا ينافيها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الكفن الحلّة</w:t>
      </w:r>
      <w:r>
        <w:rPr>
          <w:rFonts w:eastAsia="Amiri" w:cs="Amiri" w:ascii="Amiri" w:hAnsi="Amiri"/>
          <w:color w:val="111111"/>
          <w:sz w:val="28"/>
          <w:szCs w:val="28"/>
          <w:rtl w:val="true"/>
          <w:lang w:bidi="ar-SA"/>
        </w:rPr>
        <w:t xml:space="preserve">» </w:t>
      </w:r>
      <w:r>
        <w:rPr>
          <w:rStyle w:val="FootnoteAnchor"/>
          <w:rtl w:val="true"/>
        </w:rPr>
        <w:footnoteReference w:id="2205"/>
      </w:r>
      <w:r>
        <w:rPr>
          <w:rFonts w:ascii="Amiri" w:hAnsi="Amiri" w:eastAsia="Amiri" w:cs="Amiri"/>
          <w:color w:val="111111"/>
          <w:sz w:val="28"/>
          <w:sz w:val="28"/>
          <w:szCs w:val="28"/>
          <w:rtl w:val="true"/>
          <w:lang w:bidi="ar-SA"/>
        </w:rPr>
        <w:t>إذ لا يلزم كونها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 في الممتزج، كما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الحكم بين الرجل و المرأة؛ لعموم الأدلّة 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206"/>
      </w:r>
      <w:r>
        <w:rPr>
          <w:rFonts w:ascii="Amiri" w:hAnsi="Amiri" w:eastAsia="Amiri" w:cs="Amiri"/>
          <w:color w:val="111111"/>
          <w:sz w:val="28"/>
          <w:sz w:val="28"/>
          <w:szCs w:val="28"/>
          <w:rtl w:val="true"/>
          <w:lang w:bidi="ar-SA"/>
        </w:rPr>
        <w:t>، و احتمال كراهته لها دون التحريم كما في حال الحياة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كراهة الكتّان؛ لنقل الإجماع </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الصدوق التحريم </w:t>
      </w:r>
      <w:r>
        <w:rPr>
          <w:rStyle w:val="FootnoteAnchor"/>
          <w:rtl w:val="true"/>
        </w:rPr>
        <w:footnoteReference w:id="2208"/>
      </w:r>
      <w:r>
        <w:rPr>
          <w:rFonts w:ascii="Amiri" w:hAnsi="Amiri" w:eastAsia="Amiri" w:cs="Amiri"/>
          <w:color w:val="111111"/>
          <w:sz w:val="28"/>
          <w:sz w:val="28"/>
          <w:szCs w:val="28"/>
          <w:rtl w:val="true"/>
          <w:lang w:bidi="ar-SA"/>
        </w:rPr>
        <w:t>لبعض الظواهر، و هي محمولة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مع القدرة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الضرورة، فبقاء المنع في المغصوب مجمع عليه، و في غيره ممّا ذكر أقوال أقربها إطلاق المنع في غير النجس وفاقاً؛ لعموم النهي، و كفاية القبر للستر، و توقّف الحكم الشرعي على الدلالة و لم توجد، و استثناء النجس؛ لتجويزه في بعض الموارد، و كون القبر محلّ النجاسة</w:t>
      </w:r>
      <w:r>
        <w:rPr>
          <w:rFonts w:eastAsia="Amiri" w:cs="Amiri" w:ascii="Amiri" w:hAnsi="Amiri"/>
          <w:color w:val="111111"/>
          <w:sz w:val="28"/>
          <w:szCs w:val="28"/>
          <w:rtl w:val="true"/>
          <w:lang w:bidi="ar-SA"/>
        </w:rPr>
        <w:t>.</w:t>
      </w:r>
      <w:bookmarkStart w:id="865" w:name="pg2479_11936"/>
    </w:p>
    <w:p>
      <w:pPr>
        <w:pStyle w:val="BookText"/>
        <w:rPr/>
      </w:pPr>
      <w:bookmarkEnd w:id="865"/>
      <w:r>
        <w:rPr>
          <w:rFonts w:ascii="Amiri" w:hAnsi="Amiri" w:eastAsia="Amiri" w:cs="Amiri"/>
          <w:color w:val="111111"/>
          <w:sz w:val="28"/>
          <w:sz w:val="28"/>
          <w:szCs w:val="28"/>
          <w:rtl w:val="true"/>
          <w:lang w:bidi="ar-SA"/>
        </w:rPr>
        <w:t>نعم لو اضطرّ إلى ستر عورته حال الصلاة بشي‌ء ممّا ذكر غير المغصوب جاز على الأظهر</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3732457_3804643083"/>
      <w:bookmarkStart w:id="867" w:name="_Toc334"/>
      <w:bookmarkEnd w:id="866"/>
      <w:r>
        <w:rPr>
          <w:rtl w:val="true"/>
        </w:rPr>
        <w:t xml:space="preserve">فصل </w:t>
      </w:r>
      <w:r>
        <w:rPr>
          <w:rtl w:val="true"/>
        </w:rPr>
        <w:t>[</w:t>
      </w:r>
      <w:r>
        <w:rPr>
          <w:rtl w:val="true"/>
        </w:rPr>
        <w:t>الحبرة و الخرقة و العمامة</w:t>
      </w:r>
      <w:r>
        <w:rPr>
          <w:rtl w:val="true"/>
        </w:rPr>
        <w:t>]</w:t>
      </w:r>
      <w:bookmarkEnd w:id="867"/>
    </w:p>
    <w:p>
      <w:pPr>
        <w:pStyle w:val="BookText"/>
        <w:rPr/>
      </w:pPr>
      <w:r>
        <w:rPr>
          <w:rFonts w:ascii="Amiri" w:hAnsi="Amiri" w:eastAsia="Amiri" w:cs="Amiri"/>
          <w:color w:val="111111"/>
          <w:sz w:val="28"/>
          <w:sz w:val="28"/>
          <w:szCs w:val="28"/>
          <w:rtl w:val="true"/>
          <w:lang w:bidi="ar-SA"/>
        </w:rPr>
        <w:t>المعروف منهم زيادة ثلاثة أُخرى ندباً،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حبرة 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مطرّزة بالذهب، و استحبابها مشهور بينهم، و لعلّ الحجّة فيه عملهم و نقل الإجماع </w:t>
      </w:r>
      <w:r>
        <w:rPr>
          <w:rStyle w:val="FootnoteAnchor"/>
          <w:rtl w:val="true"/>
        </w:rPr>
        <w:footnoteReference w:id="2209"/>
      </w:r>
      <w:r>
        <w:rPr>
          <w:rFonts w:ascii="Amiri" w:hAnsi="Amiri" w:eastAsia="Amiri" w:cs="Amiri"/>
          <w:color w:val="111111"/>
          <w:sz w:val="28"/>
          <w:sz w:val="28"/>
          <w:szCs w:val="28"/>
          <w:rtl w:val="true"/>
          <w:lang w:bidi="ar-SA"/>
        </w:rPr>
        <w:t xml:space="preserve">إذ ليس في النصوص ما يدلّ عليه، بل الوارد فيها كونها إحدى الثلاث الواجبة </w:t>
      </w:r>
      <w:r>
        <w:rPr>
          <w:rStyle w:val="FootnoteAnchor"/>
          <w:rtl w:val="true"/>
        </w:rPr>
        <w:footnoteReference w:id="2210"/>
      </w:r>
      <w:r>
        <w:rPr>
          <w:rFonts w:ascii="Amiri" w:hAnsi="Amiri" w:eastAsia="Amiri" w:cs="Amiri"/>
          <w:color w:val="111111"/>
          <w:sz w:val="28"/>
          <w:sz w:val="28"/>
          <w:szCs w:val="28"/>
          <w:rtl w:val="true"/>
          <w:lang w:bidi="ar-SA"/>
        </w:rPr>
        <w:t xml:space="preserve">، فيفيد استحباب كون إحداها حبرة كما عليه العماني و الحلبي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الصدوق و القاضي استحباب زيادة لفّافتين </w:t>
      </w:r>
      <w:r>
        <w:rPr>
          <w:rStyle w:val="FootnoteAnchor"/>
          <w:rtl w:val="true"/>
        </w:rPr>
        <w:footnoteReference w:id="2212"/>
      </w:r>
      <w:r>
        <w:rPr>
          <w:rFonts w:ascii="Amiri" w:hAnsi="Amiri" w:eastAsia="Amiri" w:cs="Amiri"/>
          <w:color w:val="111111"/>
          <w:sz w:val="28"/>
          <w:sz w:val="28"/>
          <w:szCs w:val="28"/>
          <w:rtl w:val="true"/>
          <w:lang w:bidi="ar-SA"/>
        </w:rPr>
        <w:t xml:space="preserve">، و المفيد خصّصهما بكفن المرأة </w:t>
      </w:r>
      <w:r>
        <w:rPr>
          <w:rStyle w:val="FootnoteAnchor"/>
          <w:rtl w:val="true"/>
        </w:rPr>
        <w:footnoteReference w:id="2213"/>
      </w:r>
      <w:r>
        <w:rPr>
          <w:rFonts w:ascii="Amiri" w:hAnsi="Amiri" w:eastAsia="Amiri" w:cs="Amiri"/>
          <w:color w:val="111111"/>
          <w:sz w:val="28"/>
          <w:sz w:val="28"/>
          <w:szCs w:val="28"/>
          <w:rtl w:val="true"/>
          <w:lang w:bidi="ar-SA"/>
        </w:rPr>
        <w:t xml:space="preserve">، و في الرجل وافق المشهور من زيادة واحدة </w:t>
      </w:r>
      <w:r>
        <w:rPr>
          <w:rStyle w:val="FootnoteAnchor"/>
          <w:rtl w:val="true"/>
        </w:rPr>
        <w:footnoteReference w:id="2214"/>
      </w:r>
      <w:r>
        <w:rPr>
          <w:rFonts w:ascii="Amiri" w:hAnsi="Amiri" w:eastAsia="Amiri" w:cs="Amiri"/>
          <w:color w:val="111111"/>
          <w:sz w:val="28"/>
          <w:sz w:val="28"/>
          <w:szCs w:val="28"/>
          <w:rtl w:val="true"/>
          <w:lang w:bidi="ar-SA"/>
        </w:rPr>
        <w:t>، و لم نعثر على حجّة لهما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منعوا من كونها حريراً أو مطرّزة بالذهب؛ لأنّه إتلاف غير مأذون فيه، مع عدم جواز الصلاة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الأخبار أفضليّة الحمراء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توجد زيدت بدلها لفافة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استحبابها للمرأة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تخصيصها بالرجل مع اشتراكهما في المأخذ من العمل و نقل الإجماع </w:t>
      </w:r>
      <w:r>
        <w:rPr>
          <w:rStyle w:val="FootnoteAnchor"/>
          <w:rtl w:val="true"/>
        </w:rPr>
        <w:footnoteReference w:id="2216"/>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خرقة لشدّ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بالخامسة، بناء على عدم عدّهم العمامة من أجزاء الكفن و إن استحبّت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استحبابها للرجل و المرأة ثابت، بالإجماع و المستفيضة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المستفاد منها أن يكون طولها ثلاثة أذرع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شبر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الشدّ بها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عمامة للرجل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استحبابها له مجمع عليه، و النصوص به مستفيضة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وضعها في النصوص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يعمّم بها محنّكاً بحيث يفضل منها بعد اللفّ و التحنّك ذؤابتان من الجانبين يلقيان على صدره،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تقدير لها شرعاً، فالمناط في عرضها إطلاق الاسم، و في طولها ما يحصل به الهيئة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ممّا ذكر اشتراك المرأة مع الرجل في الأُوليين دون الأخيرة، و يزاد لها بدلها القناع، بالإجماع و الصحيح </w:t>
      </w:r>
      <w:r>
        <w:rPr>
          <w:rStyle w:val="FootnoteAnchor"/>
          <w:rtl w:val="true"/>
        </w:rPr>
        <w:footnoteReference w:id="2219"/>
      </w:r>
      <w:r>
        <w:rPr>
          <w:rFonts w:ascii="Amiri" w:hAnsi="Amiri" w:eastAsia="Amiri" w:cs="Amiri"/>
          <w:color w:val="111111"/>
          <w:sz w:val="28"/>
          <w:sz w:val="28"/>
          <w:szCs w:val="28"/>
          <w:rtl w:val="true"/>
          <w:lang w:bidi="ar-SA"/>
        </w:rPr>
        <w:t>، فيتمّ لكلّ منهما ستّة</w:t>
      </w:r>
      <w:r>
        <w:rPr>
          <w:rFonts w:eastAsia="Amiri" w:cs="Amiri" w:ascii="Amiri" w:hAnsi="Amiri"/>
          <w:color w:val="111111"/>
          <w:sz w:val="28"/>
          <w:szCs w:val="28"/>
          <w:rtl w:val="true"/>
          <w:lang w:bidi="ar-SA"/>
        </w:rPr>
        <w:t>.</w:t>
      </w:r>
      <w:bookmarkStart w:id="868" w:name="pg2479_11940"/>
    </w:p>
    <w:p>
      <w:pPr>
        <w:pStyle w:val="BookText"/>
        <w:rPr/>
      </w:pPr>
      <w:bookmarkEnd w:id="868"/>
      <w:r>
        <w:rPr>
          <w:rFonts w:ascii="Amiri" w:hAnsi="Amiri" w:eastAsia="Amiri" w:cs="Amiri"/>
          <w:color w:val="111111"/>
          <w:sz w:val="28"/>
          <w:sz w:val="28"/>
          <w:szCs w:val="28"/>
          <w:rtl w:val="true"/>
          <w:lang w:bidi="ar-SA"/>
        </w:rPr>
        <w:t xml:space="preserve">و تزيد المرأة عليه باستحباب خرقة أُخرى لها يلفّ بها الثديان؛ للمرفوع </w:t>
      </w:r>
      <w:r>
        <w:rPr>
          <w:rStyle w:val="FootnoteAnchor"/>
          <w:rtl w:val="true"/>
        </w:rPr>
        <w:footnoteReference w:id="2220"/>
      </w:r>
      <w:r>
        <w:rPr>
          <w:rFonts w:ascii="IRNazanin" w:hAnsi="IRNazanin" w:eastAsia="IRNazanin"/>
          <w:color w:val="111111"/>
          <w:sz w:val="28"/>
          <w:sz w:val="28"/>
          <w:szCs w:val="28"/>
          <w:rtl w:val="true"/>
          <w:lang w:bidi="fa-IR"/>
        </w:rPr>
        <w:t>، و ضعفه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استحباب زيادة نمط لها يكون فوق الجميع، و هو ثوب من صوف فيه خطط تخالف ألوانه، فإن لم يوجد يزاد بدله لفّافة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منه في النصوص أثر؛ لأنّها لا تفيد أزيد من وجوب ثلاث لفاف أو قميص و لفافتين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يفيد شي‌ء منها استحباب لفافة أو أكثر للرجل أو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استحباب الحبرة لهما بالإجماع و عمل المعظم، فاستحباب النمط لها أيضاً لا حجّة له، و الاحتجاج عليه بالصحيح </w:t>
      </w:r>
      <w:r>
        <w:rPr>
          <w:rStyle w:val="FootnoteAnchor"/>
          <w:rtl w:val="true"/>
        </w:rPr>
        <w:footnoteReference w:id="2221"/>
      </w:r>
      <w:r>
        <w:rPr>
          <w:rFonts w:ascii="Amiri" w:hAnsi="Amiri" w:eastAsia="Amiri" w:cs="Amiri"/>
          <w:color w:val="111111"/>
          <w:sz w:val="28"/>
          <w:sz w:val="28"/>
          <w:szCs w:val="28"/>
          <w:rtl w:val="true"/>
          <w:lang w:bidi="ar-SA"/>
        </w:rPr>
        <w:t>ساقط؛ لعدم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إرجاعه إلى الحبرة كما ذكره الشيخ و الحلّي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أجزاء الكفن الواجبة و المستحبّة للرجل ستّة، و للمرأة سبعة، و هي الخمسة المشتركة، و القناع، و خرقة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التكفين إمّا بنقل الأكفان إلى الميّت أو بالعكس</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3732459_3804643083"/>
      <w:bookmarkStart w:id="870" w:name="_Toc335"/>
      <w:bookmarkEnd w:id="869"/>
      <w:r>
        <w:rPr>
          <w:rtl w:val="true"/>
        </w:rPr>
        <w:t>[</w:t>
      </w:r>
      <w:r>
        <w:rPr>
          <w:rtl w:val="true"/>
        </w:rPr>
        <w:t>فصل</w:t>
      </w:r>
      <w:r>
        <w:rPr>
          <w:rtl w:val="true"/>
        </w:rPr>
        <w:t xml:space="preserve">] </w:t>
      </w:r>
      <w:r>
        <w:rPr>
          <w:rtl w:val="true"/>
        </w:rPr>
        <w:t>و من سنن التكفين</w:t>
      </w:r>
      <w:r>
        <w:rPr>
          <w:rtl w:val="true"/>
        </w:rPr>
        <w:t>:</w:t>
      </w:r>
      <w:bookmarkEnd w:id="87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يغتسل الغاسل من المسّ قبله؛ لوجوب الغسل منه، و استحباب 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يتّفق فليتوضّأ؛ لبعض الظواهر، و مع الترك فليغسل يديه إلى</w:t>
      </w:r>
    </w:p>
    <w:p>
      <w:pPr>
        <w:pStyle w:val="BookText"/>
        <w:rPr/>
      </w:pPr>
      <w:r>
        <w:rPr>
          <w:rFonts w:ascii="Amiri" w:hAnsi="Amiri" w:eastAsia="Amiri" w:cs="Amiri"/>
          <w:color w:val="111111"/>
          <w:sz w:val="28"/>
          <w:sz w:val="28"/>
          <w:szCs w:val="28"/>
          <w:rtl w:val="true"/>
          <w:lang w:bidi="ar-SA"/>
        </w:rPr>
        <w:t xml:space="preserve">المنكبين أو المرفقين مرّة أو ثلاثاً؛ للصحيحين و الخبر و الرضوي </w:t>
      </w:r>
      <w:r>
        <w:rPr>
          <w:rStyle w:val="FootnoteAnchor"/>
          <w:rtl w:val="true"/>
        </w:rPr>
        <w:footnoteReference w:id="2223"/>
      </w:r>
      <w:r>
        <w:rPr>
          <w:rFonts w:ascii="Amiri" w:hAnsi="Amiri" w:eastAsia="Amiri" w:cs="Amiri"/>
          <w:color w:val="111111"/>
          <w:sz w:val="28"/>
          <w:sz w:val="28"/>
          <w:szCs w:val="28"/>
          <w:rtl w:val="true"/>
          <w:lang w:bidi="ar-SA"/>
        </w:rPr>
        <w:t>، و إطلاقها و إن أشعر بأفضليّة تأخير الغسل عن التكفين، إلّا أنّها حملت على حال الضرورة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الأكثر أنّ هذا الوضوء هو وضوء الصلاة المجامع للغسل، فيكتفى به فيها بعد غسل المسّ من دون حاجة إلى وضوء آخر، فينوي الوجوب في وقت مشروط به، و الندب أو القربة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جعله أعمّ منه، و يكون غايته إيقاع التكفين على الوجه الأكمل، فينوي فيه ذلك و يكون مبيحاً لها؛ إذ الأقوىٰ أنّ الوضوء لما يستحب له مبيح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كلام القوم على أنّ الأفضل كونه وضوءها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حال التكفين كالاغتسال ذاكراً مستقبل القبلة؛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يطوي جانب اللفّافة الأيسر على جانبه الأيمن و بالعكس، كما ذكر الجماعة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يكون الكفن قطناً؛ للإجماع و الخبر </w:t>
      </w:r>
      <w:r>
        <w:rPr>
          <w:rStyle w:val="FootnoteAnchor"/>
          <w:rtl w:val="true"/>
        </w:rPr>
        <w:footnoteReference w:id="2225"/>
      </w:r>
      <w:r>
        <w:rPr>
          <w:rFonts w:ascii="Amiri" w:hAnsi="Amiri" w:eastAsia="Amiri" w:cs="Amiri"/>
          <w:color w:val="111111"/>
          <w:sz w:val="28"/>
          <w:sz w:val="28"/>
          <w:szCs w:val="28"/>
          <w:rtl w:val="true"/>
          <w:lang w:bidi="ar-SA"/>
        </w:rPr>
        <w:t xml:space="preserve">، و أبيض؛ للمستفيضة </w:t>
      </w:r>
      <w:r>
        <w:rPr>
          <w:rStyle w:val="FootnoteAnchor"/>
          <w:rtl w:val="true"/>
        </w:rPr>
        <w:footnoteReference w:id="2226"/>
      </w:r>
      <w:r>
        <w:rPr>
          <w:rFonts w:ascii="Amiri" w:hAnsi="Amiri" w:eastAsia="Amiri" w:cs="Amiri"/>
          <w:color w:val="111111"/>
          <w:sz w:val="28"/>
          <w:sz w:val="28"/>
          <w:szCs w:val="28"/>
          <w:rtl w:val="true"/>
          <w:lang w:bidi="ar-SA"/>
        </w:rPr>
        <w:t xml:space="preserve">، سوى الحبرة، فإنّ المستحب فيه أن يكون أحمر؛ للنصوص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جيّداً؛ للإجماع و المستفيضة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يخاط بخيوطه، كما ذكره الأصحاب </w:t>
      </w:r>
      <w:r>
        <w:rPr>
          <w:rStyle w:val="FootnoteAnchor"/>
          <w:rtl w:val="true"/>
        </w:rPr>
        <w:footnoteReference w:id="2229"/>
      </w:r>
      <w:r>
        <w:rPr>
          <w:rFonts w:ascii="Amiri" w:hAnsi="Amiri" w:eastAsia="Amiri" w:cs="Amiri"/>
          <w:color w:val="111111"/>
          <w:sz w:val="28"/>
          <w:sz w:val="28"/>
          <w:szCs w:val="28"/>
          <w:rtl w:val="true"/>
          <w:lang w:bidi="ar-SA"/>
        </w:rPr>
        <w:t>و لا يبلّه بالريق، كما ذكره الشيخ</w:t>
      </w:r>
    </w:p>
    <w:p>
      <w:pPr>
        <w:pStyle w:val="BookText"/>
        <w:rPr/>
      </w:pPr>
      <w:r>
        <w:rPr>
          <w:rFonts w:ascii="IRNazanin" w:hAnsi="IRNazanin" w:eastAsia="IRNazanin"/>
          <w:color w:val="111111"/>
          <w:sz w:val="28"/>
          <w:sz w:val="28"/>
          <w:szCs w:val="28"/>
          <w:rtl w:val="true"/>
          <w:lang w:bidi="fa-IR"/>
        </w:rPr>
        <w:t xml:space="preserve">و أتباعه </w:t>
      </w:r>
      <w:r>
        <w:rPr>
          <w:rStyle w:val="FootnoteAnchor"/>
          <w:rtl w:val="true"/>
        </w:rPr>
        <w:footnoteReference w:id="2230"/>
      </w:r>
      <w:r>
        <w:rPr>
          <w:rFonts w:ascii="Amiri" w:hAnsi="Amiri" w:eastAsia="Amiri" w:cs="Amiri"/>
          <w:color w:val="111111"/>
          <w:sz w:val="28"/>
          <w:sz w:val="28"/>
          <w:szCs w:val="28"/>
          <w:rtl w:val="true"/>
          <w:lang w:bidi="ar-SA"/>
        </w:rPr>
        <w:t>، و لا كراهة في بلّها بغيره؛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جديداً، كما ذكره الفاضل، مدّعياً عليه الإجماع </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فعل السلف، بل الحجج عليهم السّلام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ينثر علىٰ كلّ ثوب ذريرة؛ لنقل الإجماع </w:t>
      </w:r>
      <w:r>
        <w:rPr>
          <w:rStyle w:val="FootnoteAnchor"/>
          <w:rtl w:val="true"/>
        </w:rPr>
        <w:footnoteReference w:id="2233"/>
      </w:r>
      <w:r>
        <w:rPr>
          <w:rFonts w:ascii="Amiri" w:hAnsi="Amiri" w:eastAsia="Amiri" w:cs="Amiri"/>
          <w:color w:val="111111"/>
          <w:sz w:val="28"/>
          <w:sz w:val="28"/>
          <w:szCs w:val="28"/>
          <w:rtl w:val="true"/>
          <w:lang w:bidi="ar-SA"/>
        </w:rPr>
        <w:t xml:space="preserve">و الموثّقين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يكتب علىٰ كلّ ثوب و الجريدتين اسمه، و أنّه يشهد الشهادتين و إمامة الأئمة عليهم السّلام؛ لنقل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 xml:space="preserve">، و ما ورد في قضيّة إسماعيل </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أن يكتب بالتربة الحسينيّة؛ للمكاتبة،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Style w:val="FootnoteAnchor"/>
          <w:rtl w:val="true"/>
        </w:rPr>
        <w:footnoteReference w:id="2237"/>
      </w:r>
      <w:r>
        <w:rPr>
          <w:rFonts w:ascii="Amiri" w:hAnsi="Amiri" w:eastAsia="Amiri" w:cs="Amiri"/>
          <w:color w:val="111111"/>
          <w:sz w:val="28"/>
          <w:sz w:val="28"/>
          <w:szCs w:val="28"/>
          <w:rtl w:val="true"/>
          <w:lang w:bidi="ar-SA"/>
        </w:rPr>
        <w:t>، و مع عدمها يكتب بمطلق الطين الأبيض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اشتراط التأثير في الكتابة؛ لأنّه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تجويز الكتابة بالإصبع مع فقد التربة و الطين </w:t>
      </w:r>
      <w:r>
        <w:rPr>
          <w:rStyle w:val="FootnoteAnchor"/>
          <w:rtl w:val="true"/>
        </w:rPr>
        <w:footnoteReference w:id="2238"/>
      </w:r>
      <w:r>
        <w:rPr>
          <w:rFonts w:ascii="IRNazanin" w:hAnsi="IRNazanin" w:eastAsia="IRNazanin"/>
          <w:color w:val="111111"/>
          <w:sz w:val="28"/>
          <w:sz w:val="28"/>
          <w:szCs w:val="28"/>
          <w:rtl w:val="true"/>
          <w:lang w:bidi="fa-IR"/>
        </w:rPr>
        <w:t>، لا أعلم له 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المعروف كراهة الكتابة بالسواد و غيره من الأصباغ؛ لفقد الدليل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استحباب كتابة الجوشنين؛ لخبرين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عن السجّاد عليه السّلام بل كتابة القرآن؛ للخبر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و يكره فيه سوىٰ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التكفين في السواد؛ لدعوى الإجماع من الفاضلين </w:t>
      </w:r>
      <w:r>
        <w:rPr>
          <w:rStyle w:val="FootnoteAnchor"/>
          <w:rtl w:val="true"/>
        </w:rPr>
        <w:footnoteReference w:id="2241"/>
      </w:r>
      <w:r>
        <w:rPr>
          <w:rFonts w:ascii="Amiri" w:hAnsi="Amiri" w:eastAsia="Amiri" w:cs="Amiri"/>
          <w:color w:val="111111"/>
          <w:sz w:val="28"/>
          <w:sz w:val="28"/>
          <w:szCs w:val="28"/>
          <w:rtl w:val="true"/>
          <w:lang w:bidi="ar-SA"/>
        </w:rPr>
        <w:t xml:space="preserve">و صريح الخبرين </w:t>
      </w:r>
      <w:r>
        <w:rPr>
          <w:rStyle w:val="FootnoteAnchor"/>
          <w:rtl w:val="true"/>
        </w:rPr>
        <w:footnoteReference w:id="2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صبغ على الأصح </w:t>
      </w:r>
      <w:r>
        <w:rPr>
          <w:rStyle w:val="FootnoteAnchor"/>
          <w:rtl w:val="true"/>
        </w:rPr>
        <w:footnoteReference w:id="2243"/>
      </w:r>
      <w:r>
        <w:rPr>
          <w:rFonts w:ascii="IRNazanin" w:hAnsi="IRNazanin" w:eastAsia="IRNazanin"/>
          <w:color w:val="111111"/>
          <w:sz w:val="28"/>
          <w:sz w:val="28"/>
          <w:szCs w:val="28"/>
          <w:rtl w:val="true"/>
          <w:lang w:bidi="fa-IR"/>
        </w:rPr>
        <w:t>لعمل السلف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الممتزج بالحرير، كما صرّحوا به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 الكفن بالحديد؛ لقول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مذاكرة من الشيوخ و كان عملهم عليه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تجميره بغير الكافور و الذريرة؛ لنقل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 xml:space="preserve">، و ظاهر الصحيح و المرسل و الخبر </w:t>
      </w:r>
      <w:r>
        <w:rPr>
          <w:rStyle w:val="FootnoteAnchor"/>
          <w:rtl w:val="true"/>
        </w:rPr>
        <w:footnoteReference w:id="2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استحبّه الصدوق </w:t>
      </w:r>
      <w:r>
        <w:rPr>
          <w:rStyle w:val="FootnoteAnchor"/>
          <w:rtl w:val="true"/>
        </w:rPr>
        <w:footnoteReference w:id="2248"/>
      </w:r>
      <w:r>
        <w:rPr>
          <w:rFonts w:ascii="IRNazanin" w:hAnsi="IRNazanin" w:eastAsia="IRNazanin"/>
          <w:color w:val="111111"/>
          <w:sz w:val="28"/>
          <w:sz w:val="28"/>
          <w:szCs w:val="28"/>
          <w:rtl w:val="true"/>
          <w:lang w:bidi="fa-IR"/>
        </w:rPr>
        <w:t xml:space="preserve">للحسن و الخبر </w:t>
      </w:r>
      <w:r>
        <w:rPr>
          <w:rStyle w:val="FootnoteAnchor"/>
          <w:rtl w:val="true"/>
        </w:rPr>
        <w:footnoteReference w:id="2249"/>
      </w:r>
      <w:r>
        <w:rPr>
          <w:rFonts w:ascii="Amiri" w:hAnsi="Amiri" w:eastAsia="Amiri" w:cs="Amiri"/>
          <w:color w:val="111111"/>
          <w:sz w:val="28"/>
          <w:sz w:val="28"/>
          <w:szCs w:val="28"/>
          <w:rtl w:val="true"/>
          <w:lang w:bidi="ar-SA"/>
        </w:rPr>
        <w:t xml:space="preserve">، و أُجيب بحملهما على التقيّة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إتباع الميّت بالمجمرة؛ للصحيح و الخبرين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اتّخاذ الأكمام للقميص المبتدأ، دون الملبوس، بل المستحبّ فيه قطع</w:t>
      </w:r>
      <w:bookmarkStart w:id="871" w:name="pg2479_11948"/>
    </w:p>
    <w:p>
      <w:pPr>
        <w:pStyle w:val="BookText"/>
        <w:rPr/>
      </w:pPr>
      <w:bookmarkEnd w:id="871"/>
      <w:r>
        <w:rPr>
          <w:rFonts w:ascii="Amiri" w:hAnsi="Amiri" w:eastAsia="Amiri" w:cs="Amiri"/>
          <w:color w:val="111111"/>
          <w:sz w:val="28"/>
          <w:sz w:val="28"/>
          <w:szCs w:val="28"/>
          <w:rtl w:val="true"/>
          <w:lang w:bidi="ar-SA"/>
        </w:rPr>
        <w:t xml:space="preserve">أزراره؛ للصحيح و المرسلين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2" w:name="__RefHeading___Toc3732461_3804643083"/>
      <w:bookmarkStart w:id="873" w:name="_Toc336"/>
      <w:bookmarkEnd w:id="872"/>
      <w:r>
        <w:rPr>
          <w:rtl w:val="true"/>
        </w:rPr>
        <w:t xml:space="preserve">فصل </w:t>
      </w:r>
      <w:r>
        <w:rPr>
          <w:rtl w:val="true"/>
        </w:rPr>
        <w:t>[</w:t>
      </w:r>
      <w:r>
        <w:rPr>
          <w:rtl w:val="true"/>
        </w:rPr>
        <w:t>التحنيط</w:t>
      </w:r>
      <w:r>
        <w:rPr>
          <w:rtl w:val="true"/>
        </w:rPr>
        <w:t>]</w:t>
      </w:r>
      <w:bookmarkEnd w:id="873"/>
    </w:p>
    <w:p>
      <w:pPr>
        <w:pStyle w:val="BookText"/>
        <w:rPr/>
      </w:pPr>
      <w:r>
        <w:rPr>
          <w:rFonts w:ascii="Amiri" w:hAnsi="Amiri" w:eastAsia="Amiri" w:cs="Amiri"/>
          <w:color w:val="111111"/>
          <w:sz w:val="28"/>
          <w:sz w:val="28"/>
          <w:szCs w:val="28"/>
          <w:rtl w:val="true"/>
          <w:lang w:bidi="ar-SA"/>
        </w:rPr>
        <w:t xml:space="preserve">يجب التحنيط بإمساس مساجده السبعة بالكافور، بالإجماعين و المستفيضة </w:t>
      </w:r>
      <w:r>
        <w:rPr>
          <w:rStyle w:val="FootnoteAnchor"/>
          <w:rtl w:val="true"/>
        </w:rPr>
        <w:footnoteReference w:id="2253"/>
      </w:r>
      <w:r>
        <w:rPr>
          <w:rFonts w:ascii="Amiri" w:hAnsi="Amiri" w:eastAsia="Amiri" w:cs="Amiri"/>
          <w:color w:val="111111"/>
          <w:sz w:val="28"/>
          <w:sz w:val="28"/>
          <w:szCs w:val="28"/>
          <w:rtl w:val="true"/>
          <w:lang w:bidi="ar-SA"/>
        </w:rPr>
        <w:t>، و المشهور قصر الوجوب على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 المفيد و العماني طرف الأنف </w:t>
      </w:r>
      <w:r>
        <w:rPr>
          <w:rStyle w:val="FootnoteAnchor"/>
          <w:rtl w:val="true"/>
        </w:rPr>
        <w:footnoteReference w:id="2254"/>
      </w:r>
      <w:r>
        <w:rPr>
          <w:rFonts w:ascii="IRNazanin" w:hAnsi="IRNazanin" w:eastAsia="IRNazanin"/>
          <w:color w:val="111111"/>
          <w:sz w:val="28"/>
          <w:sz w:val="28"/>
          <w:szCs w:val="28"/>
          <w:rtl w:val="true"/>
          <w:lang w:bidi="fa-IR"/>
        </w:rPr>
        <w:t xml:space="preserve">، و الصدوق البصر و السمع و الفم و الصدر و المغابن </w:t>
      </w:r>
      <w:r>
        <w:rPr>
          <w:rStyle w:val="FootnoteAnchor"/>
          <w:rtl w:val="true"/>
        </w:rPr>
        <w:footnoteReference w:id="22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اليدين و الركبتين و المفاصل بأسرها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هذه الإضافات على الندب دون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مع اتّفاقها في الأمر بتحنيط السبعة مختلفة في تحنيط غيرها، ففي بعضها الأمر بتحنيط البصر و السمع و الفم و الأنف و الوجه </w:t>
      </w:r>
      <w:r>
        <w:rPr>
          <w:rStyle w:val="FootnoteAnchor"/>
          <w:rtl w:val="true"/>
        </w:rPr>
        <w:footnoteReference w:id="2258"/>
      </w:r>
      <w:r>
        <w:rPr>
          <w:rFonts w:ascii="Amiri" w:hAnsi="Amiri" w:eastAsia="Amiri" w:cs="Amiri"/>
          <w:color w:val="111111"/>
          <w:sz w:val="28"/>
          <w:sz w:val="28"/>
          <w:szCs w:val="28"/>
          <w:rtl w:val="true"/>
          <w:lang w:bidi="ar-SA"/>
        </w:rPr>
        <w:t xml:space="preserve">، و في بعضها النهي عنه </w:t>
      </w:r>
      <w:r>
        <w:rPr>
          <w:rStyle w:val="FootnoteAnchor"/>
          <w:rtl w:val="true"/>
        </w:rPr>
        <w:footnoteReference w:id="2259"/>
      </w:r>
      <w:r>
        <w:rPr>
          <w:rFonts w:ascii="Amiri" w:hAnsi="Amiri" w:eastAsia="Amiri" w:cs="Amiri"/>
          <w:color w:val="111111"/>
          <w:sz w:val="28"/>
          <w:sz w:val="28"/>
          <w:szCs w:val="28"/>
          <w:rtl w:val="true"/>
          <w:lang w:bidi="ar-SA"/>
        </w:rPr>
        <w:t xml:space="preserve">، و في بعضها الأمر بتحنيط الصدر و المفاصل و الرأس و العنق و اللحية و اللبّة و الراحتين و باطن القدمين من دون تعلّق نهي بها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المعظم على الكراهة في الخمسة، و حملوا النهي عليها، و الأمر على الجواز، و 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جمع بينهما بالأبعد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حمل الأوّل على الكراهة،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 الأخذ به و القول بالاستحباب في الكلّ أو البعض يوجب طرح الأوّل،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بتحنيط البواقي، فلعدم المعارض لا بدّ أن يحمل على الندب؛ لعدم قائل بالوجوب، و القول باستحبابه؛ إذ طرحها بالكلّية مع عدم المعارض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الحنوط كلّ طيب يحنّط به الميّت، إلّا أنّ السنّة خصّصته بالكافور </w:t>
      </w:r>
      <w:r>
        <w:rPr>
          <w:rStyle w:val="FootnoteAnchor"/>
          <w:rtl w:val="true"/>
        </w:rPr>
        <w:footnoteReference w:id="2262"/>
      </w:r>
      <w:r>
        <w:rPr>
          <w:rFonts w:ascii="IRNazanin" w:hAnsi="IRNazanin" w:eastAsia="IRNazanin"/>
          <w:color w:val="111111"/>
          <w:sz w:val="28"/>
          <w:sz w:val="28"/>
          <w:szCs w:val="28"/>
          <w:rtl w:val="true"/>
          <w:lang w:bidi="fa-IR"/>
        </w:rPr>
        <w:t>لأنّ الغرض منه حفظه من الهوام و رائحته تدفعها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يكفي مسمّاه و مسمّى المسح، و لا يلزم استيعاب المساجد به؛ لصدق الامتثال و 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المستحبّ منه مثقال؛ للمرسل و الرضوي </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 ثلاثة عشر درهماً و ثلث؛ للمرفوع و الرضوي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المشهور خروج كافور الغسل عن مقادير الحنوط، فلا يتشاركان فيها؛ لظاهر الأخبار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منهم استحباب سحق الكافور باليد، خوفاً من الضياع، و جعل الفاضل من مساجده على صدره؛ للرضوي </w:t>
      </w:r>
      <w:r>
        <w:rPr>
          <w:rStyle w:val="FootnoteAnchor"/>
          <w:rtl w:val="true"/>
        </w:rPr>
        <w:footnoteReference w:id="2266"/>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سحقه</w:t>
      </w:r>
    </w:p>
    <w:p>
      <w:pPr>
        <w:pStyle w:val="BookText"/>
        <w:rPr/>
      </w:pPr>
      <w:r>
        <w:rPr>
          <w:rFonts w:ascii="IRNazanin" w:hAnsi="IRNazanin" w:eastAsia="IRNazanin"/>
          <w:color w:val="111111"/>
          <w:sz w:val="28"/>
          <w:sz w:val="28"/>
          <w:szCs w:val="28"/>
          <w:rtl w:val="true"/>
          <w:lang w:bidi="fa-IR"/>
        </w:rPr>
        <w:t xml:space="preserve">بحجر و نحوه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حرمة تقريب الكافور ككلّ طيب من المحرم في الحنوط كالغسل مجمع عليه، و النصوص به مستفيضة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كراهة التحنيط بغيره من الأطياب، وفاقاً لظاهر الأكثر، 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Style w:val="FootnoteAnchor"/>
          <w:rtl w:val="true"/>
        </w:rPr>
        <w:footnoteReference w:id="2269"/>
      </w:r>
      <w:r>
        <w:rPr>
          <w:rFonts w:ascii="Amiri" w:hAnsi="Amiri" w:eastAsia="Amiri" w:cs="Amiri"/>
          <w:color w:val="111111"/>
          <w:sz w:val="28"/>
          <w:sz w:val="28"/>
          <w:szCs w:val="28"/>
          <w:rtl w:val="true"/>
          <w:lang w:bidi="ar-SA"/>
        </w:rPr>
        <w:t xml:space="preserve">، و نسبه الكركي إلى الشهرة </w:t>
      </w:r>
      <w:r>
        <w:rPr>
          <w:rStyle w:val="FootnoteAnchor"/>
          <w:rtl w:val="true"/>
        </w:rPr>
        <w:footnoteReference w:id="2270"/>
      </w:r>
      <w:r>
        <w:rPr>
          <w:rFonts w:ascii="IRNazanin" w:hAnsi="IRNazanin" w:eastAsia="IRNazanin"/>
          <w:color w:val="111111"/>
          <w:sz w:val="28"/>
          <w:sz w:val="28"/>
          <w:szCs w:val="28"/>
          <w:rtl w:val="true"/>
          <w:lang w:bidi="fa-IR"/>
        </w:rPr>
        <w:t xml:space="preserve">، و ظاهر الصدوق جوازه أو استحبابه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نصوص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الرضوي </w:t>
      </w:r>
      <w:r>
        <w:rPr>
          <w:rStyle w:val="FootnoteAnchor"/>
          <w:rtl w:val="true"/>
        </w:rPr>
        <w:footnoteReference w:id="2272"/>
      </w:r>
      <w:r>
        <w:rPr>
          <w:rFonts w:ascii="Amiri" w:hAnsi="Amiri" w:eastAsia="Amiri" w:cs="Amiri"/>
          <w:color w:val="111111"/>
          <w:sz w:val="28"/>
          <w:sz w:val="28"/>
          <w:szCs w:val="28"/>
          <w:rtl w:val="true"/>
          <w:lang w:bidi="ar-SA"/>
        </w:rPr>
        <w:t>بالمنع من تحنيط الميّت بالمسك و طيب آخر غير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تجويزه في الخبر و المرسلين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بحملها على التقيّة </w:t>
      </w:r>
      <w:r>
        <w:rPr>
          <w:rStyle w:val="FootnoteAnchor"/>
          <w:rtl w:val="true"/>
        </w:rPr>
        <w:footnoteReference w:id="2274"/>
      </w:r>
      <w:r>
        <w:rPr>
          <w:rFonts w:ascii="Amiri" w:hAnsi="Amiri" w:eastAsia="Amiri" w:cs="Amiri"/>
          <w:color w:val="111111"/>
          <w:sz w:val="28"/>
          <w:sz w:val="28"/>
          <w:szCs w:val="28"/>
          <w:rtl w:val="true"/>
          <w:lang w:bidi="ar-SA"/>
        </w:rPr>
        <w:t xml:space="preserve">، كما يومي إليه الصحيح و الخبر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بظاهر أخبار المنع </w:t>
      </w:r>
      <w:r>
        <w:rPr>
          <w:rStyle w:val="FootnoteAnchor"/>
          <w:rtl w:val="true"/>
        </w:rPr>
        <w:footnoteReference w:id="2276"/>
      </w:r>
      <w:r>
        <w:rPr>
          <w:rFonts w:ascii="IRNazanin" w:hAnsi="IRNazanin" w:eastAsia="IRNazanin"/>
          <w:color w:val="111111"/>
          <w:sz w:val="28"/>
          <w:sz w:val="28"/>
          <w:szCs w:val="28"/>
          <w:rtl w:val="true"/>
          <w:lang w:bidi="fa-IR"/>
        </w:rPr>
        <w:t>، و جوابه ظاهر</w:t>
      </w:r>
      <w:r>
        <w:rPr>
          <w:rFonts w:eastAsia="IRNazanin" w:cs="IRNazanin"/>
          <w:color w:val="111111"/>
          <w:sz w:val="28"/>
          <w:szCs w:val="28"/>
          <w:rtl w:val="true"/>
          <w:lang w:bidi="fa-IR"/>
        </w:rPr>
        <w:t>.</w:t>
      </w:r>
      <w:bookmarkStart w:id="874" w:name="pg2479_11955"/>
    </w:p>
    <w:p>
      <w:pPr>
        <w:pStyle w:val="Heading6"/>
        <w:numPr>
          <w:ilvl w:val="5"/>
          <w:numId w:val="1"/>
        </w:numPr>
        <w:rPr/>
      </w:pPr>
      <w:bookmarkStart w:id="875" w:name="__RefHeading___Toc3732463_3804643083"/>
      <w:bookmarkStart w:id="876" w:name="_Toc337"/>
      <w:bookmarkEnd w:id="874"/>
      <w:bookmarkEnd w:id="875"/>
      <w:r>
        <w:rPr>
          <w:rtl w:val="true"/>
        </w:rPr>
        <w:t xml:space="preserve">فصل </w:t>
      </w:r>
      <w:r>
        <w:rPr>
          <w:rtl w:val="true"/>
        </w:rPr>
        <w:t>[</w:t>
      </w:r>
      <w:r>
        <w:rPr>
          <w:rtl w:val="true"/>
        </w:rPr>
        <w:t>الجريدتان</w:t>
      </w:r>
      <w:r>
        <w:rPr>
          <w:rtl w:val="true"/>
        </w:rPr>
        <w:t>]</w:t>
      </w:r>
      <w:bookmarkEnd w:id="876"/>
    </w:p>
    <w:p>
      <w:pPr>
        <w:pStyle w:val="BookText"/>
        <w:rPr/>
      </w:pPr>
      <w:r>
        <w:rPr>
          <w:rFonts w:ascii="Amiri" w:hAnsi="Amiri" w:eastAsia="Amiri" w:cs="Amiri"/>
          <w:color w:val="111111"/>
          <w:sz w:val="28"/>
          <w:sz w:val="28"/>
          <w:szCs w:val="28"/>
          <w:rtl w:val="true"/>
          <w:lang w:bidi="ar-SA"/>
        </w:rPr>
        <w:t xml:space="preserve">استحباب الجريدتين عندنا مجمع عليه، و النصوص به مستفيضة </w:t>
      </w:r>
      <w:r>
        <w:rPr>
          <w:rStyle w:val="FootnoteAnchor"/>
          <w:rtl w:val="true"/>
        </w:rPr>
        <w:footnoteReference w:id="2277"/>
      </w:r>
      <w:r>
        <w:rPr>
          <w:rFonts w:ascii="Amiri" w:hAnsi="Amiri" w:eastAsia="Amiri" w:cs="Amiri"/>
          <w:color w:val="111111"/>
          <w:sz w:val="28"/>
          <w:sz w:val="28"/>
          <w:szCs w:val="28"/>
          <w:rtl w:val="true"/>
          <w:lang w:bidi="ar-SA"/>
        </w:rPr>
        <w:t>، و يشترط فيهما الخضرة و الرطوبة بالإجماع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الأفضل كونهما من النخلة ثمّ السدر ثمّ الخلاف ثمّ الرمان ثمّ كلّ شجر رطب، وفاقاً للشهيد و غيره </w:t>
      </w:r>
      <w:r>
        <w:rPr>
          <w:rStyle w:val="FootnoteAnchor"/>
          <w:rtl w:val="true"/>
        </w:rPr>
        <w:footnoteReference w:id="2278"/>
      </w:r>
      <w:r>
        <w:rPr>
          <w:rFonts w:ascii="Amiri" w:hAnsi="Amiri" w:eastAsia="Amiri" w:cs="Amiri"/>
          <w:color w:val="111111"/>
          <w:sz w:val="28"/>
          <w:sz w:val="28"/>
          <w:szCs w:val="28"/>
          <w:rtl w:val="true"/>
          <w:lang w:bidi="ar-SA"/>
        </w:rPr>
        <w:t>للجمع بين النصوص، و الأخذ بغيره من الأقوال هنا يوجب طرح بعضها، و هو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تقديرها بعظم الذراع، أو الذراع، أو الشبر، أو أربع أصابع فما فوقها، أو أحد الثلاثة الأُول، أو الأربعة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للرضوي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لبعضهم </w:t>
      </w:r>
      <w:r>
        <w:rPr>
          <w:rStyle w:val="FootnoteAnchor"/>
          <w:rtl w:val="true"/>
        </w:rPr>
        <w:footnoteReference w:id="2280"/>
      </w:r>
      <w:r>
        <w:rPr>
          <w:rFonts w:ascii="Amiri" w:hAnsi="Amiri" w:eastAsia="Amiri" w:cs="Amiri"/>
          <w:color w:val="111111"/>
          <w:sz w:val="28"/>
          <w:sz w:val="28"/>
          <w:szCs w:val="28"/>
          <w:rtl w:val="true"/>
          <w:lang w:bidi="ar-SA"/>
        </w:rPr>
        <w:t xml:space="preserve">للخبرين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قائله، و له الحسن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للعماني </w:t>
      </w:r>
      <w:r>
        <w:rPr>
          <w:rStyle w:val="FootnoteAnchor"/>
          <w:rtl w:val="true"/>
        </w:rPr>
        <w:footnoteReference w:id="2283"/>
      </w:r>
      <w:r>
        <w:rPr>
          <w:rFonts w:ascii="IRNazanin" w:hAnsi="IRNazanin" w:eastAsia="IRNazanin"/>
          <w:color w:val="111111"/>
          <w:sz w:val="28"/>
          <w:sz w:val="28"/>
          <w:szCs w:val="28"/>
          <w:rtl w:val="true"/>
          <w:lang w:bidi="fa-IR"/>
        </w:rPr>
        <w:t>، و لا مستند 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Style w:val="FootnoteAnchor"/>
          <w:rtl w:val="true"/>
        </w:rPr>
        <w:footnoteReference w:id="2284"/>
      </w:r>
      <w:r>
        <w:rPr>
          <w:rFonts w:ascii="Amiri" w:hAnsi="Amiri" w:eastAsia="Amiri" w:cs="Amiri"/>
          <w:color w:val="111111"/>
          <w:sz w:val="28"/>
          <w:sz w:val="28"/>
          <w:szCs w:val="28"/>
          <w:rtl w:val="true"/>
          <w:lang w:bidi="ar-SA"/>
        </w:rPr>
        <w:t>للجمع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للجمع بين الأدلّة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الخامس؛ لظهور سقوط الرابع و عدم باعث لاعتباره في الجمع، فسقط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الأخذ بأحد الثلاثة الأُول طرح دليل الآخرين،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بينها كما عليه الصدوق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جعل اليمنىٰ عند الترقوة لاصقة بجلده، و اليسرى عندها بين القميص و الإزار؛ للحسنين و الخبر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كما مرّ، و اليسرى عند وركه بينهما </w:t>
      </w:r>
      <w:r>
        <w:rPr>
          <w:rStyle w:val="FootnoteAnchor"/>
          <w:rtl w:val="true"/>
        </w:rPr>
        <w:footnoteReference w:id="2287"/>
      </w:r>
      <w:r>
        <w:rPr>
          <w:rFonts w:ascii="Amiri" w:hAnsi="Amiri" w:eastAsia="Amiri" w:cs="Amiri"/>
          <w:color w:val="111111"/>
          <w:sz w:val="28"/>
          <w:sz w:val="28"/>
          <w:szCs w:val="28"/>
          <w:rtl w:val="true"/>
          <w:lang w:bidi="ar-SA"/>
        </w:rPr>
        <w:t xml:space="preserve">للرضوي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تحت إبطه الأيمن، و الأُخرى بحيث يلي نصفها الساق و نصفها الفخذ </w:t>
      </w:r>
      <w:r>
        <w:rPr>
          <w:rStyle w:val="FootnoteAnchor"/>
          <w:rtl w:val="true"/>
        </w:rPr>
        <w:footnoteReference w:id="2289"/>
      </w:r>
      <w:r>
        <w:rPr>
          <w:rFonts w:ascii="IRNazanin" w:hAnsi="IRNazanin" w:eastAsia="IRNazanin"/>
          <w:color w:val="111111"/>
          <w:sz w:val="28"/>
          <w:sz w:val="28"/>
          <w:szCs w:val="28"/>
          <w:rtl w:val="true"/>
          <w:lang w:bidi="fa-IR"/>
        </w:rPr>
        <w:t xml:space="preserve">للخبر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واحدة تحت إبطه الأيمن </w:t>
      </w:r>
      <w:r>
        <w:rPr>
          <w:rStyle w:val="FootnoteAnchor"/>
          <w:rtl w:val="true"/>
        </w:rPr>
        <w:footnoteReference w:id="2291"/>
      </w:r>
      <w:r>
        <w:rPr>
          <w:rFonts w:ascii="Amiri" w:hAnsi="Amiri" w:eastAsia="Amiri" w:cs="Amiri"/>
          <w:color w:val="111111"/>
          <w:sz w:val="28"/>
          <w:sz w:val="28"/>
          <w:szCs w:val="28"/>
          <w:rtl w:val="true"/>
          <w:lang w:bidi="ar-SA"/>
        </w:rPr>
        <w:t xml:space="preserve">للأخبار الثلاثة ليحيىٰ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أفضليّة المشهور؛ لقوّة دليله، مع جواز الثلاثة الأُولىٰ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فمستنده غير ناهض؛ لظهوره في المشهور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النصوص و الفتاوىٰ يقتضي استحبابهما لكلّ ميّت حتّى الصغير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التعليل و إن أوهم الاختصاص، إلّا أنّ علل الشرع معرّفات لا يلزم فيها الاطّراد و الانعكاس</w:t>
      </w:r>
      <w:r>
        <w:rPr>
          <w:rFonts w:eastAsia="Amiri" w:cs="Amiri" w:ascii="Amiri" w:hAnsi="Amiri"/>
          <w:color w:val="111111"/>
          <w:sz w:val="28"/>
          <w:szCs w:val="28"/>
          <w:rtl w:val="true"/>
          <w:lang w:bidi="ar-SA"/>
        </w:rPr>
        <w:t>.</w:t>
      </w:r>
      <w:bookmarkStart w:id="877" w:name="pg2479_11959"/>
    </w:p>
    <w:p>
      <w:pPr>
        <w:pStyle w:val="BookText"/>
        <w:rPr/>
      </w:pPr>
      <w:bookmarkEnd w:id="877"/>
      <w:r>
        <w:rPr>
          <w:rFonts w:ascii="Amiri" w:hAnsi="Amiri" w:eastAsia="Amiri" w:cs="Amiri"/>
          <w:color w:val="111111"/>
          <w:sz w:val="28"/>
          <w:sz w:val="28"/>
          <w:szCs w:val="28"/>
          <w:rtl w:val="true"/>
          <w:lang w:bidi="ar-SA"/>
        </w:rPr>
        <w:t xml:space="preserve">و لو تعذّر وضعها على النحو المقرّر لتقيّة أو غيرها، فليضعهما بالممكن و لو في القبر؛ للظواهر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يستحبّ شقّهما؛ لإطلاق الأخبار و الفتاوىٰ و ظاهر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Style w:val="FootnoteAnchor"/>
          <w:rtl w:val="true"/>
        </w:rPr>
        <w:footnoteReference w:id="2294"/>
      </w:r>
      <w:r>
        <w:rPr>
          <w:rFonts w:ascii="Amiri" w:hAnsi="Amiri" w:eastAsia="Amiri" w:cs="Amiri"/>
          <w:color w:val="111111"/>
          <w:sz w:val="28"/>
          <w:sz w:val="28"/>
          <w:szCs w:val="28"/>
          <w:rtl w:val="true"/>
          <w:lang w:bidi="ar-SA"/>
        </w:rPr>
        <w:t xml:space="preserve">للنبويّ </w:t>
      </w:r>
      <w:r>
        <w:rPr>
          <w:rStyle w:val="FootnoteAnchor"/>
          <w:rtl w:val="true"/>
        </w:rPr>
        <w:footnoteReference w:id="2295"/>
      </w:r>
      <w:r>
        <w:rPr>
          <w:rFonts w:ascii="Amiri" w:hAnsi="Amiri" w:eastAsia="Amiri" w:cs="Amiri"/>
          <w:color w:val="111111"/>
          <w:sz w:val="28"/>
          <w:sz w:val="28"/>
          <w:szCs w:val="28"/>
          <w:rtl w:val="true"/>
          <w:lang w:bidi="ar-SA"/>
        </w:rPr>
        <w:t>، و ينبغي حمله على القطع جمعاً، و يمكن حمله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استحباب وضع القطن عليها، استبقاءً للرطوبة المسقطة للعذاب</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732465_3804643083"/>
      <w:bookmarkStart w:id="879" w:name="_Toc338"/>
      <w:bookmarkEnd w:id="878"/>
      <w:r>
        <w:rPr>
          <w:rtl w:val="true"/>
        </w:rPr>
        <w:t>مسائل</w:t>
      </w:r>
      <w:r>
        <w:rPr>
          <w:rtl w:val="true"/>
        </w:rPr>
        <w:t>:</w:t>
      </w:r>
      <w:bookmarkEnd w:id="879"/>
    </w:p>
    <w:p>
      <w:pPr>
        <w:pStyle w:val="Heading6"/>
        <w:numPr>
          <w:ilvl w:val="5"/>
          <w:numId w:val="1"/>
        </w:numPr>
        <w:rPr/>
      </w:pPr>
      <w:bookmarkStart w:id="880" w:name="__RefHeading___Toc3732467_3804643083"/>
      <w:bookmarkStart w:id="881" w:name="_Toc339"/>
      <w:bookmarkEnd w:id="880"/>
      <w:r>
        <w:rPr>
          <w:rtl w:val="true"/>
        </w:rPr>
        <w:t>الأُولىٰ</w:t>
      </w:r>
      <w:r>
        <w:rPr>
          <w:rtl w:val="true"/>
        </w:rPr>
        <w:t>:</w:t>
      </w:r>
      <w:bookmarkEnd w:id="881"/>
    </w:p>
    <w:p>
      <w:pPr>
        <w:pStyle w:val="BookText"/>
        <w:rPr/>
      </w:pPr>
      <w:r>
        <w:rPr>
          <w:rFonts w:ascii="Amiri" w:hAnsi="Amiri" w:eastAsia="Amiri" w:cs="Amiri"/>
          <w:color w:val="111111"/>
          <w:sz w:val="28"/>
          <w:sz w:val="28"/>
          <w:szCs w:val="28"/>
          <w:rtl w:val="true"/>
          <w:lang w:bidi="ar-SA"/>
        </w:rPr>
        <w:t xml:space="preserve">ما سقط من الميّت من شعر أو ظفر أو غيرهما يغسل و يجعل في كفنه، بالإجماع و النصوص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2" w:name="__RefHeading___Toc3732469_3804643083"/>
      <w:bookmarkStart w:id="883" w:name="_Toc340"/>
      <w:bookmarkEnd w:id="882"/>
      <w:r>
        <w:rPr>
          <w:rtl w:val="true"/>
        </w:rPr>
        <w:t>الثانية</w:t>
      </w:r>
      <w:r>
        <w:rPr>
          <w:rtl w:val="true"/>
        </w:rPr>
        <w:t>:</w:t>
      </w:r>
      <w:bookmarkEnd w:id="883"/>
    </w:p>
    <w:p>
      <w:pPr>
        <w:pStyle w:val="BookText"/>
        <w:rPr/>
      </w:pPr>
      <w:r>
        <w:rPr>
          <w:rFonts w:ascii="Amiri" w:hAnsi="Amiri" w:eastAsia="Amiri" w:cs="Amiri"/>
          <w:color w:val="111111"/>
          <w:sz w:val="28"/>
          <w:sz w:val="28"/>
          <w:szCs w:val="28"/>
          <w:rtl w:val="true"/>
          <w:lang w:bidi="ar-SA"/>
        </w:rPr>
        <w:t>لو تعذّر شي‌ء من واجبات الغسل أو الكفن أو الحنوط سقط، و يتدارك مع حصول المكنة قبل الدفن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تعذّر التحنّط و أمكن الوضع على النعش لم يجب؛ للخبر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4" w:name="__RefHeading___Toc3732471_3804643083"/>
      <w:bookmarkStart w:id="885" w:name="_Toc341"/>
      <w:bookmarkEnd w:id="884"/>
      <w:r>
        <w:rPr>
          <w:rtl w:val="true"/>
        </w:rPr>
        <w:t>الثالثة</w:t>
      </w:r>
      <w:r>
        <w:rPr>
          <w:rtl w:val="true"/>
        </w:rPr>
        <w:t>:</w:t>
      </w:r>
      <w:bookmarkEnd w:id="885"/>
    </w:p>
    <w:p>
      <w:pPr>
        <w:pStyle w:val="BookText"/>
        <w:rPr/>
      </w:pPr>
      <w:r>
        <w:rPr>
          <w:rFonts w:ascii="Amiri" w:hAnsi="Amiri" w:eastAsia="Amiri" w:cs="Amiri"/>
          <w:color w:val="111111"/>
          <w:sz w:val="28"/>
          <w:sz w:val="28"/>
          <w:szCs w:val="28"/>
          <w:rtl w:val="true"/>
          <w:lang w:bidi="ar-SA"/>
        </w:rPr>
        <w:t xml:space="preserve">كفن المرأة علىٰ زوجها و لو كانت موسرة؛ للإجماع و الخبرين </w:t>
      </w:r>
      <w:r>
        <w:rPr>
          <w:rStyle w:val="FootnoteAnchor"/>
          <w:rtl w:val="true"/>
        </w:rPr>
        <w:footnoteReference w:id="2298"/>
      </w:r>
      <w:r>
        <w:rPr>
          <w:rFonts w:ascii="Amiri" w:hAnsi="Amiri" w:eastAsia="Amiri" w:cs="Amiri"/>
          <w:color w:val="111111"/>
          <w:sz w:val="28"/>
          <w:sz w:val="28"/>
          <w:szCs w:val="28"/>
          <w:rtl w:val="true"/>
          <w:lang w:bidi="ar-SA"/>
        </w:rPr>
        <w:t>، و لا فرق بين الدائمة و المنقطعة، و الحرّة و الأمة، و المطيعة و الناشزة؛ لإطلاق النصّ و الفتوىٰ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يخصّ بالموسر و لو بإرثه منها، فمع إعساره بأن لا يفضل ماله عن</w:t>
      </w:r>
      <w:bookmarkStart w:id="886" w:name="pg2479_11961"/>
    </w:p>
    <w:p>
      <w:pPr>
        <w:pStyle w:val="BookText"/>
        <w:rPr/>
      </w:pPr>
      <w:bookmarkEnd w:id="886"/>
      <w:r>
        <w:rPr>
          <w:rFonts w:ascii="Amiri" w:hAnsi="Amiri" w:eastAsia="Amiri" w:cs="Amiri"/>
          <w:color w:val="111111"/>
          <w:sz w:val="28"/>
          <w:sz w:val="28"/>
          <w:szCs w:val="28"/>
          <w:rtl w:val="true"/>
          <w:lang w:bidi="ar-SA"/>
        </w:rPr>
        <w:t>ديونه و قوت يومه و ليله كفّنت من مالها مع اليسار؛ لأنّ الإرث بعد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w:t>
      </w:r>
      <w:r>
        <w:rPr>
          <w:rStyle w:val="FootnoteAnchor"/>
          <w:rtl w:val="true"/>
        </w:rPr>
        <w:footnoteReference w:id="2299"/>
      </w:r>
      <w:r>
        <w:rPr>
          <w:rFonts w:ascii="Amiri" w:hAnsi="Amiri" w:eastAsia="Amiri" w:cs="Amiri"/>
          <w:color w:val="111111"/>
          <w:sz w:val="28"/>
          <w:sz w:val="28"/>
          <w:szCs w:val="28"/>
          <w:rtl w:val="true"/>
          <w:lang w:bidi="ar-SA"/>
        </w:rPr>
        <w:t>شموله للمعسر أيضاً لإطلاق النص ضعيف؛ لانصرافه إلى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 البعض أكمل من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ماتا معاً لم يلزمه كفنها؛ لخروجه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بعدها و لو قبل تكفينها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حينئذٍ إلّا كفن واحد اختصّ به؛ لعدم بقيّة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الوجوب السابق يسقط بطروء العجز بموته المقتضي لتقدّم تكفينه علىٰ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اختصاصها به لسبق التعلّق ضعيف؛ لعدم تعلّقه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تأخّر موته عن وضعه عليها و لو قبل الدفن اختصّ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أوصت به سقط عنه و أُخذت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كون جميع مؤن التجهيز كالكفن في الوجوب على الزوج؛ لاتّحاد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بالزوجة غيرها ممّن يجب نفقته؛ للأصل و سقوط الإنفاق بالموت، إلّا المملوك فإنّ مؤن موته مطلقاً على مولاه،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فقدت بأخذ السيل أو أكل السبع مع بقاء الكفن، فإن كان من مالها عاد ميراثاً بالإجماع، و إن كان من ماله ففي عوده إليه أو اشتراكه بين الورثة وجهان، و لو كان من متبرّع أو بيت المال أو الزكاة عاد إلى ما كان؛ لاشتراط الخروج ببقائه كفناً</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3732473_3804643083"/>
      <w:bookmarkStart w:id="888" w:name="_Toc342"/>
      <w:bookmarkEnd w:id="887"/>
      <w:r>
        <w:rPr>
          <w:rtl w:val="true"/>
        </w:rPr>
        <w:t>الرابعة</w:t>
      </w:r>
      <w:r>
        <w:rPr>
          <w:rtl w:val="true"/>
        </w:rPr>
        <w:t>:</w:t>
      </w:r>
      <w:bookmarkEnd w:id="88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من كفن الرجل و غير ذات البعل يؤخذ من صلب المال مقدّماً على الديون و الوصايا، بالإجماع، و المستفيضة </w:t>
      </w:r>
      <w:r>
        <w:rPr>
          <w:rStyle w:val="FootnoteAnchor"/>
          <w:rtl w:val="true"/>
        </w:rPr>
        <w:footnoteReference w:id="2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النص و الفتوىٰ</w:t>
      </w:r>
      <w:bookmarkStart w:id="889" w:name="pg2479_11963"/>
    </w:p>
    <w:p>
      <w:pPr>
        <w:pStyle w:val="BookText"/>
        <w:rPr/>
      </w:pPr>
      <w:bookmarkEnd w:id="889"/>
      <w:r>
        <w:rPr>
          <w:rFonts w:ascii="Amiri" w:hAnsi="Amiri" w:eastAsia="Amiri" w:cs="Amiri"/>
          <w:color w:val="111111"/>
          <w:sz w:val="28"/>
          <w:sz w:val="28"/>
          <w:szCs w:val="28"/>
          <w:rtl w:val="true"/>
          <w:lang w:bidi="ar-SA"/>
        </w:rPr>
        <w:t>يقتضي تقديمه على حقّ المرتهن و المجني عليه و غرماء المفلّس، كما صرّح به جماعة، و يؤيّده عدم خروج المال عن الملك بالرهن و الجناية و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بتقديم الأوّلين </w:t>
      </w:r>
      <w:r>
        <w:rPr>
          <w:rStyle w:val="FootnoteAnchor"/>
          <w:rtl w:val="true"/>
        </w:rPr>
        <w:footnoteReference w:id="2301"/>
      </w:r>
      <w:r>
        <w:rPr>
          <w:rFonts w:ascii="Amiri" w:hAnsi="Amiri" w:eastAsia="Amiri" w:cs="Amiri"/>
          <w:color w:val="111111"/>
          <w:sz w:val="28"/>
          <w:sz w:val="28"/>
          <w:szCs w:val="28"/>
          <w:rtl w:val="true"/>
          <w:lang w:bidi="ar-SA"/>
        </w:rPr>
        <w:t>لاقتضائهما الاختصاص و المنع من الصرف في المؤن المتقدّمة على الديون</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3732475_3804643083"/>
      <w:bookmarkStart w:id="891" w:name="_Toc343"/>
      <w:bookmarkEnd w:id="890"/>
      <w:r>
        <w:rPr>
          <w:rtl w:val="true"/>
        </w:rPr>
        <w:t>الخامسة</w:t>
      </w:r>
      <w:r>
        <w:rPr>
          <w:rtl w:val="true"/>
        </w:rPr>
        <w:t>:</w:t>
      </w:r>
      <w:bookmarkEnd w:id="891"/>
    </w:p>
    <w:p>
      <w:pPr>
        <w:pStyle w:val="BookText"/>
        <w:rPr/>
      </w:pPr>
      <w:r>
        <w:rPr>
          <w:rFonts w:ascii="Amiri" w:hAnsi="Amiri" w:eastAsia="Amiri" w:cs="Amiri"/>
          <w:color w:val="111111"/>
          <w:sz w:val="28"/>
          <w:sz w:val="28"/>
          <w:szCs w:val="28"/>
          <w:rtl w:val="true"/>
          <w:lang w:bidi="ar-SA"/>
        </w:rPr>
        <w:t xml:space="preserve">لو لم يكن له كفن دفن عارياً، و لم يجب على المسلمين بذله بالأصل و الإجماع، بل يستحبّ وفاقاً؛ للمستفيضة </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وجود الزكاة يجوز تكفينه منه، بل الظاهر وجوبه، كما عليه جماعة </w:t>
      </w:r>
      <w:r>
        <w:rPr>
          <w:rStyle w:val="FootnoteAnchor"/>
          <w:rtl w:val="true"/>
        </w:rPr>
        <w:footnoteReference w:id="2303"/>
      </w:r>
      <w:r>
        <w:rPr>
          <w:rFonts w:ascii="Amiri" w:hAnsi="Amiri" w:eastAsia="Amiri" w:cs="Amiri"/>
          <w:color w:val="111111"/>
          <w:sz w:val="28"/>
          <w:sz w:val="28"/>
          <w:szCs w:val="28"/>
          <w:rtl w:val="true"/>
          <w:lang w:bidi="ar-SA"/>
        </w:rPr>
        <w:t xml:space="preserve">للموثّق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سائر مؤن التجهيز كالكفن في الحكم</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3732477_3804643083"/>
      <w:bookmarkStart w:id="893" w:name="_Toc344"/>
      <w:bookmarkEnd w:id="892"/>
      <w:r>
        <w:rPr>
          <w:rtl w:val="true"/>
        </w:rPr>
        <w:t>السادسة</w:t>
      </w:r>
      <w:r>
        <w:rPr>
          <w:rtl w:val="true"/>
        </w:rPr>
        <w:t>:</w:t>
      </w:r>
      <w:bookmarkEnd w:id="893"/>
    </w:p>
    <w:p>
      <w:pPr>
        <w:pStyle w:val="BookText"/>
        <w:rPr/>
      </w:pPr>
      <w:r>
        <w:rPr>
          <w:rFonts w:ascii="Amiri" w:hAnsi="Amiri" w:eastAsia="Amiri" w:cs="Amiri"/>
          <w:color w:val="111111"/>
          <w:sz w:val="28"/>
          <w:sz w:val="28"/>
          <w:szCs w:val="28"/>
          <w:rtl w:val="true"/>
          <w:lang w:bidi="ar-SA"/>
        </w:rPr>
        <w:t xml:space="preserve">لو كثر الموتى و قلّت الأكفان، جعل اثنان و ثلاث في ثوب واحد،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لفعل النبي صلّى اللّٰه عليه و سلّم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قصر الكفن عن الميّت، غطّي رأسه، و جعل على رجليه حشيش و نحوه؛ لفعله صلّى اللّٰه عليه و سلّم بحمزة عليه السّلام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3732479_3804643083"/>
      <w:bookmarkStart w:id="895" w:name="_Toc345"/>
      <w:bookmarkEnd w:id="894"/>
      <w:r>
        <w:rPr>
          <w:rtl w:val="true"/>
        </w:rPr>
        <w:t>الرابع</w:t>
      </w:r>
      <w:r>
        <w:rPr>
          <w:rtl w:val="true"/>
        </w:rPr>
        <w:t xml:space="preserve">: </w:t>
      </w:r>
      <w:r>
        <w:rPr>
          <w:rtl w:val="true"/>
        </w:rPr>
        <w:t>الصلاة عليه</w:t>
      </w:r>
      <w:bookmarkEnd w:id="8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في محلّها</w:t>
      </w:r>
      <w:r>
        <w:rPr>
          <w:rFonts w:eastAsia="Amiri" w:cs="Amiri" w:ascii="Amiri" w:hAnsi="Amiri"/>
          <w:color w:val="111111"/>
          <w:sz w:val="28"/>
          <w:szCs w:val="28"/>
          <w:rtl w:val="true"/>
          <w:lang w:bidi="ar-SA"/>
        </w:rPr>
        <w:t>.</w:t>
      </w:r>
      <w:bookmarkStart w:id="896" w:name="pg2479_11965"/>
    </w:p>
    <w:p>
      <w:pPr>
        <w:pStyle w:val="Heading6"/>
        <w:numPr>
          <w:ilvl w:val="5"/>
          <w:numId w:val="1"/>
        </w:numPr>
        <w:rPr/>
      </w:pPr>
      <w:bookmarkStart w:id="897" w:name="__RefHeading___Toc3732481_3804643083"/>
      <w:bookmarkStart w:id="898" w:name="_Toc346"/>
      <w:bookmarkEnd w:id="896"/>
      <w:bookmarkEnd w:id="897"/>
      <w:r>
        <w:rPr>
          <w:rtl w:val="true"/>
        </w:rPr>
        <w:t>الخامس</w:t>
      </w:r>
      <w:r>
        <w:rPr>
          <w:rtl w:val="true"/>
        </w:rPr>
        <w:t xml:space="preserve">: </w:t>
      </w:r>
      <w:r>
        <w:rPr>
          <w:rtl w:val="true"/>
        </w:rPr>
        <w:t>دفنه</w:t>
      </w:r>
      <w:bookmarkEnd w:id="898"/>
    </w:p>
    <w:p>
      <w:pPr>
        <w:pStyle w:val="Heading6"/>
        <w:numPr>
          <w:ilvl w:val="5"/>
          <w:numId w:val="1"/>
        </w:numPr>
        <w:rPr/>
      </w:pPr>
      <w:bookmarkStart w:id="899" w:name="__RefHeading___Toc3732483_3804643083"/>
      <w:bookmarkStart w:id="900" w:name="_Toc347"/>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و الواجب منه مواراته الحافظة للجثّة و الكاتمة للرائحة؛ لأنّه المتلقّى من الشرع، و لأنّ الغرض منه حصول الوصفين بالعقل و النقل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2308"/>
      </w:r>
      <w:r>
        <w:rPr>
          <w:rFonts w:ascii="Amiri" w:hAnsi="Amiri" w:eastAsia="Amiri" w:cs="Amiri"/>
          <w:color w:val="111111"/>
          <w:sz w:val="28"/>
          <w:sz w:val="28"/>
          <w:szCs w:val="28"/>
          <w:rtl w:val="true"/>
          <w:lang w:bidi="ar-SA"/>
        </w:rPr>
        <w:t>، فالزائد على ما يوجبه غير لازم، و الناقص عنه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تعيّن الحفر اختياراً، فلا يكفي وضعه في بناء و نحوه و إن حصل الوصفان؛ لفعل الحجج عليهم السّلام و تابعيهم من السلف و الخلف، مع أنّ القطع بالبراءة عن تيقّن الشغل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لصلابة الأرض و نحوها، جاز مواراته بالممكن مراعياً للوصفين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وضعه في تابوت مع كونه على وجه الأرض غير جائز و إن حصل الوصفان لصلابته و تغطّيه؛ لأنّه خلاف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مواراته أو وضعه في سرداب بعد سدّ بابه جائز؛ لنقل </w:t>
      </w:r>
      <w:r>
        <w:rPr>
          <w:rStyle w:val="FootnoteAnchor"/>
          <w:rtl w:val="true"/>
        </w:rPr>
        <w:footnoteReference w:id="2309"/>
      </w:r>
      <w:r>
        <w:rPr>
          <w:rFonts w:ascii="Amiri" w:hAnsi="Amiri" w:eastAsia="Amiri" w:cs="Amiri"/>
          <w:color w:val="111111"/>
          <w:sz w:val="28"/>
          <w:sz w:val="28"/>
          <w:szCs w:val="28"/>
          <w:rtl w:val="true"/>
          <w:lang w:bidi="ar-SA"/>
        </w:rPr>
        <w:t>الإجماع و صدق المواراة</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3732485_3804643083"/>
      <w:bookmarkStart w:id="902" w:name="_Toc348"/>
      <w:bookmarkEnd w:id="901"/>
      <w:r>
        <w:rPr>
          <w:rtl w:val="true"/>
        </w:rPr>
        <w:t xml:space="preserve">فصل </w:t>
      </w:r>
      <w:r>
        <w:rPr>
          <w:rtl w:val="true"/>
        </w:rPr>
        <w:t>[</w:t>
      </w:r>
      <w:r>
        <w:rPr>
          <w:rtl w:val="true"/>
        </w:rPr>
        <w:t>توجيه الميّت للقبلة</w:t>
      </w:r>
      <w:r>
        <w:rPr>
          <w:rtl w:val="true"/>
        </w:rPr>
        <w:t>]</w:t>
      </w:r>
      <w:bookmarkEnd w:id="90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إضجاعه على جنبه الأيمن مستقبل القبلة؛ للتأسّي و الصحيح و الخبر </w:t>
      </w:r>
      <w:r>
        <w:rPr>
          <w:rStyle w:val="FootnoteAnchor"/>
          <w:rtl w:val="true"/>
        </w:rPr>
        <w:footnoteReference w:id="2310"/>
      </w:r>
      <w:r>
        <w:rPr>
          <w:rFonts w:ascii="Amiri" w:hAnsi="Amiri" w:eastAsia="Amiri" w:cs="Amiri"/>
          <w:color w:val="111111"/>
          <w:sz w:val="28"/>
          <w:sz w:val="28"/>
          <w:szCs w:val="28"/>
          <w:rtl w:val="true"/>
          <w:lang w:bidi="ar-SA"/>
        </w:rPr>
        <w:t xml:space="preserve">، و يؤيّده ما في الرضوي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استحبّه ابن حمزة </w:t>
      </w:r>
      <w:r>
        <w:rPr>
          <w:rStyle w:val="FootnoteAnchor"/>
          <w:rtl w:val="true"/>
        </w:rPr>
        <w:footnoteReference w:id="2312"/>
      </w:r>
      <w:r>
        <w:rPr>
          <w:rFonts w:ascii="IRNazanin" w:hAnsi="IRNazanin" w:eastAsia="IRNazanin"/>
          <w:color w:val="111111"/>
          <w:sz w:val="28"/>
          <w:sz w:val="28"/>
          <w:szCs w:val="28"/>
          <w:rtl w:val="true"/>
          <w:lang w:bidi="fa-IR"/>
        </w:rPr>
        <w:t>للأصل،</w:t>
      </w:r>
      <w:bookmarkStart w:id="903" w:name="pg2479_11967"/>
    </w:p>
    <w:p>
      <w:pPr>
        <w:pStyle w:val="BookText"/>
        <w:rPr/>
      </w:pPr>
      <w:bookmarkEnd w:id="903"/>
      <w:r>
        <w:rPr>
          <w:rFonts w:ascii="IRNazanin" w:hAnsi="IRNazanin" w:eastAsia="IRNazanin"/>
          <w:color w:val="111111"/>
          <w:sz w:val="28"/>
          <w:sz w:val="28"/>
          <w:szCs w:val="28"/>
          <w:rtl w:val="true"/>
          <w:lang w:bidi="fa-IR"/>
        </w:rPr>
        <w:t>و دفعه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التباسها، أو تعذّر الصرف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 الميّت كافرة ذميّة حاملة من مسلم، فإنّ اللازم دفنها في مقبرة المسلمين إكراماً لولدها على نحو يستقبل وجهه القبلة؛ للإجماع و الخبر </w:t>
      </w:r>
      <w:r>
        <w:rPr>
          <w:rStyle w:val="FootnoteAnchor"/>
          <w:rtl w:val="true"/>
        </w:rPr>
        <w:footnoteReference w:id="2313"/>
      </w:r>
      <w:r>
        <w:rPr>
          <w:rFonts w:ascii="Amiri" w:hAnsi="Amiri" w:eastAsia="Amiri" w:cs="Amiri"/>
          <w:color w:val="111111"/>
          <w:sz w:val="28"/>
          <w:sz w:val="28"/>
          <w:szCs w:val="28"/>
          <w:rtl w:val="true"/>
          <w:lang w:bidi="ar-SA"/>
        </w:rPr>
        <w:t>، و لا يلحق بها الحامل عن زنا المسلم؛ لعدم اللحاق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ميّتاً في مثل البحر، فإنّه مع تعذّر النقل إلى البرّ يجهّز و يلقى فيه إمّا مثقلًا؛ للمستفيضة </w:t>
      </w:r>
      <w:r>
        <w:rPr>
          <w:rStyle w:val="FootnoteAnchor"/>
          <w:rtl w:val="true"/>
        </w:rPr>
        <w:footnoteReference w:id="2314"/>
      </w:r>
      <w:r>
        <w:rPr>
          <w:rFonts w:ascii="Amiri" w:hAnsi="Amiri" w:eastAsia="Amiri" w:cs="Amiri"/>
          <w:color w:val="111111"/>
          <w:sz w:val="28"/>
          <w:sz w:val="28"/>
          <w:szCs w:val="28"/>
          <w:rtl w:val="true"/>
          <w:lang w:bidi="ar-SA"/>
        </w:rPr>
        <w:t xml:space="preserve">، أو مستوراً في وعاء؛ للصحيح و المرسل </w:t>
      </w:r>
      <w:r>
        <w:rPr>
          <w:rStyle w:val="FootnoteAnchor"/>
          <w:rtl w:val="true"/>
        </w:rPr>
        <w:footnoteReference w:id="2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على استحباب استقباله إلى القبلة حال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بوجوبه </w:t>
      </w:r>
      <w:r>
        <w:rPr>
          <w:rStyle w:val="FootnoteAnchor"/>
          <w:rtl w:val="true"/>
        </w:rPr>
        <w:footnoteReference w:id="2316"/>
      </w:r>
      <w:r>
        <w:rPr>
          <w:rFonts w:ascii="Amiri" w:hAnsi="Amiri" w:eastAsia="Amiri" w:cs="Amiri"/>
          <w:color w:val="111111"/>
          <w:sz w:val="28"/>
          <w:sz w:val="28"/>
          <w:szCs w:val="28"/>
          <w:rtl w:val="true"/>
          <w:lang w:bidi="ar-SA"/>
        </w:rPr>
        <w:t>، و هو تقييد لإطلاق النصوص بلا حجّة</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3732487_3804643083"/>
      <w:bookmarkStart w:id="905" w:name="_Toc349"/>
      <w:bookmarkEnd w:id="904"/>
      <w:r>
        <w:rPr>
          <w:rtl w:val="true"/>
        </w:rPr>
        <w:t xml:space="preserve">فصل </w:t>
      </w:r>
      <w:r>
        <w:rPr>
          <w:rtl w:val="true"/>
        </w:rPr>
        <w:t>[</w:t>
      </w:r>
      <w:r>
        <w:rPr>
          <w:rtl w:val="true"/>
        </w:rPr>
        <w:t>تشييع الجنازة</w:t>
      </w:r>
      <w:r>
        <w:rPr>
          <w:rtl w:val="true"/>
        </w:rPr>
        <w:t>]</w:t>
      </w:r>
      <w:bookmarkEnd w:id="90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تشييع الجنازة بالإجماع و المتظافرة </w:t>
      </w:r>
      <w:r>
        <w:rPr>
          <w:rStyle w:val="FootnoteAnchor"/>
          <w:rtl w:val="true"/>
        </w:rPr>
        <w:footnoteReference w:id="2317"/>
      </w:r>
      <w:r>
        <w:rPr>
          <w:rFonts w:ascii="Amiri" w:hAnsi="Amiri" w:eastAsia="Amiri" w:cs="Amiri"/>
          <w:color w:val="111111"/>
          <w:sz w:val="28"/>
          <w:sz w:val="28"/>
          <w:szCs w:val="28"/>
          <w:rtl w:val="true"/>
          <w:lang w:bidi="ar-SA"/>
        </w:rPr>
        <w:t>، و المشي من ورائها أو أحد</w:t>
      </w:r>
    </w:p>
    <w:p>
      <w:pPr>
        <w:pStyle w:val="BookText"/>
        <w:rPr/>
      </w:pPr>
      <w:r>
        <w:rPr>
          <w:rFonts w:ascii="Amiri" w:hAnsi="Amiri" w:eastAsia="Amiri" w:cs="Amiri"/>
          <w:color w:val="111111"/>
          <w:sz w:val="28"/>
          <w:sz w:val="28"/>
          <w:szCs w:val="28"/>
          <w:rtl w:val="true"/>
          <w:lang w:bidi="ar-SA"/>
        </w:rPr>
        <w:t xml:space="preserve">جانبيها بإجماعنا؛ للمستفيضة </w:t>
      </w:r>
      <w:r>
        <w:rPr>
          <w:rStyle w:val="FootnoteAnchor"/>
          <w:rtl w:val="true"/>
        </w:rPr>
        <w:footnoteReference w:id="2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 المشي بين جنبيها؛ لأنّه مشي الكرام الكاتبين، كما في الخبر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جواز المشي أمامها مطلقاً بلا كراهة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320"/>
      </w:r>
      <w:r>
        <w:rPr>
          <w:rFonts w:ascii="Amiri" w:hAnsi="Amiri" w:eastAsia="Amiri" w:cs="Amiri"/>
          <w:color w:val="111111"/>
          <w:sz w:val="28"/>
          <w:sz w:val="28"/>
          <w:szCs w:val="28"/>
          <w:rtl w:val="true"/>
          <w:lang w:bidi="ar-SA"/>
        </w:rPr>
        <w:t xml:space="preserve">للصحيح و الموثّق </w:t>
      </w:r>
      <w:r>
        <w:rPr>
          <w:rStyle w:val="FootnoteAnchor"/>
          <w:rtl w:val="true"/>
        </w:rPr>
        <w:footnoteReference w:id="2321"/>
      </w:r>
      <w:r>
        <w:rPr>
          <w:rFonts w:ascii="Amiri" w:hAnsi="Amiri" w:eastAsia="Amiri" w:cs="Amiri"/>
          <w:color w:val="111111"/>
          <w:sz w:val="28"/>
          <w:sz w:val="28"/>
          <w:szCs w:val="28"/>
          <w:rtl w:val="true"/>
          <w:lang w:bidi="ar-SA"/>
        </w:rPr>
        <w:t xml:space="preserve">، أو معها كالأكثر للخبر و الرضوي </w:t>
      </w:r>
      <w:r>
        <w:rPr>
          <w:rStyle w:val="FootnoteAnchor"/>
          <w:rtl w:val="true"/>
        </w:rPr>
        <w:footnoteReference w:id="2322"/>
      </w:r>
      <w:r>
        <w:rPr>
          <w:rFonts w:ascii="Amiri" w:hAnsi="Amiri" w:eastAsia="Amiri" w:cs="Amiri"/>
          <w:color w:val="111111"/>
          <w:sz w:val="28"/>
          <w:sz w:val="28"/>
          <w:szCs w:val="28"/>
          <w:rtl w:val="true"/>
          <w:lang w:bidi="ar-SA"/>
        </w:rPr>
        <w:t xml:space="preserve">، أو الأوّل لصاحبها و الثاني لغيره كالإسكافي </w:t>
      </w:r>
      <w:r>
        <w:rPr>
          <w:rStyle w:val="FootnoteAnchor"/>
          <w:rtl w:val="true"/>
        </w:rPr>
        <w:footnoteReference w:id="2323"/>
      </w:r>
      <w:r>
        <w:rPr>
          <w:rFonts w:ascii="Amiri" w:hAnsi="Amiri" w:eastAsia="Amiri" w:cs="Amiri"/>
          <w:color w:val="111111"/>
          <w:sz w:val="28"/>
          <w:sz w:val="28"/>
          <w:szCs w:val="28"/>
          <w:rtl w:val="true"/>
          <w:lang w:bidi="ar-SA"/>
        </w:rPr>
        <w:t xml:space="preserve">لفعل الصادق عليه السّلام في قضيّة إسماعيل كما في الخبر </w:t>
      </w:r>
      <w:r>
        <w:rPr>
          <w:rStyle w:val="FootnoteAnchor"/>
          <w:rtl w:val="true"/>
        </w:rPr>
        <w:footnoteReference w:id="2324"/>
      </w:r>
      <w:r>
        <w:rPr>
          <w:rFonts w:ascii="Amiri" w:hAnsi="Amiri" w:eastAsia="Amiri" w:cs="Amiri"/>
          <w:color w:val="111111"/>
          <w:sz w:val="28"/>
          <w:sz w:val="28"/>
          <w:szCs w:val="28"/>
          <w:rtl w:val="true"/>
          <w:lang w:bidi="ar-SA"/>
        </w:rPr>
        <w:t xml:space="preserve">، أو الأوّل في جنازة المؤمن و الحرمة في غيرها كالعماني </w:t>
      </w:r>
      <w:r>
        <w:rPr>
          <w:rStyle w:val="FootnoteAnchor"/>
          <w:rtl w:val="true"/>
        </w:rPr>
        <w:footnoteReference w:id="2325"/>
      </w:r>
      <w:r>
        <w:rPr>
          <w:rFonts w:ascii="Amiri" w:hAnsi="Amiri" w:eastAsia="Amiri" w:cs="Amiri"/>
          <w:color w:val="111111"/>
          <w:sz w:val="28"/>
          <w:sz w:val="28"/>
          <w:szCs w:val="28"/>
          <w:rtl w:val="true"/>
          <w:lang w:bidi="ar-SA"/>
        </w:rPr>
        <w:t xml:space="preserve">للأخبار الثلاثة </w:t>
      </w:r>
      <w:r>
        <w:rPr>
          <w:rStyle w:val="FootnoteAnchor"/>
          <w:rtl w:val="true"/>
        </w:rPr>
        <w:footnoteReference w:id="2326"/>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مقتضى الجمع بعد حمل المنع على الكراهة و قيل أيضاً على التقيّة </w:t>
      </w:r>
      <w:r>
        <w:rPr>
          <w:rStyle w:val="FootnoteAnchor"/>
          <w:rtl w:val="true"/>
        </w:rPr>
        <w:footnoteReference w:id="2327"/>
      </w:r>
      <w:r>
        <w:rPr>
          <w:rFonts w:ascii="Amiri" w:hAnsi="Amiri" w:eastAsia="Amiri" w:cs="Amiri"/>
          <w:color w:val="111111"/>
          <w:sz w:val="28"/>
          <w:sz w:val="28"/>
          <w:szCs w:val="28"/>
          <w:rtl w:val="true"/>
          <w:lang w:bidi="ar-SA"/>
        </w:rPr>
        <w:t>حمل المطلقين على المقيّد، و القول بالجواز بدون الكراهة بالمعنى المعروف في جنازة المؤمن، و إن كان أقلّ ثواباً من التأخّر و المشي في الجانبين، أو عدم الثواب أصلًا في العبادة،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في جنازة المخالف؛ إذ تشييعها لا يعدّ عبادة، فلا ضير في عدم ترتّب الثواب عليه أصلًا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الحمل مع إيجابه الجمع بين النصوص يوافق مذهب الأكثر؛ لظهور أنّ مرادهم بالكراهة المرجوحيّة الإضافيّة و أقلّية الثواب بالنسبة إلى الأفراد الأُخر</w:t>
      </w:r>
    </w:p>
    <w:p>
      <w:pPr>
        <w:pStyle w:val="BookText"/>
        <w:rPr/>
      </w:pPr>
      <w:r>
        <w:rPr>
          <w:rFonts w:ascii="Amiri" w:hAnsi="Amiri" w:eastAsia="Amiri" w:cs="Amiri"/>
          <w:color w:val="111111"/>
          <w:sz w:val="28"/>
          <w:sz w:val="28"/>
          <w:szCs w:val="28"/>
          <w:rtl w:val="true"/>
          <w:lang w:bidi="ar-SA"/>
        </w:rPr>
        <w:t>دون المعنى المعروف؛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المجوّزات على استحبابه بعد تخصّصها بالمؤمن و القول بكونه كالتأخّر و المشي في الجانبين لا يلائم إطلاق مرجوحيّته و كونه عمل المجوس كما في الخبر و الرضوي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للمشيّع التفكّر في مآله و الإيقاظ بالموت، كما ورد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له رفع الصوت، و التحدّث بأُمور الدنيا، للنهي النبوي </w:t>
      </w:r>
      <w:r>
        <w:rPr>
          <w:rStyle w:val="FootnoteAnchor"/>
          <w:rtl w:val="true"/>
        </w:rPr>
        <w:footnoteReference w:id="2330"/>
      </w:r>
      <w:r>
        <w:rPr>
          <w:rFonts w:ascii="Amiri" w:hAnsi="Amiri" w:eastAsia="Amiri" w:cs="Amiri"/>
          <w:color w:val="111111"/>
          <w:sz w:val="28"/>
          <w:sz w:val="28"/>
          <w:szCs w:val="28"/>
          <w:rtl w:val="true"/>
          <w:lang w:bidi="ar-SA"/>
        </w:rPr>
        <w:t xml:space="preserve">، و الضحك و اللهو؛ للصحيح </w:t>
      </w:r>
      <w:r>
        <w:rPr>
          <w:rStyle w:val="FootnoteAnchor"/>
          <w:rtl w:val="true"/>
        </w:rPr>
        <w:footnoteReference w:id="2331"/>
      </w:r>
      <w:r>
        <w:rPr>
          <w:rFonts w:ascii="Amiri" w:hAnsi="Amiri" w:eastAsia="Amiri" w:cs="Amiri"/>
          <w:color w:val="111111"/>
          <w:sz w:val="28"/>
          <w:sz w:val="28"/>
          <w:szCs w:val="28"/>
          <w:rtl w:val="true"/>
          <w:lang w:bidi="ar-SA"/>
        </w:rPr>
        <w:t>، و أن يضرب يده على فخذه،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به و ترحّموا عليه؛ للنبوي و الرضوي </w:t>
      </w:r>
      <w:r>
        <w:rPr>
          <w:rStyle w:val="FootnoteAnchor"/>
          <w:rtl w:val="true"/>
        </w:rPr>
        <w:footnoteReference w:id="2332"/>
      </w:r>
      <w:r>
        <w:rPr>
          <w:rFonts w:ascii="Amiri" w:hAnsi="Amiri" w:eastAsia="Amiri" w:cs="Amiri"/>
          <w:color w:val="111111"/>
          <w:sz w:val="28"/>
          <w:sz w:val="28"/>
          <w:szCs w:val="28"/>
          <w:rtl w:val="true"/>
          <w:lang w:bidi="ar-SA"/>
        </w:rPr>
        <w:t>، و السرّ في المنع عن هذا القول إشعاره بسوء حاله و وقوعه في مهلكة مع أنّ الموت أعظم سرور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يجلس حتّى يوضع الميّت في قبره، وفاقاً لجماعة؛ للصحيح </w:t>
      </w:r>
      <w:r>
        <w:rPr>
          <w:rStyle w:val="FootnoteAnchor"/>
          <w:rtl w:val="true"/>
        </w:rPr>
        <w:footnoteReference w:id="2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لآخرين؛ للحسن </w:t>
      </w:r>
      <w:r>
        <w:rPr>
          <w:rStyle w:val="FootnoteAnchor"/>
          <w:rtl w:val="true"/>
        </w:rPr>
        <w:footnoteReference w:id="2334"/>
      </w:r>
      <w:r>
        <w:rPr>
          <w:rFonts w:ascii="Amiri" w:hAnsi="Amiri" w:eastAsia="Amiri" w:cs="Amiri"/>
          <w:color w:val="111111"/>
          <w:sz w:val="28"/>
          <w:sz w:val="28"/>
          <w:szCs w:val="28"/>
          <w:rtl w:val="true"/>
          <w:lang w:bidi="ar-SA"/>
        </w:rPr>
        <w:t>، و 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خبر عبادة من فعل النبي صلّى اللّٰه عليه و سلّم </w:t>
      </w:r>
      <w:r>
        <w:rPr>
          <w:rStyle w:val="FootnoteAnchor"/>
          <w:rtl w:val="true"/>
        </w:rPr>
        <w:footnoteReference w:id="2335"/>
      </w:r>
      <w:r>
        <w:rPr>
          <w:rFonts w:ascii="Amiri" w:hAnsi="Amiri" w:eastAsia="Amiri" w:cs="Amiri"/>
          <w:color w:val="111111"/>
          <w:sz w:val="28"/>
          <w:sz w:val="28"/>
          <w:szCs w:val="28"/>
          <w:rtl w:val="true"/>
          <w:lang w:bidi="ar-SA"/>
        </w:rPr>
        <w:t>لو ثبتت حجّة لنا لا علينا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يركب حال التشييع؛ للصحيح و المرسل و الخبر </w:t>
      </w:r>
      <w:r>
        <w:rPr>
          <w:rStyle w:val="FootnoteAnchor"/>
          <w:rtl w:val="true"/>
        </w:rPr>
        <w:footnoteReference w:id="2336"/>
      </w:r>
      <w:r>
        <w:rPr>
          <w:rFonts w:ascii="Amiri" w:hAnsi="Amiri" w:eastAsia="Amiri" w:cs="Amiri"/>
          <w:color w:val="111111"/>
          <w:sz w:val="28"/>
          <w:sz w:val="28"/>
          <w:szCs w:val="28"/>
          <w:rtl w:val="true"/>
          <w:lang w:bidi="ar-SA"/>
        </w:rPr>
        <w:t>، و لا كراهة عند</w:t>
      </w:r>
    </w:p>
    <w:p>
      <w:pPr>
        <w:pStyle w:val="BookText"/>
        <w:rPr/>
      </w:pPr>
      <w:r>
        <w:rPr>
          <w:rFonts w:ascii="IRNazanin" w:hAnsi="IRNazanin" w:eastAsia="IRNazanin"/>
          <w:color w:val="111111"/>
          <w:sz w:val="28"/>
          <w:sz w:val="28"/>
          <w:szCs w:val="28"/>
          <w:rtl w:val="true"/>
          <w:lang w:bidi="fa-IR"/>
        </w:rPr>
        <w:t xml:space="preserve">الرجوع؛ للخبر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حتّى يدفن أو بإذن الولي؛ إلّا من ضرورة؛ للمرفوع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إذنه لا يسقط استحباب المكث حتّى يدفن؛ للحسن و الخبر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كراهة الإسراع الزائد عن المعتاد بالجنازة؛ لنقل الإجماع </w:t>
      </w:r>
      <w:r>
        <w:rPr>
          <w:rStyle w:val="FootnoteAnchor"/>
          <w:rtl w:val="true"/>
        </w:rPr>
        <w:footnoteReference w:id="2340"/>
      </w:r>
      <w:r>
        <w:rPr>
          <w:rFonts w:ascii="Amiri" w:hAnsi="Amiri" w:eastAsia="Amiri" w:cs="Amiri"/>
          <w:color w:val="111111"/>
          <w:sz w:val="28"/>
          <w:sz w:val="28"/>
          <w:szCs w:val="28"/>
          <w:rtl w:val="true"/>
          <w:lang w:bidi="ar-SA"/>
        </w:rPr>
        <w:t xml:space="preserve">و الخبر،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 و لو خيف على الميّت فالإسراع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لحاملها و مشاهدها الدعاء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إتباع الجنائز بالنار إجماعاً؛ للحسن و الخبرين </w:t>
      </w:r>
      <w:r>
        <w:rPr>
          <w:rStyle w:val="FootnoteAnchor"/>
          <w:rtl w:val="true"/>
        </w:rPr>
        <w:footnoteReference w:id="2342"/>
      </w:r>
      <w:r>
        <w:rPr>
          <w:rFonts w:ascii="Amiri" w:hAnsi="Amiri" w:eastAsia="Amiri" w:cs="Amiri"/>
          <w:color w:val="111111"/>
          <w:sz w:val="28"/>
          <w:sz w:val="28"/>
          <w:szCs w:val="28"/>
          <w:rtl w:val="true"/>
          <w:lang w:bidi="ar-SA"/>
        </w:rPr>
        <w:t xml:space="preserve">، إلّا مع كون نقلها في الليل؛ للمرسل و الخبر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وفاة فاطمة عليها السّلام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عدم كراهة في تشييع النساء مع قصد القربة؛ للأصل و الخبرين </w:t>
      </w:r>
      <w:r>
        <w:rPr>
          <w:rStyle w:val="FootnoteAnchor"/>
          <w:rtl w:val="true"/>
        </w:rPr>
        <w:footnoteReference w:id="2344"/>
      </w:r>
      <w:r>
        <w:rPr>
          <w:rFonts w:ascii="Amiri" w:hAnsi="Amiri" w:eastAsia="Amiri" w:cs="Amiri"/>
          <w:color w:val="111111"/>
          <w:sz w:val="28"/>
          <w:sz w:val="28"/>
          <w:szCs w:val="28"/>
          <w:rtl w:val="true"/>
          <w:lang w:bidi="ar-SA"/>
        </w:rPr>
        <w:t>و عموم أدلّة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كراهته بل حرمته في بعض الموارد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أو على التقيّة يحمل إطلاق المنع في الخبرين </w:t>
      </w:r>
      <w:r>
        <w:rPr>
          <w:rStyle w:val="FootnoteAnchor"/>
          <w:rtl w:val="true"/>
        </w:rPr>
        <w:footnoteReference w:id="2345"/>
      </w:r>
      <w:r>
        <w:rPr>
          <w:rFonts w:ascii="Amiri" w:hAnsi="Amiri" w:eastAsia="Amiri" w:cs="Amiri"/>
          <w:color w:val="111111"/>
          <w:sz w:val="28"/>
          <w:sz w:val="28"/>
          <w:szCs w:val="28"/>
          <w:rtl w:val="true"/>
          <w:lang w:bidi="ar-SA"/>
        </w:rPr>
        <w:t xml:space="preserve">و منع الشابّة في الخبر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إطلاق الجواز في فتوى البعض </w:t>
      </w:r>
      <w:r>
        <w:rPr>
          <w:rStyle w:val="FootnoteAnchor"/>
          <w:rtl w:val="true"/>
        </w:rPr>
        <w:footnoteReference w:id="2347"/>
      </w:r>
      <w:r>
        <w:rPr>
          <w:rFonts w:ascii="Amiri" w:hAnsi="Amiri" w:eastAsia="Amiri" w:cs="Amiri"/>
          <w:color w:val="111111"/>
          <w:sz w:val="28"/>
          <w:sz w:val="28"/>
          <w:szCs w:val="28"/>
          <w:rtl w:val="true"/>
          <w:lang w:bidi="ar-SA"/>
        </w:rPr>
        <w:t>و الكراهة في فتوى الشيخ</w:t>
      </w:r>
    </w:p>
    <w:p>
      <w:pPr>
        <w:pStyle w:val="BookText"/>
        <w:rPr/>
      </w:pPr>
      <w:r>
        <w:rPr>
          <w:rFonts w:ascii="Amiri" w:hAnsi="Amiri" w:eastAsia="Amiri" w:cs="Amiri"/>
          <w:color w:val="111111"/>
          <w:sz w:val="28"/>
          <w:sz w:val="28"/>
          <w:szCs w:val="28"/>
          <w:rtl w:val="true"/>
          <w:lang w:bidi="ar-SA"/>
        </w:rPr>
        <w:t xml:space="preserve">و الفاضلين و الشهيد </w:t>
      </w:r>
      <w:r>
        <w:rPr>
          <w:rStyle w:val="FootnoteAnchor"/>
          <w:rtl w:val="true"/>
        </w:rPr>
        <w:footnoteReference w:id="2348"/>
      </w:r>
      <w:r>
        <w:rPr>
          <w:rFonts w:ascii="Amiri" w:hAnsi="Amiri" w:eastAsia="Amiri" w:cs="Amiri"/>
          <w:color w:val="111111"/>
          <w:sz w:val="28"/>
          <w:sz w:val="28"/>
          <w:szCs w:val="28"/>
          <w:rtl w:val="true"/>
          <w:lang w:bidi="ar-SA"/>
        </w:rPr>
        <w:t>مقيّد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وضع الرداء لصاحب المصيبة، و يكره لغيره؛ للنصوص </w:t>
      </w:r>
      <w:r>
        <w:rPr>
          <w:rStyle w:val="FootnoteAnchor"/>
          <w:rtl w:val="true"/>
        </w:rPr>
        <w:footnoteReference w:id="2349"/>
      </w:r>
      <w:r>
        <w:rPr>
          <w:rFonts w:ascii="Amiri" w:hAnsi="Amiri" w:eastAsia="Amiri" w:cs="Amiri"/>
          <w:color w:val="111111"/>
          <w:sz w:val="28"/>
          <w:sz w:val="28"/>
          <w:szCs w:val="28"/>
          <w:rtl w:val="true"/>
          <w:lang w:bidi="ar-SA"/>
        </w:rPr>
        <w:t xml:space="preserve">، و وضع النبي صلّى اللّٰه عليه و سلّم </w:t>
      </w:r>
      <w:r>
        <w:rPr>
          <w:rStyle w:val="FootnoteAnchor"/>
          <w:rtl w:val="true"/>
        </w:rPr>
        <w:footnoteReference w:id="2350"/>
      </w:r>
      <w:r>
        <w:rPr>
          <w:rFonts w:ascii="Amiri" w:hAnsi="Amiri" w:eastAsia="Amiri" w:cs="Amiri"/>
          <w:color w:val="111111"/>
          <w:sz w:val="28"/>
          <w:sz w:val="28"/>
          <w:szCs w:val="28"/>
          <w:rtl w:val="true"/>
          <w:lang w:bidi="ar-SA"/>
        </w:rPr>
        <w:t>رداءه في جنازة سعد كان لعلّة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بالرداء ما يلبس فوق الثياب من العباءة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المداومة على لبسه متعارفاً في كلّ بلد و عصر حتّى يحصل بوضعه التمييز لكلّ ذي مصيبة، فالنصوص المصرّحة بكونه علامة معرّفة له على الإطلاق، إنّما وردت على تعارف بلادهم، ففي المواضع و الأوقات التي لم يتعارف فيها لبسه ينبغي له التمييز بفعل آخر كإرسال طرف العمامة أو أخذ مئزر فوقها كما ذكره الشيخ </w:t>
      </w:r>
      <w:r>
        <w:rPr>
          <w:rStyle w:val="FootnoteAnchor"/>
          <w:rtl w:val="true"/>
        </w:rPr>
        <w:footnoteReference w:id="2351"/>
      </w:r>
      <w:r>
        <w:rPr>
          <w:rFonts w:ascii="Amiri" w:hAnsi="Amiri" w:eastAsia="Amiri" w:cs="Amiri"/>
          <w:color w:val="111111"/>
          <w:sz w:val="28"/>
          <w:sz w:val="28"/>
          <w:szCs w:val="28"/>
          <w:rtl w:val="true"/>
          <w:lang w:bidi="ar-SA"/>
        </w:rPr>
        <w:t xml:space="preserve">و الإسكافي </w:t>
      </w:r>
      <w:r>
        <w:rPr>
          <w:rStyle w:val="FootnoteAnchor"/>
          <w:rtl w:val="true"/>
        </w:rPr>
        <w:footnoteReference w:id="2352"/>
      </w:r>
      <w:r>
        <w:rPr>
          <w:rFonts w:ascii="Amiri" w:hAnsi="Amiri" w:eastAsia="Amiri" w:cs="Amiri"/>
          <w:color w:val="111111"/>
          <w:sz w:val="28"/>
          <w:sz w:val="28"/>
          <w:szCs w:val="28"/>
          <w:rtl w:val="true"/>
          <w:lang w:bidi="ar-SA"/>
        </w:rPr>
        <w:t xml:space="preserve">أو التحفّي و حلّ الإزار كما ذكره الحلبي </w:t>
      </w:r>
      <w:r>
        <w:rPr>
          <w:rStyle w:val="FootnoteAnchor"/>
          <w:rtl w:val="true"/>
        </w:rPr>
        <w:footnoteReference w:id="2353"/>
      </w:r>
      <w:r>
        <w:rPr>
          <w:rFonts w:ascii="IRNazanin" w:hAnsi="IRNazanin" w:eastAsia="IRNazanin"/>
          <w:color w:val="111111"/>
          <w:sz w:val="28"/>
          <w:sz w:val="28"/>
          <w:szCs w:val="28"/>
          <w:rtl w:val="true"/>
          <w:lang w:bidi="fa-IR"/>
        </w:rPr>
        <w:t xml:space="preserve">إذ المستفاد من الأخبار </w:t>
      </w:r>
      <w:r>
        <w:rPr>
          <w:rStyle w:val="FootnoteAnchor"/>
          <w:rtl w:val="true"/>
        </w:rPr>
        <w:footnoteReference w:id="2354"/>
      </w:r>
      <w:r>
        <w:rPr>
          <w:rFonts w:ascii="Amiri" w:hAnsi="Amiri" w:eastAsia="Amiri" w:cs="Amiri"/>
          <w:color w:val="111111"/>
          <w:sz w:val="28"/>
          <w:sz w:val="28"/>
          <w:szCs w:val="28"/>
          <w:rtl w:val="true"/>
          <w:lang w:bidi="ar-SA"/>
        </w:rPr>
        <w:t>عموم استحباب هذا التمييز</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النعش و هو الجنازة لكلّ ميّت؛ للمستفيضة الواردة في عمله لفاطمة عليها السّلام </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استحبابه بالنساء مردود بعمل المسلمين في الأعصار و الأمصار، و تكرّر ذكر السرير و الجنازة و تربيعها في ما لا يحصى كثرة من الأخبار</w:t>
      </w:r>
      <w:r>
        <w:rPr>
          <w:rFonts w:eastAsia="Amiri" w:cs="Amiri" w:ascii="Amiri" w:hAnsi="Amiri"/>
          <w:color w:val="111111"/>
          <w:sz w:val="28"/>
          <w:szCs w:val="28"/>
          <w:rtl w:val="true"/>
          <w:lang w:bidi="ar-SA"/>
        </w:rPr>
        <w:t>.</w:t>
      </w:r>
      <w:bookmarkStart w:id="906" w:name="pg2479_11977"/>
    </w:p>
    <w:p>
      <w:pPr>
        <w:pStyle w:val="BookText"/>
        <w:rPr/>
      </w:pPr>
      <w:bookmarkEnd w:id="906"/>
      <w:r>
        <w:rPr>
          <w:rFonts w:ascii="Amiri" w:hAnsi="Amiri" w:eastAsia="Amiri" w:cs="Amiri"/>
          <w:color w:val="111111"/>
          <w:sz w:val="28"/>
          <w:sz w:val="28"/>
          <w:szCs w:val="28"/>
          <w:rtl w:val="true"/>
          <w:lang w:bidi="ar-SA"/>
        </w:rPr>
        <w:t xml:space="preserve">و لا يستحب عندنا القيام للجنازة؛ للصحيح و الخبرين </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الجنازة فقوموا</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منسوخ؛ 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قام لها ثمّ ترك</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كراهة حمل ميّتين على سرير واحد، و قيل بحرمته </w:t>
      </w:r>
      <w:r>
        <w:rPr>
          <w:rStyle w:val="FootnoteAnchor"/>
          <w:rtl w:val="true"/>
        </w:rPr>
        <w:footnoteReference w:id="2359"/>
      </w:r>
      <w:r>
        <w:rPr>
          <w:rFonts w:ascii="Amiri" w:hAnsi="Amiri" w:eastAsia="Amiri" w:cs="Amiri"/>
          <w:color w:val="111111"/>
          <w:sz w:val="28"/>
          <w:sz w:val="28"/>
          <w:szCs w:val="28"/>
          <w:rtl w:val="true"/>
          <w:lang w:bidi="ar-SA"/>
        </w:rPr>
        <w:t xml:space="preserve">لظاهر النهي في الصحيح و الرضوي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يفيد تمام المطلوب؛ لاختصاصه بصورة المخالفة و لا قائل بالتفصيل، و الثاني لضعفه غير ناهض بإثبات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حمل النهي المطلق على الكراهة، و المقيّد على تأكّدها، كما عليه المشهور</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732489_3804643083"/>
      <w:bookmarkStart w:id="908" w:name="_Toc350"/>
      <w:bookmarkEnd w:id="907"/>
      <w:r>
        <w:rPr>
          <w:rtl w:val="true"/>
        </w:rPr>
        <w:t xml:space="preserve">مسألة </w:t>
      </w:r>
      <w:r>
        <w:rPr>
          <w:rtl w:val="true"/>
        </w:rPr>
        <w:t>[</w:t>
      </w:r>
      <w:r>
        <w:rPr>
          <w:rtl w:val="true"/>
        </w:rPr>
        <w:t>حمل الميّت إلى القبر</w:t>
      </w:r>
      <w:r>
        <w:rPr>
          <w:rtl w:val="true"/>
        </w:rPr>
        <w:t>]:</w:t>
      </w:r>
      <w:bookmarkEnd w:id="908"/>
    </w:p>
    <w:p>
      <w:pPr>
        <w:pStyle w:val="BookText"/>
        <w:rPr/>
      </w:pPr>
      <w:r>
        <w:rPr>
          <w:rFonts w:ascii="Amiri" w:hAnsi="Amiri" w:eastAsia="Amiri" w:cs="Amiri"/>
          <w:color w:val="111111"/>
          <w:sz w:val="28"/>
          <w:sz w:val="28"/>
          <w:szCs w:val="28"/>
          <w:rtl w:val="true"/>
          <w:lang w:bidi="ar-SA"/>
        </w:rPr>
        <w:t xml:space="preserve">حمل الميّت إلى القبر واجب كفاية، و الأفضل كما مرّ أن يكون على السرير، و ليس فيه دناءة و سقوط مروءة؛ لفعل النبي صلّى اللّٰه عليه و سلّم في جنازة سعدٍ </w:t>
      </w:r>
      <w:r>
        <w:rPr>
          <w:rStyle w:val="FootnoteAnchor"/>
          <w:rtl w:val="true"/>
        </w:rPr>
        <w:footnoteReference w:id="2361"/>
      </w:r>
      <w:r>
        <w:rPr>
          <w:rFonts w:ascii="Amiri" w:hAnsi="Amiri" w:eastAsia="Amiri" w:cs="Amiri"/>
          <w:color w:val="111111"/>
          <w:sz w:val="28"/>
          <w:sz w:val="28"/>
          <w:szCs w:val="28"/>
          <w:rtl w:val="true"/>
          <w:lang w:bidi="ar-SA"/>
        </w:rPr>
        <w:t>، و لم يزل عليه شائعاً ذائعاً أكابر الصحابة و التابعين و من لحقهم من سلفنا الصالحين؛ لما فيه من إكرام المؤمن و إعزازه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وظيفة الرجال دون النساء و إن كان الميّت امرأة؛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الحمل جائز كيف اتّفق؛ للصحيح </w:t>
      </w:r>
      <w:r>
        <w:rPr>
          <w:rStyle w:val="FootnoteAnchor"/>
          <w:rtl w:val="true"/>
        </w:rPr>
        <w:footnoteReference w:id="2362"/>
      </w:r>
      <w:r>
        <w:rPr>
          <w:rFonts w:ascii="Amiri" w:hAnsi="Amiri" w:eastAsia="Amiri" w:cs="Amiri"/>
          <w:color w:val="111111"/>
          <w:sz w:val="28"/>
          <w:sz w:val="28"/>
          <w:szCs w:val="28"/>
          <w:rtl w:val="true"/>
          <w:lang w:bidi="ar-SA"/>
        </w:rPr>
        <w:t xml:space="preserve">و أفضله التربيع </w:t>
      </w:r>
      <w:r>
        <w:rPr>
          <w:rStyle w:val="FootnoteAnchor"/>
          <w:rtl w:val="true"/>
        </w:rPr>
        <w:footnoteReference w:id="2363"/>
      </w:r>
      <w:r>
        <w:rPr>
          <w:rFonts w:ascii="Amiri" w:hAnsi="Amiri" w:eastAsia="Amiri" w:cs="Amiri"/>
          <w:color w:val="111111"/>
          <w:sz w:val="28"/>
          <w:sz w:val="28"/>
          <w:szCs w:val="28"/>
          <w:rtl w:val="true"/>
          <w:lang w:bidi="ar-SA"/>
        </w:rPr>
        <w:t xml:space="preserve">، و هو حمل الأربع جوانبه الأربع، و أكمله التناوب، و هو دوران الحامل فيها؛ للمستفيضة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لأفضل أنحاء التناوب طريقان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للأكثر، و الآخر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عندي التخيير بينهما، كما عليه جماعة </w:t>
      </w:r>
      <w:r>
        <w:rPr>
          <w:rStyle w:val="FootnoteAnchor"/>
          <w:rtl w:val="true"/>
        </w:rPr>
        <w:footnoteReference w:id="2366"/>
      </w:r>
      <w:r>
        <w:rPr>
          <w:rFonts w:ascii="Amiri" w:hAnsi="Amiri" w:eastAsia="Amiri" w:cs="Amiri"/>
          <w:color w:val="111111"/>
          <w:sz w:val="28"/>
          <w:sz w:val="28"/>
          <w:szCs w:val="28"/>
          <w:rtl w:val="true"/>
          <w:lang w:bidi="ar-SA"/>
        </w:rPr>
        <w:t>للجمع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بأحدهما يوجب طرح بعضها، و حمل جميعها على أحدهما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الشيخ الإجماع على أفضليّة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367"/>
      </w:r>
      <w:r>
        <w:rPr>
          <w:rFonts w:ascii="Amiri" w:hAnsi="Amiri" w:eastAsia="Amiri" w:cs="Amiri"/>
          <w:color w:val="111111"/>
          <w:sz w:val="28"/>
          <w:sz w:val="28"/>
          <w:szCs w:val="28"/>
          <w:rtl w:val="true"/>
          <w:lang w:bidi="ar-SA"/>
        </w:rPr>
        <w:t xml:space="preserve">مع تصريحه بأفضليّة 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368"/>
      </w:r>
      <w:r>
        <w:rPr>
          <w:rFonts w:ascii="Amiri" w:hAnsi="Amiri" w:eastAsia="Amiri" w:cs="Amiri"/>
          <w:color w:val="111111"/>
          <w:sz w:val="28"/>
          <w:sz w:val="28"/>
          <w:szCs w:val="28"/>
          <w:rtl w:val="true"/>
          <w:lang w:bidi="ar-SA"/>
        </w:rPr>
        <w:t>لا يخفى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الجمع بين كلاميه بالإرجاع إلى المختار ممكن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 بعض الثالثة مساواة وجوه الحمل </w:t>
      </w:r>
      <w:r>
        <w:rPr>
          <w:rStyle w:val="FootnoteAnchor"/>
          <w:rtl w:val="true"/>
        </w:rPr>
        <w:footnoteReference w:id="2369"/>
      </w:r>
      <w:r>
        <w:rPr>
          <w:rFonts w:ascii="Amiri" w:hAnsi="Amiri" w:eastAsia="Amiri" w:cs="Amiri"/>
          <w:color w:val="111111"/>
          <w:sz w:val="28"/>
          <w:sz w:val="28"/>
          <w:szCs w:val="28"/>
          <w:rtl w:val="true"/>
          <w:lang w:bidi="ar-SA"/>
        </w:rPr>
        <w:t xml:space="preserve">لظاهر الصحيح </w:t>
      </w:r>
      <w:r>
        <w:rPr>
          <w:rStyle w:val="FootnoteAnchor"/>
          <w:rtl w:val="true"/>
        </w:rPr>
        <w:footnoteReference w:id="2370"/>
      </w:r>
      <w:r>
        <w:rPr>
          <w:rFonts w:ascii="Amiri" w:hAnsi="Amiri" w:eastAsia="Amiri" w:cs="Amiri"/>
          <w:color w:val="111111"/>
          <w:sz w:val="28"/>
          <w:sz w:val="28"/>
          <w:szCs w:val="28"/>
          <w:rtl w:val="true"/>
          <w:lang w:bidi="ar-SA"/>
        </w:rPr>
        <w:t>، و عدم استحباب التربيع و التناوب بقسميه؛ لعدم صلاحيّة الأخبار الواردة لإثباته، و ضعفه ظاهر</w:t>
      </w:r>
      <w:r>
        <w:rPr>
          <w:rFonts w:eastAsia="Amiri" w:cs="Amiri" w:ascii="Amiri" w:hAnsi="Amiri"/>
          <w:color w:val="111111"/>
          <w:sz w:val="28"/>
          <w:szCs w:val="28"/>
          <w:rtl w:val="true"/>
          <w:lang w:bidi="ar-SA"/>
        </w:rPr>
        <w:t>.</w:t>
      </w:r>
      <w:bookmarkStart w:id="909" w:name="pg2479_11981"/>
    </w:p>
    <w:p>
      <w:pPr>
        <w:pStyle w:val="Heading6"/>
        <w:numPr>
          <w:ilvl w:val="5"/>
          <w:numId w:val="1"/>
        </w:numPr>
        <w:rPr/>
      </w:pPr>
      <w:bookmarkStart w:id="910" w:name="__RefHeading___Toc3732491_3804643083"/>
      <w:bookmarkStart w:id="911" w:name="_Toc351"/>
      <w:bookmarkEnd w:id="909"/>
      <w:bookmarkEnd w:id="910"/>
      <w:r>
        <w:rPr>
          <w:rtl w:val="true"/>
        </w:rPr>
        <w:t xml:space="preserve">فصل </w:t>
      </w:r>
      <w:r>
        <w:rPr>
          <w:rtl w:val="true"/>
        </w:rPr>
        <w:t>[</w:t>
      </w:r>
      <w:r>
        <w:rPr>
          <w:rtl w:val="true"/>
        </w:rPr>
        <w:t>كيفيّة حفر القبر</w:t>
      </w:r>
      <w:r>
        <w:rPr>
          <w:rtl w:val="true"/>
        </w:rPr>
        <w:t>]</w:t>
      </w:r>
      <w:bookmarkEnd w:id="911"/>
    </w:p>
    <w:p>
      <w:pPr>
        <w:pStyle w:val="BookText"/>
        <w:rPr/>
      </w:pPr>
      <w:r>
        <w:rPr>
          <w:rFonts w:ascii="Amiri" w:hAnsi="Amiri" w:eastAsia="Amiri" w:cs="Amiri"/>
          <w:color w:val="111111"/>
          <w:sz w:val="28"/>
          <w:sz w:val="28"/>
          <w:szCs w:val="28"/>
          <w:rtl w:val="true"/>
          <w:lang w:bidi="ar-SA"/>
        </w:rPr>
        <w:t>قد علم القدر الواجب من حفر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المستحب منه قدر قامة، أو إلى الترقوة؛ لظاهر الوفاق فيهما، و للمستفيضة أيضاً في الثاني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جعل لحد له ممّا يلي القبلة، بقدر ما يجلس فيه؛ للإجماع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النبويّ </w:t>
      </w:r>
      <w:r>
        <w:rPr>
          <w:rStyle w:val="FootnoteAnchor"/>
          <w:rtl w:val="true"/>
        </w:rPr>
        <w:footnoteReference w:id="2372"/>
      </w:r>
      <w:r>
        <w:rPr>
          <w:rFonts w:ascii="Amiri" w:hAnsi="Amiri" w:eastAsia="Amiri" w:cs="Amiri"/>
          <w:color w:val="111111"/>
          <w:sz w:val="28"/>
          <w:sz w:val="28"/>
          <w:szCs w:val="28"/>
          <w:rtl w:val="true"/>
          <w:lang w:bidi="ar-SA"/>
        </w:rPr>
        <w:t xml:space="preserve">، و السرّ فيه زيادة الحفظ و كتم الريح عن الانتشار، و ظاهر الشهيد و غيره </w:t>
      </w:r>
      <w:r>
        <w:rPr>
          <w:rStyle w:val="FootnoteAnchor"/>
          <w:rtl w:val="true"/>
        </w:rPr>
        <w:footnoteReference w:id="2373"/>
      </w:r>
      <w:r>
        <w:rPr>
          <w:rFonts w:ascii="Amiri" w:hAnsi="Amiri" w:eastAsia="Amiri" w:cs="Amiri"/>
          <w:color w:val="111111"/>
          <w:sz w:val="28"/>
          <w:sz w:val="28"/>
          <w:szCs w:val="28"/>
          <w:rtl w:val="true"/>
          <w:lang w:bidi="ar-SA"/>
        </w:rPr>
        <w:t>أفضليّته عندنا من الشقّ في أرض الغير، بأن يحفر فيه شقّ يوضع فيه الميّت و يسقف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المستفيضة التي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Style w:val="FootnoteAnchor"/>
          <w:rtl w:val="true"/>
        </w:rPr>
        <w:footnoteReference w:id="2374"/>
      </w:r>
      <w:r>
        <w:rPr>
          <w:rFonts w:ascii="Amiri" w:hAnsi="Amiri" w:eastAsia="Amiri" w:cs="Amiri"/>
          <w:color w:val="111111"/>
          <w:sz w:val="28"/>
          <w:sz w:val="28"/>
          <w:szCs w:val="28"/>
          <w:rtl w:val="true"/>
          <w:lang w:bidi="ar-SA"/>
        </w:rPr>
        <w:t>أفضليّة الشقّ منه، و هي محمولة على صورة رخاوة الأرض و تعذّر توسّع اللحد بحيث يسع الجثّة كما يومي إليه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لعدم الخلاف في أفضليّة الشقّ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وضع الجنازة قبل الدفن قرب القبر هنيئة، ليأخذ أُهبته، كما في المستفيضة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استحباب وضع الرجل قربه عند رجليه، و المرأة ممّا يلي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376"/>
      </w:r>
      <w:r>
        <w:rPr>
          <w:rFonts w:ascii="Amiri" w:hAnsi="Amiri" w:eastAsia="Amiri" w:cs="Amiri"/>
          <w:color w:val="111111"/>
          <w:sz w:val="28"/>
          <w:sz w:val="28"/>
          <w:szCs w:val="28"/>
          <w:rtl w:val="true"/>
          <w:lang w:bidi="ar-SA"/>
        </w:rPr>
        <w:t>إجماعنا عليه، و علّل بإيجابه سهولة ما هو المستحب من</w:t>
      </w:r>
      <w:bookmarkStart w:id="912" w:name="pg2479_11983"/>
    </w:p>
    <w:p>
      <w:pPr>
        <w:pStyle w:val="BookText"/>
        <w:rPr/>
      </w:pPr>
      <w:bookmarkEnd w:id="912"/>
      <w:r>
        <w:rPr>
          <w:rFonts w:ascii="Amiri" w:hAnsi="Amiri" w:eastAsia="Amiri" w:cs="Amiri"/>
          <w:color w:val="111111"/>
          <w:sz w:val="28"/>
          <w:sz w:val="28"/>
          <w:szCs w:val="28"/>
          <w:rtl w:val="true"/>
          <w:lang w:bidi="ar-SA"/>
        </w:rPr>
        <w:t xml:space="preserve">إرسال الرجل سابقاً برأسه و المرأة عرضاً و اختيار جهة القبلة لشرفها، و للرضوي </w:t>
      </w:r>
      <w:r>
        <w:rPr>
          <w:rStyle w:val="FootnoteAnchor"/>
          <w:rtl w:val="true"/>
        </w:rPr>
        <w:footnoteReference w:id="2377"/>
      </w:r>
      <w:r>
        <w:rPr>
          <w:rFonts w:ascii="Amiri" w:hAnsi="Amiri" w:eastAsia="Amiri" w:cs="Amiri"/>
          <w:color w:val="111111"/>
          <w:sz w:val="28"/>
          <w:sz w:val="28"/>
          <w:szCs w:val="28"/>
          <w:rtl w:val="true"/>
          <w:lang w:bidi="ar-SA"/>
        </w:rPr>
        <w:t xml:space="preserve">و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فمطلقات وضعها مما يلي الرجلين يخصّص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المستحب من الوضع عند بعضهم مرّة يدفن بعدها </w:t>
      </w:r>
      <w:r>
        <w:rPr>
          <w:rStyle w:val="FootnoteAnchor"/>
          <w:rtl w:val="true"/>
        </w:rPr>
        <w:footnoteReference w:id="2379"/>
      </w:r>
      <w:r>
        <w:rPr>
          <w:rFonts w:ascii="Amiri" w:hAnsi="Amiri" w:eastAsia="Amiri" w:cs="Amiri"/>
          <w:color w:val="111111"/>
          <w:sz w:val="28"/>
          <w:sz w:val="28"/>
          <w:szCs w:val="28"/>
          <w:rtl w:val="true"/>
          <w:lang w:bidi="ar-SA"/>
        </w:rPr>
        <w:t xml:space="preserve">لظاهر المستفيضة </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جماعة ثلاث مرّات مع نقلين مقرّبين إلى القبر و يدفن بعد الثالثة </w:t>
      </w:r>
      <w:r>
        <w:rPr>
          <w:rStyle w:val="FootnoteAnchor"/>
          <w:rtl w:val="true"/>
        </w:rPr>
        <w:footnoteReference w:id="2381"/>
      </w:r>
      <w:r>
        <w:rPr>
          <w:rFonts w:ascii="Amiri" w:hAnsi="Amiri" w:eastAsia="Amiri" w:cs="Amiri"/>
          <w:color w:val="111111"/>
          <w:sz w:val="28"/>
          <w:sz w:val="28"/>
          <w:szCs w:val="28"/>
          <w:rtl w:val="true"/>
          <w:lang w:bidi="ar-SA"/>
        </w:rPr>
        <w:t xml:space="preserve">لصريح الرضوي </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آخرين مرّة للمرأة و ثلاث للرجل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أن يقال باستحباب المرّة و تأكّد استحباب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التفصيل، فلا دليل له أصلًا</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3732493_3804643083"/>
      <w:bookmarkStart w:id="914" w:name="_Toc352"/>
      <w:bookmarkEnd w:id="913"/>
      <w:r>
        <w:rPr>
          <w:rtl w:val="true"/>
        </w:rPr>
        <w:t>[</w:t>
      </w:r>
      <w:r>
        <w:rPr>
          <w:rtl w:val="true"/>
        </w:rPr>
        <w:t>فصل</w:t>
      </w:r>
      <w:r>
        <w:rPr>
          <w:rtl w:val="true"/>
        </w:rPr>
        <w:t xml:space="preserve">] </w:t>
      </w:r>
      <w:r>
        <w:rPr>
          <w:rtl w:val="true"/>
        </w:rPr>
        <w:t>يستحبّ عند الدفن</w:t>
      </w:r>
      <w:r>
        <w:rPr>
          <w:rtl w:val="true"/>
        </w:rPr>
        <w:t>:</w:t>
      </w:r>
      <w:bookmarkEnd w:id="91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ينزل الرجل من موضع الرجلين من القبر، سابقاً برأسه، و المرأة عرضاً؛ للنصوص </w:t>
      </w:r>
      <w:r>
        <w:rPr>
          <w:rStyle w:val="FootnoteAnchor"/>
          <w:rtl w:val="true"/>
        </w:rPr>
        <w:footnoteReference w:id="2384"/>
      </w:r>
      <w:r>
        <w:rPr>
          <w:rFonts w:ascii="Amiri" w:hAnsi="Amiri" w:eastAsia="Amiri" w:cs="Amiri"/>
          <w:color w:val="111111"/>
          <w:sz w:val="28"/>
          <w:sz w:val="28"/>
          <w:szCs w:val="28"/>
          <w:rtl w:val="true"/>
          <w:lang w:bidi="ar-SA"/>
        </w:rPr>
        <w:t xml:space="preserve">، و بها يقيّد إطلاق المستفيضة </w:t>
      </w:r>
      <w:r>
        <w:rPr>
          <w:rStyle w:val="FootnoteAnchor"/>
          <w:rtl w:val="true"/>
        </w:rPr>
        <w:footnoteReference w:id="2385"/>
      </w:r>
      <w:r>
        <w:rPr>
          <w:rFonts w:ascii="Amiri" w:hAnsi="Amiri" w:eastAsia="Amiri" w:cs="Amiri"/>
          <w:color w:val="111111"/>
          <w:sz w:val="28"/>
          <w:sz w:val="28"/>
          <w:szCs w:val="28"/>
          <w:rtl w:val="true"/>
          <w:lang w:bidi="ar-SA"/>
        </w:rPr>
        <w:t>بالإنزال من قبل الرجلين من</w:t>
      </w:r>
    </w:p>
    <w:p>
      <w:pPr>
        <w:pStyle w:val="BookText"/>
        <w:rPr/>
      </w:pPr>
      <w:r>
        <w:rPr>
          <w:rFonts w:ascii="Amiri" w:hAnsi="Amiri" w:eastAsia="Amiri" w:cs="Amiri"/>
          <w:color w:val="111111"/>
          <w:sz w:val="28"/>
          <w:sz w:val="28"/>
          <w:szCs w:val="28"/>
          <w:rtl w:val="true"/>
          <w:lang w:bidi="ar-SA"/>
        </w:rPr>
        <w:t>دون فرق بينهما، و لعلّ السرّ في الرجل حصول التوافق بين دخوله في الدنيا و خروجه عنها، و في المرأة مراعاة مزيد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ينزل المحرم في المرأة؛ للإجماع و الخبرين و الرضوي </w:t>
      </w:r>
      <w:r>
        <w:rPr>
          <w:rStyle w:val="FootnoteAnchor"/>
          <w:rtl w:val="true"/>
        </w:rPr>
        <w:footnoteReference w:id="2386"/>
      </w:r>
      <w:r>
        <w:rPr>
          <w:rFonts w:ascii="Amiri" w:hAnsi="Amiri" w:eastAsia="Amiri" w:cs="Amiri"/>
          <w:color w:val="111111"/>
          <w:sz w:val="28"/>
          <w:sz w:val="28"/>
          <w:szCs w:val="28"/>
          <w:rtl w:val="true"/>
          <w:lang w:bidi="ar-SA"/>
        </w:rPr>
        <w:t xml:space="preserve">، و الأجنبي في الرجل؛ للوفاق و إيجاب نزول القريب قساوته، و يعضده المستفيضة </w:t>
      </w:r>
      <w:r>
        <w:rPr>
          <w:rStyle w:val="FootnoteAnchor"/>
          <w:rtl w:val="true"/>
        </w:rPr>
        <w:footnoteReference w:id="2387"/>
      </w:r>
      <w:r>
        <w:rPr>
          <w:rFonts w:ascii="Amiri" w:hAnsi="Amiri" w:eastAsia="Amiri" w:cs="Amiri"/>
          <w:color w:val="111111"/>
          <w:sz w:val="28"/>
          <w:sz w:val="28"/>
          <w:szCs w:val="28"/>
          <w:rtl w:val="true"/>
          <w:lang w:bidi="ar-SA"/>
        </w:rPr>
        <w:t>الناهية عن نزول الوالد في قبر ولده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تجويزه محمول على خفّة الكراهة، و يؤيّده ما ورد في كراهة طرح التراب على ذي الرحم كالموثّق و غيره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التفرقة في الأخبار بشدّة الكراهة و ضعفها في نزول الوالد و الولد اختلافهما فيما يعرض من الجزع عند كشف الوجه و وضع الخدّ على التراب، فإنّ ما يعتري الأب منه عنده أشدّ ممّا يعتري الابن، كما ورد في النبوي المشهور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أولى المحارم في المرأة زوجها، كما في النصوص </w:t>
      </w:r>
      <w:r>
        <w:rPr>
          <w:rStyle w:val="FootnoteAnchor"/>
          <w:rtl w:val="true"/>
        </w:rPr>
        <w:footnoteReference w:id="2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يوجد محرم فامرأة صالحة، ثمّ أجنبي صالح، و الأولى كونه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الوحدة و التعدّد في النازل، و لا يعتبر الوتر عندنا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التعيين إلى الولي؛ للصحيح و الرضوي </w:t>
      </w:r>
      <w:r>
        <w:rPr>
          <w:rStyle w:val="FootnoteAnchor"/>
          <w:rtl w:val="true"/>
        </w:rPr>
        <w:footnoteReference w:id="2391"/>
      </w:r>
      <w:r>
        <w:rPr>
          <w:rFonts w:ascii="Amiri" w:hAnsi="Amiri" w:eastAsia="Amiri" w:cs="Amiri"/>
          <w:color w:val="111111"/>
          <w:sz w:val="28"/>
          <w:sz w:val="28"/>
          <w:szCs w:val="28"/>
          <w:rtl w:val="true"/>
          <w:lang w:bidi="ar-SA"/>
        </w:rPr>
        <w:t>، و استحباب نزول الأجنبي لا يرفع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يتحفى النازل، و يكشف رأسه، و يحلّ أزراره؛ لظاهر الوفاق و الحسن و الخبرين </w:t>
      </w:r>
      <w:r>
        <w:rPr>
          <w:rStyle w:val="FootnoteAnchor"/>
          <w:rtl w:val="true"/>
        </w:rPr>
        <w:footnoteReference w:id="2392"/>
      </w:r>
      <w:r>
        <w:rPr>
          <w:rFonts w:ascii="Amiri" w:hAnsi="Amiri" w:eastAsia="Amiri" w:cs="Amiri"/>
          <w:color w:val="111111"/>
          <w:sz w:val="28"/>
          <w:sz w:val="28"/>
          <w:szCs w:val="28"/>
          <w:rtl w:val="true"/>
          <w:lang w:bidi="ar-SA"/>
        </w:rPr>
        <w:t>، و النهي فيها للكراهة؛ للإجماع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يدعو بالمأثور، عند النزول، و تناوله الميّت، و وضعه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يتوضّأ، كما صرّح به الفاضلان و الشهيد </w:t>
      </w:r>
      <w:r>
        <w:rPr>
          <w:rStyle w:val="FootnoteAnchor"/>
          <w:rtl w:val="true"/>
        </w:rPr>
        <w:footnoteReference w:id="2393"/>
      </w:r>
      <w:r>
        <w:rPr>
          <w:rFonts w:ascii="Amiri" w:hAnsi="Amiri" w:eastAsia="Amiri" w:cs="Amiri"/>
          <w:color w:val="111111"/>
          <w:sz w:val="28"/>
          <w:sz w:val="28"/>
          <w:szCs w:val="28"/>
          <w:rtl w:val="true"/>
          <w:lang w:bidi="ar-SA"/>
        </w:rPr>
        <w:t xml:space="preserve">للموثّق و الرضوي </w:t>
      </w:r>
      <w:r>
        <w:rPr>
          <w:rStyle w:val="FootnoteAnchor"/>
          <w:rtl w:val="true"/>
        </w:rPr>
        <w:footnoteReference w:id="2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الوجوب في الصحيح </w:t>
      </w:r>
      <w:r>
        <w:rPr>
          <w:rStyle w:val="FootnoteAnchor"/>
          <w:rtl w:val="true"/>
        </w:rPr>
        <w:footnoteReference w:id="2395"/>
      </w:r>
      <w:r>
        <w:rPr>
          <w:rFonts w:ascii="Amiri" w:hAnsi="Amiri" w:eastAsia="Amiri" w:cs="Amiri"/>
          <w:color w:val="111111"/>
          <w:sz w:val="28"/>
          <w:sz w:val="28"/>
          <w:szCs w:val="28"/>
          <w:rtl w:val="true"/>
          <w:lang w:bidi="ar-SA"/>
        </w:rPr>
        <w:t>لا ينافي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يحلّ عقد الأكفان، كاشفاً وجهه، و واضعاً على التراب خدّه، مستقبل القبلة؛ للنصوص </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الصحيحين </w:t>
      </w:r>
      <w:r>
        <w:rPr>
          <w:rStyle w:val="FootnoteAnchor"/>
          <w:rtl w:val="true"/>
        </w:rPr>
        <w:footnoteReference w:id="2397"/>
      </w:r>
      <w:r>
        <w:rPr>
          <w:rFonts w:ascii="Amiri" w:hAnsi="Amiri" w:eastAsia="Amiri" w:cs="Amiri"/>
          <w:color w:val="111111"/>
          <w:sz w:val="28"/>
          <w:sz w:val="28"/>
          <w:szCs w:val="28"/>
          <w:rtl w:val="true"/>
          <w:lang w:bidi="ar-SA"/>
        </w:rPr>
        <w:t>من شقّ الكفن محمول على فتحه،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يلقّنه الشهادتين و الإقرار بالأئمّة، بالإجماع و المتواترة </w:t>
      </w:r>
      <w:r>
        <w:rPr>
          <w:rStyle w:val="FootnoteAnchor"/>
          <w:rtl w:val="true"/>
        </w:rPr>
        <w:footnoteReference w:id="2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التلقين الثاني، و الأوّل تلقين الاحتضار، و قيل هو تلقين ثالث و الثاني تلقين التكفين </w:t>
      </w:r>
      <w:r>
        <w:rPr>
          <w:rStyle w:val="FootnoteAnchor"/>
          <w:rtl w:val="true"/>
        </w:rPr>
        <w:footnoteReference w:id="2399"/>
      </w:r>
      <w:r>
        <w:rPr>
          <w:rFonts w:ascii="IRNazanin" w:hAnsi="IRNazanin" w:eastAsia="IRNazanin"/>
          <w:color w:val="111111"/>
          <w:sz w:val="28"/>
          <w:sz w:val="28"/>
          <w:szCs w:val="28"/>
          <w:rtl w:val="true"/>
          <w:lang w:bidi="fa-IR"/>
        </w:rPr>
        <w:t>، و لم نعثر على مستند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النصوص في كيفيّة التلقين، و في كون المستحب عنده ضرب اليد على منكبه الأيمن، أو وضعها على اذنه، أو اليسرى على عضده الأيمن، أو على الأيسر و إدخال اليمنىٰ تحت المنكب، أو وضع الفم على اذنه مختلفة </w:t>
      </w:r>
      <w:r>
        <w:rPr>
          <w:rStyle w:val="FootnoteAnchor"/>
          <w:rtl w:val="true"/>
        </w:rPr>
        <w:footnoteReference w:id="2400"/>
      </w:r>
      <w:r>
        <w:rPr>
          <w:rFonts w:ascii="Amiri" w:hAnsi="Amiri" w:eastAsia="Amiri" w:cs="Amiri"/>
          <w:color w:val="111111"/>
          <w:sz w:val="28"/>
          <w:sz w:val="28"/>
          <w:szCs w:val="28"/>
          <w:rtl w:val="true"/>
          <w:lang w:bidi="ar-SA"/>
        </w:rPr>
        <w:t>، و العمل بالكلّ حسن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يتضمّن ما هو اللازم من الشهادتين و الإقرار بالأئمّة عليهم السّلام و كلّها</w:t>
      </w:r>
    </w:p>
    <w:p>
      <w:pPr>
        <w:pStyle w:val="BookText"/>
        <w:rPr/>
      </w:pPr>
      <w:r>
        <w:rPr>
          <w:rFonts w:ascii="Amiri" w:hAnsi="Amiri" w:eastAsia="Amiri" w:cs="Amiri"/>
          <w:color w:val="111111"/>
          <w:sz w:val="28"/>
          <w:sz w:val="28"/>
          <w:szCs w:val="28"/>
          <w:rtl w:val="true"/>
          <w:lang w:bidi="ar-SA"/>
        </w:rPr>
        <w:t>متّفقة الدلالة على تأخير التلقين عن حلّ الكفن، و تقديم الأدعية المأثورة عليه، و هو الأنسب في تأثيره؛ إذ الدعاء عليه بالرحمة و الغفران بعده لإفاضة العقائد الحقّة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بعضهم تأخّرها عنه </w:t>
      </w:r>
      <w:r>
        <w:rPr>
          <w:rStyle w:val="FootnoteAnchor"/>
          <w:rtl w:val="true"/>
        </w:rPr>
        <w:footnoteReference w:id="2401"/>
      </w:r>
      <w:r>
        <w:rPr>
          <w:rFonts w:ascii="IRNazanin" w:hAnsi="IRNazanin" w:eastAsia="IRNazanin"/>
          <w:color w:val="111111"/>
          <w:sz w:val="28"/>
          <w:sz w:val="28"/>
          <w:szCs w:val="28"/>
          <w:rtl w:val="true"/>
          <w:lang w:bidi="fa-IR"/>
        </w:rPr>
        <w:t xml:space="preserve">، و الأخبار </w:t>
      </w:r>
      <w:r>
        <w:rPr>
          <w:rStyle w:val="FootnoteAnchor"/>
          <w:rtl w:val="true"/>
        </w:rPr>
        <w:footnoteReference w:id="2402"/>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ورد دعاء بعده </w:t>
      </w:r>
      <w:r>
        <w:rPr>
          <w:rStyle w:val="FootnoteAnchor"/>
          <w:rtl w:val="true"/>
        </w:rPr>
        <w:footnoteReference w:id="2403"/>
      </w:r>
      <w:r>
        <w:rPr>
          <w:rFonts w:ascii="Amiri" w:hAnsi="Amiri" w:eastAsia="Amiri" w:cs="Amiri"/>
          <w:color w:val="111111"/>
          <w:sz w:val="28"/>
          <w:sz w:val="28"/>
          <w:szCs w:val="28"/>
          <w:rtl w:val="true"/>
          <w:lang w:bidi="ar-SA"/>
        </w:rPr>
        <w:t>، و الأمر فيه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تقديمها على الحلّ و عكسه مختلفة، و لعلّ العمل بكلّ منهما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يجعل له وسادة من التراب، واضعاً خلف ظهره مدرة أو مثلها؛ للخبر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يجعل معه شيئاً من التربة المباركة؛ للنصوص </w:t>
      </w:r>
      <w:r>
        <w:rPr>
          <w:rStyle w:val="FootnoteAnchor"/>
          <w:rtl w:val="true"/>
        </w:rPr>
        <w:footnoteReference w:id="2405"/>
      </w:r>
      <w:r>
        <w:rPr>
          <w:rFonts w:ascii="Amiri" w:hAnsi="Amiri" w:eastAsia="Amiri" w:cs="Amiri"/>
          <w:color w:val="111111"/>
          <w:sz w:val="28"/>
          <w:sz w:val="28"/>
          <w:szCs w:val="28"/>
          <w:rtl w:val="true"/>
          <w:lang w:bidi="ar-SA"/>
        </w:rPr>
        <w:t xml:space="preserve">، و في جعلها تحت خدّه كالمفيد </w:t>
      </w:r>
      <w:r>
        <w:rPr>
          <w:rStyle w:val="FootnoteAnchor"/>
          <w:rtl w:val="true"/>
        </w:rPr>
        <w:footnoteReference w:id="2406"/>
      </w:r>
      <w:r>
        <w:rPr>
          <w:rFonts w:ascii="Amiri" w:hAnsi="Amiri" w:eastAsia="Amiri" w:cs="Amiri"/>
          <w:color w:val="111111"/>
          <w:sz w:val="28"/>
          <w:sz w:val="28"/>
          <w:szCs w:val="28"/>
          <w:rtl w:val="true"/>
          <w:lang w:bidi="ar-SA"/>
        </w:rPr>
        <w:t xml:space="preserve">، أو تلقاء وجهه كالشيخ </w:t>
      </w:r>
      <w:r>
        <w:rPr>
          <w:rStyle w:val="FootnoteAnchor"/>
          <w:rtl w:val="true"/>
        </w:rPr>
        <w:footnoteReference w:id="2407"/>
      </w:r>
      <w:r>
        <w:rPr>
          <w:rFonts w:ascii="Amiri" w:hAnsi="Amiri" w:eastAsia="Amiri" w:cs="Amiri"/>
          <w:color w:val="111111"/>
          <w:sz w:val="28"/>
          <w:sz w:val="28"/>
          <w:szCs w:val="28"/>
          <w:rtl w:val="true"/>
          <w:lang w:bidi="ar-SA"/>
        </w:rPr>
        <w:t xml:space="preserve">، أو في كفنه كبعضهم </w:t>
      </w:r>
      <w:r>
        <w:rPr>
          <w:rStyle w:val="FootnoteAnchor"/>
          <w:rtl w:val="true"/>
        </w:rPr>
        <w:footnoteReference w:id="2408"/>
      </w:r>
      <w:r>
        <w:rPr>
          <w:rFonts w:ascii="Amiri" w:hAnsi="Amiri" w:eastAsia="Amiri" w:cs="Amiri"/>
          <w:color w:val="111111"/>
          <w:sz w:val="28"/>
          <w:sz w:val="28"/>
          <w:szCs w:val="28"/>
          <w:rtl w:val="true"/>
          <w:lang w:bidi="ar-SA"/>
        </w:rPr>
        <w:t xml:space="preserve">، أو في أيّ منها اتّفق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2409"/>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الأخير؛ لوجود التبرّك في الكلّ، و إن كان الأفضل الثاني؛ لخبر المصباح </w:t>
      </w:r>
      <w:r>
        <w:rPr>
          <w:rStyle w:val="FootnoteAnchor"/>
          <w:rtl w:val="true"/>
        </w:rPr>
        <w:footnoteReference w:id="2410"/>
      </w:r>
      <w:r>
        <w:rPr>
          <w:rFonts w:ascii="Amiri" w:hAnsi="Amiri" w:eastAsia="Amiri" w:cs="Amiri"/>
          <w:color w:val="111111"/>
          <w:sz w:val="28"/>
          <w:sz w:val="28"/>
          <w:szCs w:val="28"/>
          <w:rtl w:val="true"/>
          <w:lang w:bidi="ar-SA"/>
        </w:rPr>
        <w:t xml:space="preserve">أو الثالث؛ للرضوي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يغطّى القبر حال الدفن في المرأة، بالإجماع و النصوص، لا في الرجل أيضاً وفاقاً للمفيد و جماعة </w:t>
      </w:r>
      <w:r>
        <w:rPr>
          <w:rStyle w:val="FootnoteAnchor"/>
          <w:rtl w:val="true"/>
        </w:rPr>
        <w:footnoteReference w:id="2412"/>
      </w:r>
      <w:r>
        <w:rPr>
          <w:rFonts w:ascii="Amiri" w:hAnsi="Amiri" w:eastAsia="Amiri" w:cs="Amiri"/>
          <w:color w:val="111111"/>
          <w:sz w:val="28"/>
          <w:sz w:val="28"/>
          <w:szCs w:val="28"/>
          <w:rtl w:val="true"/>
          <w:lang w:bidi="ar-SA"/>
        </w:rPr>
        <w:t xml:space="preserve">للخبرين </w:t>
      </w:r>
      <w:r>
        <w:rPr>
          <w:rStyle w:val="FootnoteAnchor"/>
          <w:rtl w:val="true"/>
        </w:rPr>
        <w:footnoteReference w:id="2413"/>
      </w:r>
      <w:r>
        <w:rPr>
          <w:rFonts w:ascii="Amiri" w:hAnsi="Amiri" w:eastAsia="Amiri" w:cs="Amiri"/>
          <w:color w:val="111111"/>
          <w:sz w:val="28"/>
          <w:sz w:val="28"/>
          <w:szCs w:val="28"/>
          <w:rtl w:val="true"/>
          <w:lang w:bidi="ar-SA"/>
        </w:rPr>
        <w:t xml:space="preserve">، و خلافاً للشيخ </w:t>
      </w:r>
      <w:r>
        <w:rPr>
          <w:rStyle w:val="FootnoteAnchor"/>
          <w:rtl w:val="true"/>
        </w:rPr>
        <w:footnoteReference w:id="2414"/>
      </w:r>
      <w:r>
        <w:rPr>
          <w:rFonts w:ascii="Amiri" w:hAnsi="Amiri" w:eastAsia="Amiri" w:cs="Amiri"/>
          <w:color w:val="111111"/>
          <w:sz w:val="28"/>
          <w:sz w:val="28"/>
          <w:szCs w:val="28"/>
          <w:rtl w:val="true"/>
          <w:lang w:bidi="ar-SA"/>
        </w:rPr>
        <w:t xml:space="preserve">و آخرين؛ للآخرين </w:t>
      </w:r>
      <w:r>
        <w:rPr>
          <w:rStyle w:val="FootnoteAnchor"/>
          <w:rtl w:val="true"/>
        </w:rPr>
        <w:footnoteReference w:id="2415"/>
      </w:r>
      <w:r>
        <w:rPr>
          <w:rFonts w:ascii="Amiri" w:hAnsi="Amiri" w:eastAsia="Amiri" w:cs="Amiri"/>
          <w:color w:val="111111"/>
          <w:sz w:val="28"/>
          <w:sz w:val="28"/>
          <w:szCs w:val="28"/>
          <w:rtl w:val="true"/>
          <w:lang w:bidi="ar-SA"/>
        </w:rPr>
        <w:t>، و لا يفيدان أزيد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حملها عليه للجمع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يشرج </w:t>
      </w:r>
      <w:r>
        <w:rPr>
          <w:rStyle w:val="FootnoteAnchor"/>
          <w:rtl w:val="true"/>
        </w:rPr>
        <w:footnoteReference w:id="2416"/>
      </w:r>
      <w:r>
        <w:rPr>
          <w:rFonts w:ascii="Amiri" w:hAnsi="Amiri" w:eastAsia="Amiri" w:cs="Amiri"/>
          <w:color w:val="111111"/>
          <w:sz w:val="28"/>
          <w:sz w:val="28"/>
          <w:szCs w:val="28"/>
          <w:rtl w:val="true"/>
          <w:lang w:bidi="ar-SA"/>
        </w:rPr>
        <w:t xml:space="preserve">اللحد باللبن و الطين؛ للإجماع، و المستفيضة </w:t>
      </w:r>
      <w:r>
        <w:rPr>
          <w:rStyle w:val="FootnoteAnchor"/>
          <w:rtl w:val="true"/>
        </w:rPr>
        <w:footnoteReference w:id="2417"/>
      </w:r>
      <w:r>
        <w:rPr>
          <w:rFonts w:ascii="Amiri" w:hAnsi="Amiri" w:eastAsia="Amiri" w:cs="Amiri"/>
          <w:color w:val="111111"/>
          <w:sz w:val="28"/>
          <w:sz w:val="28"/>
          <w:szCs w:val="28"/>
          <w:rtl w:val="true"/>
          <w:lang w:bidi="ar-SA"/>
        </w:rPr>
        <w:t xml:space="preserve">مبتدئاً بالتشريج </w:t>
      </w:r>
      <w:r>
        <w:rPr>
          <w:rStyle w:val="FootnoteAnchor"/>
          <w:rtl w:val="true"/>
        </w:rPr>
        <w:footnoteReference w:id="2418"/>
      </w:r>
      <w:r>
        <w:rPr>
          <w:rFonts w:ascii="Amiri" w:hAnsi="Amiri" w:eastAsia="Amiri" w:cs="Amiri"/>
          <w:color w:val="111111"/>
          <w:sz w:val="28"/>
          <w:sz w:val="28"/>
          <w:szCs w:val="28"/>
          <w:rtl w:val="true"/>
          <w:lang w:bidi="ar-SA"/>
        </w:rPr>
        <w:t xml:space="preserve">من الرأس؛ لعمل الطائفة، كما صرّح به الراوندي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يدعو المشرّج </w:t>
      </w:r>
      <w:r>
        <w:rPr>
          <w:rStyle w:val="FootnoteAnchor"/>
          <w:rtl w:val="true"/>
        </w:rPr>
        <w:footnoteReference w:id="2420"/>
      </w:r>
      <w:r>
        <w:rPr>
          <w:rFonts w:ascii="Amiri" w:hAnsi="Amiri" w:eastAsia="Amiri" w:cs="Amiri"/>
          <w:color w:val="111111"/>
          <w:sz w:val="28"/>
          <w:sz w:val="28"/>
          <w:szCs w:val="28"/>
          <w:rtl w:val="true"/>
          <w:lang w:bidi="ar-SA"/>
        </w:rPr>
        <w:t xml:space="preserve">بالمأثور، و يخرج النازل من قبل الرجلين؛ للمستفيضة </w:t>
      </w:r>
      <w:r>
        <w:rPr>
          <w:rStyle w:val="FootnoteAnchor"/>
          <w:rtl w:val="true"/>
        </w:rPr>
        <w:footnoteReference w:id="2421"/>
      </w:r>
      <w:r>
        <w:rPr>
          <w:rFonts w:ascii="Amiri" w:hAnsi="Amiri" w:eastAsia="Amiri" w:cs="Amiri"/>
          <w:color w:val="111111"/>
          <w:sz w:val="28"/>
          <w:sz w:val="28"/>
          <w:szCs w:val="28"/>
          <w:rtl w:val="true"/>
          <w:lang w:bidi="ar-SA"/>
        </w:rPr>
        <w:t xml:space="preserve">، و إطلاقها يقتضي عدم الفرق بين الرجل و المرأة، و الإسكافي </w:t>
      </w:r>
      <w:r>
        <w:rPr>
          <w:rStyle w:val="FootnoteAnchor"/>
          <w:rtl w:val="true"/>
        </w:rPr>
        <w:footnoteReference w:id="2422"/>
      </w:r>
      <w:r>
        <w:rPr>
          <w:rFonts w:ascii="Amiri" w:hAnsi="Amiri" w:eastAsia="Amiri" w:cs="Amiri"/>
          <w:color w:val="111111"/>
          <w:sz w:val="28"/>
          <w:sz w:val="28"/>
          <w:szCs w:val="28"/>
          <w:rtl w:val="true"/>
          <w:lang w:bidi="ar-SA"/>
        </w:rPr>
        <w:t>خصّصها به و حكم فيها بالخروج من عند رأسها للبعد عن العورة، و الإطلاقات حجّة عليه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الأكثر كصريح بعض الأخبار تخييره في الدخول بين الجهات، 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423"/>
      </w:r>
      <w:r>
        <w:rPr>
          <w:rFonts w:ascii="Amiri" w:hAnsi="Amiri" w:eastAsia="Amiri" w:cs="Amiri"/>
          <w:color w:val="111111"/>
          <w:sz w:val="28"/>
          <w:sz w:val="28"/>
          <w:szCs w:val="28"/>
          <w:rtl w:val="true"/>
          <w:lang w:bidi="ar-SA"/>
        </w:rPr>
        <w:t>كإطلاق بعضها كونه كالخروج في استحباب كونه من قبل</w:t>
      </w:r>
    </w:p>
    <w:p>
      <w:pPr>
        <w:pStyle w:val="BookText"/>
        <w:rPr/>
      </w:pPr>
      <w:r>
        <w:rPr>
          <w:rFonts w:ascii="Amiri" w:hAnsi="Amiri" w:eastAsia="Amiri" w:cs="Amiri"/>
          <w:color w:val="111111"/>
          <w:sz w:val="28"/>
          <w:sz w:val="28"/>
          <w:szCs w:val="28"/>
          <w:rtl w:val="true"/>
          <w:lang w:bidi="ar-SA"/>
        </w:rPr>
        <w:t>الرجلين، و أُجيب بتقييده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يدعو عند الخروج بالمأثور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يهيل الحاضرون بعد التشريج و الطمّ عليه التراب ثلاث مرّات؛ للمستفيضة </w:t>
      </w:r>
      <w:r>
        <w:rPr>
          <w:rStyle w:val="FootnoteAnchor"/>
          <w:rtl w:val="true"/>
        </w:rPr>
        <w:footnoteReference w:id="2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الخبر و الرضوي </w:t>
      </w:r>
      <w:r>
        <w:rPr>
          <w:rStyle w:val="FootnoteAnchor"/>
          <w:rtl w:val="true"/>
        </w:rPr>
        <w:footnoteReference w:id="2426"/>
      </w:r>
      <w:r>
        <w:rPr>
          <w:rFonts w:ascii="Amiri" w:hAnsi="Amiri" w:eastAsia="Amiri" w:cs="Amiri"/>
          <w:color w:val="111111"/>
          <w:sz w:val="28"/>
          <w:sz w:val="28"/>
          <w:szCs w:val="28"/>
          <w:rtl w:val="true"/>
          <w:lang w:bidi="ar-SA"/>
        </w:rPr>
        <w:t xml:space="preserve">كون الإهالة بظهر الكفّ، كما عليه الجماعة، و ظاهر الحسان الثلاثة كونها بباطنه </w:t>
      </w:r>
      <w:r>
        <w:rPr>
          <w:rStyle w:val="FootnoteAnchor"/>
          <w:rtl w:val="true"/>
        </w:rPr>
        <w:footnoteReference w:id="2427"/>
      </w:r>
      <w:r>
        <w:rPr>
          <w:rFonts w:ascii="Amiri" w:hAnsi="Amiri" w:eastAsia="Amiri" w:cs="Amiri"/>
          <w:color w:val="111111"/>
          <w:sz w:val="28"/>
          <w:sz w:val="28"/>
          <w:szCs w:val="28"/>
          <w:rtl w:val="true"/>
          <w:lang w:bidi="ar-SA"/>
        </w:rPr>
        <w:t>، و التخيير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انحصار المستحب في الثلاث فلا يتّصف الأنقص و الأزيد باستحباب ثوابه أقلّ أو أكثر، خلافاً لجماعة في الثاني،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يهيل ذو الرحم؛ للموثّق </w:t>
      </w:r>
      <w:r>
        <w:rPr>
          <w:rStyle w:val="FootnoteAnchor"/>
          <w:rtl w:val="true"/>
        </w:rPr>
        <w:footnoteReference w:id="2428"/>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ينقل إلى القبر تراب غيره؛ للمرسل و الخبرين </w:t>
      </w:r>
      <w:r>
        <w:rPr>
          <w:rStyle w:val="FootnoteAnchor"/>
          <w:rtl w:val="true"/>
        </w:rPr>
        <w:footnoteReference w:id="2429"/>
      </w:r>
      <w:r>
        <w:rPr>
          <w:rFonts w:ascii="Amiri" w:hAnsi="Amiri" w:eastAsia="Amiri" w:cs="Amiri"/>
          <w:color w:val="111111"/>
          <w:sz w:val="28"/>
          <w:sz w:val="28"/>
          <w:szCs w:val="28"/>
          <w:rtl w:val="true"/>
          <w:lang w:bidi="ar-SA"/>
        </w:rPr>
        <w:t xml:space="preserve">، و إطلاقها يتناول حال الدفن و بعده، و تفرقة الإسكافي </w:t>
      </w:r>
      <w:r>
        <w:rPr>
          <w:rStyle w:val="FootnoteAnchor"/>
          <w:rtl w:val="true"/>
        </w:rPr>
        <w:footnoteReference w:id="2430"/>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يدعو عند الإهالة بالمأثور، و ما ذكر من استحباب الترجيع عندها ما أعرف مأخذه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منهم كراهة فرش القبر بالساج؛ للظواهر، إلّا لضرورة كنداوة الأرض و نحوه؛ للمكاتبة </w:t>
      </w:r>
      <w:r>
        <w:rPr>
          <w:rStyle w:val="FootnoteAnchor"/>
          <w:rtl w:val="true"/>
        </w:rPr>
        <w:footnoteReference w:id="2431"/>
      </w:r>
      <w:r>
        <w:rPr>
          <w:rFonts w:ascii="IRNazanin" w:hAnsi="IRNazanin" w:eastAsia="IRNazanin"/>
          <w:color w:val="111111"/>
          <w:sz w:val="28"/>
          <w:sz w:val="28"/>
          <w:szCs w:val="28"/>
          <w:rtl w:val="true"/>
          <w:lang w:bidi="fa-IR"/>
        </w:rPr>
        <w:t xml:space="preserve">و إطلاق المرسل </w:t>
      </w:r>
      <w:r>
        <w:rPr>
          <w:rStyle w:val="FootnoteAnchor"/>
          <w:rtl w:val="true"/>
        </w:rPr>
        <w:footnoteReference w:id="2432"/>
      </w:r>
      <w:r>
        <w:rPr>
          <w:rFonts w:ascii="Amiri" w:hAnsi="Amiri" w:eastAsia="Amiri" w:cs="Amiri"/>
          <w:color w:val="111111"/>
          <w:sz w:val="28"/>
          <w:sz w:val="28"/>
          <w:szCs w:val="28"/>
          <w:rtl w:val="true"/>
          <w:lang w:bidi="ar-SA"/>
        </w:rPr>
        <w:t>بالجواز مقيّد بها</w:t>
      </w:r>
      <w:r>
        <w:rPr>
          <w:rFonts w:eastAsia="Amiri" w:cs="Amiri" w:ascii="Amiri" w:hAnsi="Amiri"/>
          <w:color w:val="111111"/>
          <w:sz w:val="28"/>
          <w:szCs w:val="28"/>
          <w:rtl w:val="true"/>
          <w:lang w:bidi="ar-SA"/>
        </w:rPr>
        <w:t>.</w:t>
      </w:r>
      <w:bookmarkStart w:id="915" w:name="pg2479_11996"/>
    </w:p>
    <w:p>
      <w:pPr>
        <w:pStyle w:val="BookText"/>
        <w:rPr/>
      </w:pPr>
      <w:bookmarkEnd w:id="915"/>
      <w:r>
        <w:rPr>
          <w:rFonts w:ascii="Amiri" w:hAnsi="Amiri" w:eastAsia="Amiri" w:cs="Amiri"/>
          <w:color w:val="111111"/>
          <w:sz w:val="28"/>
          <w:sz w:val="28"/>
          <w:szCs w:val="28"/>
          <w:rtl w:val="true"/>
          <w:lang w:bidi="ar-SA"/>
        </w:rPr>
        <w:t>و في كراهة وضع الفرش عليه و المخدّة ثالثها العدم مع النداوة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للشهيد </w:t>
      </w:r>
      <w:r>
        <w:rPr>
          <w:rStyle w:val="FootnoteAnchor"/>
          <w:rtl w:val="true"/>
        </w:rPr>
        <w:footnoteReference w:id="2433"/>
      </w:r>
      <w:r>
        <w:rPr>
          <w:rFonts w:ascii="Amiri" w:hAnsi="Amiri" w:eastAsia="Amiri" w:cs="Amiri"/>
          <w:color w:val="111111"/>
          <w:sz w:val="28"/>
          <w:sz w:val="28"/>
          <w:szCs w:val="28"/>
          <w:rtl w:val="true"/>
          <w:lang w:bidi="ar-SA"/>
        </w:rPr>
        <w:t xml:space="preserve">لكونه إتلافاً للمال المحترم بلا دليل، و الثاني للإسكافي </w:t>
      </w:r>
      <w:r>
        <w:rPr>
          <w:rStyle w:val="FootnoteAnchor"/>
          <w:rtl w:val="true"/>
        </w:rPr>
        <w:footnoteReference w:id="2434"/>
      </w:r>
      <w:r>
        <w:rPr>
          <w:rFonts w:ascii="Amiri" w:hAnsi="Amiri" w:eastAsia="Amiri" w:cs="Amiri"/>
          <w:color w:val="111111"/>
          <w:sz w:val="28"/>
          <w:sz w:val="28"/>
          <w:szCs w:val="28"/>
          <w:rtl w:val="true"/>
          <w:lang w:bidi="ar-SA"/>
        </w:rPr>
        <w:t xml:space="preserve">لصحيح </w:t>
      </w:r>
      <w:r>
        <w:rPr>
          <w:rStyle w:val="FootnoteAnchor"/>
          <w:rtl w:val="true"/>
        </w:rPr>
        <w:footnoteReference w:id="2435"/>
      </w:r>
      <w:r>
        <w:rPr>
          <w:rFonts w:ascii="Amiri" w:hAnsi="Amiri" w:eastAsia="Amiri" w:cs="Amiri"/>
          <w:color w:val="111111"/>
          <w:sz w:val="28"/>
          <w:sz w:val="28"/>
          <w:szCs w:val="28"/>
          <w:rtl w:val="true"/>
          <w:lang w:bidi="ar-SA"/>
        </w:rPr>
        <w:t xml:space="preserve">لا دلالة له، و عاميّ </w:t>
      </w:r>
      <w:r>
        <w:rPr>
          <w:rStyle w:val="FootnoteAnchor"/>
          <w:rtl w:val="true"/>
        </w:rPr>
        <w:footnoteReference w:id="2436"/>
      </w:r>
      <w:r>
        <w:rPr>
          <w:rFonts w:ascii="Amiri" w:hAnsi="Amiri" w:eastAsia="Amiri" w:cs="Amiri"/>
          <w:color w:val="111111"/>
          <w:sz w:val="28"/>
          <w:sz w:val="28"/>
          <w:szCs w:val="28"/>
          <w:rtl w:val="true"/>
          <w:lang w:bidi="ar-SA"/>
        </w:rPr>
        <w:t xml:space="preserve">لا عبرة به، و خبر </w:t>
      </w:r>
      <w:r>
        <w:rPr>
          <w:rStyle w:val="FootnoteAnchor"/>
          <w:rtl w:val="true"/>
        </w:rPr>
        <w:footnoteReference w:id="2437"/>
      </w:r>
      <w:r>
        <w:rPr>
          <w:rFonts w:ascii="Amiri" w:hAnsi="Amiri" w:eastAsia="Amiri" w:cs="Amiri"/>
          <w:color w:val="111111"/>
          <w:sz w:val="28"/>
          <w:sz w:val="28"/>
          <w:szCs w:val="28"/>
          <w:rtl w:val="true"/>
          <w:lang w:bidi="ar-SA"/>
        </w:rPr>
        <w:t xml:space="preserve">يشكل الاستناد إليه، و الثالث لبعضهم </w:t>
      </w:r>
      <w:r>
        <w:rPr>
          <w:rStyle w:val="FootnoteAnchor"/>
          <w:rtl w:val="true"/>
        </w:rPr>
        <w:footnoteReference w:id="2438"/>
      </w:r>
      <w:r>
        <w:rPr>
          <w:rFonts w:ascii="Amiri" w:hAnsi="Amiri" w:eastAsia="Amiri" w:cs="Amiri"/>
          <w:color w:val="111111"/>
          <w:sz w:val="28"/>
          <w:sz w:val="28"/>
          <w:szCs w:val="28"/>
          <w:rtl w:val="true"/>
          <w:lang w:bidi="ar-SA"/>
        </w:rPr>
        <w:t xml:space="preserve">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أولويّة الترك إلّا مع الضرورة؛ لفعل الحجج عليهم السّلام و من بعدهم من رؤساء العلم و كبراء الدين، و لأنّه أبلغ في التذلّل و الخضوع و إفاضة الرحمة و الغفران</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3732495_3804643083"/>
      <w:bookmarkStart w:id="917" w:name="_Toc353"/>
      <w:bookmarkEnd w:id="916"/>
      <w:r>
        <w:rPr>
          <w:rtl w:val="true"/>
        </w:rPr>
        <w:t>فصل يستحبّ بعد الدفن</w:t>
      </w:r>
      <w:r>
        <w:rPr>
          <w:rtl w:val="true"/>
        </w:rPr>
        <w:t>:</w:t>
      </w:r>
      <w:bookmarkEnd w:id="917"/>
    </w:p>
    <w:p>
      <w:pPr>
        <w:pStyle w:val="BookText"/>
        <w:rPr/>
      </w:pPr>
      <w:r>
        <w:rPr>
          <w:rFonts w:ascii="Amiri" w:hAnsi="Amiri" w:eastAsia="Amiri" w:cs="Amiri"/>
          <w:color w:val="111111"/>
          <w:sz w:val="28"/>
          <w:sz w:val="28"/>
          <w:szCs w:val="28"/>
          <w:rtl w:val="true"/>
          <w:lang w:bidi="ar-SA"/>
        </w:rPr>
        <w:t xml:space="preserve">تربيع القبر؛ للإجماع و الخبر و الرضوي </w:t>
      </w:r>
      <w:r>
        <w:rPr>
          <w:rStyle w:val="FootnoteAnchor"/>
          <w:rtl w:val="true"/>
        </w:rPr>
        <w:footnoteReference w:id="2440"/>
      </w:r>
      <w:r>
        <w:rPr>
          <w:rFonts w:ascii="Amiri" w:hAnsi="Amiri" w:eastAsia="Amiri" w:cs="Amiri"/>
          <w:color w:val="111111"/>
          <w:sz w:val="28"/>
          <w:sz w:val="28"/>
          <w:szCs w:val="28"/>
          <w:rtl w:val="true"/>
          <w:lang w:bidi="ar-SA"/>
        </w:rPr>
        <w:t xml:space="preserve">و خبرين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تسطيحه؛ للإجماع، و استلزام التربيع و التسوية الواردة في الخبرين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له، و ما روي من تسطيح قبر النبي صلّى اللّٰه عليه و سلّم و ابنه و قبور المهاجرين و الأنصار </w:t>
      </w:r>
      <w:r>
        <w:rPr>
          <w:rStyle w:val="FootnoteAnchor"/>
          <w:rtl w:val="true"/>
        </w:rPr>
        <w:footnoteReference w:id="2443"/>
      </w:r>
      <w:r>
        <w:rPr>
          <w:rFonts w:ascii="Amiri" w:hAnsi="Amiri" w:eastAsia="Amiri" w:cs="Amiri"/>
          <w:color w:val="111111"/>
          <w:sz w:val="28"/>
          <w:sz w:val="28"/>
          <w:szCs w:val="28"/>
          <w:rtl w:val="true"/>
          <w:lang w:bidi="ar-SA"/>
        </w:rPr>
        <w:t xml:space="preserve">، و يعضده الرضوي </w:t>
      </w:r>
      <w:r>
        <w:rPr>
          <w:rStyle w:val="FootnoteAnchor"/>
          <w:rtl w:val="true"/>
        </w:rPr>
        <w:footnoteReference w:id="2444"/>
      </w:r>
      <w:r>
        <w:rPr>
          <w:rFonts w:ascii="Amiri" w:hAnsi="Amiri" w:eastAsia="Amiri" w:cs="Amiri"/>
          <w:color w:val="111111"/>
          <w:sz w:val="28"/>
          <w:sz w:val="28"/>
          <w:szCs w:val="28"/>
          <w:rtl w:val="true"/>
          <w:lang w:bidi="ar-SA"/>
        </w:rPr>
        <w:t xml:space="preserve">و العلوي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عندنا في كراهة التسنيم؛ للمنع عنه فيهما، و كونه من شعار الناصبة و بدعهم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رفعه من الأرض، بقدر أربع أصابع مفرجة عند المفيد </w:t>
      </w:r>
      <w:r>
        <w:rPr>
          <w:rStyle w:val="FootnoteAnchor"/>
          <w:rtl w:val="true"/>
        </w:rPr>
        <w:footnoteReference w:id="2446"/>
      </w:r>
      <w:r>
        <w:rPr>
          <w:rFonts w:ascii="Amiri" w:hAnsi="Amiri" w:eastAsia="Amiri" w:cs="Amiri"/>
          <w:color w:val="111111"/>
          <w:sz w:val="28"/>
          <w:sz w:val="28"/>
          <w:szCs w:val="28"/>
          <w:rtl w:val="true"/>
          <w:lang w:bidi="ar-SA"/>
        </w:rPr>
        <w:t xml:space="preserve">للصحيح و الخبرين و الرضوي </w:t>
      </w:r>
      <w:r>
        <w:rPr>
          <w:rStyle w:val="FootnoteAnchor"/>
          <w:rtl w:val="true"/>
        </w:rPr>
        <w:footnoteReference w:id="2447"/>
      </w:r>
      <w:r>
        <w:rPr>
          <w:rFonts w:ascii="Amiri" w:hAnsi="Amiri" w:eastAsia="Amiri" w:cs="Amiri"/>
          <w:color w:val="111111"/>
          <w:sz w:val="28"/>
          <w:sz w:val="28"/>
          <w:szCs w:val="28"/>
          <w:rtl w:val="true"/>
          <w:lang w:bidi="ar-SA"/>
        </w:rPr>
        <w:t xml:space="preserve">و مضمومة عند العماني </w:t>
      </w:r>
      <w:r>
        <w:rPr>
          <w:rStyle w:val="FootnoteAnchor"/>
          <w:rtl w:val="true"/>
        </w:rPr>
        <w:footnoteReference w:id="2448"/>
      </w:r>
      <w:r>
        <w:rPr>
          <w:rFonts w:ascii="Amiri" w:hAnsi="Amiri" w:eastAsia="Amiri" w:cs="Amiri"/>
          <w:color w:val="111111"/>
          <w:sz w:val="28"/>
          <w:sz w:val="28"/>
          <w:szCs w:val="28"/>
          <w:rtl w:val="true"/>
          <w:lang w:bidi="ar-SA"/>
        </w:rPr>
        <w:t xml:space="preserve">لصريح الموثّق </w:t>
      </w:r>
      <w:r>
        <w:rPr>
          <w:rStyle w:val="FootnoteAnchor"/>
          <w:rtl w:val="true"/>
        </w:rPr>
        <w:footnoteReference w:id="2449"/>
      </w:r>
      <w:r>
        <w:rPr>
          <w:rFonts w:ascii="Amiri" w:hAnsi="Amiri" w:eastAsia="Amiri" w:cs="Amiri"/>
          <w:color w:val="111111"/>
          <w:sz w:val="28"/>
          <w:sz w:val="28"/>
          <w:szCs w:val="28"/>
          <w:rtl w:val="true"/>
          <w:lang w:bidi="ar-SA"/>
        </w:rPr>
        <w:t xml:space="preserve">و ظاهر الخبرين </w:t>
      </w:r>
      <w:r>
        <w:rPr>
          <w:rStyle w:val="FootnoteAnchor"/>
          <w:rtl w:val="true"/>
        </w:rPr>
        <w:footnoteReference w:id="2450"/>
      </w:r>
      <w:r>
        <w:rPr>
          <w:rFonts w:ascii="Amiri" w:hAnsi="Amiri" w:eastAsia="Amiri" w:cs="Amiri"/>
          <w:color w:val="111111"/>
          <w:sz w:val="28"/>
          <w:sz w:val="28"/>
          <w:szCs w:val="28"/>
          <w:rtl w:val="true"/>
          <w:lang w:bidi="ar-SA"/>
        </w:rPr>
        <w:t xml:space="preserve">، و شبر أو الأُولى عند ابن زهرة </w:t>
      </w:r>
      <w:r>
        <w:rPr>
          <w:rStyle w:val="FootnoteAnchor"/>
          <w:rtl w:val="true"/>
        </w:rPr>
        <w:footnoteReference w:id="2451"/>
      </w:r>
      <w:r>
        <w:rPr>
          <w:rFonts w:ascii="Amiri" w:hAnsi="Amiri" w:eastAsia="Amiri" w:cs="Amiri"/>
          <w:color w:val="111111"/>
          <w:sz w:val="28"/>
          <w:sz w:val="28"/>
          <w:szCs w:val="28"/>
          <w:rtl w:val="true"/>
          <w:lang w:bidi="ar-SA"/>
        </w:rPr>
        <w:t xml:space="preserve">جمعاً بين الخبر </w:t>
      </w:r>
      <w:r>
        <w:rPr>
          <w:rStyle w:val="FootnoteAnchor"/>
          <w:rtl w:val="true"/>
        </w:rPr>
        <w:footnoteReference w:id="2452"/>
      </w:r>
      <w:r>
        <w:rPr>
          <w:rFonts w:ascii="Amiri" w:hAnsi="Amiri" w:eastAsia="Amiri" w:cs="Amiri"/>
          <w:color w:val="111111"/>
          <w:sz w:val="28"/>
          <w:sz w:val="28"/>
          <w:szCs w:val="28"/>
          <w:rtl w:val="true"/>
          <w:lang w:bidi="ar-SA"/>
        </w:rPr>
        <w:t xml:space="preserve">و ما للأوّل، أو الثانية عند القاضي </w:t>
      </w:r>
      <w:r>
        <w:rPr>
          <w:rStyle w:val="FootnoteAnchor"/>
          <w:rtl w:val="true"/>
        </w:rPr>
        <w:footnoteReference w:id="2453"/>
      </w:r>
      <w:r>
        <w:rPr>
          <w:rFonts w:ascii="Amiri" w:hAnsi="Amiri" w:eastAsia="Amiri" w:cs="Amiri"/>
          <w:color w:val="111111"/>
          <w:sz w:val="28"/>
          <w:sz w:val="28"/>
          <w:szCs w:val="28"/>
          <w:rtl w:val="true"/>
          <w:lang w:bidi="ar-SA"/>
        </w:rPr>
        <w:t>جمعاً بينه و بين ما للثاني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منها يوجب طرح البعض، و التخيير بين الثلاثة يوجب الجمع بين الكلّ، فهو الأقرب، وفاقاً للشهيد و الكركي و جماعة </w:t>
      </w:r>
      <w:r>
        <w:rPr>
          <w:rStyle w:val="FootnoteAnchor"/>
          <w:rtl w:val="true"/>
        </w:rPr>
        <w:footnoteReference w:id="2454"/>
      </w:r>
      <w:r>
        <w:rPr>
          <w:rFonts w:ascii="Amiri" w:hAnsi="Amiri" w:eastAsia="Amiri" w:cs="Amiri"/>
          <w:color w:val="111111"/>
          <w:sz w:val="28"/>
          <w:sz w:val="28"/>
          <w:szCs w:val="28"/>
          <w:rtl w:val="true"/>
          <w:lang w:bidi="ar-SA"/>
        </w:rPr>
        <w:t>، و يؤيّده كون الرفع</w:t>
      </w:r>
    </w:p>
    <w:p>
      <w:pPr>
        <w:pStyle w:val="BookText"/>
        <w:rPr/>
      </w:pPr>
      <w:r>
        <w:rPr>
          <w:rFonts w:ascii="Amiri" w:hAnsi="Amiri" w:eastAsia="Amiri" w:cs="Amiri"/>
          <w:color w:val="111111"/>
          <w:sz w:val="28"/>
          <w:sz w:val="28"/>
          <w:szCs w:val="28"/>
          <w:rtl w:val="true"/>
          <w:lang w:bidi="ar-SA"/>
        </w:rPr>
        <w:t>ليعرف و يزار، فيكفي المسمّى، إلّا أنّ الشرع قدّر أقلّه بالأربع المضمومة و أكثره بالشبر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اختلفت سطوح الأرض كفى الرفع عن 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الفتوى على كراهة الزائد من الشبر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رشّه بالماء؛ للمستفيضة </w:t>
      </w:r>
      <w:r>
        <w:rPr>
          <w:rStyle w:val="FootnoteAnchor"/>
          <w:rtl w:val="true"/>
        </w:rPr>
        <w:footnoteReference w:id="2456"/>
      </w:r>
      <w:r>
        <w:rPr>
          <w:rFonts w:ascii="Amiri" w:hAnsi="Amiri" w:eastAsia="Amiri" w:cs="Amiri"/>
          <w:color w:val="111111"/>
          <w:sz w:val="28"/>
          <w:sz w:val="28"/>
          <w:szCs w:val="28"/>
          <w:rtl w:val="true"/>
          <w:lang w:bidi="ar-SA"/>
        </w:rPr>
        <w:t>، و لعلّ السرّ فيه تفؤّل إفاضته الرحمة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أن يكون بالدوران المبتدأ من الرأس إليه؛ للخبر و الرضوي </w:t>
      </w:r>
      <w:r>
        <w:rPr>
          <w:rStyle w:val="FootnoteAnchor"/>
          <w:rtl w:val="true"/>
        </w:rPr>
        <w:footnoteReference w:id="2457"/>
      </w:r>
      <w:r>
        <w:rPr>
          <w:rFonts w:ascii="Amiri" w:hAnsi="Amiri" w:eastAsia="Amiri" w:cs="Amiri"/>
          <w:color w:val="111111"/>
          <w:sz w:val="28"/>
          <w:sz w:val="28"/>
          <w:szCs w:val="28"/>
          <w:rtl w:val="true"/>
          <w:lang w:bidi="ar-SA"/>
        </w:rPr>
        <w:t>، من دون فرق في المبدأ بين سمت القبلة و غيره، للإطلاق و لا ينافيها الإطلاقات؛ لكونها محمولة على بعض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حجر أو خشب عند رأسه، علامة لمعرفته؛ ليزار و يستغفر له؛ لفعل النبي صلّى اللّٰه عليه و سلّم بقبر ابن مظعون كما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الجمهور </w:t>
      </w:r>
      <w:r>
        <w:rPr>
          <w:rStyle w:val="FootnoteAnchor"/>
          <w:rtl w:val="true"/>
        </w:rPr>
        <w:footnoteReference w:id="2458"/>
      </w:r>
      <w:r>
        <w:rPr>
          <w:rFonts w:ascii="Amiri" w:hAnsi="Amiri" w:eastAsia="Amiri" w:cs="Amiri"/>
          <w:color w:val="111111"/>
          <w:sz w:val="28"/>
          <w:sz w:val="28"/>
          <w:szCs w:val="28"/>
          <w:rtl w:val="true"/>
          <w:lang w:bidi="ar-SA"/>
        </w:rPr>
        <w:t xml:space="preserve">، و فعل الكاظم عليه السّلام بقبر ابنة له كما في الخبر </w:t>
      </w:r>
      <w:r>
        <w:rPr>
          <w:rStyle w:val="FootnoteAnchor"/>
          <w:rtl w:val="true"/>
        </w:rPr>
        <w:footnoteReference w:id="2459"/>
      </w:r>
      <w:r>
        <w:rPr>
          <w:rFonts w:ascii="Amiri" w:hAnsi="Amiri" w:eastAsia="Amiri" w:cs="Amiri"/>
          <w:color w:val="111111"/>
          <w:sz w:val="28"/>
          <w:sz w:val="28"/>
          <w:szCs w:val="28"/>
          <w:rtl w:val="true"/>
          <w:lang w:bidi="ar-SA"/>
        </w:rPr>
        <w:t xml:space="preserve">، و العسكري عليه السّلام بقبر جارية له كما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وضع الحصباء عليه؛ لفعل النبي صلّى اللّٰه عليه و سلّم بقبر ابنه </w:t>
      </w:r>
      <w:r>
        <w:rPr>
          <w:rStyle w:val="FootnoteAnchor"/>
          <w:rtl w:val="true"/>
        </w:rPr>
        <w:footnoteReference w:id="2461"/>
      </w:r>
      <w:r>
        <w:rPr>
          <w:rFonts w:ascii="Amiri" w:hAnsi="Amiri" w:eastAsia="Amiri" w:cs="Amiri"/>
          <w:color w:val="111111"/>
          <w:sz w:val="28"/>
          <w:sz w:val="28"/>
          <w:szCs w:val="28"/>
          <w:rtl w:val="true"/>
          <w:lang w:bidi="ar-SA"/>
        </w:rPr>
        <w:t xml:space="preserve">، و ما ورد في المرسل و العامّي </w:t>
      </w:r>
      <w:r>
        <w:rPr>
          <w:rStyle w:val="FootnoteAnchor"/>
          <w:rtl w:val="true"/>
        </w:rPr>
        <w:footnoteReference w:id="2462"/>
      </w:r>
      <w:r>
        <w:rPr>
          <w:rFonts w:ascii="Amiri" w:hAnsi="Amiri" w:eastAsia="Amiri" w:cs="Amiri"/>
          <w:color w:val="111111"/>
          <w:sz w:val="28"/>
          <w:sz w:val="28"/>
          <w:szCs w:val="28"/>
          <w:rtl w:val="true"/>
          <w:lang w:bidi="ar-SA"/>
        </w:rPr>
        <w:t>من كون قبره صلّى اللّٰه عليه و سلّم محصّباً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اليد عليه بعد النضح، مفرجة الأصابع، مؤثّرة في التراب؛</w:t>
      </w:r>
    </w:p>
    <w:p>
      <w:pPr>
        <w:pStyle w:val="BookText"/>
        <w:rPr/>
      </w:pPr>
      <w:r>
        <w:rPr>
          <w:rFonts w:ascii="Amiri" w:hAnsi="Amiri" w:eastAsia="Amiri" w:cs="Amiri"/>
          <w:color w:val="111111"/>
          <w:sz w:val="28"/>
          <w:sz w:val="28"/>
          <w:szCs w:val="28"/>
          <w:rtl w:val="true"/>
          <w:lang w:bidi="ar-SA"/>
        </w:rPr>
        <w:t xml:space="preserve">للمستفيضة </w:t>
      </w:r>
      <w:r>
        <w:rPr>
          <w:rStyle w:val="FootnoteAnchor"/>
          <w:rtl w:val="true"/>
        </w:rPr>
        <w:footnoteReference w:id="2463"/>
      </w:r>
      <w:r>
        <w:rPr>
          <w:rFonts w:ascii="Amiri" w:hAnsi="Amiri" w:eastAsia="Amiri" w:cs="Amiri"/>
          <w:color w:val="111111"/>
          <w:sz w:val="28"/>
          <w:sz w:val="28"/>
          <w:szCs w:val="28"/>
          <w:rtl w:val="true"/>
          <w:lang w:bidi="ar-SA"/>
        </w:rPr>
        <w:t xml:space="preserve">، داعياً بالمأثور مستقبلًا؛ للمضمر و الرضوي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يتأكّد استحبابه لمن لم يحضر الصلاة؛ للخبرين </w:t>
      </w:r>
      <w:r>
        <w:rPr>
          <w:rStyle w:val="FootnoteAnchor"/>
          <w:rtl w:val="true"/>
        </w:rPr>
        <w:footnoteReference w:id="2465"/>
      </w:r>
      <w:r>
        <w:rPr>
          <w:rFonts w:ascii="Amiri" w:hAnsi="Amiri" w:eastAsia="Amiri" w:cs="Amiri"/>
          <w:color w:val="111111"/>
          <w:sz w:val="28"/>
          <w:sz w:val="28"/>
          <w:szCs w:val="28"/>
          <w:rtl w:val="true"/>
          <w:lang w:bidi="ar-SA"/>
        </w:rPr>
        <w:t xml:space="preserve">، و للميّت الهاشمي؛ للحسن </w:t>
      </w:r>
      <w:r>
        <w:rPr>
          <w:rStyle w:val="FootnoteAnchor"/>
          <w:rtl w:val="true"/>
        </w:rPr>
        <w:footnoteReference w:id="2466"/>
      </w:r>
      <w:r>
        <w:rPr>
          <w:rFonts w:ascii="Amiri" w:hAnsi="Amiri" w:eastAsia="Amiri" w:cs="Amiri"/>
          <w:color w:val="111111"/>
          <w:sz w:val="28"/>
          <w:sz w:val="28"/>
          <w:szCs w:val="28"/>
          <w:rtl w:val="true"/>
          <w:lang w:bidi="ar-SA"/>
        </w:rPr>
        <w:t xml:space="preserve">و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2467"/>
      </w:r>
      <w:r>
        <w:rPr>
          <w:rFonts w:ascii="Amiri" w:hAnsi="Amiri" w:eastAsia="Amiri" w:cs="Amiri"/>
          <w:color w:val="111111"/>
          <w:sz w:val="28"/>
          <w:sz w:val="28"/>
          <w:szCs w:val="28"/>
          <w:rtl w:val="true"/>
          <w:lang w:bidi="ar-SA"/>
        </w:rPr>
        <w:t>، و ما تفيده من الاختصاص محمول على التأكّد،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تلقين الولي أو نائبه بعد الانصراف بأعلى صوته؛ لإجماعنا و المستفيضة الوارد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Style w:val="FootnoteAnchor"/>
          <w:rtl w:val="true"/>
        </w:rPr>
        <w:footnoteReference w:id="2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أنكره الفقهاء الأربعة </w:t>
      </w:r>
      <w:r>
        <w:rPr>
          <w:rStyle w:val="FootnoteAnchor"/>
          <w:rtl w:val="true"/>
        </w:rPr>
        <w:footnoteReference w:id="2469"/>
      </w:r>
      <w:r>
        <w:rPr>
          <w:rFonts w:ascii="Amiri" w:hAnsi="Amiri" w:eastAsia="Amiri" w:cs="Amiri"/>
          <w:color w:val="111111"/>
          <w:sz w:val="28"/>
          <w:sz w:val="28"/>
          <w:szCs w:val="28"/>
          <w:rtl w:val="true"/>
          <w:lang w:bidi="ar-SA"/>
        </w:rPr>
        <w:t xml:space="preserve">مع وروده في طرقهم </w:t>
      </w:r>
      <w:r>
        <w:rPr>
          <w:rStyle w:val="FootnoteAnchor"/>
          <w:rtl w:val="true"/>
        </w:rPr>
        <w:footnoteReference w:id="2470"/>
      </w:r>
      <w:r>
        <w:rPr>
          <w:rFonts w:ascii="Amiri" w:hAnsi="Amiri" w:eastAsia="Amiri" w:cs="Amiri"/>
          <w:color w:val="111111"/>
          <w:sz w:val="28"/>
          <w:sz w:val="28"/>
          <w:szCs w:val="28"/>
          <w:rtl w:val="true"/>
          <w:lang w:bidi="ar-SA"/>
        </w:rPr>
        <w:t xml:space="preserve">و نقلهم مواظبة أهل الشام عليه في العصر الأوّل </w:t>
      </w:r>
      <w:r>
        <w:rPr>
          <w:rStyle w:val="FootnoteAnchor"/>
          <w:rtl w:val="true"/>
        </w:rPr>
        <w:footnoteReference w:id="2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رفع الصوت عند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الاختصاص بالولي، إلّا أنّ الوفاق أثبت الاستنابة، و لعلّ التخصيص بالولي أو نائبه على الأولويّة، فلو لقّنه أحد بدون إذنه تأدّت السنّة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بعضها </w:t>
      </w:r>
      <w:r>
        <w:rPr>
          <w:rStyle w:val="FootnoteAnchor"/>
          <w:rtl w:val="true"/>
        </w:rPr>
        <w:footnoteReference w:id="2472"/>
      </w:r>
      <w:r>
        <w:rPr>
          <w:rFonts w:ascii="Amiri" w:hAnsi="Amiri" w:eastAsia="Amiri" w:cs="Amiri"/>
          <w:color w:val="111111"/>
          <w:sz w:val="28"/>
          <w:sz w:val="28"/>
          <w:szCs w:val="28"/>
          <w:rtl w:val="true"/>
          <w:lang w:bidi="ar-SA"/>
        </w:rPr>
        <w:t>وضع الفم عند رأسه، و لعلّه لأبلغيّته في الإسماع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اشتراط الانصراف ليقارن تلقينه حضور الملكين، كما يومي إليه بعضها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bookmarkStart w:id="918" w:name="pg2479_12004"/>
    </w:p>
    <w:p>
      <w:pPr>
        <w:pStyle w:val="BookText"/>
        <w:rPr/>
      </w:pPr>
      <w:bookmarkEnd w:id="918"/>
      <w:r>
        <w:rPr>
          <w:rFonts w:ascii="Amiri" w:hAnsi="Amiri" w:eastAsia="Amiri" w:cs="Amiri"/>
          <w:color w:val="111111"/>
          <w:sz w:val="28"/>
          <w:sz w:val="28"/>
          <w:szCs w:val="28"/>
          <w:rtl w:val="true"/>
          <w:lang w:bidi="ar-SA"/>
        </w:rPr>
        <w:t xml:space="preserve">و الظاهر تخيير الملقّن بين الاستقبال و الاستدبار؛ لإطلاق الأخبار، فاستحباب الأوّل كالفاضل و الحلّي </w:t>
      </w:r>
      <w:r>
        <w:rPr>
          <w:rStyle w:val="FootnoteAnchor"/>
          <w:rtl w:val="true"/>
        </w:rPr>
        <w:footnoteReference w:id="2474"/>
      </w:r>
      <w:r>
        <w:rPr>
          <w:rFonts w:ascii="Amiri" w:hAnsi="Amiri" w:eastAsia="Amiri" w:cs="Amiri"/>
          <w:color w:val="111111"/>
          <w:sz w:val="28"/>
          <w:sz w:val="28"/>
          <w:szCs w:val="28"/>
          <w:rtl w:val="true"/>
          <w:lang w:bidi="ar-SA"/>
        </w:rPr>
        <w:t xml:space="preserve">لعموم رجحانه، أو الثاني كجماعة </w:t>
      </w:r>
      <w:r>
        <w:rPr>
          <w:rStyle w:val="FootnoteAnchor"/>
          <w:rtl w:val="true"/>
        </w:rPr>
        <w:footnoteReference w:id="2475"/>
      </w:r>
      <w:r>
        <w:rPr>
          <w:rFonts w:ascii="Amiri" w:hAnsi="Amiri" w:eastAsia="Amiri" w:cs="Amiri"/>
          <w:color w:val="111111"/>
          <w:sz w:val="28"/>
          <w:sz w:val="28"/>
          <w:szCs w:val="28"/>
          <w:rtl w:val="true"/>
          <w:lang w:bidi="ar-SA"/>
        </w:rPr>
        <w:t>لتوقّف التوجّه إلى وجه الميّت عليه، يوجب تقييداً بلا دليل؛ إذ الكلام في رجحانه الإضافي دون المطلق، فعموم رجحانه مسلّم، و الكلام في رجحانه لخصوصيّة الفعل، و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التوجّه إلى الميّت عند النداء ممنوع؛ لحصوله بكون المنادي على الرأس بأي وضع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الأخبار </w:t>
      </w:r>
      <w:r>
        <w:rPr>
          <w:rStyle w:val="FootnoteAnchor"/>
          <w:rtl w:val="true"/>
        </w:rPr>
        <w:footnoteReference w:id="2476"/>
      </w:r>
      <w:r>
        <w:rPr>
          <w:rFonts w:ascii="Amiri" w:hAnsi="Amiri" w:eastAsia="Amiri" w:cs="Amiri"/>
          <w:color w:val="111111"/>
          <w:sz w:val="28"/>
          <w:sz w:val="28"/>
          <w:szCs w:val="28"/>
          <w:rtl w:val="true"/>
          <w:lang w:bidi="ar-SA"/>
        </w:rPr>
        <w:t xml:space="preserve">من تعليل التلقين من دفعه السؤال يعطي سقوطه عن الطفل، و قيل بعدم السقوط كما في الجريدتين </w:t>
      </w:r>
      <w:r>
        <w:rPr>
          <w:rStyle w:val="FootnoteAnchor"/>
          <w:rtl w:val="true"/>
        </w:rPr>
        <w:footnoteReference w:id="2477"/>
      </w:r>
      <w:r>
        <w:rPr>
          <w:rFonts w:ascii="Amiri" w:hAnsi="Amiri" w:eastAsia="Amiri" w:cs="Amiri"/>
          <w:color w:val="111111"/>
          <w:sz w:val="28"/>
          <w:sz w:val="28"/>
          <w:szCs w:val="28"/>
          <w:rtl w:val="true"/>
          <w:lang w:bidi="ar-SA"/>
        </w:rPr>
        <w:t>لإطلاق الأدلّة، و التعليل لا ينافيه؛ إذ علل الشرع معرّفات لا يعتبر فيها الاطّراد و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العلّة الشرعيّة كالعقليّة في اشتراطهما في ظاهر الخطاب، إلّا أنّ التلازم فيها شرعي و في العقليّة عقلي واقعي، فتخلفها عن المعلول شرعاً غير جائز و إن جاز واقعاً، و لذا يتأتّىٰ </w:t>
      </w:r>
      <w:r>
        <w:rPr>
          <w:rStyle w:val="FootnoteAnchor"/>
          <w:rtl w:val="true"/>
        </w:rPr>
        <w:footnoteReference w:id="2478"/>
      </w:r>
      <w:r>
        <w:rPr>
          <w:rFonts w:ascii="Amiri" w:hAnsi="Amiri" w:eastAsia="Amiri" w:cs="Amiri"/>
          <w:color w:val="111111"/>
          <w:sz w:val="28"/>
          <w:sz w:val="28"/>
          <w:szCs w:val="28"/>
          <w:rtl w:val="true"/>
          <w:lang w:bidi="ar-SA"/>
        </w:rPr>
        <w:t>فيها الاستثناء بخلاف العقليّة</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3732497_3804643083"/>
      <w:bookmarkStart w:id="920" w:name="_Toc354"/>
      <w:bookmarkEnd w:id="919"/>
      <w:r>
        <w:rPr>
          <w:rtl w:val="true"/>
        </w:rPr>
        <w:t>فصل يكره</w:t>
      </w:r>
      <w:r>
        <w:rPr>
          <w:rtl w:val="true"/>
        </w:rPr>
        <w:t>:</w:t>
      </w:r>
      <w:bookmarkEnd w:id="92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تجصيص القبر و البناء عليه؛ للمستفيضة </w:t>
      </w:r>
      <w:r>
        <w:rPr>
          <w:rStyle w:val="FootnoteAnchor"/>
          <w:rtl w:val="true"/>
        </w:rPr>
        <w:footnoteReference w:id="2479"/>
      </w:r>
      <w:r>
        <w:rPr>
          <w:rFonts w:ascii="Amiri" w:hAnsi="Amiri" w:eastAsia="Amiri" w:cs="Amiri"/>
          <w:color w:val="111111"/>
          <w:sz w:val="28"/>
          <w:sz w:val="28"/>
          <w:szCs w:val="28"/>
          <w:rtl w:val="true"/>
          <w:lang w:bidi="ar-SA"/>
        </w:rPr>
        <w:t xml:space="preserve">و نقل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الإسكافي </w:t>
      </w:r>
      <w:r>
        <w:rPr>
          <w:rStyle w:val="FootnoteAnchor"/>
          <w:rtl w:val="true"/>
        </w:rPr>
        <w:footnoteReference w:id="2481"/>
      </w:r>
      <w:r>
        <w:rPr>
          <w:rFonts w:ascii="Amiri" w:hAnsi="Amiri" w:eastAsia="Amiri" w:cs="Amiri"/>
          <w:color w:val="111111"/>
          <w:sz w:val="28"/>
          <w:sz w:val="28"/>
          <w:szCs w:val="28"/>
          <w:rtl w:val="true"/>
          <w:lang w:bidi="ar-SA"/>
        </w:rPr>
        <w:t xml:space="preserve">خصّص الكراهة بالأوّل، و الشيخ </w:t>
      </w:r>
      <w:r>
        <w:rPr>
          <w:rStyle w:val="FootnoteAnchor"/>
          <w:rtl w:val="true"/>
        </w:rPr>
        <w:footnoteReference w:id="2482"/>
      </w:r>
      <w:r>
        <w:rPr>
          <w:rFonts w:ascii="Amiri" w:hAnsi="Amiri" w:eastAsia="Amiri" w:cs="Amiri"/>
          <w:color w:val="111111"/>
          <w:sz w:val="28"/>
          <w:sz w:val="28"/>
          <w:szCs w:val="28"/>
          <w:rtl w:val="true"/>
          <w:lang w:bidi="ar-SA"/>
        </w:rPr>
        <w:t xml:space="preserve">بما بعد الاندراس، و الإطلاقات حجّة عليهما، و ليس للأوّل حجّة تقيّدها، و للثاني الجمع بينها و بين أمر الكاظم عليه السّلام بتجصيص قبر ابنته كما في الخبر </w:t>
      </w:r>
      <w:r>
        <w:rPr>
          <w:rStyle w:val="FootnoteAnchor"/>
          <w:rtl w:val="true"/>
        </w:rPr>
        <w:footnoteReference w:id="2483"/>
      </w:r>
      <w:r>
        <w:rPr>
          <w:rFonts w:ascii="Amiri" w:hAnsi="Amiri" w:eastAsia="Amiri" w:cs="Amiri"/>
          <w:color w:val="111111"/>
          <w:sz w:val="28"/>
          <w:sz w:val="28"/>
          <w:szCs w:val="28"/>
          <w:rtl w:val="true"/>
          <w:lang w:bidi="ar-SA"/>
        </w:rPr>
        <w:t>بحملها على التجديد و حمله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بحمل التجصيص فيه على التطيين، فإنّ الظاهر كراهية الاندراس لا في الابتداء، كما أفتى به الشيخ و الفاضل و غيرهما </w:t>
      </w:r>
      <w:r>
        <w:rPr>
          <w:rStyle w:val="FootnoteAnchor"/>
          <w:rtl w:val="true"/>
        </w:rPr>
        <w:footnoteReference w:id="2484"/>
      </w:r>
      <w:r>
        <w:rPr>
          <w:rFonts w:ascii="Amiri" w:hAnsi="Amiri" w:eastAsia="Amiri" w:cs="Amiri"/>
          <w:color w:val="111111"/>
          <w:sz w:val="28"/>
          <w:sz w:val="28"/>
          <w:szCs w:val="28"/>
          <w:rtl w:val="true"/>
          <w:lang w:bidi="ar-SA"/>
        </w:rPr>
        <w:t xml:space="preserve">، جمعاً بين إطلاق المنع في الموثّق </w:t>
      </w:r>
      <w:r>
        <w:rPr>
          <w:rStyle w:val="FootnoteAnchor"/>
          <w:rtl w:val="true"/>
        </w:rPr>
        <w:footnoteReference w:id="2485"/>
      </w:r>
      <w:r>
        <w:rPr>
          <w:rFonts w:ascii="Amiri" w:hAnsi="Amiri" w:eastAsia="Amiri" w:cs="Amiri"/>
          <w:color w:val="111111"/>
          <w:sz w:val="28"/>
          <w:sz w:val="28"/>
          <w:szCs w:val="28"/>
          <w:rtl w:val="true"/>
          <w:lang w:bidi="ar-SA"/>
        </w:rPr>
        <w:t xml:space="preserve">و الجواز في النبوي </w:t>
      </w:r>
      <w:r>
        <w:rPr>
          <w:rStyle w:val="FootnoteAnchor"/>
          <w:rtl w:val="true"/>
        </w:rPr>
        <w:footnoteReference w:id="2486"/>
      </w:r>
      <w:r>
        <w:rPr>
          <w:rFonts w:ascii="Amiri" w:hAnsi="Amiri" w:eastAsia="Amiri" w:cs="Amiri"/>
          <w:color w:val="111111"/>
          <w:sz w:val="28"/>
          <w:sz w:val="28"/>
          <w:szCs w:val="28"/>
          <w:rtl w:val="true"/>
          <w:lang w:bidi="ar-SA"/>
        </w:rPr>
        <w:t xml:space="preserve">أو بتخصيصه بهم عليهم السّلام و بأولادهم، فإنّ التحقيق جواز التجصيص و البناء على قبور الأنبياء و الأئمّة و أولادهم؛ لاستمرار الناس عليه في الأمصار و الأعصار شائعاً ذائعاً بلا نكير، و استفاضة النصوص </w:t>
      </w:r>
      <w:r>
        <w:rPr>
          <w:rStyle w:val="FootnoteAnchor"/>
          <w:rtl w:val="true"/>
        </w:rPr>
        <w:footnoteReference w:id="2487"/>
      </w:r>
      <w:r>
        <w:rPr>
          <w:rFonts w:ascii="Amiri" w:hAnsi="Amiri" w:eastAsia="Amiri" w:cs="Amiri"/>
          <w:color w:val="111111"/>
          <w:sz w:val="28"/>
          <w:sz w:val="28"/>
          <w:szCs w:val="28"/>
          <w:rtl w:val="true"/>
          <w:lang w:bidi="ar-SA"/>
        </w:rPr>
        <w:t>بتعاهد قبورهم و عمارتها، مع ما فيه من إعلاء الكلمة الدينيّة و تعظيم الشعائر الإسلاميّة، بل الظاهر إلحاق العلماء و الأتقياء بهم في ذلك؛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المكروه هو البيت أو القبّة، بل مطلق تظليله و لو بالصندوق أو الضرائح المظلّلة؛ لعموم الأدلّة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الجلوس عليه؛ لنقل الوفاق </w:t>
      </w:r>
      <w:r>
        <w:rPr>
          <w:rStyle w:val="FootnoteAnchor"/>
          <w:rtl w:val="true"/>
        </w:rPr>
        <w:footnoteReference w:id="2488"/>
      </w:r>
      <w:r>
        <w:rPr>
          <w:rFonts w:ascii="Amiri" w:hAnsi="Amiri" w:eastAsia="Amiri" w:cs="Amiri"/>
          <w:color w:val="111111"/>
          <w:sz w:val="28"/>
          <w:sz w:val="28"/>
          <w:szCs w:val="28"/>
          <w:rtl w:val="true"/>
          <w:lang w:bidi="ar-SA"/>
        </w:rPr>
        <w:t xml:space="preserve">و الموثّق و الخبر و النبويّ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المشي عليه و الاستناد إليه؛ لحكاية الإجماع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490"/>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Style w:val="FootnoteAnchor"/>
          <w:rtl w:val="true"/>
        </w:rPr>
        <w:footnoteReference w:id="2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 </w:t>
      </w:r>
      <w:r>
        <w:rPr>
          <w:rStyle w:val="FootnoteAnchor"/>
          <w:rtl w:val="true"/>
        </w:rPr>
        <w:footnoteReference w:id="2492"/>
      </w:r>
      <w:r>
        <w:rPr>
          <w:rFonts w:ascii="Amiri" w:hAnsi="Amiri" w:eastAsia="Amiri" w:cs="Amiri"/>
          <w:color w:val="111111"/>
          <w:sz w:val="28"/>
          <w:sz w:val="28"/>
          <w:szCs w:val="28"/>
          <w:rtl w:val="true"/>
          <w:lang w:bidi="ar-SA"/>
        </w:rPr>
        <w:t>المشعر برجحان المشي محمول على ما يضطرّ إليه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عليه؛ للخبر و المرسل </w:t>
      </w:r>
      <w:r>
        <w:rPr>
          <w:rStyle w:val="FootnoteAnchor"/>
          <w:rtl w:val="true"/>
        </w:rPr>
        <w:footnoteReference w:id="2493"/>
      </w:r>
      <w:r>
        <w:rPr>
          <w:rFonts w:ascii="Amiri" w:hAnsi="Amiri" w:eastAsia="Amiri" w:cs="Amiri"/>
          <w:color w:val="111111"/>
          <w:sz w:val="28"/>
          <w:sz w:val="28"/>
          <w:szCs w:val="28"/>
          <w:rtl w:val="true"/>
          <w:lang w:bidi="ar-SA"/>
        </w:rPr>
        <w:t xml:space="preserve">، و إليه، ولديه؛ للنصوص </w:t>
      </w:r>
      <w:r>
        <w:rPr>
          <w:rStyle w:val="FootnoteAnchor"/>
          <w:rtl w:val="true"/>
        </w:rPr>
        <w:footnoteReference w:id="2494"/>
      </w:r>
      <w:r>
        <w:rPr>
          <w:rFonts w:ascii="Amiri" w:hAnsi="Amiri" w:eastAsia="Amiri" w:cs="Amiri"/>
          <w:color w:val="111111"/>
          <w:sz w:val="28"/>
          <w:sz w:val="28"/>
          <w:szCs w:val="28"/>
          <w:rtl w:val="true"/>
          <w:lang w:bidi="ar-SA"/>
        </w:rPr>
        <w:t xml:space="preserve">، سوى قبور الحجج عليهم السّلام للمستفيضة </w:t>
      </w:r>
      <w:r>
        <w:rPr>
          <w:rStyle w:val="FootnoteAnchor"/>
          <w:rtl w:val="true"/>
        </w:rPr>
        <w:footnoteReference w:id="2495"/>
      </w:r>
      <w:r>
        <w:rPr>
          <w:rFonts w:ascii="Amiri" w:hAnsi="Amiri" w:eastAsia="Amiri" w:cs="Amiri"/>
          <w:color w:val="111111"/>
          <w:sz w:val="28"/>
          <w:sz w:val="28"/>
          <w:szCs w:val="28"/>
          <w:rtl w:val="true"/>
          <w:lang w:bidi="ar-SA"/>
        </w:rPr>
        <w:t>، و 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تجديده بعد اندراسه، عند الأكثر؛ للعلوي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ربقة الإسلام</w:t>
      </w:r>
      <w:r>
        <w:rPr>
          <w:rFonts w:eastAsia="Amiri" w:cs="Amiri" w:ascii="Amiri" w:hAnsi="Amiri"/>
          <w:color w:val="111111"/>
          <w:sz w:val="28"/>
          <w:szCs w:val="28"/>
          <w:rtl w:val="true"/>
          <w:lang w:bidi="ar-SA"/>
        </w:rPr>
        <w:t xml:space="preserve">» </w:t>
      </w:r>
      <w:r>
        <w:rPr>
          <w:rStyle w:val="FootnoteAnchor"/>
          <w:rtl w:val="true"/>
        </w:rPr>
        <w:footnoteReference w:id="2496"/>
      </w:r>
      <w:r>
        <w:rPr>
          <w:rFonts w:ascii="Amiri" w:hAnsi="Amiri" w:eastAsia="Amiri" w:cs="Amiri"/>
          <w:color w:val="111111"/>
          <w:sz w:val="28"/>
          <w:sz w:val="28"/>
          <w:szCs w:val="28"/>
          <w:rtl w:val="true"/>
          <w:lang w:bidi="ar-SA"/>
        </w:rPr>
        <w:t xml:space="preserve">، و الظاهر كما نقل عن الصفّار </w:t>
      </w:r>
      <w:r>
        <w:rPr>
          <w:rStyle w:val="FootnoteAnchor"/>
          <w:rtl w:val="true"/>
        </w:rPr>
        <w:footnoteReference w:id="2497"/>
      </w:r>
      <w:r>
        <w:rPr>
          <w:rFonts w:ascii="Amiri" w:hAnsi="Amiri" w:eastAsia="Amiri" w:cs="Amiri"/>
          <w:color w:val="111111"/>
          <w:sz w:val="28"/>
          <w:sz w:val="28"/>
          <w:szCs w:val="28"/>
          <w:rtl w:val="true"/>
          <w:lang w:bidi="ar-SA"/>
        </w:rPr>
        <w:t xml:space="preserve">و تبعه الأكثر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إرادة المنع التنزيهي أو الأعمّ من عمارة القبر بعد اندراسه، و تصوير الصورة بلوازم التحريميّ مبالغة في الترك، كما وقع منهم في موارد متكثّرة فينتهض حجّة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سائر الوجوه المخالفة لما ذكر لفظاً أو معنى، صرفٌ عن الظاهر المتبادر، فلا يلتفت إليها و إن نقلت عن مشايخنا الأقدمين كالبرقي و سعد بن عبد اللّٰه و المفيد و الصدوق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 غير ضائر؛ لانجباره بالعمل و جواز التسامح في أدلّة السنن، مع أنّ اشتغال مشاهير القدماء بتحقيق لفظه يشعر باعتباره عندهم</w:t>
      </w:r>
      <w:r>
        <w:rPr>
          <w:rFonts w:eastAsia="Amiri" w:cs="Amiri" w:ascii="Amiri" w:hAnsi="Amiri"/>
          <w:color w:val="111111"/>
          <w:sz w:val="28"/>
          <w:szCs w:val="28"/>
          <w:rtl w:val="true"/>
          <w:lang w:bidi="ar-SA"/>
        </w:rPr>
        <w:t>.</w:t>
      </w:r>
      <w:bookmarkStart w:id="921" w:name="pg2479_12009"/>
    </w:p>
    <w:p>
      <w:pPr>
        <w:pStyle w:val="BookText"/>
        <w:rPr/>
      </w:pPr>
      <w:bookmarkEnd w:id="921"/>
      <w:r>
        <w:rPr>
          <w:rFonts w:ascii="Amiri" w:hAnsi="Amiri" w:eastAsia="Amiri" w:cs="Amiri"/>
          <w:color w:val="111111"/>
          <w:sz w:val="28"/>
          <w:sz w:val="28"/>
          <w:szCs w:val="28"/>
          <w:rtl w:val="true"/>
          <w:lang w:bidi="ar-SA"/>
        </w:rPr>
        <w:t xml:space="preserve">ثمّ الكراهة في غير المسألة أو فيها مع عدم اندراس العظام، و فيها معه يحرم لمنعه المستحقّين مع زوال الحق، و في قبور غير الحجج عليهم السّلام للإجماع على استحباب تعاهد قبورهم و عمارتها، و استمرار الكلّ عليه في الأعصار و الأمصار شائعاً ذائعاً بلا نكير، مع ما فيه من تعظيم شعائر اللّٰه و النصوص به مستفيضة </w:t>
      </w:r>
      <w:r>
        <w:rPr>
          <w:rStyle w:val="FootnoteAnchor"/>
          <w:rtl w:val="true"/>
        </w:rPr>
        <w:footnoteReference w:id="2499"/>
      </w:r>
      <w:r>
        <w:rPr>
          <w:rFonts w:ascii="Amiri" w:hAnsi="Amiri" w:eastAsia="Amiri" w:cs="Amiri"/>
          <w:color w:val="111111"/>
          <w:sz w:val="28"/>
          <w:sz w:val="28"/>
          <w:szCs w:val="28"/>
          <w:rtl w:val="true"/>
          <w:lang w:bidi="ar-SA"/>
        </w:rPr>
        <w:t xml:space="preserve">، و في خبر أبي عامر </w:t>
      </w:r>
      <w:r>
        <w:rPr>
          <w:rStyle w:val="FootnoteAnchor"/>
          <w:rtl w:val="true"/>
        </w:rPr>
        <w:footnoteReference w:id="2500"/>
      </w:r>
      <w:r>
        <w:rPr>
          <w:rFonts w:ascii="Amiri" w:hAnsi="Amiri" w:eastAsia="Amiri" w:cs="Amiri"/>
          <w:color w:val="111111"/>
          <w:sz w:val="28"/>
          <w:sz w:val="28"/>
          <w:szCs w:val="28"/>
          <w:rtl w:val="true"/>
          <w:lang w:bidi="ar-SA"/>
        </w:rPr>
        <w:t>تصريحات بعظم أجره و مزيد فضله</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3732499_3804643083"/>
      <w:bookmarkStart w:id="923" w:name="_Toc355"/>
      <w:bookmarkEnd w:id="922"/>
      <w:r>
        <w:rPr>
          <w:rtl w:val="true"/>
        </w:rPr>
        <w:t>مسائل</w:t>
      </w:r>
      <w:r>
        <w:rPr>
          <w:rtl w:val="true"/>
        </w:rPr>
        <w:t>:</w:t>
      </w:r>
      <w:bookmarkEnd w:id="923"/>
    </w:p>
    <w:p>
      <w:pPr>
        <w:pStyle w:val="Heading6"/>
        <w:numPr>
          <w:ilvl w:val="5"/>
          <w:numId w:val="1"/>
        </w:numPr>
        <w:rPr/>
      </w:pPr>
      <w:bookmarkStart w:id="924" w:name="__RefHeading___Toc3732501_3804643083"/>
      <w:bookmarkStart w:id="925" w:name="_Toc356"/>
      <w:bookmarkEnd w:id="924"/>
      <w:r>
        <w:rPr>
          <w:rtl w:val="true"/>
        </w:rPr>
        <w:t>الأُولىٰ</w:t>
      </w:r>
      <w:r>
        <w:rPr>
          <w:rtl w:val="true"/>
        </w:rPr>
        <w:t xml:space="preserve">: </w:t>
      </w:r>
      <w:r>
        <w:rPr>
          <w:rtl w:val="true"/>
        </w:rPr>
        <w:t>يكره دفن اثنين في قبر واحد</w:t>
      </w:r>
      <w:bookmarkEnd w:id="925"/>
    </w:p>
    <w:p>
      <w:pPr>
        <w:pStyle w:val="BookText"/>
        <w:rPr/>
      </w:pPr>
      <w:r>
        <w:rPr>
          <w:rFonts w:ascii="Amiri" w:hAnsi="Amiri" w:eastAsia="Amiri" w:cs="Amiri"/>
          <w:color w:val="111111"/>
          <w:sz w:val="28"/>
          <w:sz w:val="28"/>
          <w:szCs w:val="28"/>
          <w:rtl w:val="true"/>
          <w:lang w:bidi="ar-SA"/>
        </w:rPr>
        <w:t xml:space="preserve">، وفاقاً للمشهور؛ للمرسل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2501"/>
      </w:r>
      <w:r>
        <w:rPr>
          <w:rFonts w:ascii="Amiri" w:hAnsi="Amiri" w:eastAsia="Amiri" w:cs="Amiri"/>
          <w:color w:val="111111"/>
          <w:sz w:val="28"/>
          <w:sz w:val="28"/>
          <w:szCs w:val="28"/>
          <w:rtl w:val="true"/>
          <w:lang w:bidi="ar-SA"/>
        </w:rPr>
        <w:t>، و أولويّته بالكراهة من حملها على سرير واحد، و عمل المسلمين في كلّ مكان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يزول الكراهة مع الضرورة؛ لأمر النبي </w:t>
      </w:r>
      <w:r>
        <w:rPr>
          <w:rStyle w:val="FootnoteAnchor"/>
          <w:rtl w:val="true"/>
        </w:rPr>
        <w:footnoteReference w:id="2502"/>
      </w:r>
      <w:r>
        <w:rPr>
          <w:rFonts w:ascii="Amiri" w:hAnsi="Amiri" w:eastAsia="Amiri" w:cs="Amiri"/>
          <w:color w:val="111111"/>
          <w:sz w:val="28"/>
          <w:sz w:val="28"/>
          <w:szCs w:val="28"/>
          <w:rtl w:val="true"/>
          <w:lang w:bidi="ar-SA"/>
        </w:rPr>
        <w:t>صلّى اللّٰه عليه و سلّم بجمع المتعدّد في واحدٍ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 اتّفاق المقارنة، و مع سبق أحدهما يحرم الجمع إجماعاً لسبق حقّه و إيجابه النبش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كراهة في الجمع في نحو السرب و الأزج؛ لانتفاء الإجماع و عدم صدق النبش و وحدة القبر، فلا يتناوله الخبر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3732503_3804643083"/>
      <w:bookmarkStart w:id="927" w:name="_Toc357"/>
      <w:bookmarkEnd w:id="926"/>
      <w:r>
        <w:rPr>
          <w:rtl w:val="true"/>
        </w:rPr>
        <w:t>الثانية</w:t>
      </w:r>
      <w:r>
        <w:rPr>
          <w:rtl w:val="true"/>
        </w:rPr>
        <w:t xml:space="preserve">: </w:t>
      </w:r>
      <w:r>
        <w:rPr>
          <w:rtl w:val="true"/>
        </w:rPr>
        <w:t>الدفن في المقبرة أفضل من البيت</w:t>
      </w:r>
      <w:bookmarkEnd w:id="92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لأمر النبي صلّى اللّٰه عليه و سلّم بالدفن في البقيع </w:t>
      </w:r>
      <w:r>
        <w:rPr>
          <w:rStyle w:val="FootnoteAnchor"/>
          <w:rtl w:val="true"/>
        </w:rPr>
        <w:footnoteReference w:id="2504"/>
      </w:r>
      <w:r>
        <w:rPr>
          <w:rFonts w:ascii="IRNazanin" w:hAnsi="IRNazanin" w:eastAsia="IRNazanin"/>
          <w:color w:val="111111"/>
          <w:sz w:val="28"/>
          <w:sz w:val="28"/>
          <w:szCs w:val="28"/>
          <w:rtl w:val="true"/>
          <w:lang w:bidi="fa-IR"/>
        </w:rPr>
        <w:t>،</w:t>
      </w:r>
      <w:bookmarkStart w:id="928" w:name="pg2479_12011"/>
    </w:p>
    <w:p>
      <w:pPr>
        <w:pStyle w:val="BookText"/>
        <w:rPr/>
      </w:pPr>
      <w:bookmarkEnd w:id="928"/>
      <w:r>
        <w:rPr>
          <w:rFonts w:ascii="Amiri" w:hAnsi="Amiri" w:eastAsia="Amiri" w:cs="Amiri"/>
          <w:color w:val="111111"/>
          <w:sz w:val="28"/>
          <w:sz w:val="28"/>
          <w:szCs w:val="28"/>
          <w:rtl w:val="true"/>
          <w:lang w:bidi="ar-SA"/>
        </w:rPr>
        <w:t xml:space="preserve">و إطباق المسلمين عليه من غير نكير، و لأنّه أجلب للترحّم و الدعاء و أشبه بمساكن الآخرة و أقل ضرراً على الورثة، و دفنه صلّى اللّٰه عليه و سلّم في بيته لعلّة أبداها عليّ عليه السّلام </w:t>
      </w:r>
      <w:r>
        <w:rPr>
          <w:rStyle w:val="FootnoteAnchor"/>
          <w:rtl w:val="true"/>
        </w:rPr>
        <w:footnoteReference w:id="2505"/>
      </w:r>
      <w:r>
        <w:rPr>
          <w:rFonts w:ascii="Amiri" w:hAnsi="Amiri" w:eastAsia="Amiri" w:cs="Amiri"/>
          <w:color w:val="111111"/>
          <w:sz w:val="28"/>
          <w:sz w:val="28"/>
          <w:szCs w:val="28"/>
          <w:rtl w:val="true"/>
          <w:lang w:bidi="ar-SA"/>
        </w:rPr>
        <w:t>و تبعه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جمع الأقارب في مقبرة واحدة؛ لظاهر النبويّ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9" w:name="__RefHeading___Toc3732505_3804643083"/>
      <w:bookmarkStart w:id="930" w:name="_Toc358"/>
      <w:bookmarkEnd w:id="929"/>
      <w:r>
        <w:rPr>
          <w:rtl w:val="true"/>
        </w:rPr>
        <w:t>الثالثة</w:t>
      </w:r>
      <w:r>
        <w:rPr>
          <w:rtl w:val="true"/>
        </w:rPr>
        <w:t xml:space="preserve">: </w:t>
      </w:r>
      <w:r>
        <w:rPr>
          <w:rtl w:val="true"/>
        </w:rPr>
        <w:t>لا يجوز دفن الكافر في مقبرة المسلمين</w:t>
      </w:r>
      <w:bookmarkEnd w:id="930"/>
    </w:p>
    <w:p>
      <w:pPr>
        <w:pStyle w:val="BookText"/>
        <w:rPr/>
      </w:pPr>
      <w:r>
        <w:rPr>
          <w:rFonts w:ascii="Amiri" w:hAnsi="Amiri" w:eastAsia="Amiri" w:cs="Amiri"/>
          <w:color w:val="111111"/>
          <w:sz w:val="28"/>
          <w:sz w:val="28"/>
          <w:szCs w:val="28"/>
          <w:rtl w:val="true"/>
          <w:lang w:bidi="ar-SA"/>
        </w:rPr>
        <w:t>إجماعاً، حذراً عن تأذّيهم بعذابه، و لزوم مخالفة شرط الوقف مع إسبالها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دفن فيها وجب النبش و إخراجه، و قد سبق استثناء الحامل من مسلم</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3732507_3804643083"/>
      <w:bookmarkStart w:id="932" w:name="_Toc359"/>
      <w:bookmarkEnd w:id="931"/>
      <w:r>
        <w:rPr>
          <w:rtl w:val="true"/>
        </w:rPr>
        <w:t>الرابعة</w:t>
      </w:r>
      <w:r>
        <w:rPr>
          <w:rtl w:val="true"/>
        </w:rPr>
        <w:t xml:space="preserve">: </w:t>
      </w:r>
      <w:r>
        <w:rPr>
          <w:rtl w:val="true"/>
        </w:rPr>
        <w:t>يجوز الدفن عندنا في الليل</w:t>
      </w:r>
      <w:bookmarkEnd w:id="9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للخبر </w:t>
      </w:r>
      <w:r>
        <w:rPr>
          <w:rStyle w:val="FootnoteAnchor"/>
          <w:rtl w:val="true"/>
        </w:rPr>
        <w:footnoteReference w:id="2507"/>
      </w:r>
      <w:r>
        <w:rPr>
          <w:rFonts w:ascii="Amiri" w:hAnsi="Amiri" w:eastAsia="Amiri" w:cs="Amiri"/>
          <w:color w:val="111111"/>
          <w:sz w:val="28"/>
          <w:sz w:val="28"/>
          <w:szCs w:val="28"/>
          <w:rtl w:val="true"/>
          <w:lang w:bidi="ar-SA"/>
        </w:rPr>
        <w:t xml:space="preserve">و فعل النبي صلّى اللّٰه عليه و سلّم بذي النجادين </w:t>
      </w:r>
      <w:r>
        <w:rPr>
          <w:rStyle w:val="FootnoteAnchor"/>
          <w:rtl w:val="true"/>
        </w:rPr>
        <w:footnoteReference w:id="2508"/>
      </w:r>
      <w:r>
        <w:rPr>
          <w:rFonts w:ascii="Amiri" w:hAnsi="Amiri" w:eastAsia="Amiri" w:cs="Amiri"/>
          <w:color w:val="111111"/>
          <w:sz w:val="28"/>
          <w:sz w:val="28"/>
          <w:szCs w:val="28"/>
          <w:rtl w:val="true"/>
          <w:lang w:bidi="ar-SA"/>
        </w:rPr>
        <w:t xml:space="preserve">، و عليّ عليه السّلام بفاطمة عليها السّلام </w:t>
      </w:r>
      <w:r>
        <w:rPr>
          <w:rStyle w:val="FootnoteAnchor"/>
          <w:rtl w:val="true"/>
        </w:rPr>
        <w:footnoteReference w:id="2509"/>
      </w:r>
      <w:r>
        <w:rPr>
          <w:rFonts w:ascii="Amiri" w:hAnsi="Amiri" w:eastAsia="Amiri" w:cs="Amiri"/>
          <w:color w:val="111111"/>
          <w:sz w:val="28"/>
          <w:sz w:val="28"/>
          <w:szCs w:val="28"/>
          <w:rtl w:val="true"/>
          <w:lang w:bidi="ar-SA"/>
        </w:rPr>
        <w:t xml:space="preserve">و ولديه به عليهم السّلام </w:t>
      </w:r>
      <w:r>
        <w:rPr>
          <w:rStyle w:val="FootnoteAnchor"/>
          <w:rtl w:val="true"/>
        </w:rPr>
        <w:footnoteReference w:id="2510"/>
      </w:r>
      <w:r>
        <w:rPr>
          <w:rFonts w:ascii="Amiri" w:hAnsi="Amiri" w:eastAsia="Amiri" w:cs="Amiri"/>
          <w:color w:val="111111"/>
          <w:sz w:val="28"/>
          <w:sz w:val="28"/>
          <w:szCs w:val="28"/>
          <w:rtl w:val="true"/>
          <w:lang w:bidi="ar-SA"/>
        </w:rPr>
        <w:t xml:space="preserve">و الصحابة بالشيخين و عائشة </w:t>
      </w:r>
      <w:r>
        <w:rPr>
          <w:rStyle w:val="FootnoteAnchor"/>
          <w:rtl w:val="true"/>
        </w:rPr>
        <w:footnoteReference w:id="2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فخلاف بعض العامّة </w:t>
      </w:r>
      <w:r>
        <w:rPr>
          <w:rStyle w:val="FootnoteAnchor"/>
          <w:rtl w:val="true"/>
        </w:rPr>
        <w:footnoteReference w:id="2512"/>
      </w:r>
      <w:r>
        <w:rPr>
          <w:rFonts w:ascii="Amiri" w:hAnsi="Amiri" w:eastAsia="Amiri" w:cs="Amiri"/>
          <w:color w:val="111111"/>
          <w:sz w:val="28"/>
          <w:sz w:val="28"/>
          <w:szCs w:val="28"/>
          <w:rtl w:val="true"/>
          <w:lang w:bidi="ar-SA"/>
        </w:rPr>
        <w:t xml:space="preserve">لا عبرة به، و ما استندوا إليه من الخبر </w:t>
      </w:r>
      <w:r>
        <w:rPr>
          <w:rStyle w:val="FootnoteAnchor"/>
          <w:rtl w:val="true"/>
        </w:rPr>
        <w:footnoteReference w:id="2513"/>
      </w:r>
      <w:r>
        <w:rPr>
          <w:rFonts w:ascii="Amiri" w:hAnsi="Amiri" w:eastAsia="Amiri" w:cs="Amiri"/>
          <w:color w:val="111111"/>
          <w:sz w:val="28"/>
          <w:sz w:val="28"/>
          <w:szCs w:val="28"/>
          <w:rtl w:val="true"/>
          <w:lang w:bidi="ar-SA"/>
        </w:rPr>
        <w:t>لو ثبت لم يمنع الجواز</w:t>
      </w:r>
      <w:r>
        <w:rPr>
          <w:rFonts w:eastAsia="Amiri" w:cs="Amiri" w:ascii="Amiri" w:hAnsi="Amiri"/>
          <w:color w:val="111111"/>
          <w:sz w:val="28"/>
          <w:szCs w:val="28"/>
          <w:rtl w:val="true"/>
          <w:lang w:bidi="ar-SA"/>
        </w:rPr>
        <w:t>.</w:t>
      </w:r>
      <w:bookmarkStart w:id="933" w:name="pg2479_12013"/>
    </w:p>
    <w:p>
      <w:pPr>
        <w:pStyle w:val="Heading6"/>
        <w:numPr>
          <w:ilvl w:val="5"/>
          <w:numId w:val="1"/>
        </w:numPr>
        <w:rPr/>
      </w:pPr>
      <w:bookmarkStart w:id="934" w:name="__RefHeading___Toc3732509_3804643083"/>
      <w:bookmarkStart w:id="935" w:name="_Toc360"/>
      <w:bookmarkEnd w:id="933"/>
      <w:bookmarkEnd w:id="934"/>
      <w:r>
        <w:rPr>
          <w:rtl w:val="true"/>
        </w:rPr>
        <w:t>الخامسة</w:t>
      </w:r>
      <w:r>
        <w:rPr>
          <w:rtl w:val="true"/>
        </w:rPr>
        <w:t xml:space="preserve">: </w:t>
      </w:r>
      <w:r>
        <w:rPr>
          <w:rtl w:val="true"/>
        </w:rPr>
        <w:t>لو أوصى بدفنه في بيته أو ملكه</w:t>
      </w:r>
      <w:bookmarkEnd w:id="935"/>
    </w:p>
    <w:p>
      <w:pPr>
        <w:pStyle w:val="BookText"/>
        <w:rPr/>
      </w:pPr>
      <w:r>
        <w:rPr>
          <w:rFonts w:ascii="Amiri" w:hAnsi="Amiri" w:eastAsia="Amiri" w:cs="Amiri"/>
          <w:color w:val="111111"/>
          <w:sz w:val="28"/>
          <w:sz w:val="28"/>
          <w:szCs w:val="28"/>
          <w:rtl w:val="true"/>
          <w:lang w:bidi="ar-SA"/>
        </w:rPr>
        <w:t>، أو بدفن ما يتبرّك به معه صحّ مع الإجازة أو عدم الزيادة عن الثلث؛ لعموم إنفاذ الوصيّة بالمعروف</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3732511_3804643083"/>
      <w:bookmarkStart w:id="937" w:name="_Toc361"/>
      <w:bookmarkEnd w:id="936"/>
      <w:r>
        <w:rPr>
          <w:rtl w:val="true"/>
        </w:rPr>
        <w:t>السادسة</w:t>
      </w:r>
      <w:r>
        <w:rPr>
          <w:rtl w:val="true"/>
        </w:rPr>
        <w:t xml:space="preserve">: </w:t>
      </w:r>
      <w:r>
        <w:rPr>
          <w:rtl w:val="true"/>
        </w:rPr>
        <w:t>الدفن في ملك الغير بالإذن أو الاستعارة جائز بالإجماع</w:t>
      </w:r>
      <w:r>
        <w:rPr>
          <w:rtl w:val="true"/>
        </w:rPr>
        <w:t>.</w:t>
      </w:r>
      <w:bookmarkEnd w:id="937"/>
    </w:p>
    <w:p>
      <w:pPr>
        <w:pStyle w:val="BookText"/>
        <w:rPr/>
      </w:pPr>
      <w:r>
        <w:rPr>
          <w:rFonts w:ascii="Amiri" w:hAnsi="Amiri" w:eastAsia="Amiri" w:cs="Amiri"/>
          <w:color w:val="111111"/>
          <w:sz w:val="28"/>
          <w:sz w:val="28"/>
          <w:szCs w:val="28"/>
          <w:rtl w:val="true"/>
          <w:lang w:bidi="ar-SA"/>
        </w:rPr>
        <w:t>و رجوعه قبله جائز وفاقاً، و بعده غير جائز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العارية على العادة فيستمرّ إلى البلي، فقبله يحرم النبش، و بعده للزراعة و نحوها جائز</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3732513_3804643083"/>
      <w:bookmarkStart w:id="939" w:name="_Toc362"/>
      <w:bookmarkEnd w:id="938"/>
      <w:r>
        <w:rPr>
          <w:rtl w:val="true"/>
        </w:rPr>
        <w:t>السابعة</w:t>
      </w:r>
      <w:r>
        <w:rPr>
          <w:rtl w:val="true"/>
        </w:rPr>
        <w:t xml:space="preserve">: </w:t>
      </w:r>
      <w:r>
        <w:rPr>
          <w:rtl w:val="true"/>
        </w:rPr>
        <w:t>إذا مات الأغلف جهّز بلا ختان</w:t>
      </w:r>
      <w:bookmarkEnd w:id="939"/>
    </w:p>
    <w:p>
      <w:pPr>
        <w:pStyle w:val="BookText"/>
        <w:rPr/>
      </w:pPr>
      <w:r>
        <w:rPr>
          <w:rFonts w:ascii="Amiri" w:hAnsi="Amiri" w:eastAsia="Amiri" w:cs="Amiri"/>
          <w:color w:val="111111"/>
          <w:sz w:val="28"/>
          <w:sz w:val="28"/>
          <w:szCs w:val="28"/>
          <w:rtl w:val="true"/>
          <w:lang w:bidi="ar-SA"/>
        </w:rPr>
        <w:t>؛ لتحريم قطع عضو الميّت إجماعاً، و أيضاً الختان تكليف الحيّ فلا يتعلّق بالميّت</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3732515_3804643083"/>
      <w:bookmarkStart w:id="941" w:name="_Toc363"/>
      <w:bookmarkEnd w:id="940"/>
      <w:r>
        <w:rPr>
          <w:rtl w:val="true"/>
        </w:rPr>
        <w:t>الثامنة</w:t>
      </w:r>
      <w:r>
        <w:rPr>
          <w:rtl w:val="true"/>
        </w:rPr>
        <w:t xml:space="preserve">: </w:t>
      </w:r>
      <w:r>
        <w:rPr>
          <w:rtl w:val="true"/>
        </w:rPr>
        <w:t>يكره</w:t>
      </w:r>
      <w:r>
        <w:rPr>
          <w:rtl w:val="true"/>
        </w:rPr>
        <w:t>:</w:t>
      </w:r>
      <w:bookmarkEnd w:id="941"/>
    </w:p>
    <w:p>
      <w:pPr>
        <w:pStyle w:val="BookText"/>
        <w:rPr/>
      </w:pPr>
      <w:r>
        <w:rPr>
          <w:rFonts w:ascii="Amiri" w:hAnsi="Amiri" w:eastAsia="Amiri" w:cs="Amiri"/>
          <w:color w:val="111111"/>
          <w:sz w:val="28"/>
          <w:sz w:val="28"/>
          <w:szCs w:val="28"/>
          <w:rtl w:val="true"/>
          <w:lang w:bidi="ar-SA"/>
        </w:rPr>
        <w:t xml:space="preserve">الحدث في المقابر؛ للنبوي </w:t>
      </w:r>
      <w:r>
        <w:rPr>
          <w:rStyle w:val="FootnoteAnchor"/>
          <w:rtl w:val="true"/>
        </w:rPr>
        <w:footnoteReference w:id="2514"/>
      </w:r>
      <w:r>
        <w:rPr>
          <w:rFonts w:ascii="Amiri" w:hAnsi="Amiri" w:eastAsia="Amiri" w:cs="Amiri"/>
          <w:color w:val="111111"/>
          <w:sz w:val="28"/>
          <w:sz w:val="28"/>
          <w:szCs w:val="28"/>
          <w:rtl w:val="true"/>
          <w:lang w:bidi="ar-SA"/>
        </w:rPr>
        <w:t xml:space="preserve">و تأذّي الزائرين به، و الضحك؛ للمرسل و الخبر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يستحبّ خلع النعال فيها عندنا؛ للأصل و 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بعض العامّة باستحبابه </w:t>
      </w:r>
      <w:r>
        <w:rPr>
          <w:rStyle w:val="FootnoteAnchor"/>
          <w:rtl w:val="true"/>
        </w:rPr>
        <w:footnoteReference w:id="2516"/>
      </w:r>
      <w:r>
        <w:rPr>
          <w:rFonts w:ascii="Amiri" w:hAnsi="Amiri" w:eastAsia="Amiri" w:cs="Amiri"/>
          <w:color w:val="111111"/>
          <w:sz w:val="28"/>
          <w:sz w:val="28"/>
          <w:szCs w:val="28"/>
          <w:rtl w:val="true"/>
          <w:lang w:bidi="ar-SA"/>
        </w:rPr>
        <w:t xml:space="preserve">لا دليل له، و ما رووه من أمر النبي به </w:t>
      </w:r>
      <w:r>
        <w:rPr>
          <w:rStyle w:val="FootnoteAnchor"/>
          <w:rtl w:val="true"/>
        </w:rPr>
        <w:footnoteReference w:id="2517"/>
      </w:r>
      <w:r>
        <w:rPr>
          <w:rFonts w:ascii="Amiri" w:hAnsi="Amiri" w:eastAsia="Amiri" w:cs="Amiri"/>
          <w:color w:val="111111"/>
          <w:sz w:val="28"/>
          <w:sz w:val="28"/>
          <w:szCs w:val="28"/>
          <w:rtl w:val="true"/>
          <w:lang w:bidi="ar-SA"/>
        </w:rPr>
        <w:t xml:space="preserve">لم يثبت عندنا، و تصريح الفاضل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518"/>
      </w:r>
      <w:r>
        <w:rPr>
          <w:rFonts w:ascii="Amiri" w:hAnsi="Amiri" w:eastAsia="Amiri" w:cs="Amiri"/>
          <w:color w:val="111111"/>
          <w:sz w:val="28"/>
          <w:sz w:val="28"/>
          <w:szCs w:val="28"/>
          <w:rtl w:val="true"/>
          <w:lang w:bidi="ar-SA"/>
        </w:rPr>
        <w:t>متابعة لهم عجيب</w:t>
      </w:r>
      <w:r>
        <w:rPr>
          <w:rFonts w:eastAsia="Amiri" w:cs="Amiri" w:ascii="Amiri" w:hAnsi="Amiri"/>
          <w:color w:val="111111"/>
          <w:sz w:val="28"/>
          <w:szCs w:val="28"/>
          <w:rtl w:val="true"/>
          <w:lang w:bidi="ar-SA"/>
        </w:rPr>
        <w:t>.</w:t>
      </w:r>
      <w:bookmarkStart w:id="942" w:name="pg2479_12015"/>
    </w:p>
    <w:p>
      <w:pPr>
        <w:pStyle w:val="Heading6"/>
        <w:numPr>
          <w:ilvl w:val="5"/>
          <w:numId w:val="1"/>
        </w:numPr>
        <w:rPr/>
      </w:pPr>
      <w:bookmarkStart w:id="943" w:name="__RefHeading___Toc3732517_3804643083"/>
      <w:bookmarkStart w:id="944" w:name="_Toc364"/>
      <w:bookmarkEnd w:id="942"/>
      <w:bookmarkEnd w:id="943"/>
      <w:r>
        <w:rPr>
          <w:rtl w:val="true"/>
        </w:rPr>
        <w:t xml:space="preserve">فصل </w:t>
      </w:r>
      <w:r>
        <w:rPr>
          <w:rtl w:val="true"/>
        </w:rPr>
        <w:t>[</w:t>
      </w:r>
      <w:r>
        <w:rPr>
          <w:rtl w:val="true"/>
        </w:rPr>
        <w:t>حرمة النبش</w:t>
      </w:r>
      <w:r>
        <w:rPr>
          <w:rtl w:val="true"/>
        </w:rPr>
        <w:t>]</w:t>
      </w:r>
      <w:bookmarkEnd w:id="944"/>
    </w:p>
    <w:p>
      <w:pPr>
        <w:pStyle w:val="Heading6"/>
        <w:numPr>
          <w:ilvl w:val="5"/>
          <w:numId w:val="1"/>
        </w:numPr>
        <w:rPr/>
      </w:pPr>
      <w:bookmarkStart w:id="945" w:name="__RefHeading___Toc3732519_3804643083"/>
      <w:bookmarkStart w:id="946" w:name="_Toc365"/>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تحريم النبش مجمع عليه، و حكاية الإجماع عليه متكرّرة، و أدلّة قطع النبّاش </w:t>
      </w:r>
      <w:r>
        <w:rPr>
          <w:rStyle w:val="FootnoteAnchor"/>
          <w:rtl w:val="true"/>
        </w:rPr>
        <w:footnoteReference w:id="2519"/>
      </w:r>
      <w:r>
        <w:rPr>
          <w:rFonts w:ascii="Amiri" w:hAnsi="Amiri" w:eastAsia="Amiri" w:cs="Amiri"/>
          <w:color w:val="111111"/>
          <w:sz w:val="28"/>
          <w:sz w:val="28"/>
          <w:szCs w:val="28"/>
          <w:rtl w:val="true"/>
          <w:lang w:bidi="ar-SA"/>
        </w:rPr>
        <w:t>تؤكّده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كونه لمجرّد السرقة يدفعه تعليق الحكم في الخبر </w:t>
      </w:r>
      <w:r>
        <w:rPr>
          <w:rStyle w:val="FootnoteAnchor"/>
          <w:rtl w:val="true"/>
        </w:rPr>
        <w:footnoteReference w:id="2520"/>
      </w:r>
      <w:r>
        <w:rPr>
          <w:rFonts w:ascii="Amiri" w:hAnsi="Amiri" w:eastAsia="Amiri" w:cs="Amiri"/>
          <w:color w:val="111111"/>
          <w:sz w:val="28"/>
          <w:sz w:val="28"/>
          <w:szCs w:val="28"/>
          <w:rtl w:val="true"/>
          <w:lang w:bidi="ar-SA"/>
        </w:rPr>
        <w:t xml:space="preserve">عليهما، و في الآخر على سارق الموتى </w:t>
      </w:r>
      <w:r>
        <w:rPr>
          <w:rStyle w:val="FootnoteAnchor"/>
          <w:rtl w:val="true"/>
        </w:rPr>
        <w:footnoteReference w:id="2521"/>
      </w:r>
      <w:r>
        <w:rPr>
          <w:rFonts w:ascii="Amiri" w:hAnsi="Amiri" w:eastAsia="Amiri" w:cs="Amiri"/>
          <w:color w:val="111111"/>
          <w:sz w:val="28"/>
          <w:sz w:val="28"/>
          <w:szCs w:val="28"/>
          <w:rtl w:val="true"/>
          <w:lang w:bidi="ar-SA"/>
        </w:rPr>
        <w:t xml:space="preserve">، و في الصحيح و الخبر </w:t>
      </w:r>
      <w:r>
        <w:rPr>
          <w:rStyle w:val="FootnoteAnchor"/>
          <w:rtl w:val="true"/>
        </w:rPr>
        <w:footnoteReference w:id="2522"/>
      </w:r>
      <w:r>
        <w:rPr>
          <w:rFonts w:ascii="Amiri" w:hAnsi="Amiri" w:eastAsia="Amiri" w:cs="Amiri"/>
          <w:color w:val="111111"/>
          <w:sz w:val="28"/>
          <w:sz w:val="28"/>
          <w:szCs w:val="28"/>
          <w:rtl w:val="true"/>
          <w:lang w:bidi="ar-SA"/>
        </w:rPr>
        <w:t>على النبّاش</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3732521_3804643083"/>
      <w:bookmarkStart w:id="948" w:name="_Toc366"/>
      <w:bookmarkEnd w:id="947"/>
      <w:r>
        <w:rPr>
          <w:rtl w:val="true"/>
        </w:rPr>
        <w:t>و قد استثني صور</w:t>
      </w:r>
      <w:r>
        <w:rPr>
          <w:rtl w:val="true"/>
        </w:rPr>
        <w:t>:</w:t>
      </w:r>
      <w:bookmarkEnd w:id="948"/>
    </w:p>
    <w:p>
      <w:pPr>
        <w:pStyle w:val="Heading6"/>
        <w:numPr>
          <w:ilvl w:val="5"/>
          <w:numId w:val="1"/>
        </w:numPr>
        <w:rPr/>
      </w:pPr>
      <w:bookmarkStart w:id="949" w:name="__RefHeading___Toc3732523_3804643083"/>
      <w:bookmarkStart w:id="950" w:name="_Toc367"/>
      <w:bookmarkEnd w:id="949"/>
      <w:r>
        <w:rPr>
          <w:rtl w:val="true"/>
        </w:rPr>
        <w:t>الاولىٰ</w:t>
      </w:r>
      <w:r>
        <w:rPr>
          <w:rtl w:val="true"/>
        </w:rPr>
        <w:t>:</w:t>
      </w:r>
      <w:bookmarkEnd w:id="950"/>
    </w:p>
    <w:p>
      <w:pPr>
        <w:pStyle w:val="BookText"/>
        <w:rPr/>
      </w:pPr>
      <w:r>
        <w:rPr>
          <w:rFonts w:ascii="Amiri" w:hAnsi="Amiri" w:eastAsia="Amiri" w:cs="Amiri"/>
          <w:color w:val="111111"/>
          <w:sz w:val="28"/>
          <w:sz w:val="28"/>
          <w:szCs w:val="28"/>
          <w:rtl w:val="true"/>
          <w:lang w:bidi="ar-SA"/>
        </w:rPr>
        <w:t xml:space="preserve">أن يقع في القبر مال محترم، فيجوز النبش لأخذه إجماعاً؛ للنهي عن إضاعته </w:t>
      </w:r>
      <w:r>
        <w:rPr>
          <w:rStyle w:val="FootnoteAnchor"/>
          <w:rtl w:val="true"/>
        </w:rPr>
        <w:footnoteReference w:id="2523"/>
      </w:r>
      <w:r>
        <w:rPr>
          <w:rFonts w:ascii="Amiri" w:hAnsi="Amiri" w:eastAsia="Amiri" w:cs="Amiri"/>
          <w:color w:val="111111"/>
          <w:sz w:val="28"/>
          <w:sz w:val="28"/>
          <w:szCs w:val="28"/>
          <w:rtl w:val="true"/>
          <w:lang w:bidi="ar-SA"/>
        </w:rPr>
        <w:t>، و إن كره للقليل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مالكه قبول القيمة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3732525_3804643083"/>
      <w:bookmarkStart w:id="952" w:name="_Toc368"/>
      <w:bookmarkEnd w:id="951"/>
      <w:r>
        <w:rPr>
          <w:rtl w:val="true"/>
        </w:rPr>
        <w:t>الثانية</w:t>
      </w:r>
      <w:r>
        <w:rPr>
          <w:rtl w:val="true"/>
        </w:rPr>
        <w:t>:</w:t>
      </w:r>
      <w:bookmarkEnd w:id="952"/>
    </w:p>
    <w:p>
      <w:pPr>
        <w:pStyle w:val="BookText"/>
        <w:rPr/>
      </w:pPr>
      <w:r>
        <w:rPr>
          <w:rFonts w:ascii="Amiri" w:hAnsi="Amiri" w:eastAsia="Amiri" w:cs="Amiri"/>
          <w:color w:val="111111"/>
          <w:sz w:val="28"/>
          <w:sz w:val="28"/>
          <w:szCs w:val="28"/>
          <w:rtl w:val="true"/>
          <w:lang w:bidi="ar-SA"/>
        </w:rPr>
        <w:t>أن يدفن في أرض مغصوبة، فيجوز لمالكها قلعه؛ لتسلّطه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لأهله منعه؛ لتحريم شغل مال الغير، و كونه عدواناً واجب الإزالة و إن أدّى إلى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الأفضل له تركه بالعرض أو بدونه، سيّما مع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إمكان نقله إلى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ففي الجواز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دفن بإذنه جاز رجوعه قبل الطم لا بعده؛ لاقتضائه التأبيد إلى البلي</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3732527_3804643083"/>
      <w:bookmarkStart w:id="954" w:name="_Toc369"/>
      <w:bookmarkEnd w:id="953"/>
      <w:r>
        <w:rPr>
          <w:rtl w:val="true"/>
        </w:rPr>
        <w:t>الثالثة</w:t>
      </w:r>
      <w:r>
        <w:rPr>
          <w:rtl w:val="true"/>
        </w:rPr>
        <w:t>:</w:t>
      </w:r>
      <w:bookmarkEnd w:id="95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يكفّن في ثوب مغصوب، فيجوز نبشه لتخليص حقّ الغير مع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يلزمه أخذ القيمة،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Style w:val="FootnoteAnchor"/>
          <w:rtl w:val="true"/>
        </w:rPr>
        <w:footnoteReference w:id="2524"/>
      </w:r>
      <w:r>
        <w:rPr>
          <w:rFonts w:ascii="Amiri" w:hAnsi="Amiri" w:eastAsia="Amiri" w:cs="Amiri"/>
          <w:color w:val="111111"/>
          <w:sz w:val="28"/>
          <w:sz w:val="28"/>
          <w:szCs w:val="28"/>
          <w:rtl w:val="true"/>
          <w:lang w:bidi="ar-SA"/>
        </w:rPr>
        <w:t>لأنّه تجارة يشترط فيها</w:t>
      </w:r>
      <w:bookmarkStart w:id="955" w:name="pg2479_12017"/>
    </w:p>
    <w:p>
      <w:pPr>
        <w:pStyle w:val="BookText"/>
        <w:rPr/>
      </w:pPr>
      <w:bookmarkEnd w:id="955"/>
      <w:r>
        <w:rPr>
          <w:rFonts w:ascii="Amiri" w:hAnsi="Amiri" w:eastAsia="Amiri" w:cs="Amiri"/>
          <w:color w:val="111111"/>
          <w:sz w:val="28"/>
          <w:sz w:val="28"/>
          <w:szCs w:val="28"/>
          <w:rtl w:val="true"/>
          <w:lang w:bidi="ar-SA"/>
        </w:rPr>
        <w:t>التراضي، و احتجاجه بإمكان التخليص بدون هتكه ضعيف، مع أنّه ينتقض بالأرض المغصوبة، و التفرقة بينهما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الحرير بالمغصوب؛ لأنّ حقّ اللّٰه أوسع من حقّ الآدمي</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3732529_3804643083"/>
      <w:bookmarkStart w:id="957" w:name="_Toc370"/>
      <w:bookmarkEnd w:id="956"/>
      <w:r>
        <w:rPr>
          <w:rtl w:val="true"/>
        </w:rPr>
        <w:t>الرابعة</w:t>
      </w:r>
      <w:r>
        <w:rPr>
          <w:rtl w:val="true"/>
        </w:rPr>
        <w:t>:</w:t>
      </w:r>
      <w:bookmarkEnd w:id="957"/>
    </w:p>
    <w:p>
      <w:pPr>
        <w:pStyle w:val="BookText"/>
        <w:rPr/>
      </w:pPr>
      <w:r>
        <w:rPr>
          <w:rFonts w:ascii="Amiri" w:hAnsi="Amiri" w:eastAsia="Amiri" w:cs="Amiri"/>
          <w:color w:val="111111"/>
          <w:sz w:val="28"/>
          <w:sz w:val="28"/>
          <w:szCs w:val="28"/>
          <w:rtl w:val="true"/>
          <w:lang w:bidi="ar-SA"/>
        </w:rPr>
        <w:t>أن يصير الميّت رميماً، فيجوز نبشه حينئذٍ لدفن غيره بالإجماع، و يرجع في معرفة ذلك مع الشكّ إلى أهل الخبرة؛ لاختلافه باختلاف الترب و الأهوية، و لو ظنّه رميماً و ظهر بقاؤه وجب طمّه</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3732531_3804643083"/>
      <w:bookmarkStart w:id="959" w:name="_Toc371"/>
      <w:bookmarkEnd w:id="958"/>
      <w:r>
        <w:rPr>
          <w:rtl w:val="true"/>
        </w:rPr>
        <w:t>الخامسة</w:t>
      </w:r>
      <w:r>
        <w:rPr>
          <w:rtl w:val="true"/>
        </w:rPr>
        <w:t>:</w:t>
      </w:r>
      <w:bookmarkEnd w:id="959"/>
    </w:p>
    <w:p>
      <w:pPr>
        <w:pStyle w:val="BookText"/>
        <w:rPr/>
      </w:pPr>
      <w:r>
        <w:rPr>
          <w:rFonts w:ascii="Amiri" w:hAnsi="Amiri" w:eastAsia="Amiri" w:cs="Amiri"/>
          <w:color w:val="111111"/>
          <w:sz w:val="28"/>
          <w:sz w:val="28"/>
          <w:szCs w:val="28"/>
          <w:rtl w:val="true"/>
          <w:lang w:bidi="ar-SA"/>
        </w:rPr>
        <w:t>أن يقع الحاجة إلى مشاهدته للشهادة على عينه لإثبات الأحكام المترتّبة على موته، و حينئذٍ يجوز نبشه مع إمكان المعرفة ببقاء الصورة، و مع تغيّرها لا يجوز قطعاً</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3732533_3804643083"/>
      <w:bookmarkStart w:id="961" w:name="_Toc372"/>
      <w:bookmarkEnd w:id="960"/>
      <w:r>
        <w:rPr>
          <w:rtl w:val="true"/>
        </w:rPr>
        <w:t>السادسة</w:t>
      </w:r>
      <w:r>
        <w:rPr>
          <w:rtl w:val="true"/>
        </w:rPr>
        <w:t>:</w:t>
      </w:r>
      <w:bookmarkEnd w:id="961"/>
    </w:p>
    <w:p>
      <w:pPr>
        <w:pStyle w:val="BookText"/>
        <w:rPr/>
      </w:pPr>
      <w:r>
        <w:rPr>
          <w:rFonts w:ascii="Amiri" w:hAnsi="Amiri" w:eastAsia="Amiri" w:cs="Amiri"/>
          <w:color w:val="111111"/>
          <w:sz w:val="28"/>
          <w:sz w:val="28"/>
          <w:szCs w:val="28"/>
          <w:rtl w:val="true"/>
          <w:lang w:bidi="ar-SA"/>
        </w:rPr>
        <w:t>أن يدفن بلا غسل أو كفن أو إلى غير القبلة، فإنّ الظاهر جواز نبشه حينئذٍ مع عدم التقطع؛ لتوقّف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بعضهم </w:t>
      </w:r>
      <w:r>
        <w:rPr>
          <w:rStyle w:val="FootnoteAnchor"/>
          <w:rtl w:val="true"/>
        </w:rPr>
        <w:footnoteReference w:id="2525"/>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دفن في أرض ثمّ بيعت لم يجز للمشتري نقله منها؛ لسبق الإذن و تحريم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2526"/>
      </w:r>
      <w:r>
        <w:rPr>
          <w:rFonts w:ascii="Amiri" w:hAnsi="Amiri" w:eastAsia="Amiri" w:cs="Amiri"/>
          <w:color w:val="111111"/>
          <w:sz w:val="28"/>
          <w:sz w:val="28"/>
          <w:szCs w:val="28"/>
          <w:rtl w:val="true"/>
          <w:lang w:bidi="ar-SA"/>
        </w:rPr>
        <w:t>لا عبرة به، فلو علم به قبل البيع لزم و إلّا تخيّر بين الفسخ و الإمضاء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ظهر كونها مغصوبة، فقيل بالجواز </w:t>
      </w:r>
      <w:r>
        <w:rPr>
          <w:rStyle w:val="FootnoteAnchor"/>
          <w:rtl w:val="true"/>
        </w:rPr>
        <w:footnoteReference w:id="2527"/>
      </w:r>
      <w:r>
        <w:rPr>
          <w:rFonts w:ascii="Amiri" w:hAnsi="Amiri" w:eastAsia="Amiri" w:cs="Amiri"/>
          <w:color w:val="111111"/>
          <w:sz w:val="28"/>
          <w:sz w:val="28"/>
          <w:szCs w:val="28"/>
          <w:rtl w:val="true"/>
          <w:lang w:bidi="ar-SA"/>
        </w:rPr>
        <w:t xml:space="preserve">، و ظاهر الفاضلين إجبار المالك على البيع </w:t>
      </w:r>
      <w:r>
        <w:rPr>
          <w:rStyle w:val="FootnoteAnchor"/>
          <w:rtl w:val="true"/>
        </w:rPr>
        <w:footnoteReference w:id="2528"/>
      </w:r>
      <w:r>
        <w:rPr>
          <w:rFonts w:ascii="Amiri" w:hAnsi="Amiri" w:eastAsia="Amiri" w:cs="Amiri"/>
          <w:color w:val="111111"/>
          <w:sz w:val="28"/>
          <w:sz w:val="28"/>
          <w:szCs w:val="28"/>
          <w:rtl w:val="true"/>
          <w:lang w:bidi="ar-SA"/>
        </w:rPr>
        <w:t>لتحريم النبش و سبق الإذن المقتضي للتأبيد إلى البلي</w:t>
      </w:r>
      <w:r>
        <w:rPr>
          <w:rFonts w:eastAsia="Amiri" w:cs="Amiri" w:ascii="Amiri" w:hAnsi="Amiri"/>
          <w:color w:val="111111"/>
          <w:sz w:val="28"/>
          <w:szCs w:val="28"/>
          <w:rtl w:val="true"/>
          <w:lang w:bidi="ar-SA"/>
        </w:rPr>
        <w:t>.</w:t>
      </w:r>
      <w:bookmarkStart w:id="962" w:name="pg2479_12019"/>
    </w:p>
    <w:p>
      <w:pPr>
        <w:pStyle w:val="Heading6"/>
        <w:numPr>
          <w:ilvl w:val="5"/>
          <w:numId w:val="1"/>
        </w:numPr>
        <w:rPr/>
      </w:pPr>
      <w:bookmarkStart w:id="963" w:name="__RefHeading___Toc3732535_3804643083"/>
      <w:bookmarkStart w:id="964" w:name="_Toc373"/>
      <w:bookmarkEnd w:id="962"/>
      <w:bookmarkEnd w:id="963"/>
      <w:r>
        <w:rPr>
          <w:rtl w:val="true"/>
        </w:rPr>
        <w:t>فصل النقل إلىٰ غير المشاهد قبل الدفن مكروه</w:t>
      </w:r>
      <w:bookmarkEnd w:id="964"/>
    </w:p>
    <w:p>
      <w:pPr>
        <w:pStyle w:val="BookText"/>
        <w:rPr/>
      </w:pPr>
      <w:r>
        <w:rPr>
          <w:rFonts w:ascii="Amiri" w:hAnsi="Amiri" w:eastAsia="Amiri" w:cs="Amiri"/>
          <w:color w:val="111111"/>
          <w:sz w:val="28"/>
          <w:sz w:val="28"/>
          <w:szCs w:val="28"/>
          <w:rtl w:val="true"/>
          <w:lang w:bidi="ar-SA"/>
        </w:rPr>
        <w:t xml:space="preserve">؛ للإجماع و الأمر بالتعجيل </w:t>
      </w:r>
      <w:r>
        <w:rPr>
          <w:rStyle w:val="FootnoteAnchor"/>
          <w:rtl w:val="true"/>
        </w:rPr>
        <w:footnoteReference w:id="2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حرام؛ للوفاق و عدم ما يقتضيه مع إيجابه الهتك و المثلة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إليها قبله مستحبّ بالإجماع المحقّق و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2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جائز على الأظهر، وفاقاً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على الأوّل خبر اليماني </w:t>
      </w:r>
      <w:r>
        <w:rPr>
          <w:rStyle w:val="FootnoteAnchor"/>
          <w:rtl w:val="true"/>
        </w:rPr>
        <w:footnoteReference w:id="2531"/>
      </w:r>
      <w:r>
        <w:rPr>
          <w:rFonts w:ascii="Amiri" w:hAnsi="Amiri" w:eastAsia="Amiri" w:cs="Amiri"/>
          <w:color w:val="111111"/>
          <w:sz w:val="28"/>
          <w:sz w:val="28"/>
          <w:szCs w:val="28"/>
          <w:rtl w:val="true"/>
          <w:lang w:bidi="ar-SA"/>
        </w:rPr>
        <w:t xml:space="preserve">، و الخبر المصرّح بأفضليّة نقل من مات في العرفات إلى الحرم من دفنه فيه </w:t>
      </w:r>
      <w:r>
        <w:rPr>
          <w:rStyle w:val="FootnoteAnchor"/>
          <w:rtl w:val="true"/>
        </w:rPr>
        <w:footnoteReference w:id="2532"/>
      </w:r>
      <w:r>
        <w:rPr>
          <w:rFonts w:ascii="Amiri" w:hAnsi="Amiri" w:eastAsia="Amiri" w:cs="Amiri"/>
          <w:color w:val="111111"/>
          <w:sz w:val="28"/>
          <w:sz w:val="28"/>
          <w:szCs w:val="28"/>
          <w:rtl w:val="true"/>
          <w:lang w:bidi="ar-SA"/>
        </w:rPr>
        <w:t xml:space="preserve">، و حمل يوسف أباه </w:t>
      </w:r>
      <w:r>
        <w:rPr>
          <w:rStyle w:val="FootnoteAnchor"/>
          <w:rtl w:val="true"/>
        </w:rPr>
        <w:footnoteReference w:id="2533"/>
      </w:r>
      <w:r>
        <w:rPr>
          <w:rFonts w:ascii="Amiri" w:hAnsi="Amiri" w:eastAsia="Amiri" w:cs="Amiri"/>
          <w:color w:val="111111"/>
          <w:sz w:val="28"/>
          <w:sz w:val="28"/>
          <w:szCs w:val="28"/>
          <w:rtl w:val="true"/>
          <w:lang w:bidi="ar-SA"/>
        </w:rPr>
        <w:t xml:space="preserve">في تابوت لمّا مات إلى بيت المقدس، كما نقله الطبرسي مرسلًا </w:t>
      </w:r>
      <w:r>
        <w:rPr>
          <w:rStyle w:val="FootnoteAnchor"/>
          <w:rtl w:val="true"/>
        </w:rPr>
        <w:footnoteReference w:id="2534"/>
      </w:r>
      <w:r>
        <w:rPr>
          <w:rFonts w:ascii="Amiri" w:hAnsi="Amiri" w:eastAsia="Amiri" w:cs="Amiri"/>
          <w:color w:val="111111"/>
          <w:sz w:val="28"/>
          <w:sz w:val="28"/>
          <w:szCs w:val="28"/>
          <w:rtl w:val="true"/>
          <w:lang w:bidi="ar-SA"/>
        </w:rPr>
        <w:t xml:space="preserve">، و الراوندي في الصحيح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عليهما بعد الأصل تصريح الشيخين بورود خبر بالجواز بعده </w:t>
      </w:r>
      <w:r>
        <w:rPr>
          <w:rStyle w:val="FootnoteAnchor"/>
          <w:rtl w:val="true"/>
        </w:rPr>
        <w:footnoteReference w:id="2536"/>
      </w:r>
      <w:r>
        <w:rPr>
          <w:rFonts w:ascii="Amiri" w:hAnsi="Amiri" w:eastAsia="Amiri" w:cs="Amiri"/>
          <w:color w:val="111111"/>
          <w:sz w:val="28"/>
          <w:sz w:val="28"/>
          <w:szCs w:val="28"/>
          <w:rtl w:val="true"/>
          <w:lang w:bidi="ar-SA"/>
        </w:rPr>
        <w:t xml:space="preserve">، و نقل موسى عظام يوسف عليهما السّلام من شاطئ النيل إلى الشام كما رواه الصدوق </w:t>
      </w:r>
      <w:r>
        <w:rPr>
          <w:rStyle w:val="FootnoteAnchor"/>
          <w:rtl w:val="true"/>
        </w:rPr>
        <w:footnoteReference w:id="2537"/>
      </w:r>
      <w:r>
        <w:rPr>
          <w:rFonts w:ascii="Amiri" w:hAnsi="Amiri" w:eastAsia="Amiri" w:cs="Amiri"/>
          <w:color w:val="111111"/>
          <w:sz w:val="28"/>
          <w:sz w:val="28"/>
          <w:szCs w:val="28"/>
          <w:rtl w:val="true"/>
          <w:lang w:bidi="ar-SA"/>
        </w:rPr>
        <w:t xml:space="preserve">، و نوح عليه السّلام عظام آدم عليه السّلام إلى الغري </w:t>
      </w:r>
      <w:r>
        <w:rPr>
          <w:rStyle w:val="FootnoteAnchor"/>
          <w:rtl w:val="true"/>
        </w:rPr>
        <w:footnoteReference w:id="2538"/>
      </w:r>
      <w:r>
        <w:rPr>
          <w:rFonts w:ascii="Amiri" w:hAnsi="Amiri" w:eastAsia="Amiri" w:cs="Amiri"/>
          <w:color w:val="111111"/>
          <w:sz w:val="28"/>
          <w:sz w:val="28"/>
          <w:szCs w:val="28"/>
          <w:rtl w:val="true"/>
          <w:lang w:bidi="ar-SA"/>
        </w:rPr>
        <w:t>، و الجواز بعده يوجب الجواز قبله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حسن طلب البركة و الشفاعة بالمجاورة؛ فإنّ الضرورة قاضية بحسن التمسّك بمن له أهليّة الإغاثة و الشفاعة بالرحلة و الانقطاع إليه، و دوام</w:t>
      </w:r>
    </w:p>
    <w:p>
      <w:pPr>
        <w:pStyle w:val="BookText"/>
        <w:rPr/>
      </w:pPr>
      <w:r>
        <w:rPr>
          <w:rFonts w:ascii="Amiri" w:hAnsi="Amiri" w:eastAsia="Amiri" w:cs="Amiri"/>
          <w:color w:val="111111"/>
          <w:sz w:val="28"/>
          <w:sz w:val="28"/>
          <w:szCs w:val="28"/>
          <w:rtl w:val="true"/>
          <w:lang w:bidi="ar-SA"/>
        </w:rPr>
        <w:t>الجوار و الحضور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شبهة في أنّ النفوس الضعيفة العاجزة عن الصعود إلى مستقرّ الرحمة و الكرامة إذا انقطعت إلى بعض النفوس القويّة السعيدة و النجاة إليه يجذبها بقوّة ملكوتيّة إلهيّة، و يدخلها في زمرة السعداء و يلحقها بحزب اللّٰه في روضات الاعتلاء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فرع أن ينعقد ذلك في قلبه قبل موته، و يتيقّن بأنّه بعده يحصل له هذا الجوار، و ينال لأجله الكرامة و الشفاعة ممّن هاجر إليه من النفوس القدسيّة المؤثّرة بإذن اللّٰه، فمن أوصى بهذا النقل و مات متمسّكاً بهم معتقداً إيصاله إلى جوارهم يناله بركتهم و شفاعتهم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خلى قلبه عن ذلك، و لم يعتقد فيه الوصول و الإيصال، و لم يوص بذلك، فمجرّد نقل جثّته بفعل الغير لا ينفعه كثير فائدة؛ إذ تأثير العمل و نفعه بعد تصوّره و العلم بفائدته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استحباب النقل و رجحانه و لو قبل الدفن فرع الوصيّة و إن لم يتوقّف جوازه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اشتراطه بعدم خوف التقطّع و الانفجار؛ إذ حرمة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لأدلّة النقل قبل الدفن سوى 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Style w:val="FootnoteAnchor"/>
          <w:rtl w:val="true"/>
        </w:rPr>
        <w:footnoteReference w:id="2539"/>
      </w:r>
      <w:r>
        <w:rPr>
          <w:rFonts w:ascii="Amiri" w:hAnsi="Amiri" w:eastAsia="Amiri" w:cs="Amiri"/>
          <w:color w:val="111111"/>
          <w:sz w:val="28"/>
          <w:sz w:val="28"/>
          <w:szCs w:val="28"/>
          <w:rtl w:val="true"/>
          <w:lang w:bidi="ar-SA"/>
        </w:rPr>
        <w:t>و لا عبرة به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المشهور على عدم جوازه بعده إيجابه النبش و الهتك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 جوازهما إذا لم يؤدّ إلى ما ذكر، على أنّه بعد حصول النبش لا تحريم إجماعاً، مع أنّه قد يحصل بفعل غير المكلّف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استحباب النقل أيضاً إلى مقبرة بها قوم صالحون بالشرط</w:t>
      </w:r>
      <w:bookmarkStart w:id="965" w:name="pg2479_12023"/>
    </w:p>
    <w:p>
      <w:pPr>
        <w:pStyle w:val="BookText"/>
        <w:rPr/>
      </w:pPr>
      <w:bookmarkEnd w:id="965"/>
      <w:r>
        <w:rPr>
          <w:rFonts w:ascii="Amiri" w:hAnsi="Amiri" w:eastAsia="Amiri" w:cs="Amiri"/>
          <w:color w:val="111111"/>
          <w:sz w:val="28"/>
          <w:sz w:val="28"/>
          <w:szCs w:val="28"/>
          <w:rtl w:val="true"/>
          <w:lang w:bidi="ar-SA"/>
        </w:rPr>
        <w:t xml:space="preserve">المذكور، كما ذكره الشهيد و غيره </w:t>
      </w:r>
      <w:r>
        <w:rPr>
          <w:rStyle w:val="FootnoteAnchor"/>
          <w:rtl w:val="true"/>
        </w:rPr>
        <w:footnoteReference w:id="2540"/>
      </w:r>
      <w:r>
        <w:rPr>
          <w:rFonts w:ascii="Amiri" w:hAnsi="Amiri" w:eastAsia="Amiri" w:cs="Amiri"/>
          <w:color w:val="111111"/>
          <w:sz w:val="28"/>
          <w:sz w:val="28"/>
          <w:szCs w:val="28"/>
          <w:rtl w:val="true"/>
          <w:lang w:bidi="ar-SA"/>
        </w:rPr>
        <w:t>، فإنّ مجاورتهم مع ما ذكر توجب الاستفاضة منهم قطعاً</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3732537_3804643083"/>
      <w:bookmarkStart w:id="967" w:name="_Toc374"/>
      <w:bookmarkEnd w:id="966"/>
      <w:r>
        <w:rPr>
          <w:rtl w:val="true"/>
        </w:rPr>
        <w:t xml:space="preserve">فصل </w:t>
      </w:r>
      <w:r>
        <w:rPr>
          <w:rtl w:val="true"/>
        </w:rPr>
        <w:t>[</w:t>
      </w:r>
      <w:r>
        <w:rPr>
          <w:rtl w:val="true"/>
        </w:rPr>
        <w:t>تعزية أهل المصاب</w:t>
      </w:r>
      <w:r>
        <w:rPr>
          <w:rtl w:val="true"/>
        </w:rPr>
        <w:t>]</w:t>
      </w:r>
      <w:bookmarkEnd w:id="967"/>
    </w:p>
    <w:p>
      <w:pPr>
        <w:pStyle w:val="BookText"/>
        <w:rPr/>
      </w:pPr>
      <w:r>
        <w:rPr>
          <w:rFonts w:ascii="Amiri" w:hAnsi="Amiri" w:eastAsia="Amiri" w:cs="Amiri"/>
          <w:color w:val="111111"/>
          <w:sz w:val="28"/>
          <w:sz w:val="28"/>
          <w:szCs w:val="28"/>
          <w:rtl w:val="true"/>
          <w:lang w:bidi="ar-SA"/>
        </w:rPr>
        <w:t xml:space="preserve">التعزية مستحبّة بالإجماع و المستفيضة </w:t>
      </w:r>
      <w:r>
        <w:rPr>
          <w:rStyle w:val="FootnoteAnchor"/>
          <w:rtl w:val="true"/>
        </w:rPr>
        <w:footnoteReference w:id="2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تحصل بكلّ لفظ يفيد طلب حمل المصاب على الصبر، و الأفضل أن تكون بإحدى العبارات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جائزة قبل الدفن و بعده؛ للصحيح </w:t>
      </w:r>
      <w:r>
        <w:rPr>
          <w:rStyle w:val="FootnoteAnchor"/>
          <w:rtl w:val="true"/>
        </w:rPr>
        <w:footnoteReference w:id="2542"/>
      </w:r>
      <w:r>
        <w:rPr>
          <w:rFonts w:ascii="Amiri" w:hAnsi="Amiri" w:eastAsia="Amiri" w:cs="Amiri"/>
          <w:color w:val="111111"/>
          <w:sz w:val="28"/>
          <w:sz w:val="28"/>
          <w:szCs w:val="28"/>
          <w:rtl w:val="true"/>
          <w:lang w:bidi="ar-SA"/>
        </w:rPr>
        <w:t xml:space="preserve">، و الأفضل كونها بعده؛ للمراسيل الثلاث </w:t>
      </w:r>
      <w:r>
        <w:rPr>
          <w:rStyle w:val="FootnoteAnchor"/>
          <w:rtl w:val="true"/>
        </w:rPr>
        <w:footnoteReference w:id="2543"/>
      </w:r>
      <w:r>
        <w:rPr>
          <w:rFonts w:ascii="Amiri" w:hAnsi="Amiri" w:eastAsia="Amiri" w:cs="Amiri"/>
          <w:color w:val="111111"/>
          <w:sz w:val="28"/>
          <w:sz w:val="28"/>
          <w:szCs w:val="28"/>
          <w:rtl w:val="true"/>
          <w:lang w:bidi="ar-SA"/>
        </w:rPr>
        <w:t>، و لاشتغالهم بالتجهيز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مستحبّة لكلّ مصاب و لو كان صغيراً أو أُنثى؛ للعموم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الرضوي إنّ تعزية اليتيم أن يمسح رأسه </w:t>
      </w:r>
      <w:r>
        <w:rPr>
          <w:rStyle w:val="FootnoteAnchor"/>
          <w:rtl w:val="true"/>
        </w:rPr>
        <w:footnoteReference w:id="2545"/>
      </w:r>
      <w:r>
        <w:rPr>
          <w:rFonts w:ascii="IRNazanin" w:hAnsi="IRNazanin" w:eastAsia="IRNazanin"/>
          <w:color w:val="111111"/>
          <w:sz w:val="28"/>
          <w:sz w:val="28"/>
          <w:szCs w:val="28"/>
          <w:rtl w:val="true"/>
          <w:lang w:bidi="fa-IR"/>
        </w:rPr>
        <w:t xml:space="preserve">، و به أفتى الصدوق </w:t>
      </w:r>
      <w:r>
        <w:rPr>
          <w:rStyle w:val="FootnoteAnchor"/>
          <w:rtl w:val="true"/>
        </w:rPr>
        <w:footnoteReference w:id="2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ورد في فضله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أيّامها ثلاثة؛ للظواهر،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لأكثرها </w:t>
      </w:r>
      <w:r>
        <w:rPr>
          <w:rStyle w:val="FootnoteAnchor"/>
          <w:rtl w:val="true"/>
        </w:rPr>
        <w:footnoteReference w:id="2547"/>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ادّعى الإجماع على كراهة الجلوس لها أكثر من يوم </w:t>
      </w:r>
      <w:r>
        <w:rPr>
          <w:rStyle w:val="FootnoteAnchor"/>
          <w:rtl w:val="true"/>
        </w:rPr>
        <w:footnoteReference w:id="2548"/>
      </w:r>
      <w:r>
        <w:rPr>
          <w:rFonts w:ascii="IRNazanin" w:hAnsi="IRNazanin" w:eastAsia="IRNazanin"/>
          <w:color w:val="111111"/>
          <w:sz w:val="28"/>
          <w:sz w:val="28"/>
          <w:szCs w:val="28"/>
          <w:rtl w:val="true"/>
          <w:lang w:bidi="fa-IR"/>
        </w:rPr>
        <w:t>، و هو أضعف</w:t>
      </w:r>
      <w:r>
        <w:rPr>
          <w:rFonts w:eastAsia="IRNazanin" w:cs="IRNazanin"/>
          <w:color w:val="111111"/>
          <w:sz w:val="28"/>
          <w:szCs w:val="28"/>
          <w:rtl w:val="true"/>
          <w:lang w:bidi="fa-IR"/>
        </w:rPr>
        <w:t>.</w:t>
      </w:r>
      <w:bookmarkStart w:id="968" w:name="pg2479_12025"/>
    </w:p>
    <w:p>
      <w:pPr>
        <w:pStyle w:val="BookText"/>
        <w:rPr/>
      </w:pPr>
      <w:bookmarkEnd w:id="968"/>
      <w:r>
        <w:rPr>
          <w:rFonts w:ascii="Amiri" w:hAnsi="Amiri" w:eastAsia="Amiri" w:cs="Amiri"/>
          <w:color w:val="111111"/>
          <w:sz w:val="28"/>
          <w:sz w:val="28"/>
          <w:szCs w:val="28"/>
          <w:rtl w:val="true"/>
          <w:lang w:bidi="ar-SA"/>
        </w:rPr>
        <w:t xml:space="preserve">و يستحبّ فيها للأقارب و الجيران إطعام أهل الميّت بالإجماع و المستفيضة </w:t>
      </w:r>
      <w:r>
        <w:rPr>
          <w:rStyle w:val="FootnoteAnchor"/>
          <w:rtl w:val="true"/>
        </w:rPr>
        <w:footnoteReference w:id="2549"/>
      </w:r>
      <w:r>
        <w:rPr>
          <w:rFonts w:ascii="Amiri" w:hAnsi="Amiri" w:eastAsia="Amiri" w:cs="Amiri"/>
          <w:color w:val="111111"/>
          <w:sz w:val="28"/>
          <w:sz w:val="28"/>
          <w:szCs w:val="28"/>
          <w:rtl w:val="true"/>
          <w:lang w:bidi="ar-SA"/>
        </w:rPr>
        <w:t xml:space="preserve">، و لاشتغالهم بالمصيبة، فلا يمكنهم فعل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إعانة لهم و جبر لانكسارهم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أوصى الميّت بذلك نفذت وصيّته؛ لفعل الباقر عليه السّلام </w:t>
      </w:r>
      <w:r>
        <w:rPr>
          <w:rStyle w:val="FootnoteAnchor"/>
          <w:rtl w:val="true"/>
        </w:rPr>
        <w:footnoteReference w:id="2550"/>
      </w:r>
      <w:r>
        <w:rPr>
          <w:rFonts w:ascii="Amiri" w:hAnsi="Amiri" w:eastAsia="Amiri" w:cs="Amiri"/>
          <w:color w:val="111111"/>
          <w:sz w:val="28"/>
          <w:sz w:val="28"/>
          <w:szCs w:val="28"/>
          <w:rtl w:val="true"/>
          <w:lang w:bidi="ar-SA"/>
        </w:rPr>
        <w:t>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يسقط عن الغير؛ لعدم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تفويضه إلى غير أهله لاشتغالهم بالمصاب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الأكل عندهم؛ للمرسل </w:t>
      </w:r>
      <w:r>
        <w:rPr>
          <w:rStyle w:val="FootnoteAnchor"/>
          <w:rtl w:val="true"/>
        </w:rPr>
        <w:footnoteReference w:id="2551"/>
      </w:r>
      <w:r>
        <w:rPr>
          <w:rFonts w:ascii="Amiri" w:hAnsi="Amiri" w:eastAsia="Amiri" w:cs="Amiri"/>
          <w:color w:val="111111"/>
          <w:sz w:val="28"/>
          <w:sz w:val="28"/>
          <w:szCs w:val="28"/>
          <w:rtl w:val="true"/>
          <w:lang w:bidi="ar-SA"/>
        </w:rPr>
        <w:t>، إلّا عند الضرورة</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3732539_3804643083"/>
      <w:bookmarkStart w:id="970" w:name="_Toc375"/>
      <w:bookmarkEnd w:id="969"/>
      <w:r>
        <w:rPr>
          <w:rtl w:val="true"/>
        </w:rPr>
        <w:t xml:space="preserve">فصل </w:t>
      </w:r>
      <w:r>
        <w:rPr>
          <w:rtl w:val="true"/>
        </w:rPr>
        <w:t>[</w:t>
      </w:r>
      <w:r>
        <w:rPr>
          <w:rtl w:val="true"/>
        </w:rPr>
        <w:t>البكاء على الميّت</w:t>
      </w:r>
      <w:r>
        <w:rPr>
          <w:rtl w:val="true"/>
        </w:rPr>
        <w:t>]</w:t>
      </w:r>
      <w:bookmarkEnd w:id="970"/>
    </w:p>
    <w:p>
      <w:pPr>
        <w:pStyle w:val="BookText"/>
        <w:rPr/>
      </w:pPr>
      <w:r>
        <w:rPr>
          <w:rFonts w:ascii="Amiri" w:hAnsi="Amiri" w:eastAsia="Amiri" w:cs="Amiri"/>
          <w:color w:val="111111"/>
          <w:sz w:val="28"/>
          <w:sz w:val="28"/>
          <w:szCs w:val="28"/>
          <w:rtl w:val="true"/>
          <w:lang w:bidi="ar-SA"/>
        </w:rPr>
        <w:t xml:space="preserve">جواز البكاء على الميّت مجمع عليه، و النصوص به مستفيضة </w:t>
      </w:r>
      <w:r>
        <w:rPr>
          <w:rStyle w:val="FootnoteAnchor"/>
          <w:rtl w:val="true"/>
        </w:rPr>
        <w:footnoteReference w:id="2552"/>
      </w:r>
      <w:r>
        <w:rPr>
          <w:rFonts w:ascii="Amiri" w:hAnsi="Amiri" w:eastAsia="Amiri" w:cs="Amiri"/>
          <w:color w:val="111111"/>
          <w:sz w:val="28"/>
          <w:sz w:val="28"/>
          <w:szCs w:val="28"/>
          <w:rtl w:val="true"/>
          <w:lang w:bidi="ar-SA"/>
        </w:rPr>
        <w:t xml:space="preserve">، و ما نقل من تعذيب الميّت ببكاء أهله </w:t>
      </w:r>
      <w:r>
        <w:rPr>
          <w:rStyle w:val="FootnoteAnchor"/>
          <w:rtl w:val="true"/>
        </w:rPr>
        <w:footnoteReference w:id="2553"/>
      </w:r>
      <w:r>
        <w:rPr>
          <w:rFonts w:ascii="Amiri" w:hAnsi="Amiri" w:eastAsia="Amiri" w:cs="Amiri"/>
          <w:color w:val="111111"/>
          <w:sz w:val="28"/>
          <w:sz w:val="28"/>
          <w:szCs w:val="28"/>
          <w:rtl w:val="true"/>
          <w:lang w:bidi="ar-SA"/>
        </w:rPr>
        <w:t>عاميّ لا عبرة 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جواز النوح عليه بالحقّ لا بالباطل، وفاقاً للمعظم؛ لنقل الإجماع </w:t>
      </w:r>
      <w:r>
        <w:rPr>
          <w:rStyle w:val="FootnoteAnchor"/>
          <w:rtl w:val="true"/>
        </w:rPr>
        <w:footnoteReference w:id="2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المستفيضة المجوّزة الواردة في موارد مختلفة و الأخبار الناهية عنه، بحمل الاولى على الحقّ و الثانية على الباطل</w:t>
      </w:r>
      <w:r>
        <w:rPr>
          <w:rFonts w:eastAsia="Amiri" w:cs="Amiri" w:ascii="Amiri" w:hAnsi="Amiri"/>
          <w:color w:val="111111"/>
          <w:sz w:val="28"/>
          <w:szCs w:val="28"/>
          <w:rtl w:val="true"/>
          <w:lang w:bidi="ar-SA"/>
        </w:rPr>
        <w:t>.</w:t>
      </w:r>
      <w:bookmarkStart w:id="971" w:name="pg2479_12027"/>
    </w:p>
    <w:p>
      <w:pPr>
        <w:pStyle w:val="BookText"/>
        <w:rPr/>
      </w:pPr>
      <w:bookmarkEnd w:id="971"/>
      <w:r>
        <w:rPr>
          <w:rFonts w:ascii="Amiri" w:hAnsi="Amiri" w:eastAsia="Amiri" w:cs="Amiri"/>
          <w:color w:val="111111"/>
          <w:sz w:val="28"/>
          <w:sz w:val="28"/>
          <w:szCs w:val="28"/>
          <w:rtl w:val="true"/>
          <w:lang w:bidi="ar-SA"/>
        </w:rPr>
        <w:t xml:space="preserve">و قيل بتحريمه مطلقاً </w:t>
      </w:r>
      <w:r>
        <w:rPr>
          <w:rStyle w:val="FootnoteAnchor"/>
          <w:rtl w:val="true"/>
        </w:rPr>
        <w:footnoteReference w:id="2555"/>
      </w:r>
      <w:r>
        <w:rPr>
          <w:rFonts w:ascii="Amiri" w:hAnsi="Amiri" w:eastAsia="Amiri" w:cs="Amiri"/>
          <w:color w:val="111111"/>
          <w:sz w:val="28"/>
          <w:sz w:val="28"/>
          <w:szCs w:val="28"/>
          <w:rtl w:val="true"/>
          <w:lang w:bidi="ar-SA"/>
        </w:rPr>
        <w:t>أخذاً بإطلاق الثانية،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تحريم اللطم و الخدش و جزّ الشعر؛ لما فيه من السخط لقضاء اللّٰه، و يدلّ عليه بعض الأخبار </w:t>
      </w:r>
      <w:r>
        <w:rPr>
          <w:rStyle w:val="FootnoteAnchor"/>
          <w:rtl w:val="true"/>
        </w:rPr>
        <w:footnoteReference w:id="25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شقّ الثوب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منها تحريمه إلّا على الأب أو الأخ، و هو مقتضى الجمع بين الأدلّة، إلّا أنّه يقتضي جوازه للزوج أيضاً</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3732541_3804643083"/>
      <w:bookmarkStart w:id="973" w:name="_Toc376"/>
      <w:bookmarkEnd w:id="972"/>
      <w:r>
        <w:rPr>
          <w:rtl w:val="true"/>
        </w:rPr>
        <w:t xml:space="preserve">فصل </w:t>
      </w:r>
      <w:r>
        <w:rPr>
          <w:rtl w:val="true"/>
        </w:rPr>
        <w:t>[</w:t>
      </w:r>
      <w:r>
        <w:rPr>
          <w:rtl w:val="true"/>
        </w:rPr>
        <w:t>زيارة القبور</w:t>
      </w:r>
      <w:r>
        <w:rPr>
          <w:rtl w:val="true"/>
        </w:rPr>
        <w:t>]</w:t>
      </w:r>
      <w:bookmarkEnd w:id="973"/>
    </w:p>
    <w:p>
      <w:pPr>
        <w:pStyle w:val="BookText"/>
        <w:rPr/>
      </w:pPr>
      <w:r>
        <w:rPr>
          <w:rFonts w:ascii="Amiri" w:hAnsi="Amiri" w:eastAsia="Amiri" w:cs="Amiri"/>
          <w:color w:val="111111"/>
          <w:sz w:val="28"/>
          <w:sz w:val="28"/>
          <w:szCs w:val="28"/>
          <w:rtl w:val="true"/>
          <w:lang w:bidi="ar-SA"/>
        </w:rPr>
        <w:t xml:space="preserve">زيارة القبور مستحبّة بالإجماع و المستفيضة </w:t>
      </w:r>
      <w:r>
        <w:rPr>
          <w:rStyle w:val="FootnoteAnchor"/>
          <w:rtl w:val="true"/>
        </w:rPr>
        <w:footnoteReference w:id="2557"/>
      </w:r>
      <w:r>
        <w:rPr>
          <w:rFonts w:ascii="Amiri" w:hAnsi="Amiri" w:eastAsia="Amiri" w:cs="Amiri"/>
          <w:color w:val="111111"/>
          <w:sz w:val="28"/>
          <w:sz w:val="28"/>
          <w:szCs w:val="28"/>
          <w:rtl w:val="true"/>
          <w:lang w:bidi="ar-SA"/>
        </w:rPr>
        <w:t>، و إطلاقها يفيد استحبابها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في الاثنين و الخميس؛ للحسن و غيره </w:t>
      </w:r>
      <w:r>
        <w:rPr>
          <w:rStyle w:val="FootnoteAnchor"/>
          <w:rtl w:val="true"/>
        </w:rPr>
        <w:footnoteReference w:id="2558"/>
      </w:r>
      <w:r>
        <w:rPr>
          <w:rFonts w:ascii="Amiri" w:hAnsi="Amiri" w:eastAsia="Amiri" w:cs="Amiri"/>
          <w:color w:val="111111"/>
          <w:sz w:val="28"/>
          <w:sz w:val="28"/>
          <w:szCs w:val="28"/>
          <w:rtl w:val="true"/>
          <w:lang w:bidi="ar-SA"/>
        </w:rPr>
        <w:t xml:space="preserve">، و في غداة السبت؛ للخبر و المرسل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الاستحباب يعمّ النساء، وفاقاً للأكثر؛ للعمومات و فعل فاطمة سلام اللّٰه عليها </w:t>
      </w:r>
      <w:r>
        <w:rPr>
          <w:rStyle w:val="FootnoteAnchor"/>
          <w:rtl w:val="true"/>
        </w:rPr>
        <w:footnoteReference w:id="2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فتوى الفاضلين بكراهتها لهنّ </w:t>
      </w:r>
      <w:r>
        <w:rPr>
          <w:rStyle w:val="FootnoteAnchor"/>
          <w:rtl w:val="true"/>
        </w:rPr>
        <w:footnoteReference w:id="2561"/>
      </w:r>
      <w:r>
        <w:rPr>
          <w:rFonts w:ascii="Amiri" w:hAnsi="Amiri" w:eastAsia="Amiri" w:cs="Amiri"/>
          <w:color w:val="111111"/>
          <w:sz w:val="28"/>
          <w:sz w:val="28"/>
          <w:szCs w:val="28"/>
          <w:rtl w:val="true"/>
          <w:lang w:bidi="ar-SA"/>
        </w:rPr>
        <w:t>ضعيف، و تعليلها عليل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للزائر أن يقرأ القدر سبعاً بعد وضع يده على القبر مستقبل القبلة؛</w:t>
      </w:r>
    </w:p>
    <w:p>
      <w:pPr>
        <w:pStyle w:val="BookText"/>
        <w:rPr/>
      </w:pPr>
      <w:r>
        <w:rPr>
          <w:rFonts w:ascii="IRNazanin" w:hAnsi="IRNazanin" w:eastAsia="IRNazanin"/>
          <w:color w:val="111111"/>
          <w:sz w:val="28"/>
          <w:sz w:val="28"/>
          <w:szCs w:val="28"/>
          <w:rtl w:val="true"/>
          <w:lang w:bidi="fa-IR"/>
        </w:rPr>
        <w:t xml:space="preserve">للمرسل و الخبر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استحباب غيره من السور، و مطلق القرآن، و بعض الأدعية، كما ذكر في مؤلّفات الأصحاب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bookmarkStart w:id="974" w:name="pg2479_12031"/>
    </w:p>
    <w:p>
      <w:pPr>
        <w:pStyle w:val="Heading6"/>
        <w:numPr>
          <w:ilvl w:val="5"/>
          <w:numId w:val="1"/>
        </w:numPr>
        <w:rPr/>
      </w:pPr>
      <w:bookmarkStart w:id="975" w:name="__RefHeading___Toc3732543_3804643083"/>
      <w:bookmarkStart w:id="976" w:name="_Toc377"/>
      <w:bookmarkEnd w:id="974"/>
      <w:bookmarkEnd w:id="975"/>
      <w:r>
        <w:rPr>
          <w:rtl w:val="true"/>
        </w:rPr>
        <w:t>بحث الأغسال المسنونة</w:t>
      </w:r>
      <w:bookmarkEnd w:id="97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الغسل للجمعة، وفاقاً للمعظم؛ للمستفيضة </w:t>
      </w:r>
      <w:r>
        <w:rPr>
          <w:rStyle w:val="FootnoteAnchor"/>
          <w:rtl w:val="true"/>
        </w:rPr>
        <w:footnoteReference w:id="2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الصدوقين وجوبه </w:t>
      </w:r>
      <w:r>
        <w:rPr>
          <w:rStyle w:val="FootnoteAnchor"/>
          <w:rtl w:val="true"/>
        </w:rPr>
        <w:footnoteReference w:id="2565"/>
      </w:r>
      <w:r>
        <w:rPr>
          <w:rFonts w:ascii="Amiri" w:hAnsi="Amiri" w:eastAsia="Amiri" w:cs="Amiri"/>
          <w:color w:val="111111"/>
          <w:sz w:val="28"/>
          <w:sz w:val="28"/>
          <w:szCs w:val="28"/>
          <w:rtl w:val="true"/>
          <w:lang w:bidi="ar-SA"/>
        </w:rPr>
        <w:t xml:space="preserve">لمستفيضة اخرى </w:t>
      </w:r>
      <w:r>
        <w:rPr>
          <w:rStyle w:val="FootnoteAnchor"/>
          <w:rtl w:val="true"/>
        </w:rPr>
        <w:footnoteReference w:id="2566"/>
      </w:r>
      <w:r>
        <w:rPr>
          <w:rFonts w:ascii="Amiri" w:hAnsi="Amiri" w:eastAsia="Amiri" w:cs="Amiri"/>
          <w:color w:val="111111"/>
          <w:sz w:val="28"/>
          <w:sz w:val="28"/>
          <w:szCs w:val="28"/>
          <w:rtl w:val="true"/>
          <w:lang w:bidi="ar-SA"/>
        </w:rPr>
        <w:t>حملت على تأكّد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وقته من طلوع الفجر إلى الزوال، بالمستفيض من الخبر </w:t>
      </w:r>
      <w:r>
        <w:rPr>
          <w:rStyle w:val="FootnoteAnchor"/>
          <w:rtl w:val="true"/>
        </w:rPr>
        <w:footnoteReference w:id="2567"/>
      </w:r>
      <w:r>
        <w:rPr>
          <w:rFonts w:ascii="IRNazanin" w:hAnsi="IRNazanin" w:eastAsia="IRNazanin"/>
          <w:color w:val="111111"/>
          <w:sz w:val="28"/>
          <w:sz w:val="28"/>
          <w:szCs w:val="28"/>
          <w:rtl w:val="true"/>
          <w:lang w:bidi="fa-IR"/>
        </w:rPr>
        <w:t xml:space="preserve">، و نقل الإجماع </w:t>
      </w:r>
      <w:r>
        <w:rPr>
          <w:rStyle w:val="FootnoteAnchor"/>
          <w:rtl w:val="true"/>
        </w:rPr>
        <w:footnoteReference w:id="2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قرب من الزوال كان أفضل؛ لصريح الرضوي </w:t>
      </w:r>
      <w:r>
        <w:rPr>
          <w:rStyle w:val="FootnoteAnchor"/>
          <w:rtl w:val="true"/>
        </w:rPr>
        <w:footnoteReference w:id="2569"/>
      </w:r>
      <w:r>
        <w:rPr>
          <w:rFonts w:ascii="Amiri" w:hAnsi="Amiri" w:eastAsia="Amiri" w:cs="Amiri"/>
          <w:color w:val="111111"/>
          <w:sz w:val="28"/>
          <w:sz w:val="28"/>
          <w:szCs w:val="28"/>
          <w:rtl w:val="true"/>
          <w:lang w:bidi="ar-SA"/>
        </w:rPr>
        <w:t>، و تعليله بتأكّد الغرض عليل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يقضى لو فاته إلى آخر السبت؛ للموثّق و الخبر </w:t>
      </w:r>
      <w:r>
        <w:rPr>
          <w:rStyle w:val="FootnoteAnchor"/>
          <w:rtl w:val="true"/>
        </w:rPr>
        <w:footnoteReference w:id="2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خائف الإعواز يقدّم يوم الخميس؛ للخبرين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لأوّل ليلة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السابع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الثلاث المشهورة، بالإجماع و استفاضة الصحاح و غيرها </w:t>
      </w:r>
      <w:r>
        <w:rPr>
          <w:rStyle w:val="FootnoteAnchor"/>
          <w:rtl w:val="true"/>
        </w:rPr>
        <w:footnoteReference w:id="2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يتكرّر في الأخيرة في آخرها؛ للخبر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ليلة النصف منه، بالإجماع و خبرين أوردهما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ليلة من العشر الأُخر؛ لآخرين فيه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ليالي الإفراد كلّها،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Style w:val="FootnoteAnchor"/>
          <w:rtl w:val="true"/>
        </w:rPr>
        <w:footnoteReference w:id="2576"/>
      </w:r>
      <w:r>
        <w:rPr>
          <w:rFonts w:ascii="Amiri" w:hAnsi="Amiri" w:eastAsia="Amiri" w:cs="Amiri"/>
          <w:color w:val="111111"/>
          <w:sz w:val="28"/>
          <w:sz w:val="28"/>
          <w:szCs w:val="28"/>
          <w:rtl w:val="true"/>
          <w:lang w:bidi="ar-SA"/>
        </w:rPr>
        <w:t>، و إن لم نعثر فيها على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الفطر؛ للشهرة و الخبر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عرفة، بالإجماع و المستفيضة و الصحيح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يومي العيدين، بالإجماع و استفاضة الصحاح و غيرها </w:t>
      </w:r>
      <w:r>
        <w:rPr>
          <w:rStyle w:val="FootnoteAnchor"/>
          <w:rtl w:val="true"/>
        </w:rPr>
        <w:footnoteReference w:id="2579"/>
      </w:r>
      <w:r>
        <w:rPr>
          <w:rFonts w:ascii="Amiri" w:hAnsi="Amiri" w:eastAsia="Amiri" w:cs="Amiri"/>
          <w:color w:val="111111"/>
          <w:sz w:val="28"/>
          <w:sz w:val="28"/>
          <w:szCs w:val="28"/>
          <w:rtl w:val="true"/>
          <w:lang w:bidi="ar-SA"/>
        </w:rPr>
        <w:t>، و يمتدّ بامتداد الصلاة وفاقاً لظاهر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كإيماء </w:t>
      </w:r>
      <w:r>
        <w:rPr>
          <w:rStyle w:val="FootnoteAnchor"/>
          <w:rtl w:val="true"/>
        </w:rPr>
        <w:footnoteReference w:id="2580"/>
      </w:r>
      <w:r>
        <w:rPr>
          <w:rFonts w:ascii="Amiri" w:hAnsi="Amiri" w:eastAsia="Amiri" w:cs="Amiri"/>
          <w:color w:val="111111"/>
          <w:sz w:val="28"/>
          <w:sz w:val="28"/>
          <w:szCs w:val="28"/>
          <w:rtl w:val="true"/>
          <w:lang w:bidi="ar-SA"/>
        </w:rPr>
        <w:t xml:space="preserve">الخبر بامتداد اليوم </w:t>
      </w:r>
      <w:r>
        <w:rPr>
          <w:rStyle w:val="FootnoteAnchor"/>
          <w:rtl w:val="true"/>
        </w:rPr>
        <w:footnoteReference w:id="2581"/>
      </w:r>
      <w:r>
        <w:rPr>
          <w:rFonts w:ascii="Amiri" w:hAnsi="Amiri" w:eastAsia="Amiri" w:cs="Amiri"/>
          <w:color w:val="111111"/>
          <w:sz w:val="28"/>
          <w:sz w:val="28"/>
          <w:szCs w:val="28"/>
          <w:rtl w:val="true"/>
          <w:lang w:bidi="ar-SA"/>
        </w:rPr>
        <w:t xml:space="preserve">كظاهر الشهيد لإطلاق النصوص </w:t>
      </w:r>
      <w:r>
        <w:rPr>
          <w:rStyle w:val="FootnoteAnchor"/>
          <w:rtl w:val="true"/>
        </w:rPr>
        <w:footnoteReference w:id="2582"/>
      </w:r>
      <w:r>
        <w:rPr>
          <w:rFonts w:ascii="Amiri" w:hAnsi="Amiri" w:eastAsia="Amiri" w:cs="Amiri"/>
          <w:color w:val="111111"/>
          <w:sz w:val="28"/>
          <w:sz w:val="28"/>
          <w:szCs w:val="28"/>
          <w:rtl w:val="true"/>
          <w:lang w:bidi="ar-SA"/>
        </w:rPr>
        <w:t>لتقييدها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النصف من رجب، و يوم المبعث،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2583"/>
      </w:r>
      <w:r>
        <w:rPr>
          <w:rFonts w:ascii="Amiri" w:hAnsi="Amiri" w:eastAsia="Amiri" w:cs="Amiri"/>
          <w:color w:val="111111"/>
          <w:sz w:val="28"/>
          <w:sz w:val="28"/>
          <w:szCs w:val="28"/>
          <w:rtl w:val="true"/>
          <w:lang w:bidi="ar-SA"/>
        </w:rPr>
        <w:t xml:space="preserve">، و يدلّ على الأوّل 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Style w:val="FootnoteAnchor"/>
          <w:rtl w:val="true"/>
        </w:rPr>
        <w:footnoteReference w:id="2584"/>
      </w:r>
      <w:r>
        <w:rPr>
          <w:rFonts w:ascii="Amiri" w:hAnsi="Amiri" w:eastAsia="Amiri" w:cs="Amiri"/>
          <w:color w:val="111111"/>
          <w:sz w:val="28"/>
          <w:sz w:val="28"/>
          <w:szCs w:val="28"/>
          <w:rtl w:val="true"/>
          <w:lang w:bidi="ar-SA"/>
        </w:rPr>
        <w:t xml:space="preserve">، و قول الفاضل بورود رواية به </w:t>
      </w:r>
      <w:r>
        <w:rPr>
          <w:rStyle w:val="FootnoteAnchor"/>
          <w:rtl w:val="true"/>
        </w:rPr>
        <w:footnoteReference w:id="2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للثاني، و تعليله بشرافة الوقت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النصف من شعبان؛ لخبرين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الغدير؛ للإجماع و صريح الرضوي </w:t>
      </w:r>
      <w:r>
        <w:rPr>
          <w:rStyle w:val="FootnoteAnchor"/>
          <w:rtl w:val="true"/>
        </w:rPr>
        <w:footnoteReference w:id="2587"/>
      </w:r>
      <w:r>
        <w:rPr>
          <w:rFonts w:ascii="Amiri" w:hAnsi="Amiri" w:eastAsia="Amiri" w:cs="Amiri"/>
          <w:color w:val="111111"/>
          <w:sz w:val="28"/>
          <w:sz w:val="28"/>
          <w:szCs w:val="28"/>
          <w:rtl w:val="true"/>
          <w:lang w:bidi="ar-SA"/>
        </w:rPr>
        <w:t xml:space="preserve">، و خبرين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المباهلة؛ للموثّق </w:t>
      </w:r>
      <w:r>
        <w:rPr>
          <w:rStyle w:val="FootnoteAnchor"/>
          <w:rtl w:val="true"/>
        </w:rPr>
        <w:footnoteReference w:id="2589"/>
      </w:r>
      <w:r>
        <w:rPr>
          <w:rFonts w:ascii="Amiri" w:hAnsi="Amiri" w:eastAsia="Amiri" w:cs="Amiri"/>
          <w:color w:val="111111"/>
          <w:sz w:val="28"/>
          <w:sz w:val="28"/>
          <w:szCs w:val="28"/>
          <w:rtl w:val="true"/>
          <w:lang w:bidi="ar-SA"/>
        </w:rPr>
        <w:t xml:space="preserve">، و حملها على إيقاعها مع الخصوم دون اليوم المعروف بعيد، و إن استحبّ له أيضاً؛ للخبر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النيروز؛ للخبر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للإحرام؛ لظاهر الخبر </w:t>
      </w:r>
      <w:r>
        <w:rPr>
          <w:rStyle w:val="FootnoteAnchor"/>
          <w:rtl w:val="true"/>
        </w:rPr>
        <w:footnoteReference w:id="2592"/>
      </w:r>
      <w:r>
        <w:rPr>
          <w:rFonts w:ascii="Amiri" w:hAnsi="Amiri" w:eastAsia="Amiri" w:cs="Amiri"/>
          <w:color w:val="111111"/>
          <w:sz w:val="28"/>
          <w:sz w:val="28"/>
          <w:szCs w:val="28"/>
          <w:rtl w:val="true"/>
          <w:lang w:bidi="ar-SA"/>
        </w:rPr>
        <w:t xml:space="preserve">و نقل الإجماع من الشيخين </w:t>
      </w:r>
      <w:r>
        <w:rPr>
          <w:rStyle w:val="FootnoteAnchor"/>
          <w:rtl w:val="true"/>
        </w:rPr>
        <w:footnoteReference w:id="2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أوجبه العماني </w:t>
      </w:r>
      <w:r>
        <w:rPr>
          <w:rStyle w:val="FootnoteAnchor"/>
          <w:rtl w:val="true"/>
        </w:rPr>
        <w:footnoteReference w:id="2594"/>
      </w:r>
      <w:r>
        <w:rPr>
          <w:rFonts w:ascii="Amiri" w:hAnsi="Amiri" w:eastAsia="Amiri" w:cs="Amiri"/>
          <w:color w:val="111111"/>
          <w:sz w:val="28"/>
          <w:sz w:val="28"/>
          <w:szCs w:val="28"/>
          <w:rtl w:val="true"/>
          <w:lang w:bidi="ar-SA"/>
        </w:rPr>
        <w:t>لموجبات حملت على تأكّد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زيارة الحجج عليهم السّلام؛ للمستفيضة العامّة و الخاصّة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الاستسقاء؛ للموثّق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التوبة عن فسق أو كفر؛ للصحيح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للسعي إلى رؤية المصلوب مطلقاً؛ للمرسل </w:t>
      </w:r>
      <w:r>
        <w:rPr>
          <w:rStyle w:val="FootnoteAnchor"/>
          <w:rtl w:val="true"/>
        </w:rPr>
        <w:footnoteReference w:id="2598"/>
      </w:r>
      <w:r>
        <w:rPr>
          <w:rFonts w:ascii="Amiri" w:hAnsi="Amiri" w:eastAsia="Amiri" w:cs="Amiri"/>
          <w:color w:val="111111"/>
          <w:sz w:val="28"/>
          <w:sz w:val="28"/>
          <w:szCs w:val="28"/>
          <w:rtl w:val="true"/>
          <w:lang w:bidi="ar-SA"/>
        </w:rPr>
        <w:t xml:space="preserve">، و قول الحلبي بوجوبه </w:t>
      </w:r>
      <w:r>
        <w:rPr>
          <w:rStyle w:val="FootnoteAnchor"/>
          <w:rtl w:val="true"/>
        </w:rPr>
        <w:footnoteReference w:id="2599"/>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لصلاة الحاجة؛ للإجماع و المستفيضة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الاستخارة؛ لنقل الإجماع </w:t>
      </w:r>
      <w:r>
        <w:rPr>
          <w:rStyle w:val="FootnoteAnchor"/>
          <w:rtl w:val="true"/>
        </w:rPr>
        <w:footnoteReference w:id="2601"/>
      </w:r>
      <w:r>
        <w:rPr>
          <w:rFonts w:ascii="Amiri" w:hAnsi="Amiri" w:eastAsia="Amiri" w:cs="Amiri"/>
          <w:color w:val="111111"/>
          <w:sz w:val="28"/>
          <w:sz w:val="28"/>
          <w:szCs w:val="28"/>
          <w:rtl w:val="true"/>
          <w:lang w:bidi="ar-SA"/>
        </w:rPr>
        <w:t xml:space="preserve">و الموثّق و الرضوي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صلاة الكسوف المستوعب؛ لظاهر الصحيح </w:t>
      </w:r>
      <w:r>
        <w:rPr>
          <w:rStyle w:val="FootnoteAnchor"/>
          <w:rtl w:val="true"/>
        </w:rPr>
        <w:footnoteReference w:id="2603"/>
      </w:r>
      <w:r>
        <w:rPr>
          <w:rFonts w:ascii="Amiri" w:hAnsi="Amiri" w:eastAsia="Amiri" w:cs="Amiri"/>
          <w:color w:val="111111"/>
          <w:sz w:val="28"/>
          <w:sz w:val="28"/>
          <w:szCs w:val="28"/>
          <w:rtl w:val="true"/>
          <w:lang w:bidi="ar-SA"/>
        </w:rPr>
        <w:t xml:space="preserve">و صريح الرضوي </w:t>
      </w:r>
      <w:r>
        <w:rPr>
          <w:rStyle w:val="FootnoteAnchor"/>
          <w:rtl w:val="true"/>
        </w:rPr>
        <w:footnoteReference w:id="2604"/>
      </w:r>
      <w:r>
        <w:rPr>
          <w:rFonts w:ascii="Amiri" w:hAnsi="Amiri" w:eastAsia="Amiri" w:cs="Amiri"/>
          <w:color w:val="111111"/>
          <w:sz w:val="28"/>
          <w:sz w:val="28"/>
          <w:szCs w:val="28"/>
          <w:rtl w:val="true"/>
          <w:lang w:bidi="ar-SA"/>
        </w:rPr>
        <w:t>، و قضائها مع تعمّد الترك 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الحلبي </w:t>
      </w:r>
      <w:r>
        <w:rPr>
          <w:rStyle w:val="FootnoteAnchor"/>
          <w:rtl w:val="true"/>
        </w:rPr>
        <w:footnoteReference w:id="2605"/>
      </w:r>
      <w:r>
        <w:rPr>
          <w:rFonts w:ascii="Amiri" w:hAnsi="Amiri" w:eastAsia="Amiri" w:cs="Amiri"/>
          <w:color w:val="111111"/>
          <w:sz w:val="28"/>
          <w:sz w:val="28"/>
          <w:szCs w:val="28"/>
          <w:rtl w:val="true"/>
          <w:lang w:bidi="ar-SA"/>
        </w:rPr>
        <w:t xml:space="preserve">كالديلمي أوجبه </w:t>
      </w:r>
      <w:r>
        <w:rPr>
          <w:rStyle w:val="FootnoteAnchor"/>
          <w:rtl w:val="true"/>
        </w:rPr>
        <w:footnoteReference w:id="2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المرتضى</w:t>
      </w:r>
    </w:p>
    <w:p>
      <w:pPr>
        <w:pStyle w:val="BookText"/>
        <w:rPr/>
      </w:pPr>
      <w:r>
        <w:rPr>
          <w:rFonts w:ascii="Amiri" w:hAnsi="Amiri" w:eastAsia="Amiri" w:cs="Amiri"/>
          <w:color w:val="111111"/>
          <w:sz w:val="28"/>
          <w:sz w:val="28"/>
          <w:szCs w:val="28"/>
          <w:rtl w:val="true"/>
          <w:lang w:bidi="ar-SA"/>
        </w:rPr>
        <w:t xml:space="preserve">كالمفيد لم يشترط الاستيعاب في الاستحباب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 الرضوي </w:t>
      </w:r>
      <w:r>
        <w:rPr>
          <w:rStyle w:val="FootnoteAnchor"/>
          <w:rtl w:val="true"/>
        </w:rPr>
        <w:footnoteReference w:id="2608"/>
      </w:r>
      <w:r>
        <w:rPr>
          <w:rFonts w:ascii="Amiri" w:hAnsi="Amiri" w:eastAsia="Amiri" w:cs="Amiri"/>
          <w:color w:val="111111"/>
          <w:sz w:val="28"/>
          <w:sz w:val="28"/>
          <w:szCs w:val="28"/>
          <w:rtl w:val="true"/>
          <w:lang w:bidi="ar-SA"/>
        </w:rPr>
        <w:t xml:space="preserve">، مؤيّدين بالأصل و نقل الإجماع من الحلّي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حملهما على الندب؛ لعدم صلاحيّتهما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المرسلة </w:t>
      </w:r>
      <w:r>
        <w:rPr>
          <w:rStyle w:val="FootnoteAnchor"/>
          <w:rtl w:val="true"/>
        </w:rPr>
        <w:footnoteReference w:id="2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بما مرّ، و إلّا لزم ما يخالف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التربة؛ للخبر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لدخول الحرم و مكّة و الكعبة و المدينة؛ للمستفيضة </w:t>
      </w:r>
      <w:r>
        <w:rPr>
          <w:rStyle w:val="FootnoteAnchor"/>
          <w:rtl w:val="true"/>
        </w:rPr>
        <w:footnoteReference w:id="2612"/>
      </w:r>
      <w:r>
        <w:rPr>
          <w:rFonts w:ascii="Amiri" w:hAnsi="Amiri" w:eastAsia="Amiri" w:cs="Amiri"/>
          <w:color w:val="111111"/>
          <w:sz w:val="28"/>
          <w:sz w:val="28"/>
          <w:szCs w:val="28"/>
          <w:rtl w:val="true"/>
          <w:lang w:bidi="ar-SA"/>
        </w:rPr>
        <w:t xml:space="preserve">، و مسجديهما؛ للخبر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للمولود حين الولادة؛ للموثّق </w:t>
      </w:r>
      <w:r>
        <w:rPr>
          <w:rStyle w:val="FootnoteAnchor"/>
          <w:rtl w:val="true"/>
        </w:rPr>
        <w:footnoteReference w:id="2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بوجوبه </w:t>
      </w:r>
      <w:r>
        <w:rPr>
          <w:rStyle w:val="FootnoteAnchor"/>
          <w:rtl w:val="true"/>
        </w:rPr>
        <w:footnoteReference w:id="2615"/>
      </w:r>
      <w:r>
        <w:rPr>
          <w:rFonts w:ascii="Amiri" w:hAnsi="Amiri" w:eastAsia="Amiri" w:cs="Amiri"/>
          <w:color w:val="111111"/>
          <w:sz w:val="28"/>
          <w:sz w:val="28"/>
          <w:szCs w:val="28"/>
          <w:rtl w:val="true"/>
          <w:lang w:bidi="ar-SA"/>
        </w:rPr>
        <w:t>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قارنه ما يعيّن الحمل على الندب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استحبّه الشيخ لمسّ الميّت المغسول </w:t>
      </w:r>
      <w:r>
        <w:rPr>
          <w:rStyle w:val="FootnoteAnchor"/>
          <w:rtl w:val="true"/>
        </w:rPr>
        <w:footnoteReference w:id="2616"/>
      </w:r>
      <w:r>
        <w:rPr>
          <w:rFonts w:ascii="Amiri" w:hAnsi="Amiri" w:eastAsia="Amiri" w:cs="Amiri"/>
          <w:color w:val="111111"/>
          <w:sz w:val="28"/>
          <w:sz w:val="28"/>
          <w:szCs w:val="28"/>
          <w:rtl w:val="true"/>
          <w:lang w:bidi="ar-SA"/>
        </w:rPr>
        <w:t xml:space="preserve">، و للجنب الميّت؛ للخبرين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المفيد لرمي الجمار و ملاقاة ماء غالب النجاسة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زهرة لصلاة الشكر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الفاضل للإفاقة من الجنون؛ لما قيل أنه يمني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الثالثة لتطيّب المرأة لغير زوجها </w:t>
      </w:r>
      <w:r>
        <w:rPr>
          <w:rStyle w:val="FootnoteAnchor"/>
          <w:rtl w:val="true"/>
        </w:rPr>
        <w:footnoteReference w:id="2621"/>
      </w:r>
      <w:r>
        <w:rPr>
          <w:rFonts w:ascii="IRNazanin" w:hAnsi="IRNazanin" w:eastAsia="IRNazanin"/>
          <w:color w:val="111111"/>
          <w:sz w:val="28"/>
          <w:sz w:val="28"/>
          <w:szCs w:val="28"/>
          <w:rtl w:val="true"/>
          <w:lang w:bidi="fa-IR"/>
        </w:rPr>
        <w:t xml:space="preserve">لظاهر الخبر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الإسكافي لكلّ وقت أو مكان شريف، و لكلّ مخوف سماوي، و فعل يتقرّب به أو يلجأ منه إلى اللّٰه </w:t>
      </w:r>
      <w:r>
        <w:rPr>
          <w:rStyle w:val="FootnoteAnchor"/>
          <w:rtl w:val="true"/>
        </w:rPr>
        <w:footnoteReference w:id="2623"/>
      </w:r>
      <w:r>
        <w:rPr>
          <w:rFonts w:ascii="Amiri" w:hAnsi="Amiri" w:eastAsia="Amiri" w:cs="Amiri"/>
          <w:color w:val="111111"/>
          <w:sz w:val="28"/>
          <w:sz w:val="28"/>
          <w:szCs w:val="28"/>
          <w:rtl w:val="true"/>
          <w:lang w:bidi="ar-SA"/>
        </w:rPr>
        <w:t>، و في دليل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ما للزمان فهو ظرفه، و وجهه ظاهر، فمتى أوقعه فيه فقد أدى السنّة و إن أحدث بعده، كما في الصحيح و الخبر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للفعل أو المكان يقدّم عليه، إلّا في البعض؛ لظاهر النصّ و توقّف الباعث عليه، و لو أحدث قبل الغاية أعاد وفاقاً للشهيدين </w:t>
      </w:r>
      <w:r>
        <w:rPr>
          <w:rStyle w:val="FootnoteAnchor"/>
          <w:rtl w:val="true"/>
        </w:rPr>
        <w:footnoteReference w:id="2625"/>
      </w:r>
      <w:r>
        <w:rPr>
          <w:rFonts w:ascii="Amiri" w:hAnsi="Amiri" w:eastAsia="Amiri" w:cs="Amiri"/>
          <w:color w:val="111111"/>
          <w:sz w:val="28"/>
          <w:sz w:val="28"/>
          <w:szCs w:val="28"/>
          <w:rtl w:val="true"/>
          <w:lang w:bidi="ar-SA"/>
        </w:rPr>
        <w:t xml:space="preserve">للموثّق و الصحيحين </w:t>
      </w:r>
      <w:r>
        <w:rPr>
          <w:rStyle w:val="FootnoteAnchor"/>
          <w:rtl w:val="true"/>
        </w:rPr>
        <w:footnoteReference w:id="2626"/>
      </w:r>
      <w:r>
        <w:rPr>
          <w:rFonts w:ascii="Amiri" w:hAnsi="Amiri" w:eastAsia="Amiri" w:cs="Amiri"/>
          <w:color w:val="111111"/>
          <w:sz w:val="28"/>
          <w:sz w:val="28"/>
          <w:szCs w:val="28"/>
          <w:rtl w:val="true"/>
          <w:lang w:bidi="ar-SA"/>
        </w:rPr>
        <w:t>و تحصيلًا للباعث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خلافاً للمشهور؛ لإطلاقات قيّدت بعدم تخلّل الحدث جمعاً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تداخلها و وجوب الوضوء معها، خلافاً للمرتضىٰ </w:t>
      </w:r>
      <w:r>
        <w:rPr>
          <w:rStyle w:val="FootnoteAnchor"/>
          <w:rtl w:val="true"/>
        </w:rPr>
        <w:footnoteReference w:id="2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بدليّة التيمّم عنها مع فقد الماء كما يأتي</w:t>
      </w:r>
      <w:r>
        <w:rPr>
          <w:rFonts w:eastAsia="Amiri" w:cs="Amiri" w:ascii="Amiri" w:hAnsi="Amiri"/>
          <w:color w:val="111111"/>
          <w:sz w:val="28"/>
          <w:szCs w:val="28"/>
          <w:rtl w:val="true"/>
          <w:lang w:bidi="ar-SA"/>
        </w:rPr>
        <w:t>.</w:t>
      </w:r>
      <w:bookmarkStart w:id="977" w:name="pg2479_12044"/>
    </w:p>
    <w:p>
      <w:pPr>
        <w:pStyle w:val="Heading4"/>
        <w:numPr>
          <w:ilvl w:val="3"/>
          <w:numId w:val="1"/>
        </w:numPr>
        <w:rPr/>
      </w:pPr>
      <w:bookmarkStart w:id="978" w:name="__RefHeading___Toc3732545_3804643083"/>
      <w:bookmarkStart w:id="979" w:name="_Toc378"/>
      <w:bookmarkEnd w:id="977"/>
      <w:bookmarkEnd w:id="978"/>
      <w:r>
        <w:rPr>
          <w:rtl w:val="true"/>
        </w:rPr>
        <w:t>بحث التيمّم</w:t>
      </w:r>
      <w:bookmarkEnd w:id="979"/>
    </w:p>
    <w:p>
      <w:pPr>
        <w:pStyle w:val="Heading5"/>
        <w:numPr>
          <w:ilvl w:val="4"/>
          <w:numId w:val="1"/>
        </w:numPr>
        <w:rPr/>
      </w:pPr>
      <w:bookmarkStart w:id="980" w:name="__RefHeading___Toc3732547_3804643083"/>
      <w:bookmarkStart w:id="981" w:name="_Toc379"/>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و شرعيّته ثابتة بالثلاث </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لما تجب له المائيّة، و يبيح ما تبيحه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للفخري في استباحة اللبث و المسّ </w:t>
      </w:r>
      <w:r>
        <w:rPr>
          <w:rStyle w:val="FootnoteAnchor"/>
          <w:rtl w:val="true"/>
        </w:rPr>
        <w:footnoteReference w:id="2629"/>
      </w:r>
      <w:r>
        <w:rPr>
          <w:rFonts w:ascii="Amiri" w:hAnsi="Amiri" w:eastAsia="Amiri" w:cs="Amiri"/>
          <w:color w:val="111111"/>
          <w:sz w:val="28"/>
          <w:sz w:val="28"/>
          <w:szCs w:val="28"/>
          <w:rtl w:val="true"/>
          <w:lang w:bidi="ar-SA"/>
        </w:rPr>
        <w:t>، و يلزمه إلحاق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الإجماع من والده </w:t>
      </w:r>
      <w:r>
        <w:rPr>
          <w:rStyle w:val="FootnoteAnchor"/>
          <w:rtl w:val="true"/>
        </w:rPr>
        <w:footnoteReference w:id="2630"/>
      </w:r>
      <w:r>
        <w:rPr>
          <w:rFonts w:ascii="Amiri" w:hAnsi="Amiri" w:eastAsia="Amiri" w:cs="Amiri"/>
          <w:color w:val="111111"/>
          <w:sz w:val="28"/>
          <w:sz w:val="28"/>
          <w:szCs w:val="28"/>
          <w:rtl w:val="true"/>
          <w:lang w:bidi="ar-SA"/>
        </w:rPr>
        <w:t xml:space="preserve">، و استفاضة النصوص بطهوريّته </w:t>
      </w:r>
      <w:r>
        <w:rPr>
          <w:rStyle w:val="FootnoteAnchor"/>
          <w:rtl w:val="true"/>
        </w:rPr>
        <w:footnoteReference w:id="2631"/>
      </w:r>
      <w:r>
        <w:rPr>
          <w:rFonts w:ascii="Amiri" w:hAnsi="Amiri" w:eastAsia="Amiri" w:cs="Amiri"/>
          <w:color w:val="111111"/>
          <w:sz w:val="28"/>
          <w:sz w:val="28"/>
          <w:szCs w:val="28"/>
          <w:rtl w:val="true"/>
          <w:lang w:bidi="ar-SA"/>
        </w:rPr>
        <w:t xml:space="preserve">، و جعله في الصحيح بمنزلة الماء </w:t>
      </w:r>
      <w:r>
        <w:rPr>
          <w:rStyle w:val="FootnoteAnchor"/>
          <w:rtl w:val="true"/>
        </w:rPr>
        <w:footnoteReference w:id="2632"/>
      </w:r>
      <w:r>
        <w:rPr>
          <w:rFonts w:ascii="Amiri" w:hAnsi="Amiri" w:eastAsia="Amiri" w:cs="Amiri"/>
          <w:color w:val="111111"/>
          <w:sz w:val="28"/>
          <w:sz w:val="28"/>
          <w:szCs w:val="28"/>
          <w:rtl w:val="true"/>
          <w:lang w:bidi="ar-SA"/>
        </w:rPr>
        <w:t>، و قوله صلّى اللّٰه عليه و سلّم في خبر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2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الغاية في قوله حَتَّىٰ تَغْتَسِلُوا </w:t>
      </w:r>
      <w:r>
        <w:rPr>
          <w:rStyle w:val="FootnoteAnchor"/>
          <w:rtl w:val="true"/>
        </w:rPr>
        <w:footnoteReference w:id="2634"/>
      </w:r>
      <w:r>
        <w:rPr>
          <w:rFonts w:ascii="Amiri" w:hAnsi="Amiri" w:eastAsia="Amiri" w:cs="Amiri"/>
          <w:color w:val="111111"/>
          <w:sz w:val="28"/>
          <w:sz w:val="28"/>
          <w:szCs w:val="28"/>
          <w:rtl w:val="true"/>
          <w:lang w:bidi="ar-SA"/>
        </w:rPr>
        <w:t>لا يثبت مطلوبه؛ إذ تخصيص الأصل بالأكثر لا ينافي بدليّة التيمّم بدلالة خارجة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استحبابه لما يستحبّ له المائيّة مطلقاً؛ لإطلاق ما مرّ، و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غسل المضطر و وضوؤه</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لا مع رافعيّة المبدل أو كونه ممّا يستحب له مطلق الطهارة لا خصوصيّة أحد الفردين و لا عدمه مطلقاً؛ لاندفاع الكلّ بعموم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للنوم و إن وجد الماء؛ للإجماع و المرسل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لصلاة الميّت كذلك؛ لنقل الإجماع </w:t>
      </w:r>
      <w:r>
        <w:rPr>
          <w:rStyle w:val="FootnoteAnchor"/>
          <w:rtl w:val="true"/>
        </w:rPr>
        <w:footnoteReference w:id="2637"/>
      </w:r>
      <w:r>
        <w:rPr>
          <w:rFonts w:ascii="IRNazanin" w:hAnsi="IRNazanin" w:eastAsia="IRNazanin"/>
          <w:color w:val="111111"/>
          <w:sz w:val="28"/>
          <w:sz w:val="28"/>
          <w:szCs w:val="28"/>
          <w:rtl w:val="true"/>
          <w:lang w:bidi="fa-IR"/>
        </w:rPr>
        <w:t xml:space="preserve">و الموثّق و المرسل </w:t>
      </w:r>
      <w:r>
        <w:rPr>
          <w:rStyle w:val="FootnoteAnchor"/>
          <w:rtl w:val="true"/>
        </w:rPr>
        <w:footnoteReference w:id="2638"/>
      </w:r>
      <w:r>
        <w:rPr>
          <w:rFonts w:ascii="Amiri" w:hAnsi="Amiri" w:eastAsia="Amiri" w:cs="Amiri"/>
          <w:color w:val="111111"/>
          <w:sz w:val="28"/>
          <w:sz w:val="28"/>
          <w:szCs w:val="28"/>
          <w:rtl w:val="true"/>
          <w:lang w:bidi="ar-SA"/>
        </w:rPr>
        <w:t xml:space="preserve">، و التقييد بخوف الفوت بالوضوء كالإسكافي و المحقّق </w:t>
      </w:r>
      <w:r>
        <w:rPr>
          <w:rStyle w:val="FootnoteAnchor"/>
          <w:rtl w:val="true"/>
        </w:rPr>
        <w:footnoteReference w:id="2639"/>
      </w:r>
      <w:r>
        <w:rPr>
          <w:rFonts w:ascii="Amiri" w:hAnsi="Amiri" w:eastAsia="Amiri" w:cs="Amiri"/>
          <w:color w:val="111111"/>
          <w:sz w:val="28"/>
          <w:sz w:val="28"/>
          <w:szCs w:val="28"/>
          <w:rtl w:val="true"/>
          <w:lang w:bidi="ar-SA"/>
        </w:rPr>
        <w:t xml:space="preserve">لوروده في الحسن في كلام الراوي </w:t>
      </w:r>
      <w:r>
        <w:rPr>
          <w:rStyle w:val="FootnoteAnchor"/>
          <w:rtl w:val="true"/>
        </w:rPr>
        <w:footnoteReference w:id="2640"/>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أيضاً لخروج الجنب من أحد المسجدين بالإجماعين و الصحيح و المرفوع </w:t>
      </w:r>
      <w:r>
        <w:rPr>
          <w:rStyle w:val="FootnoteAnchor"/>
          <w:rtl w:val="true"/>
        </w:rPr>
        <w:footnoteReference w:id="2641"/>
      </w:r>
      <w:r>
        <w:rPr>
          <w:rFonts w:ascii="Amiri" w:hAnsi="Amiri" w:eastAsia="Amiri" w:cs="Amiri"/>
          <w:color w:val="111111"/>
          <w:sz w:val="28"/>
          <w:sz w:val="28"/>
          <w:szCs w:val="28"/>
          <w:rtl w:val="true"/>
          <w:lang w:bidi="ar-SA"/>
        </w:rPr>
        <w:t xml:space="preserve">و قول الرضا عليه السّلام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يقدّم على الغسل مع إمكانه لو نقص زمانه عن زمانه، وفاقاً للشهيدين </w:t>
      </w:r>
      <w:r>
        <w:rPr>
          <w:rStyle w:val="FootnoteAnchor"/>
          <w:rtl w:val="true"/>
        </w:rPr>
        <w:footnoteReference w:id="2643"/>
      </w:r>
      <w:r>
        <w:rPr>
          <w:rFonts w:ascii="Amiri" w:hAnsi="Amiri" w:eastAsia="Amiri" w:cs="Amiri"/>
          <w:color w:val="111111"/>
          <w:sz w:val="28"/>
          <w:sz w:val="28"/>
          <w:szCs w:val="28"/>
          <w:rtl w:val="true"/>
          <w:lang w:bidi="ar-SA"/>
        </w:rPr>
        <w:t xml:space="preserve">، لا مطلقاً كظاهر الأكثر، و لا العكس مطلقاً كما احتمله بعض من تأخّر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أدلّة التيمّم و مطلقات اشتراطه بفقد الماء و وجوب الغسل على الجنب، بتخصيص الاولى بتعذّر الغسل و نقصان زمانه عن زمانه، لا بالأوّل فقط؛ إذ الثالث مجرّد احتمال لم يقل به أحد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الأُولى و تحريم مطلق الكون في المسجد على الجنب، خرج ما للتيمّم و الخروج بالدليل و الضرورة،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بابتنائه على ما هو الغالب من تعذّر الغسل و أقلّية زمان التيمّم عن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 بأنّ تحريم الكون يوجب الاقتصار على أقلّه عند الضرورة، فيقدّم الغسل مع أقليّة زمانه،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المساواة؛ للجمع مع عدم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بذلك أنّ اللازم تقديم ما هو الأقل كوناً من الغسل و التيمّم و الخروج، و مع التساوي يقدّم الأوّل ثمّ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إباحته الصلاة 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و هو الحق إباحته مع تعذّر الماء مطلقاً؛ لعموم المبيحة، و عدمها مع وجوده بعده؛ لتوقّفه على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وجده عنده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تفصيل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النص المحتلم و التعدية إلى كلّ جنب لاتّحاد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اخترناه من تقديم الأقل من الثلاثة تكون الحائض مثله؛ لمحرّمات الكون، فالاحتجاج به على سقوطه عنها مطلقاً كالاحتجاج بالمرفوع </w:t>
      </w:r>
      <w:r>
        <w:rPr>
          <w:rStyle w:val="FootnoteAnchor"/>
          <w:rtl w:val="true"/>
        </w:rPr>
        <w:footnoteReference w:id="2646"/>
      </w:r>
      <w:r>
        <w:rPr>
          <w:rFonts w:ascii="Amiri" w:hAnsi="Amiri" w:eastAsia="Amiri" w:cs="Amiri"/>
          <w:color w:val="111111"/>
          <w:sz w:val="28"/>
          <w:sz w:val="28"/>
          <w:szCs w:val="28"/>
          <w:rtl w:val="true"/>
          <w:lang w:bidi="ar-SA"/>
        </w:rPr>
        <w:t>على وجوبه أو ندبه كذلك ساقط</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عدم التعدية إلى باقي المساجد </w:t>
      </w:r>
      <w:r>
        <w:rPr>
          <w:rStyle w:val="FootnoteAnchor"/>
          <w:rtl w:val="true"/>
        </w:rPr>
        <w:footnoteReference w:id="2647"/>
      </w:r>
      <w:r>
        <w:rPr>
          <w:rFonts w:ascii="Amiri" w:hAnsi="Amiri" w:eastAsia="Amiri" w:cs="Amiri"/>
          <w:color w:val="111111"/>
          <w:sz w:val="28"/>
          <w:sz w:val="28"/>
          <w:szCs w:val="28"/>
          <w:rtl w:val="true"/>
          <w:lang w:bidi="ar-SA"/>
        </w:rPr>
        <w:t>لعدم النصّ و توقيفيّة العبادة، مع وجود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الشهيد باستحبابه </w:t>
      </w:r>
      <w:r>
        <w:rPr>
          <w:rStyle w:val="FootnoteAnchor"/>
          <w:rtl w:val="true"/>
        </w:rPr>
        <w:footnoteReference w:id="2648"/>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bookmarkStart w:id="982" w:name="pg2479_12049"/>
    </w:p>
    <w:p>
      <w:pPr>
        <w:pStyle w:val="Heading5"/>
        <w:numPr>
          <w:ilvl w:val="4"/>
          <w:numId w:val="1"/>
        </w:numPr>
        <w:rPr/>
      </w:pPr>
      <w:bookmarkStart w:id="983" w:name="__RefHeading___Toc3732549_3804643083"/>
      <w:bookmarkStart w:id="984" w:name="_Toc380"/>
      <w:bookmarkEnd w:id="982"/>
      <w:bookmarkEnd w:id="983"/>
      <w:r>
        <w:rPr>
          <w:rtl w:val="true"/>
        </w:rPr>
        <w:t>فصل يشترط التيمّم</w:t>
      </w:r>
      <w:bookmarkEnd w:id="9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الماء؛ للإجماع و الآية </w:t>
      </w:r>
      <w:r>
        <w:rPr>
          <w:rStyle w:val="FootnoteAnchor"/>
          <w:rtl w:val="true"/>
        </w:rPr>
        <w:footnoteReference w:id="2649"/>
      </w:r>
      <w:r>
        <w:rPr>
          <w:rFonts w:ascii="Amiri" w:hAnsi="Amiri" w:eastAsia="Amiri" w:cs="Amiri"/>
          <w:color w:val="111111"/>
          <w:sz w:val="28"/>
          <w:sz w:val="28"/>
          <w:szCs w:val="28"/>
          <w:rtl w:val="true"/>
          <w:lang w:bidi="ar-SA"/>
        </w:rPr>
        <w:t xml:space="preserve">و الصحاح المستفيضة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عدم الثمن؛ للإجماع و صدق عدم 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إيجاب بذله التلف؛ للوفاق و العمومات، أو الضرر بمعنى الحاجة في الحال أو المال، وفاقاً للمعظم، جمعاً بين ما دلّ على البذل و إن كثر </w:t>
      </w:r>
      <w:r>
        <w:rPr>
          <w:rStyle w:val="FootnoteAnchor"/>
          <w:rtl w:val="true"/>
        </w:rPr>
        <w:footnoteReference w:id="2651"/>
      </w:r>
      <w:r>
        <w:rPr>
          <w:rFonts w:ascii="Amiri" w:hAnsi="Amiri" w:eastAsia="Amiri" w:cs="Amiri"/>
          <w:color w:val="111111"/>
          <w:sz w:val="28"/>
          <w:sz w:val="28"/>
          <w:szCs w:val="28"/>
          <w:rtl w:val="true"/>
          <w:lang w:bidi="ar-SA"/>
        </w:rPr>
        <w:t xml:space="preserve">و خبرين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Style w:val="FootnoteAnchor"/>
          <w:rtl w:val="true"/>
        </w:rPr>
        <w:footnoteReference w:id="2652"/>
      </w:r>
      <w:r>
        <w:rPr>
          <w:rFonts w:ascii="Amiri" w:hAnsi="Amiri" w:eastAsia="Amiri" w:cs="Amiri"/>
          <w:color w:val="111111"/>
          <w:sz w:val="28"/>
          <w:sz w:val="28"/>
          <w:szCs w:val="28"/>
          <w:rtl w:val="true"/>
          <w:lang w:bidi="ar-SA"/>
        </w:rPr>
        <w:t xml:space="preserve">و ما ورد في نفي الضرر و العسر </w:t>
      </w:r>
      <w:r>
        <w:rPr>
          <w:rStyle w:val="FootnoteAnchor"/>
          <w:rtl w:val="true"/>
        </w:rPr>
        <w:footnoteReference w:id="2653"/>
      </w:r>
      <w:r>
        <w:rPr>
          <w:rFonts w:ascii="Amiri" w:hAnsi="Amiri" w:eastAsia="Amiri" w:cs="Amiri"/>
          <w:color w:val="111111"/>
          <w:sz w:val="28"/>
          <w:sz w:val="28"/>
          <w:szCs w:val="28"/>
          <w:rtl w:val="true"/>
          <w:lang w:bidi="ar-SA"/>
        </w:rPr>
        <w:t xml:space="preserve">و جواز التيمّم عند الحاجة إلى الماء </w:t>
      </w:r>
      <w:r>
        <w:rPr>
          <w:rStyle w:val="FootnoteAnchor"/>
          <w:rtl w:val="true"/>
        </w:rPr>
        <w:footnoteReference w:id="2654"/>
      </w:r>
      <w:r>
        <w:rPr>
          <w:rFonts w:ascii="Amiri" w:hAnsi="Amiri" w:eastAsia="Amiri" w:cs="Amiri"/>
          <w:color w:val="111111"/>
          <w:sz w:val="28"/>
          <w:sz w:val="28"/>
          <w:szCs w:val="28"/>
          <w:rtl w:val="true"/>
          <w:lang w:bidi="ar-SA"/>
        </w:rPr>
        <w:t xml:space="preserve">و الخوف من تضييع المال بالسعي إليه </w:t>
      </w:r>
      <w:r>
        <w:rPr>
          <w:rStyle w:val="FootnoteAnchor"/>
          <w:rtl w:val="true"/>
        </w:rPr>
        <w:footnoteReference w:id="2655"/>
      </w:r>
      <w:r>
        <w:rPr>
          <w:rFonts w:ascii="Amiri" w:hAnsi="Amiri" w:eastAsia="Amiri" w:cs="Amiri"/>
          <w:color w:val="111111"/>
          <w:sz w:val="28"/>
          <w:sz w:val="28"/>
          <w:szCs w:val="28"/>
          <w:rtl w:val="true"/>
          <w:lang w:bidi="ar-SA"/>
        </w:rPr>
        <w:t>للاشتراك في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المرتضى </w:t>
      </w:r>
      <w:r>
        <w:rPr>
          <w:rStyle w:val="FootnoteAnchor"/>
          <w:rtl w:val="true"/>
        </w:rPr>
        <w:footnoteReference w:id="2656"/>
      </w:r>
      <w:r>
        <w:rPr>
          <w:rFonts w:ascii="Amiri" w:hAnsi="Amiri" w:eastAsia="Amiri" w:cs="Amiri"/>
          <w:color w:val="111111"/>
          <w:sz w:val="28"/>
          <w:sz w:val="28"/>
          <w:szCs w:val="28"/>
          <w:rtl w:val="true"/>
          <w:lang w:bidi="ar-SA"/>
        </w:rPr>
        <w:t>لم يقيّد البذل بعدم الضرر أخذاً بإطلاق الأوّل، و يلزمه طرح الثاني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657"/>
      </w:r>
      <w:r>
        <w:rPr>
          <w:rFonts w:ascii="IRNazanin" w:hAnsi="IRNazanin" w:eastAsia="IRNazanin"/>
          <w:color w:val="111111"/>
          <w:sz w:val="28"/>
          <w:sz w:val="28"/>
          <w:szCs w:val="28"/>
          <w:rtl w:val="true"/>
          <w:lang w:bidi="fa-IR"/>
        </w:rPr>
        <w:t xml:space="preserve">بعدم الإجحاف؛ لنقل الإجماع </w:t>
      </w:r>
      <w:r>
        <w:rPr>
          <w:rStyle w:val="FootnoteAnchor"/>
          <w:rtl w:val="true"/>
        </w:rPr>
        <w:footnoteReference w:id="2658"/>
      </w:r>
      <w:r>
        <w:rPr>
          <w:rFonts w:ascii="IRNazanin" w:hAnsi="IRNazanin" w:eastAsia="IRNazanin"/>
          <w:color w:val="111111"/>
          <w:sz w:val="28"/>
          <w:sz w:val="28"/>
          <w:szCs w:val="28"/>
          <w:rtl w:val="true"/>
          <w:lang w:bidi="fa-IR"/>
        </w:rPr>
        <w:t>و لزوم</w:t>
      </w:r>
    </w:p>
    <w:p>
      <w:pPr>
        <w:pStyle w:val="BookText"/>
        <w:rPr/>
      </w:pP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بمنعهما مع عدم الضرر، و لو أُريد بالإجحاف ما يوجبه يرجع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الإسكافي بعدم غلوّ الثمن أو زيادته عن ثمن المثل </w:t>
      </w:r>
      <w:r>
        <w:rPr>
          <w:rStyle w:val="FootnoteAnchor"/>
          <w:rtl w:val="true"/>
        </w:rPr>
        <w:footnoteReference w:id="2659"/>
      </w:r>
      <w:r>
        <w:rPr>
          <w:rFonts w:ascii="Amiri" w:hAnsi="Amiri" w:eastAsia="Amiri" w:cs="Amiri"/>
          <w:color w:val="111111"/>
          <w:sz w:val="28"/>
          <w:sz w:val="28"/>
          <w:szCs w:val="28"/>
          <w:rtl w:val="true"/>
          <w:lang w:bidi="ar-SA"/>
        </w:rPr>
        <w:t>على اختلاف النقل منه حذراً من لزوم التضييع المحرّم كما في السعي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بالمنع و الفرق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بعجزه عن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كبر؛ للإجماع و ظاهر الآية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لضيق الوقت بحيث لا يدرك بعد التطهير ركعة؛ لظاهر الوفاق و عدم جواز تأخير الصلاة عن الوقت؛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تعذّر الماء تعيّن التراب؛ لأنّه أحد الطهورين 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لا عبرة به، و احتجاجه بصدق الوجدان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فقد الآلة؛ لذلك و الصحيحين و الحسن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منع الزحام يوم الجمعة و العرفة عن الخروج للوضوء، بالإجماع و الموثّق و الخبر </w:t>
      </w:r>
      <w:r>
        <w:rPr>
          <w:rStyle w:val="FootnoteAnchor"/>
          <w:rtl w:val="true"/>
        </w:rPr>
        <w:footnoteReference w:id="2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بالإعادة فيهما محمول على الندب، وفاقاً للمحقّق </w:t>
      </w:r>
      <w:r>
        <w:rPr>
          <w:rStyle w:val="FootnoteAnchor"/>
          <w:rtl w:val="true"/>
        </w:rPr>
        <w:footnoteReference w:id="2664"/>
      </w:r>
      <w:r>
        <w:rPr>
          <w:rFonts w:ascii="Amiri" w:hAnsi="Amiri" w:eastAsia="Amiri" w:cs="Amiri"/>
          <w:color w:val="111111"/>
          <w:sz w:val="28"/>
          <w:sz w:val="28"/>
          <w:szCs w:val="28"/>
          <w:rtl w:val="true"/>
          <w:lang w:bidi="ar-SA"/>
        </w:rPr>
        <w:t xml:space="preserve">و جماعة، دون الوجوب كالشيخ و الإسكافي </w:t>
      </w:r>
      <w:r>
        <w:rPr>
          <w:rStyle w:val="FootnoteAnchor"/>
          <w:rtl w:val="true"/>
        </w:rPr>
        <w:footnoteReference w:id="2665"/>
      </w:r>
      <w:r>
        <w:rPr>
          <w:rFonts w:ascii="Amiri" w:hAnsi="Amiri" w:eastAsia="Amiri" w:cs="Amiri"/>
          <w:color w:val="111111"/>
          <w:sz w:val="28"/>
          <w:sz w:val="28"/>
          <w:szCs w:val="28"/>
          <w:rtl w:val="true"/>
          <w:lang w:bidi="ar-SA"/>
        </w:rPr>
        <w:t>إذ الأمر يقتضي الإجزاء، فإيجاب الإعادة معه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الخوف بالطلب على محترم؛ للإجماع و ظاهر الصحيح </w:t>
      </w:r>
      <w:r>
        <w:rPr>
          <w:rStyle w:val="FootnoteAnchor"/>
          <w:rtl w:val="true"/>
        </w:rPr>
        <w:footnoteReference w:id="2666"/>
      </w:r>
      <w:r>
        <w:rPr>
          <w:rFonts w:ascii="Amiri" w:hAnsi="Amiri" w:eastAsia="Amiri" w:cs="Amiri"/>
          <w:color w:val="111111"/>
          <w:sz w:val="28"/>
          <w:sz w:val="28"/>
          <w:szCs w:val="28"/>
          <w:rtl w:val="true"/>
          <w:lang w:bidi="ar-SA"/>
        </w:rPr>
        <w:t xml:space="preserve">و صريح الخبرين </w:t>
      </w:r>
      <w:r>
        <w:rPr>
          <w:rStyle w:val="FootnoteAnchor"/>
          <w:rtl w:val="true"/>
        </w:rPr>
        <w:footnoteReference w:id="2667"/>
      </w:r>
      <w:r>
        <w:rPr>
          <w:rFonts w:ascii="Amiri" w:hAnsi="Amiri" w:eastAsia="Amiri" w:cs="Amiri"/>
          <w:color w:val="111111"/>
          <w:sz w:val="28"/>
          <w:sz w:val="28"/>
          <w:szCs w:val="28"/>
          <w:rtl w:val="true"/>
          <w:lang w:bidi="ar-SA"/>
        </w:rPr>
        <w:t xml:space="preserve">، مع اعتضادها بالآية </w:t>
      </w:r>
      <w:r>
        <w:rPr>
          <w:rStyle w:val="FootnoteAnchor"/>
          <w:rtl w:val="true"/>
        </w:rPr>
        <w:footnoteReference w:id="2668"/>
      </w:r>
      <w:r>
        <w:rPr>
          <w:rFonts w:ascii="Amiri" w:hAnsi="Amiri" w:eastAsia="Amiri" w:cs="Amiri"/>
          <w:color w:val="111111"/>
          <w:sz w:val="28"/>
          <w:sz w:val="28"/>
          <w:szCs w:val="28"/>
          <w:rtl w:val="true"/>
          <w:lang w:bidi="ar-SA"/>
        </w:rPr>
        <w:t>و مقتضى العقل و موجبات صيانته، و بها يخصّص عموم الأمر بالطهارتين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الخوف بين أن يكون بسبب أو لمجرّد الجبن؛ لأدلّة نفي العسر و الحرج </w:t>
      </w:r>
      <w:r>
        <w:rPr>
          <w:rStyle w:val="FootnoteAnchor"/>
          <w:rtl w:val="true"/>
        </w:rPr>
        <w:footnoteReference w:id="2669"/>
      </w:r>
      <w:r>
        <w:rPr>
          <w:rFonts w:ascii="IRNazanin" w:hAnsi="IRNazanin" w:eastAsia="IRNazanin"/>
          <w:color w:val="111111"/>
          <w:sz w:val="28"/>
          <w:sz w:val="28"/>
          <w:szCs w:val="28"/>
          <w:rtl w:val="true"/>
          <w:lang w:bidi="fa-IR"/>
        </w:rPr>
        <w:t>، بل لظاهر الوفاق؛ إذ لم نعثر على مصرّح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باستعماله، من تلف أو مرض أو قرح أو جرح أو عسر علاج أو بطء برء؛ لنقل الإجماع </w:t>
      </w:r>
      <w:r>
        <w:rPr>
          <w:rStyle w:val="FootnoteAnchor"/>
          <w:rtl w:val="true"/>
        </w:rPr>
        <w:footnoteReference w:id="2670"/>
      </w:r>
      <w:r>
        <w:rPr>
          <w:rFonts w:ascii="Amiri" w:hAnsi="Amiri" w:eastAsia="Amiri" w:cs="Amiri"/>
          <w:color w:val="111111"/>
          <w:sz w:val="28"/>
          <w:sz w:val="28"/>
          <w:szCs w:val="28"/>
          <w:rtl w:val="true"/>
          <w:lang w:bidi="ar-SA"/>
        </w:rPr>
        <w:t xml:space="preserve">و المستفيضة من الصحاح و غيرها </w:t>
      </w:r>
      <w:r>
        <w:rPr>
          <w:rStyle w:val="FootnoteAnchor"/>
          <w:rtl w:val="true"/>
        </w:rPr>
        <w:footnoteReference w:id="2671"/>
      </w:r>
      <w:r>
        <w:rPr>
          <w:rFonts w:ascii="Amiri" w:hAnsi="Amiri" w:eastAsia="Amiri" w:cs="Amiri"/>
          <w:color w:val="111111"/>
          <w:sz w:val="28"/>
          <w:sz w:val="28"/>
          <w:szCs w:val="28"/>
          <w:rtl w:val="true"/>
          <w:lang w:bidi="ar-SA"/>
        </w:rPr>
        <w:t>المعتضدة بغير واحد من الآيات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بعضها </w:t>
      </w:r>
      <w:r>
        <w:rPr>
          <w:rStyle w:val="FootnoteAnchor"/>
          <w:rtl w:val="true"/>
        </w:rPr>
        <w:footnoteReference w:id="2672"/>
      </w:r>
      <w:r>
        <w:rPr>
          <w:rFonts w:ascii="Amiri" w:hAnsi="Amiri" w:eastAsia="Amiri" w:cs="Amiri"/>
          <w:color w:val="111111"/>
          <w:sz w:val="28"/>
          <w:sz w:val="28"/>
          <w:szCs w:val="28"/>
          <w:rtl w:val="true"/>
          <w:lang w:bidi="ar-SA"/>
        </w:rPr>
        <w:t>من الأمر بإعادة الصلاة محمولة على الندب؛ لمعارضتها بما هو أقوى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مقتضاها عدم الفرق بين متعمّد الجنابة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الشيخين </w:t>
      </w:r>
      <w:r>
        <w:rPr>
          <w:rStyle w:val="FootnoteAnchor"/>
          <w:rtl w:val="true"/>
        </w:rPr>
        <w:footnoteReference w:id="2673"/>
      </w:r>
      <w:r>
        <w:rPr>
          <w:rFonts w:ascii="Amiri" w:hAnsi="Amiri" w:eastAsia="Amiri" w:cs="Amiri"/>
          <w:color w:val="111111"/>
          <w:sz w:val="28"/>
          <w:sz w:val="28"/>
          <w:szCs w:val="28"/>
          <w:rtl w:val="true"/>
          <w:lang w:bidi="ar-SA"/>
        </w:rPr>
        <w:t xml:space="preserve">بعدم جوازه للأوّل شاذ، و ما استند إليه من الصحيحين و المرفوعين </w:t>
      </w:r>
      <w:r>
        <w:rPr>
          <w:rStyle w:val="FootnoteAnchor"/>
          <w:rtl w:val="true"/>
        </w:rPr>
        <w:footnoteReference w:id="2674"/>
      </w:r>
      <w:r>
        <w:rPr>
          <w:rFonts w:ascii="Amiri" w:hAnsi="Amiri" w:eastAsia="Amiri" w:cs="Amiri"/>
          <w:color w:val="111111"/>
          <w:sz w:val="28"/>
          <w:sz w:val="28"/>
          <w:szCs w:val="28"/>
          <w:rtl w:val="true"/>
          <w:lang w:bidi="ar-SA"/>
        </w:rPr>
        <w:t xml:space="preserve">مع عدم مقاومتها لها و للمستفيضة </w:t>
      </w:r>
      <w:r>
        <w:rPr>
          <w:rStyle w:val="FootnoteAnchor"/>
          <w:rtl w:val="true"/>
        </w:rPr>
        <w:footnoteReference w:id="2675"/>
      </w:r>
      <w:r>
        <w:rPr>
          <w:rFonts w:ascii="Amiri" w:hAnsi="Amiri" w:eastAsia="Amiri" w:cs="Amiri"/>
          <w:color w:val="111111"/>
          <w:sz w:val="28"/>
          <w:sz w:val="28"/>
          <w:szCs w:val="28"/>
          <w:rtl w:val="true"/>
          <w:lang w:bidi="ar-SA"/>
        </w:rPr>
        <w:t>المجوّزة للجماع عند فقد الماء أو التضرّر به مقدوح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شين؛ للإجماع المحكيّ </w:t>
      </w:r>
      <w:r>
        <w:rPr>
          <w:rStyle w:val="FootnoteAnchor"/>
          <w:rtl w:val="true"/>
        </w:rPr>
        <w:footnoteReference w:id="2676"/>
      </w:r>
      <w:r>
        <w:rPr>
          <w:rFonts w:ascii="Amiri" w:hAnsi="Amiri" w:eastAsia="Amiri" w:cs="Amiri"/>
          <w:color w:val="111111"/>
          <w:sz w:val="28"/>
          <w:sz w:val="28"/>
          <w:szCs w:val="28"/>
          <w:rtl w:val="true"/>
          <w:lang w:bidi="ar-SA"/>
        </w:rPr>
        <w:t xml:space="preserve">و المحقّق و لزوم دفع الضرر، و الظاهر اعتبار تفاحشه الموجب لضرر لا يتحمّل عادة،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Style w:val="FootnoteAnchor"/>
          <w:rtl w:val="true"/>
        </w:rPr>
        <w:footnoteReference w:id="2677"/>
      </w:r>
      <w:r>
        <w:rPr>
          <w:rFonts w:ascii="Amiri" w:hAnsi="Amiri" w:eastAsia="Amiri" w:cs="Amiri"/>
          <w:color w:val="111111"/>
          <w:sz w:val="28"/>
          <w:sz w:val="28"/>
          <w:szCs w:val="28"/>
          <w:rtl w:val="true"/>
          <w:lang w:bidi="ar-SA"/>
        </w:rPr>
        <w:t>، لتلحق بالمرض و تشاركه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كفاية مطلقه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Style w:val="FootnoteAnchor"/>
          <w:rtl w:val="true"/>
        </w:rPr>
        <w:footnoteReference w:id="2678"/>
      </w:r>
      <w:r>
        <w:rPr>
          <w:rFonts w:ascii="Amiri" w:hAnsi="Amiri" w:eastAsia="Amiri" w:cs="Amiri"/>
          <w:color w:val="111111"/>
          <w:sz w:val="28"/>
          <w:sz w:val="28"/>
          <w:szCs w:val="28"/>
          <w:rtl w:val="true"/>
          <w:lang w:bidi="ar-SA"/>
        </w:rPr>
        <w:t xml:space="preserve">لعدم النصّ و خروجه عن موضع الوفاق فيتناوله إطلاق موجبات الغسل و الوضوء و يؤيّده صحيحتا ابن مسلم و سليمان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في الحال أو المآل، بالإجماعين و الصحيحين و الحسن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أخيه المسلم، وفاقاً لدلالة الظواهر، على أنّ حرمته كحرمته و أعظم من حرمة الصلاة 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 المحترم من الحيوان، وفاقاً، و لا المحترم من الدواب عند بعضهم </w:t>
      </w:r>
      <w:r>
        <w:rPr>
          <w:rStyle w:val="FootnoteAnchor"/>
          <w:rtl w:val="true"/>
        </w:rPr>
        <w:footnoteReference w:id="2681"/>
      </w:r>
      <w:r>
        <w:rPr>
          <w:rFonts w:ascii="Amiri" w:hAnsi="Amiri" w:eastAsia="Amiri" w:cs="Amiri"/>
          <w:color w:val="111111"/>
          <w:sz w:val="28"/>
          <w:sz w:val="28"/>
          <w:szCs w:val="28"/>
          <w:rtl w:val="true"/>
          <w:lang w:bidi="ar-SA"/>
        </w:rPr>
        <w:t>لوجوب بذل الكثير في شراء الماء، فلا يبعد وجوب ذبحها و التطهّر به مع عدم الضرر و الحاجة؛ لصدق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للفاضلين </w:t>
      </w:r>
      <w:r>
        <w:rPr>
          <w:rStyle w:val="FootnoteAnchor"/>
          <w:rtl w:val="true"/>
        </w:rPr>
        <w:footnoteReference w:id="2682"/>
      </w:r>
      <w:r>
        <w:rPr>
          <w:rFonts w:ascii="Amiri" w:hAnsi="Amiri" w:eastAsia="Amiri" w:cs="Amiri"/>
          <w:color w:val="111111"/>
          <w:sz w:val="28"/>
          <w:sz w:val="28"/>
          <w:szCs w:val="28"/>
          <w:rtl w:val="true"/>
          <w:lang w:bidi="ar-SA"/>
        </w:rPr>
        <w:t>لأنّ الخوف على المال يجوّز التيمّم،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 محترم بدون الحاجة مع إمكان إيقاع الصلاة بالتيمّم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أمكنه التطهّر و جمع المتساقط للشرب وجب، جمعاً بين الحقّين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خائف العطش لو كان له طاهر و نجس يتيمّم و يبقى الطاهر لشربه؛ لأنّ</w:t>
      </w:r>
      <w:bookmarkStart w:id="985" w:name="pg2479_12057"/>
    </w:p>
    <w:p>
      <w:pPr>
        <w:pStyle w:val="BookText"/>
        <w:rPr/>
      </w:pPr>
      <w:bookmarkEnd w:id="985"/>
      <w:r>
        <w:rPr>
          <w:rFonts w:ascii="Amiri" w:hAnsi="Amiri" w:eastAsia="Amiri" w:cs="Amiri"/>
          <w:color w:val="111111"/>
          <w:sz w:val="28"/>
          <w:sz w:val="28"/>
          <w:szCs w:val="28"/>
          <w:rtl w:val="true"/>
          <w:lang w:bidi="ar-SA"/>
        </w:rPr>
        <w:t>رخصة التيمّم أوسع من رخصة استعمال النجس</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3732551_3804643083"/>
      <w:bookmarkStart w:id="987" w:name="_Toc381"/>
      <w:bookmarkEnd w:id="986"/>
      <w:r>
        <w:rPr>
          <w:rtl w:val="true"/>
        </w:rPr>
        <w:t xml:space="preserve">فصل </w:t>
      </w:r>
      <w:r>
        <w:rPr>
          <w:rtl w:val="true"/>
        </w:rPr>
        <w:t>[</w:t>
      </w:r>
      <w:r>
        <w:rPr>
          <w:rtl w:val="true"/>
        </w:rPr>
        <w:t>موارد تسويغ التيمّم</w:t>
      </w:r>
      <w:r>
        <w:rPr>
          <w:rtl w:val="true"/>
        </w:rPr>
        <w:t>]</w:t>
      </w:r>
      <w:bookmarkEnd w:id="987"/>
    </w:p>
    <w:p>
      <w:pPr>
        <w:pStyle w:val="BookText"/>
        <w:rPr/>
      </w:pPr>
      <w:r>
        <w:rPr>
          <w:rFonts w:ascii="Amiri" w:hAnsi="Amiri" w:eastAsia="Amiri" w:cs="Amiri"/>
          <w:color w:val="111111"/>
          <w:sz w:val="28"/>
          <w:sz w:val="28"/>
          <w:szCs w:val="28"/>
          <w:rtl w:val="true"/>
          <w:lang w:bidi="ar-SA"/>
        </w:rPr>
        <w:t>لو بيع الماء بأجل وجب الشراء مع القدرة و عدم الإجحاف؛ لوجوب تحصيل شرط الواجب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اقتراض الثمن، و الدين المستغرق لا يمنع منهما؛ لصدق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النفقة الواجبة على شرائه،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يجبره مالكه على البيع أو الهبة؛ لتسلّط الناس على أموالهم مع انتفاء الضرورة، بخلاف الطعام في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الجماعة وجوب قبول بذل الماء؛ لصدق الوجدان و عدم المنّة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ثمنه؛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خالفهم في الثاني </w:t>
      </w:r>
      <w:r>
        <w:rPr>
          <w:rStyle w:val="FootnoteAnchor"/>
          <w:rtl w:val="true"/>
        </w:rPr>
        <w:footnoteReference w:id="2683"/>
      </w:r>
      <w:r>
        <w:rPr>
          <w:rFonts w:ascii="Amiri" w:hAnsi="Amiri" w:eastAsia="Amiri" w:cs="Amiri"/>
          <w:color w:val="111111"/>
          <w:sz w:val="28"/>
          <w:sz w:val="28"/>
          <w:szCs w:val="28"/>
          <w:rtl w:val="true"/>
          <w:lang w:bidi="ar-SA"/>
        </w:rPr>
        <w:t>لجواز انتفائها و عدم الدليل على إسقاطها تحصيل شرط الواجب، و هو غير بعيد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مرض لا يضرّه استعمال الماء لا يوجب التيمّم عندنا، و مخالفة بعض العامّة </w:t>
      </w:r>
      <w:r>
        <w:rPr>
          <w:rStyle w:val="FootnoteAnchor"/>
          <w:rtl w:val="true"/>
        </w:rPr>
        <w:footnoteReference w:id="2684"/>
      </w:r>
      <w:r>
        <w:rPr>
          <w:rFonts w:ascii="Amiri" w:hAnsi="Amiri" w:eastAsia="Amiri" w:cs="Amiri"/>
          <w:color w:val="111111"/>
          <w:sz w:val="28"/>
          <w:sz w:val="28"/>
          <w:szCs w:val="28"/>
          <w:rtl w:val="true"/>
          <w:lang w:bidi="ar-SA"/>
        </w:rPr>
        <w:t xml:space="preserve">لعموم الآية </w:t>
      </w:r>
      <w:r>
        <w:rPr>
          <w:rStyle w:val="FootnoteAnchor"/>
          <w:rtl w:val="true"/>
        </w:rPr>
        <w:footnoteReference w:id="2685"/>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 ما يتحمّل عادة من مرض يسير لا يسوّغ التيمّم، وفاقاً للفاضلين </w:t>
      </w:r>
      <w:r>
        <w:rPr>
          <w:rStyle w:val="FootnoteAnchor"/>
          <w:rtl w:val="true"/>
        </w:rPr>
        <w:footnoteReference w:id="2686"/>
      </w:r>
      <w:r>
        <w:rPr>
          <w:rFonts w:ascii="Amiri" w:hAnsi="Amiri" w:eastAsia="Amiri" w:cs="Amiri"/>
          <w:color w:val="111111"/>
          <w:sz w:val="28"/>
          <w:sz w:val="28"/>
          <w:szCs w:val="28"/>
          <w:rtl w:val="true"/>
          <w:lang w:bidi="ar-SA"/>
        </w:rPr>
        <w:t>لعموم الأمر بالطهارتين مع عدم شمول المرض و الضرر و الحرج في الكتاب و السنّة لما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للشهيد و بعضهم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لنفي العسر و الحرج، و جوابه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معرفة الضرر من استعمال الماء بالظن الحاصل من تجربة أو إخبار عدل، وفاقاً، أو فاسق أو صبيّ أو كافر كما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688"/>
      </w:r>
      <w:r>
        <w:rPr>
          <w:rFonts w:ascii="Amiri" w:hAnsi="Amiri" w:eastAsia="Amiri" w:cs="Amiri"/>
          <w:color w:val="111111"/>
          <w:sz w:val="28"/>
          <w:sz w:val="28"/>
          <w:szCs w:val="28"/>
          <w:rtl w:val="true"/>
          <w:lang w:bidi="ar-SA"/>
        </w:rPr>
        <w:t xml:space="preserve">، بل لم نعثر على مصرّح بالخلاف؛ لأنّ المفهوم من الآية </w:t>
      </w:r>
      <w:r>
        <w:rPr>
          <w:rStyle w:val="FootnoteAnchor"/>
          <w:rtl w:val="true"/>
        </w:rPr>
        <w:footnoteReference w:id="2689"/>
      </w:r>
      <w:r>
        <w:rPr>
          <w:rFonts w:ascii="Amiri" w:hAnsi="Amiri" w:eastAsia="Amiri" w:cs="Amiri"/>
          <w:color w:val="111111"/>
          <w:sz w:val="28"/>
          <w:sz w:val="28"/>
          <w:szCs w:val="28"/>
          <w:rtl w:val="true"/>
          <w:lang w:bidi="ar-SA"/>
        </w:rPr>
        <w:t>اعتبار الظن، فيكفي حصوله بأيّ نحو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خائف البرد يسخّن الماء مع الإمكان و لو احتاج إلى شراء الحطب أو استئجار المسخّن وجب مع المكنة، و العاجز عن الحركة لو أمكنه استئجار من يناوله الماء وجب، و أدلّة الكل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إزالة الخبث أولى من رفع الحدث بالإجماع، جمعاً بين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ينعكس الأولويّة مع فقد ما يتيمّم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البدل الموجب للجمع حينئذٍ و اشتراط الصلاة بالطهارة مطلقاً، بخلاف إزالة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شرعيّة التيمّم على العزيمة لا الرخصة، فلو خالف لم يجزئ؛ لعدم إتيانه بالمأمور به و النهي عن استعمال الماء المقتضي للفساد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بالإجزاء </w:t>
      </w:r>
      <w:r>
        <w:rPr>
          <w:rStyle w:val="FootnoteAnchor"/>
          <w:rtl w:val="true"/>
        </w:rPr>
        <w:footnoteReference w:id="2690"/>
      </w:r>
      <w:r>
        <w:rPr>
          <w:rFonts w:ascii="Amiri" w:hAnsi="Amiri" w:eastAsia="Amiri" w:cs="Amiri"/>
          <w:color w:val="111111"/>
          <w:sz w:val="28"/>
          <w:sz w:val="28"/>
          <w:szCs w:val="28"/>
          <w:rtl w:val="true"/>
          <w:lang w:bidi="ar-SA"/>
        </w:rPr>
        <w:t>لإتيانه بالأصل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فاقد الماء يلزمه الطلب، بالإجماعين و ظاهر الآية </w:t>
      </w:r>
      <w:r>
        <w:rPr>
          <w:rStyle w:val="FootnoteAnchor"/>
          <w:rtl w:val="true"/>
        </w:rPr>
        <w:footnoteReference w:id="2691"/>
      </w:r>
      <w:r>
        <w:rPr>
          <w:rFonts w:ascii="Amiri" w:hAnsi="Amiri" w:eastAsia="Amiri" w:cs="Amiri"/>
          <w:color w:val="111111"/>
          <w:sz w:val="28"/>
          <w:sz w:val="28"/>
          <w:szCs w:val="28"/>
          <w:rtl w:val="true"/>
          <w:lang w:bidi="ar-SA"/>
        </w:rPr>
        <w:t xml:space="preserve">و صريح الحسن و الخبر </w:t>
      </w:r>
      <w:r>
        <w:rPr>
          <w:rStyle w:val="FootnoteAnchor"/>
          <w:rtl w:val="true"/>
        </w:rPr>
        <w:footnoteReference w:id="2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المعارض </w:t>
      </w:r>
      <w:r>
        <w:rPr>
          <w:rStyle w:val="FootnoteAnchor"/>
          <w:rtl w:val="true"/>
        </w:rPr>
        <w:footnoteReference w:id="2693"/>
      </w:r>
      <w:r>
        <w:rPr>
          <w:rFonts w:ascii="Amiri" w:hAnsi="Amiri" w:eastAsia="Amiri" w:cs="Amiri"/>
          <w:color w:val="111111"/>
          <w:sz w:val="28"/>
          <w:sz w:val="28"/>
          <w:szCs w:val="28"/>
          <w:rtl w:val="true"/>
          <w:lang w:bidi="ar-SA"/>
        </w:rPr>
        <w:t>محمول على حالة الخوف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رمية سهم في الحزنة، و سهمين في السهلة، وفاقاً للمعظم؛ للخبر </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المعتضد بدعوى الإجماع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Style w:val="FootnoteAnchor"/>
          <w:rtl w:val="true"/>
        </w:rPr>
        <w:footnoteReference w:id="2695"/>
      </w:r>
      <w:r>
        <w:rPr>
          <w:rFonts w:ascii="Amiri" w:hAnsi="Amiri" w:eastAsia="Amiri" w:cs="Amiri"/>
          <w:color w:val="111111"/>
          <w:sz w:val="28"/>
          <w:sz w:val="28"/>
          <w:szCs w:val="28"/>
          <w:rtl w:val="true"/>
          <w:lang w:bidi="ar-SA"/>
        </w:rPr>
        <w:t xml:space="preserve">و تواتر الأخبار به من الحلّي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للشيخ حيث حدّه برمية أو رميتين مطلقاً </w:t>
      </w:r>
      <w:r>
        <w:rPr>
          <w:rStyle w:val="FootnoteAnchor"/>
          <w:rtl w:val="true"/>
        </w:rPr>
        <w:footnoteReference w:id="2697"/>
      </w:r>
      <w:r>
        <w:rPr>
          <w:rFonts w:ascii="Amiri" w:hAnsi="Amiri" w:eastAsia="Amiri" w:cs="Amiri"/>
          <w:color w:val="111111"/>
          <w:sz w:val="28"/>
          <w:sz w:val="28"/>
          <w:szCs w:val="28"/>
          <w:rtl w:val="true"/>
          <w:lang w:bidi="ar-SA"/>
        </w:rPr>
        <w:t>، و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إحالة إلى العرف </w:t>
      </w:r>
      <w:r>
        <w:rPr>
          <w:rStyle w:val="FootnoteAnchor"/>
          <w:rtl w:val="true"/>
        </w:rPr>
        <w:footnoteReference w:id="2698"/>
      </w:r>
      <w:r>
        <w:rPr>
          <w:rFonts w:ascii="Amiri" w:hAnsi="Amiri" w:eastAsia="Amiri" w:cs="Amiri"/>
          <w:color w:val="111111"/>
          <w:sz w:val="28"/>
          <w:sz w:val="28"/>
          <w:szCs w:val="28"/>
          <w:rtl w:val="true"/>
          <w:lang w:bidi="ar-SA"/>
        </w:rPr>
        <w:t>، و ضعفه مع ثبوت التقدير شرعاً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 خال عن التقييد بالأربع، كما في الفتاوى </w:t>
      </w:r>
      <w:r>
        <w:rPr>
          <w:rStyle w:val="FootnoteAnchor"/>
          <w:rtl w:val="true"/>
        </w:rPr>
        <w:footnoteReference w:id="2699"/>
      </w:r>
      <w:r>
        <w:rPr>
          <w:rFonts w:ascii="Amiri" w:hAnsi="Amiri" w:eastAsia="Amiri" w:cs="Amiri"/>
          <w:color w:val="111111"/>
          <w:sz w:val="28"/>
          <w:sz w:val="28"/>
          <w:szCs w:val="28"/>
          <w:rtl w:val="true"/>
          <w:lang w:bidi="ar-SA"/>
        </w:rPr>
        <w:t>، إلّا أنّ الاعتبار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الزائد عن المقدّر، كما في الخبر </w:t>
      </w:r>
      <w:r>
        <w:rPr>
          <w:rStyle w:val="FootnoteAnchor"/>
          <w:rtl w:val="true"/>
        </w:rPr>
        <w:footnoteReference w:id="2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الحسن </w:t>
      </w:r>
      <w:r>
        <w:rPr>
          <w:rStyle w:val="FootnoteAnchor"/>
          <w:rtl w:val="true"/>
        </w:rPr>
        <w:footnoteReference w:id="2701"/>
      </w:r>
      <w:r>
        <w:rPr>
          <w:rFonts w:ascii="Amiri" w:hAnsi="Amiri" w:eastAsia="Amiri" w:cs="Amiri"/>
          <w:color w:val="111111"/>
          <w:sz w:val="28"/>
          <w:sz w:val="28"/>
          <w:szCs w:val="28"/>
          <w:rtl w:val="true"/>
          <w:lang w:bidi="ar-SA"/>
        </w:rPr>
        <w:t>من الطلب ما دام الوقت باقياً محمول على الندب، أو القطع بالإصابة، أو ظنّها، أو تحديد زمان الطلب لا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يجب الطلب مع احتمال الإصابة، فلو علم عدمها مطلقاً أو في جهة سقط وفاقاً؛ لانتفاء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الظن لا يلحق باليقين وفاقاً للفاضل و غيره </w:t>
      </w:r>
      <w:r>
        <w:rPr>
          <w:rStyle w:val="FootnoteAnchor"/>
          <w:rtl w:val="true"/>
        </w:rPr>
        <w:footnoteReference w:id="2702"/>
      </w:r>
      <w:r>
        <w:rPr>
          <w:rFonts w:ascii="Amiri" w:hAnsi="Amiri" w:eastAsia="Amiri" w:cs="Amiri"/>
          <w:color w:val="111111"/>
          <w:sz w:val="28"/>
          <w:sz w:val="28"/>
          <w:szCs w:val="28"/>
          <w:rtl w:val="true"/>
          <w:lang w:bidi="ar-SA"/>
        </w:rPr>
        <w:t>لجواز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2703"/>
      </w:r>
      <w:r>
        <w:rPr>
          <w:rFonts w:ascii="Amiri" w:hAnsi="Amiri" w:eastAsia="Amiri" w:cs="Amiri"/>
          <w:color w:val="111111"/>
          <w:sz w:val="28"/>
          <w:sz w:val="28"/>
          <w:szCs w:val="28"/>
          <w:rtl w:val="true"/>
          <w:lang w:bidi="ar-SA"/>
        </w:rPr>
        <w:t>لقيامه مقام العلم، و ضعفه ظاهر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وجوده في أزيد من النصاب وجب قصده مع الإمكان ما لم يخرج الوقت؛ لوجوب تحصيل شرط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الاستنابة جائزة فيه مع الاختيار، واجبة بدونه و لو بأُجرة مع القدرة؛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عدالة النائب على الأوّل مطلقاً، و على الثاني مع إمكانها، و يحتسب لهما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بالطلب قبل الوقت؛ لعدم المخاطبة و إطلاق الحسن </w:t>
      </w:r>
      <w:r>
        <w:rPr>
          <w:rStyle w:val="FootnoteAnchor"/>
          <w:rtl w:val="true"/>
        </w:rPr>
        <w:footnoteReference w:id="2704"/>
      </w:r>
      <w:r>
        <w:rPr>
          <w:rFonts w:ascii="Amiri" w:hAnsi="Amiri" w:eastAsia="Amiri" w:cs="Amiri"/>
          <w:color w:val="111111"/>
          <w:sz w:val="28"/>
          <w:sz w:val="28"/>
          <w:szCs w:val="28"/>
          <w:rtl w:val="true"/>
          <w:lang w:bidi="ar-SA"/>
        </w:rPr>
        <w:t>، فيعيده مع احتمال التجدّد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فات به غرض يضرّه سقط على الأظهر، دفعاً للضرر، و كذا لو خاف على محترم بمفارقة رحله؛ للخبرين و فحوى الصحيح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المخلّ بالطلب لو تيمّم و صلّى في السعة يعيد مطلقاً؛ لاقتضاء الأمر بالطلب للنهي عن الصلاة، و هو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الضيق لا يعيد كذلك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w:t>
      </w:r>
      <w:r>
        <w:rPr>
          <w:rStyle w:val="FootnoteAnchor"/>
          <w:rtl w:val="true"/>
        </w:rPr>
        <w:footnoteReference w:id="2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مطلقاً،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حصول الامتثال المقتضي للإجزاء، و اشتراط القضاء بفوات الأداء، و ما دلّ على أنّ من صلّى بالتيمّم لا يلزمه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Style w:val="FootnoteAnchor"/>
          <w:rtl w:val="true"/>
        </w:rPr>
        <w:footnoteReference w:id="2707"/>
      </w:r>
      <w:r>
        <w:rPr>
          <w:rFonts w:ascii="Amiri" w:hAnsi="Amiri" w:eastAsia="Amiri" w:cs="Amiri"/>
          <w:color w:val="111111"/>
          <w:sz w:val="28"/>
          <w:sz w:val="28"/>
          <w:szCs w:val="28"/>
          <w:rtl w:val="true"/>
          <w:lang w:bidi="ar-SA"/>
        </w:rPr>
        <w:t>يفيد الإعادة مع النسيان في السعة، و هو غير مدّعاه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نسيه في رحله و صلّى بالتيمّم أجزأه في الضيق دون السعة، وفاقاً لظاهر الصدوق </w:t>
      </w:r>
      <w:r>
        <w:rPr>
          <w:rStyle w:val="FootnoteAnchor"/>
          <w:rtl w:val="true"/>
        </w:rPr>
        <w:footnoteReference w:id="2708"/>
      </w:r>
      <w:r>
        <w:rPr>
          <w:rFonts w:ascii="Amiri" w:hAnsi="Amiri" w:eastAsia="Amiri" w:cs="Amiri"/>
          <w:color w:val="111111"/>
          <w:sz w:val="28"/>
          <w:sz w:val="28"/>
          <w:szCs w:val="28"/>
          <w:rtl w:val="true"/>
          <w:lang w:bidi="ar-SA"/>
        </w:rPr>
        <w:t xml:space="preserve">و معظم الثالثة، لا مطلقاً كظاهر السيّد و المحقّق </w:t>
      </w:r>
      <w:r>
        <w:rPr>
          <w:rStyle w:val="FootnoteAnchor"/>
          <w:rtl w:val="true"/>
        </w:rPr>
        <w:footnoteReference w:id="2709"/>
      </w:r>
      <w:r>
        <w:rPr>
          <w:rFonts w:ascii="Amiri" w:hAnsi="Amiri" w:eastAsia="Amiri" w:cs="Amiri"/>
          <w:color w:val="111111"/>
          <w:sz w:val="28"/>
          <w:sz w:val="28"/>
          <w:szCs w:val="28"/>
          <w:rtl w:val="true"/>
          <w:lang w:bidi="ar-SA"/>
        </w:rPr>
        <w:t xml:space="preserve">، و لا إن اجتهد و طلب كالشيخ و الفاضل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 عموم رفع النسيان و عدم التمكّن من رفعه، فهو كعدم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11"/>
      </w:r>
      <w:r>
        <w:rPr>
          <w:rFonts w:ascii="Amiri" w:hAnsi="Amiri" w:eastAsia="Amiri" w:cs="Amiri"/>
          <w:color w:val="111111"/>
          <w:sz w:val="28"/>
          <w:sz w:val="28"/>
          <w:szCs w:val="28"/>
          <w:rtl w:val="true"/>
          <w:lang w:bidi="ar-SA"/>
        </w:rPr>
        <w:t>، و تعلّق النهي بالصلاة لضدّيتها لما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الخلاف الأوّل على الضيق و الثاني على السعة، ليرجع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إراقة الماء أو بذله قبل الوقت لا يوجب الإعادة إجماعاً، و بعده على الأشهر؛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للشهيد رحمه اللّٰه في مختصريه </w:t>
      </w:r>
      <w:r>
        <w:rPr>
          <w:rStyle w:val="FootnoteAnchor"/>
          <w:rtl w:val="true"/>
        </w:rPr>
        <w:footnoteReference w:id="2712"/>
      </w:r>
      <w:r>
        <w:rPr>
          <w:rFonts w:ascii="Amiri" w:hAnsi="Amiri" w:eastAsia="Amiri" w:cs="Amiri"/>
          <w:color w:val="111111"/>
          <w:sz w:val="28"/>
          <w:sz w:val="28"/>
          <w:szCs w:val="28"/>
          <w:rtl w:val="true"/>
          <w:lang w:bidi="ar-SA"/>
        </w:rPr>
        <w:t>للتفريط، 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713"/>
      </w:r>
      <w:r>
        <w:rPr>
          <w:rFonts w:ascii="Amiri" w:hAnsi="Amiri" w:eastAsia="Amiri" w:cs="Amiri"/>
          <w:color w:val="111111"/>
          <w:sz w:val="28"/>
          <w:sz w:val="28"/>
          <w:szCs w:val="28"/>
          <w:rtl w:val="true"/>
          <w:lang w:bidi="ar-SA"/>
        </w:rPr>
        <w:t>كون المختار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ماء و لم يستعمله إلى التضيّق وجب التيمّم و الأداء، وفاقاً للفاضل </w:t>
      </w:r>
      <w:r>
        <w:rPr>
          <w:rStyle w:val="FootnoteAnchor"/>
          <w:rtl w:val="true"/>
        </w:rPr>
        <w:footnoteReference w:id="2714"/>
      </w:r>
      <w:r>
        <w:rPr>
          <w:rFonts w:ascii="Amiri" w:hAnsi="Amiri" w:eastAsia="Amiri" w:cs="Amiri"/>
          <w:color w:val="111111"/>
          <w:sz w:val="28"/>
          <w:sz w:val="28"/>
          <w:szCs w:val="28"/>
          <w:rtl w:val="true"/>
          <w:lang w:bidi="ar-SA"/>
        </w:rPr>
        <w:t xml:space="preserve">و أكثر الثالثة، لا التطهّر و القضاء كالشيخ و المحقّق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الصحاح </w:t>
      </w:r>
      <w:r>
        <w:rPr>
          <w:rStyle w:val="FootnoteAnchor"/>
          <w:rtl w:val="true"/>
        </w:rPr>
        <w:footnoteReference w:id="2716"/>
      </w:r>
      <w:r>
        <w:rPr>
          <w:rFonts w:ascii="Amiri" w:hAnsi="Amiri" w:eastAsia="Amiri" w:cs="Amiri"/>
          <w:color w:val="111111"/>
          <w:sz w:val="28"/>
          <w:sz w:val="28"/>
          <w:szCs w:val="28"/>
          <w:rtl w:val="true"/>
          <w:lang w:bidi="ar-SA"/>
        </w:rPr>
        <w:t xml:space="preserve">من إطلاق طهوريّة التيمّم، و أنّه أحد الطهورين و بمنزلة الماء و أنّ ربّهما واحد، و وجوب الصلاة في وقتها بالآية و النصوص </w:t>
      </w:r>
      <w:r>
        <w:rPr>
          <w:rStyle w:val="FootnoteAnchor"/>
          <w:rtl w:val="true"/>
        </w:rPr>
        <w:footnoteReference w:id="2717"/>
      </w:r>
      <w:r>
        <w:rPr>
          <w:rFonts w:ascii="Amiri" w:hAnsi="Amiri" w:eastAsia="Amiri" w:cs="Amiri"/>
          <w:color w:val="111111"/>
          <w:sz w:val="28"/>
          <w:sz w:val="28"/>
          <w:szCs w:val="28"/>
          <w:rtl w:val="true"/>
          <w:lang w:bidi="ar-SA"/>
        </w:rPr>
        <w:t>، و اشتراطها بالمائيّة إذا لم يؤدّ إلى خروج الوقت، و معه يتعيّن الترابيّة كما يومي إليه الظواهر و تشهد به جزئيّات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شرعيّة التيمّم لإيقاعها في الوقت، و إلّا كان اللازم التأخير و القضاء عند تعذّر المائيّة و الأداء، و المعلوم خلافه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وجوب التيمّم في الآية </w:t>
      </w:r>
      <w:r>
        <w:rPr>
          <w:rStyle w:val="FootnoteAnchor"/>
          <w:rtl w:val="true"/>
        </w:rPr>
        <w:footnoteReference w:id="2718"/>
      </w:r>
      <w:r>
        <w:rPr>
          <w:rFonts w:ascii="Amiri" w:hAnsi="Amiri" w:eastAsia="Amiri" w:cs="Amiri"/>
          <w:color w:val="111111"/>
          <w:sz w:val="28"/>
          <w:sz w:val="28"/>
          <w:szCs w:val="28"/>
          <w:rtl w:val="true"/>
          <w:lang w:bidi="ar-SA"/>
        </w:rPr>
        <w:t>على عدم وجدان الماء، و مفهومه عدمه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عدم وجدانه عدم التمكّن من التطهّر</w:t>
      </w:r>
      <w:bookmarkStart w:id="988" w:name="pg2479_12067"/>
    </w:p>
    <w:p>
      <w:pPr>
        <w:pStyle w:val="BookText"/>
        <w:rPr/>
      </w:pPr>
      <w:bookmarkEnd w:id="988"/>
      <w:r>
        <w:rPr>
          <w:rFonts w:ascii="Amiri" w:hAnsi="Amiri" w:eastAsia="Amiri" w:cs="Amiri"/>
          <w:color w:val="111111"/>
          <w:sz w:val="28"/>
          <w:sz w:val="28"/>
          <w:szCs w:val="28"/>
          <w:rtl w:val="true"/>
          <w:lang w:bidi="ar-SA"/>
        </w:rPr>
        <w:t>به للصلاة بحيث تدرك في وقتها، لا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وجود ما لا يكفي للطهارة كونه كعدمه؛ لظاهر الوفاق و الآية و الصحاح المستفيضة </w:t>
      </w:r>
      <w:r>
        <w:rPr>
          <w:rStyle w:val="FootnoteAnchor"/>
          <w:rtl w:val="true"/>
        </w:rPr>
        <w:footnoteReference w:id="2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الشيخ من التبعيض </w:t>
      </w:r>
      <w:r>
        <w:rPr>
          <w:rStyle w:val="FootnoteAnchor"/>
          <w:rtl w:val="true"/>
        </w:rPr>
        <w:footnoteReference w:id="2720"/>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غسل عضو مريض أو نجس تيمّم؛ لعدم شرعيّة التبعيض، و انتفاء المركّب بانتفاء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وسع الماء إحدى الطهارتين عند اجتماعهما تيمّم عن الآخر، و وجهه ظاهر</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3732553_3804643083"/>
      <w:bookmarkStart w:id="990" w:name="_Toc382"/>
      <w:bookmarkEnd w:id="989"/>
      <w:r>
        <w:rPr>
          <w:rtl w:val="true"/>
        </w:rPr>
        <w:t xml:space="preserve">فصل </w:t>
      </w:r>
      <w:r>
        <w:rPr>
          <w:rtl w:val="true"/>
        </w:rPr>
        <w:t>[</w:t>
      </w:r>
      <w:r>
        <w:rPr>
          <w:rtl w:val="true"/>
        </w:rPr>
        <w:t>ما به التيمّم</w:t>
      </w:r>
      <w:r>
        <w:rPr>
          <w:rtl w:val="true"/>
        </w:rPr>
        <w:t>]</w:t>
      </w:r>
      <w:bookmarkEnd w:id="990"/>
    </w:p>
    <w:p>
      <w:pPr>
        <w:pStyle w:val="Heading6"/>
        <w:numPr>
          <w:ilvl w:val="5"/>
          <w:numId w:val="1"/>
        </w:numPr>
        <w:rPr/>
      </w:pPr>
      <w:bookmarkStart w:id="991" w:name="__RefHeading___Toc3732555_3804643083"/>
      <w:bookmarkStart w:id="992" w:name="_Toc383"/>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ما به التيمّم هو الأرض، وفاقاً للمعظم، لا مجرّد التراب كالمرتضى و الحلبي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722"/>
      </w:r>
      <w:r>
        <w:rPr>
          <w:rFonts w:ascii="Amiri" w:hAnsi="Amiri" w:eastAsia="Amiri" w:cs="Amiri"/>
          <w:color w:val="111111"/>
          <w:sz w:val="28"/>
          <w:sz w:val="28"/>
          <w:szCs w:val="28"/>
          <w:rtl w:val="true"/>
          <w:lang w:bidi="ar-SA"/>
        </w:rPr>
        <w:t xml:space="preserve">و الصحاح المستفيضة </w:t>
      </w:r>
      <w:r>
        <w:rPr>
          <w:rStyle w:val="FootnoteAnchor"/>
          <w:rtl w:val="true"/>
        </w:rPr>
        <w:footnoteReference w:id="2723"/>
      </w:r>
      <w:r>
        <w:rPr>
          <w:rFonts w:ascii="Amiri" w:hAnsi="Amiri" w:eastAsia="Amiri" w:cs="Amiri"/>
          <w:color w:val="111111"/>
          <w:sz w:val="28"/>
          <w:sz w:val="28"/>
          <w:szCs w:val="28"/>
          <w:rtl w:val="true"/>
          <w:lang w:bidi="ar-SA"/>
        </w:rPr>
        <w:t xml:space="preserve">، و لا يعارضها المتضمّنة للتراب </w:t>
      </w:r>
      <w:r>
        <w:rPr>
          <w:rStyle w:val="FootnoteAnchor"/>
          <w:rtl w:val="true"/>
        </w:rPr>
        <w:footnoteReference w:id="2724"/>
      </w:r>
      <w:r>
        <w:rPr>
          <w:rFonts w:ascii="Amiri" w:hAnsi="Amiri" w:eastAsia="Amiri" w:cs="Amiri"/>
          <w:color w:val="111111"/>
          <w:sz w:val="28"/>
          <w:sz w:val="28"/>
          <w:szCs w:val="28"/>
          <w:rtl w:val="true"/>
          <w:lang w:bidi="ar-SA"/>
        </w:rPr>
        <w:t>لأنّه أغلب الإجزاء، بل أولى في الاستعمال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w:t>
      </w:r>
      <w:r>
        <w:rPr>
          <w:rStyle w:val="FootnoteAnchor"/>
          <w:rtl w:val="true"/>
        </w:rPr>
        <w:footnoteReference w:id="2725"/>
      </w:r>
      <w:r>
        <w:rPr>
          <w:rFonts w:ascii="Amiri" w:hAnsi="Amiri" w:eastAsia="Amiri" w:cs="Amiri"/>
          <w:color w:val="111111"/>
          <w:sz w:val="28"/>
          <w:sz w:val="28"/>
          <w:szCs w:val="28"/>
          <w:rtl w:val="true"/>
          <w:lang w:bidi="ar-SA"/>
        </w:rPr>
        <w:t>، و المروي منه في كتب الأخبار بحذف</w:t>
      </w:r>
      <w:bookmarkStart w:id="993" w:name="pg2479_12069"/>
    </w:p>
    <w:p>
      <w:pPr>
        <w:pStyle w:val="BookText"/>
        <w:rPr/>
      </w:pPr>
      <w:bookmarkEnd w:id="993"/>
      <w:r>
        <w:rPr>
          <w:rFonts w:ascii="Amiri" w:hAnsi="Amiri" w:eastAsia="Amiri" w:cs="Amiri"/>
          <w:color w:val="111111"/>
          <w:sz w:val="28"/>
          <w:sz w:val="28"/>
          <w:szCs w:val="28"/>
          <w:rtl w:val="true"/>
          <w:lang w:bidi="ar-SA"/>
        </w:rPr>
        <w:t>التراب، على أنّ مفهوم الخطاب لا 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سلّمت فإذا لم يخرج مخرج الغالب</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732557_3804643083"/>
      <w:bookmarkStart w:id="995" w:name="_Toc384"/>
      <w:bookmarkEnd w:id="994"/>
      <w:r>
        <w:rPr>
          <w:rtl w:val="true"/>
        </w:rPr>
        <w:t>فروع</w:t>
      </w:r>
      <w:r>
        <w:rPr>
          <w:rtl w:val="true"/>
        </w:rPr>
        <w:t>:</w:t>
      </w:r>
      <w:bookmarkEnd w:id="995"/>
    </w:p>
    <w:p>
      <w:pPr>
        <w:pStyle w:val="Heading6"/>
        <w:numPr>
          <w:ilvl w:val="5"/>
          <w:numId w:val="1"/>
        </w:numPr>
        <w:rPr/>
      </w:pPr>
      <w:bookmarkStart w:id="996" w:name="__RefHeading___Toc3732559_3804643083"/>
      <w:bookmarkStart w:id="997" w:name="_Toc385"/>
      <w:bookmarkEnd w:id="996"/>
      <w:r>
        <w:rPr>
          <w:rtl w:val="true"/>
        </w:rPr>
        <w:t>الأوّل</w:t>
      </w:r>
      <w:r>
        <w:rPr>
          <w:rtl w:val="true"/>
        </w:rPr>
        <w:t>:</w:t>
      </w:r>
      <w:bookmarkEnd w:id="997"/>
    </w:p>
    <w:p>
      <w:pPr>
        <w:pStyle w:val="Heading6"/>
        <w:numPr>
          <w:ilvl w:val="5"/>
          <w:numId w:val="1"/>
        </w:numPr>
        <w:rPr/>
      </w:pPr>
      <w:bookmarkStart w:id="998" w:name="__RefHeading___Toc3732561_3804643083"/>
      <w:bookmarkStart w:id="999" w:name="_Toc386"/>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التراب بألوانه من الأرض، و منه الأرمني، و طين الدواء، و كذا المدر و الحصى، فيصحّ التيمّم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بالحجر بأنواعه وفاقاً للمشهور؛ لأنّه من الأرض بالإجماع و العرف و اللغة </w:t>
      </w:r>
      <w:r>
        <w:rPr>
          <w:rStyle w:val="FootnoteAnchor"/>
          <w:rtl w:val="true"/>
        </w:rPr>
        <w:footnoteReference w:id="2726"/>
      </w:r>
      <w:r>
        <w:rPr>
          <w:rFonts w:ascii="Amiri" w:hAnsi="Amiri" w:eastAsia="Amiri" w:cs="Amiri"/>
          <w:color w:val="111111"/>
          <w:sz w:val="28"/>
          <w:sz w:val="28"/>
          <w:szCs w:val="28"/>
          <w:rtl w:val="true"/>
          <w:lang w:bidi="ar-SA"/>
        </w:rPr>
        <w:t>، فيتناوله مجوّزات التيمّم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للإسكافي مطلقاً </w:t>
      </w:r>
      <w:r>
        <w:rPr>
          <w:rStyle w:val="FootnoteAnchor"/>
          <w:rtl w:val="true"/>
        </w:rPr>
        <w:footnoteReference w:id="2727"/>
      </w:r>
      <w:r>
        <w:rPr>
          <w:rFonts w:ascii="Amiri" w:hAnsi="Amiri" w:eastAsia="Amiri" w:cs="Amiri"/>
          <w:color w:val="111111"/>
          <w:sz w:val="28"/>
          <w:sz w:val="28"/>
          <w:szCs w:val="28"/>
          <w:rtl w:val="true"/>
          <w:lang w:bidi="ar-SA"/>
        </w:rPr>
        <w:t>لخروجه منها بالتحجّر، و ضعفه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للشيخين و الحلّي عند الاختيار </w:t>
      </w:r>
      <w:r>
        <w:rPr>
          <w:rStyle w:val="FootnoteAnchor"/>
          <w:rtl w:val="true"/>
        </w:rPr>
        <w:footnoteReference w:id="2728"/>
      </w:r>
      <w:r>
        <w:rPr>
          <w:rFonts w:ascii="Amiri" w:hAnsi="Amiri" w:eastAsia="Amiri" w:cs="Amiri"/>
          <w:color w:val="111111"/>
          <w:sz w:val="28"/>
          <w:sz w:val="28"/>
          <w:szCs w:val="28"/>
          <w:rtl w:val="true"/>
          <w:lang w:bidi="ar-SA"/>
        </w:rPr>
        <w:t>، و لم أقف لهم على حجّة؛ إذ لو كان من الأرض يثبت الجواز مطلقاً، و إلّا المنع كذلك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بالجصّ و النورة قبل الإحراق لا بعده، وفاقاً للمشهور في الموضعين؛ للتسمية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الحلّي في الأوّل مطلقاً </w:t>
      </w:r>
      <w:r>
        <w:rPr>
          <w:rStyle w:val="FootnoteAnchor"/>
          <w:rtl w:val="true"/>
        </w:rPr>
        <w:footnoteReference w:id="2729"/>
      </w:r>
      <w:r>
        <w:rPr>
          <w:rFonts w:ascii="Amiri" w:hAnsi="Amiri" w:eastAsia="Amiri" w:cs="Amiri"/>
          <w:color w:val="111111"/>
          <w:sz w:val="28"/>
          <w:sz w:val="28"/>
          <w:szCs w:val="28"/>
          <w:rtl w:val="true"/>
          <w:lang w:bidi="ar-SA"/>
        </w:rPr>
        <w:t xml:space="preserve">و الشيخ عند الاختيار </w:t>
      </w:r>
      <w:r>
        <w:rPr>
          <w:rStyle w:val="FootnoteAnchor"/>
          <w:rtl w:val="true"/>
        </w:rPr>
        <w:footnoteReference w:id="2730"/>
      </w:r>
      <w:r>
        <w:rPr>
          <w:rFonts w:ascii="Amiri" w:hAnsi="Amiri" w:eastAsia="Amiri" w:cs="Amiri"/>
          <w:color w:val="111111"/>
          <w:sz w:val="28"/>
          <w:sz w:val="28"/>
          <w:szCs w:val="28"/>
          <w:rtl w:val="true"/>
          <w:lang w:bidi="ar-SA"/>
        </w:rPr>
        <w:t xml:space="preserve">ضعيف، و إطلاق الخبرين </w:t>
      </w:r>
      <w:r>
        <w:rPr>
          <w:rStyle w:val="FootnoteAnchor"/>
          <w:rtl w:val="true"/>
        </w:rPr>
        <w:footnoteReference w:id="2731"/>
      </w:r>
      <w:r>
        <w:rPr>
          <w:rFonts w:ascii="Amiri" w:hAnsi="Amiri" w:eastAsia="Amiri" w:cs="Amiri"/>
          <w:color w:val="111111"/>
          <w:sz w:val="28"/>
          <w:sz w:val="28"/>
          <w:szCs w:val="28"/>
          <w:rtl w:val="true"/>
          <w:lang w:bidi="ar-SA"/>
        </w:rPr>
        <w:t>حجّة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تجويز السيّد و الديلمي </w:t>
      </w:r>
      <w:r>
        <w:rPr>
          <w:rStyle w:val="FootnoteAnchor"/>
          <w:rtl w:val="true"/>
        </w:rPr>
        <w:footnoteReference w:id="2732"/>
      </w:r>
      <w:r>
        <w:rPr>
          <w:rFonts w:ascii="Amiri" w:hAnsi="Amiri" w:eastAsia="Amiri" w:cs="Amiri"/>
          <w:color w:val="111111"/>
          <w:sz w:val="28"/>
          <w:sz w:val="28"/>
          <w:szCs w:val="28"/>
          <w:rtl w:val="true"/>
          <w:lang w:bidi="ar-SA"/>
        </w:rPr>
        <w:t>في الثاني للخبرين،</w:t>
      </w:r>
    </w:p>
    <w:p>
      <w:pPr>
        <w:pStyle w:val="BookText"/>
        <w:rPr/>
      </w:pPr>
      <w:r>
        <w:rPr>
          <w:rFonts w:ascii="Amiri" w:hAnsi="Amiri" w:eastAsia="Amiri" w:cs="Amiri"/>
          <w:color w:val="111111"/>
          <w:sz w:val="28"/>
          <w:sz w:val="28"/>
          <w:szCs w:val="28"/>
          <w:rtl w:val="true"/>
          <w:lang w:bidi="ar-SA"/>
        </w:rPr>
        <w:t>مردود بضعفهما بلا انجبار و عدم مقاومتهما لأدلّة اعتبار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بالتراب المستعمل و الملاصق للميّت إن لم يعلم بنجاسته وفاقاً؛ لثبوت التسمية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بعض العامّة فيهما </w:t>
      </w:r>
      <w:r>
        <w:rPr>
          <w:rStyle w:val="FootnoteAnchor"/>
          <w:rtl w:val="true"/>
        </w:rPr>
        <w:footnoteReference w:id="273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بالسبخة و الرمل، خلافاً للإسكافي في الأوّل </w:t>
      </w:r>
      <w:r>
        <w:rPr>
          <w:rStyle w:val="FootnoteAnchor"/>
          <w:rtl w:val="true"/>
        </w:rPr>
        <w:footnoteReference w:id="2734"/>
      </w:r>
      <w:r>
        <w:rPr>
          <w:rFonts w:ascii="Amiri" w:hAnsi="Amiri" w:eastAsia="Amiri" w:cs="Amiri"/>
          <w:color w:val="111111"/>
          <w:sz w:val="28"/>
          <w:sz w:val="28"/>
          <w:szCs w:val="28"/>
          <w:rtl w:val="true"/>
          <w:lang w:bidi="ar-SA"/>
        </w:rPr>
        <w:t xml:space="preserve">، و بعض العامّة في الثاني </w:t>
      </w:r>
      <w:r>
        <w:rPr>
          <w:rStyle w:val="FootnoteAnchor"/>
          <w:rtl w:val="true"/>
        </w:rPr>
        <w:footnoteReference w:id="2735"/>
      </w:r>
      <w:r>
        <w:rPr>
          <w:rFonts w:ascii="Amiri" w:hAnsi="Amiri" w:eastAsia="Amiri" w:cs="Amiri"/>
          <w:color w:val="111111"/>
          <w:sz w:val="28"/>
          <w:sz w:val="28"/>
          <w:szCs w:val="28"/>
          <w:rtl w:val="true"/>
          <w:lang w:bidi="ar-SA"/>
        </w:rPr>
        <w:t>، و القطع بصدق الاسم حجّة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وفاقهم على الكراهة فيهما، و لعلّه الحجّة؛ إذ لم أقف على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بالأرض النديّة إذا لم يصدق الطين عليها؛ لظاهر الصحيح و المضمر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يصحّ بالخزف و الآجر؛ للاستحالة وفاقاً للإسكافي و المحقّق </w:t>
      </w:r>
      <w:r>
        <w:rPr>
          <w:rStyle w:val="FootnoteAnchor"/>
          <w:rtl w:val="true"/>
        </w:rPr>
        <w:footnoteReference w:id="2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بالجواز </w:t>
      </w:r>
      <w:r>
        <w:rPr>
          <w:rStyle w:val="FootnoteAnchor"/>
          <w:rtl w:val="true"/>
        </w:rPr>
        <w:footnoteReference w:id="2738"/>
      </w:r>
      <w:r>
        <w:rPr>
          <w:rFonts w:ascii="Amiri" w:hAnsi="Amiri" w:eastAsia="Amiri" w:cs="Amiri"/>
          <w:color w:val="111111"/>
          <w:sz w:val="28"/>
          <w:sz w:val="28"/>
          <w:szCs w:val="28"/>
          <w:rtl w:val="true"/>
          <w:lang w:bidi="ar-SA"/>
        </w:rPr>
        <w:t>للشك فيها، و شهادة العرف تدفعه، على أنّ موجب الجواز القطع بها، لا الشكّ فيها، و التمسّك بالاستصحاب في الأُمور الخارجة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الأرضيّة للحجر يوجب ثبوتها لها </w:t>
      </w:r>
      <w:r>
        <w:rPr>
          <w:rStyle w:val="FootnoteAnchor"/>
          <w:rtl w:val="true"/>
        </w:rPr>
        <w:footnoteReference w:id="2739"/>
      </w:r>
      <w:r>
        <w:rPr>
          <w:rFonts w:ascii="Amiri" w:hAnsi="Amiri" w:eastAsia="Amiri" w:cs="Amiri"/>
          <w:color w:val="111111"/>
          <w:sz w:val="28"/>
          <w:sz w:val="28"/>
          <w:szCs w:val="28"/>
          <w:rtl w:val="true"/>
          <w:lang w:bidi="ar-SA"/>
        </w:rPr>
        <w:t>لكونه أقوى استمساكاً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كاللغة فارق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بالمعادن كالكحل و الزرنيخ و غيرهما، وفاقاً للمعظم؛ لعدم التسمية، و خلافاً للعماني؛ للخروج منها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المناط التسمية، دون الخروج</w:t>
      </w:r>
      <w:r>
        <w:rPr>
          <w:rFonts w:eastAsia="Amiri" w:cs="Amiri" w:ascii="Amiri" w:hAnsi="Amiri"/>
          <w:color w:val="111111"/>
          <w:sz w:val="28"/>
          <w:szCs w:val="28"/>
          <w:rtl w:val="true"/>
          <w:lang w:bidi="ar-SA"/>
        </w:rPr>
        <w:t>.</w:t>
      </w:r>
      <w:bookmarkStart w:id="1000" w:name="pg2479_12073"/>
    </w:p>
    <w:p>
      <w:pPr>
        <w:pStyle w:val="BookText"/>
        <w:rPr/>
      </w:pPr>
      <w:bookmarkEnd w:id="1000"/>
      <w:r>
        <w:rPr>
          <w:rFonts w:ascii="Amiri" w:hAnsi="Amiri" w:eastAsia="Amiri" w:cs="Amiri"/>
          <w:color w:val="111111"/>
          <w:sz w:val="28"/>
          <w:sz w:val="28"/>
          <w:szCs w:val="28"/>
          <w:rtl w:val="true"/>
          <w:lang w:bidi="ar-SA"/>
        </w:rPr>
        <w:t xml:space="preserve">و ما في خبرين </w:t>
      </w:r>
      <w:r>
        <w:rPr>
          <w:rStyle w:val="FootnoteAnchor"/>
          <w:rtl w:val="true"/>
        </w:rPr>
        <w:footnoteReference w:id="2740"/>
      </w:r>
      <w:r>
        <w:rPr>
          <w:rFonts w:ascii="Amiri" w:hAnsi="Amiri" w:eastAsia="Amiri" w:cs="Amiri"/>
          <w:color w:val="111111"/>
          <w:sz w:val="28"/>
          <w:sz w:val="28"/>
          <w:szCs w:val="28"/>
          <w:rtl w:val="true"/>
          <w:lang w:bidi="ar-SA"/>
        </w:rPr>
        <w:t xml:space="preserve">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Style w:val="FootnoteAnchor"/>
          <w:rtl w:val="true"/>
        </w:rPr>
        <w:footnoteReference w:id="2741"/>
      </w:r>
      <w:r>
        <w:rPr>
          <w:rFonts w:ascii="Amiri" w:hAnsi="Amiri" w:eastAsia="Amiri" w:cs="Amiri"/>
          <w:color w:val="111111"/>
          <w:sz w:val="28"/>
          <w:sz w:val="28"/>
          <w:szCs w:val="28"/>
          <w:rtl w:val="true"/>
          <w:lang w:bidi="ar-SA"/>
        </w:rPr>
        <w:t>من نفي الحكم من الرماد معلّلًا بعدم خروجه من الأرض مبالغة في نفي الأرض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بالرماد و النبات المنسحق بالإجماع المحقّق و المحكي </w:t>
      </w:r>
      <w:r>
        <w:rPr>
          <w:rStyle w:val="FootnoteAnchor"/>
          <w:rtl w:val="true"/>
        </w:rPr>
        <w:footnoteReference w:id="2742"/>
      </w:r>
      <w:r>
        <w:rPr>
          <w:rFonts w:ascii="Amiri" w:hAnsi="Amiri" w:eastAsia="Amiri" w:cs="Amiri"/>
          <w:color w:val="111111"/>
          <w:sz w:val="28"/>
          <w:sz w:val="28"/>
          <w:szCs w:val="28"/>
          <w:rtl w:val="true"/>
          <w:lang w:bidi="ar-SA"/>
        </w:rPr>
        <w:t xml:space="preserve">لعدم التسمية، و الخبرين </w:t>
      </w:r>
      <w:r>
        <w:rPr>
          <w:rStyle w:val="FootnoteAnchor"/>
          <w:rtl w:val="true"/>
        </w:rPr>
        <w:footnoteReference w:id="2743"/>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بالممتزج بغيرها مزجاً يسلبه الإطلاق؛ للتعليل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بالنجس؛ للإجماع المحقّق و المحكي </w:t>
      </w:r>
      <w:r>
        <w:rPr>
          <w:rStyle w:val="FootnoteAnchor"/>
          <w:rtl w:val="true"/>
        </w:rPr>
        <w:footnoteReference w:id="2744"/>
      </w:r>
      <w:r>
        <w:rPr>
          <w:rFonts w:ascii="Amiri" w:hAnsi="Amiri" w:eastAsia="Amiri" w:cs="Amiri"/>
          <w:color w:val="111111"/>
          <w:sz w:val="28"/>
          <w:sz w:val="28"/>
          <w:szCs w:val="28"/>
          <w:rtl w:val="true"/>
          <w:lang w:bidi="ar-SA"/>
        </w:rPr>
        <w:t xml:space="preserve">و ظاهر الآية </w:t>
      </w:r>
      <w:r>
        <w:rPr>
          <w:rStyle w:val="FootnoteAnchor"/>
          <w:rtl w:val="true"/>
        </w:rPr>
        <w:footnoteReference w:id="2745"/>
      </w:r>
      <w:r>
        <w:rPr>
          <w:rFonts w:ascii="Amiri" w:hAnsi="Amiri" w:eastAsia="Amiri" w:cs="Amiri"/>
          <w:color w:val="111111"/>
          <w:sz w:val="28"/>
          <w:sz w:val="28"/>
          <w:szCs w:val="28"/>
          <w:rtl w:val="true"/>
          <w:lang w:bidi="ar-SA"/>
        </w:rPr>
        <w:t>و استلزام التطهير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بتراب مغصوب؛ للنهي </w:t>
      </w:r>
      <w:r>
        <w:rPr>
          <w:rStyle w:val="FootnoteAnchor"/>
          <w:rtl w:val="true"/>
        </w:rPr>
        <w:footnoteReference w:id="2746"/>
      </w:r>
      <w:r>
        <w:rPr>
          <w:rFonts w:ascii="Amiri" w:hAnsi="Amiri" w:eastAsia="Amiri" w:cs="Amiri"/>
          <w:color w:val="111111"/>
          <w:sz w:val="28"/>
          <w:sz w:val="28"/>
          <w:szCs w:val="28"/>
          <w:rtl w:val="true"/>
          <w:lang w:bidi="ar-SA"/>
        </w:rPr>
        <w:t>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مكان مغصوب، لا للنهي عن التصرّف؛ لتعلّقه بالخارج، بل لاستلزام الأمر بالخروج للنهي عن ضدّه الخاص، كما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بالوحل اختياراً؛ للمستفيضة </w:t>
      </w:r>
      <w:r>
        <w:rPr>
          <w:rStyle w:val="FootnoteAnchor"/>
          <w:rtl w:val="true"/>
        </w:rPr>
        <w:footnoteReference w:id="2747"/>
      </w:r>
      <w:r>
        <w:rPr>
          <w:rFonts w:ascii="Amiri" w:hAnsi="Amiri" w:eastAsia="Amiri" w:cs="Amiri"/>
          <w:color w:val="111111"/>
          <w:sz w:val="28"/>
          <w:sz w:val="28"/>
          <w:szCs w:val="28"/>
          <w:rtl w:val="true"/>
          <w:lang w:bidi="ar-SA"/>
        </w:rPr>
        <w:t>المجوّزة له عند فقد غيره، و كأنّ التفصيل فيه موضع وفاق</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732563_3804643083"/>
      <w:bookmarkStart w:id="1002" w:name="_Toc387"/>
      <w:bookmarkEnd w:id="1001"/>
      <w:r>
        <w:rPr>
          <w:rtl w:val="true"/>
        </w:rPr>
        <w:t xml:space="preserve">فصل </w:t>
      </w:r>
      <w:r>
        <w:rPr>
          <w:rtl w:val="true"/>
        </w:rPr>
        <w:t>[</w:t>
      </w:r>
      <w:r>
        <w:rPr>
          <w:rtl w:val="true"/>
        </w:rPr>
        <w:t>الطهارة عند توفّر الثلج</w:t>
      </w:r>
      <w:r>
        <w:rPr>
          <w:rtl w:val="true"/>
        </w:rPr>
        <w:t>]</w:t>
      </w:r>
      <w:bookmarkEnd w:id="10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يوجد إلّا الثلج و لم يمكن إذابته إلى الماء، فالظاهر وجوب التطهّر منه مع</w:t>
      </w:r>
      <w:bookmarkStart w:id="1003" w:name="pg2479_12075"/>
    </w:p>
    <w:p>
      <w:pPr>
        <w:pStyle w:val="BookText"/>
        <w:rPr/>
      </w:pPr>
      <w:bookmarkEnd w:id="1003"/>
      <w:r>
        <w:rPr>
          <w:rFonts w:ascii="Amiri" w:hAnsi="Amiri" w:eastAsia="Amiri" w:cs="Amiri"/>
          <w:color w:val="111111"/>
          <w:sz w:val="28"/>
          <w:sz w:val="28"/>
          <w:szCs w:val="28"/>
          <w:rtl w:val="true"/>
          <w:lang w:bidi="ar-SA"/>
        </w:rPr>
        <w:t xml:space="preserve">إمكانه بالبلّ، وفاقاً للشيخين </w:t>
      </w:r>
      <w:r>
        <w:rPr>
          <w:rStyle w:val="FootnoteAnchor"/>
          <w:rtl w:val="true"/>
        </w:rPr>
        <w:footnoteReference w:id="2748"/>
      </w:r>
      <w:r>
        <w:rPr>
          <w:rFonts w:ascii="Amiri" w:hAnsi="Amiri" w:eastAsia="Amiri" w:cs="Amiri"/>
          <w:color w:val="111111"/>
          <w:sz w:val="28"/>
          <w:sz w:val="28"/>
          <w:szCs w:val="28"/>
          <w:rtl w:val="true"/>
          <w:lang w:bidi="ar-SA"/>
        </w:rPr>
        <w:t xml:space="preserve">، لا التيمّم كالسيد و الإسكافي و الديلمي </w:t>
      </w:r>
      <w:r>
        <w:rPr>
          <w:rStyle w:val="FootnoteAnchor"/>
          <w:rtl w:val="true"/>
        </w:rPr>
        <w:footnoteReference w:id="2749"/>
      </w:r>
      <w:r>
        <w:rPr>
          <w:rFonts w:ascii="Amiri" w:hAnsi="Amiri" w:eastAsia="Amiri" w:cs="Amiri"/>
          <w:color w:val="111111"/>
          <w:sz w:val="28"/>
          <w:sz w:val="28"/>
          <w:szCs w:val="28"/>
          <w:rtl w:val="true"/>
          <w:lang w:bidi="ar-SA"/>
        </w:rPr>
        <w:t>، و لا سقوط الفرض كظاهر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اختار الأوّل تارة و الثاني اخرىٰ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الجمع بين إخباري الغسل و الدهن، مؤيّداً بالمستفيضة من الصحاح و غيرها </w:t>
      </w:r>
      <w:r>
        <w:rPr>
          <w:rStyle w:val="FootnoteAnchor"/>
          <w:rtl w:val="true"/>
        </w:rPr>
        <w:footnoteReference w:id="2751"/>
      </w:r>
      <w:r>
        <w:rPr>
          <w:rFonts w:ascii="Amiri" w:hAnsi="Amiri" w:eastAsia="Amiri" w:cs="Amiri"/>
          <w:color w:val="111111"/>
          <w:sz w:val="28"/>
          <w:sz w:val="28"/>
          <w:szCs w:val="28"/>
          <w:rtl w:val="true"/>
          <w:lang w:bidi="ar-SA"/>
        </w:rPr>
        <w:t>، و ظاهرها تقديمها على التراب و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Style w:val="FootnoteAnchor"/>
          <w:rtl w:val="true"/>
        </w:rPr>
        <w:footnoteReference w:id="2752"/>
      </w:r>
      <w:r>
        <w:rPr>
          <w:rFonts w:ascii="Amiri" w:hAnsi="Amiri" w:eastAsia="Amiri" w:cs="Amiri"/>
          <w:color w:val="111111"/>
          <w:sz w:val="28"/>
          <w:sz w:val="28"/>
          <w:szCs w:val="28"/>
          <w:rtl w:val="true"/>
          <w:lang w:bidi="ar-SA"/>
        </w:rPr>
        <w:t xml:space="preserve">، لا العكس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الصحيح و الموثّق </w:t>
      </w:r>
      <w:r>
        <w:rPr>
          <w:rStyle w:val="FootnoteAnchor"/>
          <w:rtl w:val="true"/>
        </w:rPr>
        <w:footnoteReference w:id="2754"/>
      </w:r>
      <w:r>
        <w:rPr>
          <w:rFonts w:ascii="Amiri" w:hAnsi="Amiri" w:eastAsia="Amiri" w:cs="Amiri"/>
          <w:color w:val="111111"/>
          <w:sz w:val="28"/>
          <w:sz w:val="28"/>
          <w:szCs w:val="28"/>
          <w:rtl w:val="true"/>
          <w:lang w:bidi="ar-SA"/>
        </w:rPr>
        <w:t>من تقديمهما عليه محمول على تعذّر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الدهن و ما في معناه على ما يتضمّن أقل الجري مع بعده لا يمكن في بعض أخباره، على أنّه ينفي اعتبار مجرّد البلّ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وجه لما ذكره الشيخان من جوازه عند 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الجري في الطهارة و الأرض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عند الاختيار، لا الضرورة؛ لما تقدّم</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3732565_3804643083"/>
      <w:bookmarkStart w:id="1005" w:name="_Toc388"/>
      <w:bookmarkEnd w:id="1004"/>
      <w:r>
        <w:rPr>
          <w:rtl w:val="true"/>
        </w:rPr>
        <w:t>الثاني</w:t>
      </w:r>
      <w:r>
        <w:rPr>
          <w:rtl w:val="true"/>
        </w:rPr>
        <w:t>:</w:t>
      </w:r>
      <w:bookmarkEnd w:id="100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فقد الأرض تيمّم بغبار ما يتيمّم به؛ للمستفيضة </w:t>
      </w:r>
      <w:r>
        <w:rPr>
          <w:rStyle w:val="FootnoteAnchor"/>
          <w:rtl w:val="true"/>
        </w:rPr>
        <w:footnoteReference w:id="2755"/>
      </w:r>
      <w:r>
        <w:rPr>
          <w:rFonts w:ascii="IRNazanin" w:hAnsi="IRNazanin" w:eastAsia="IRNazanin"/>
          <w:color w:val="111111"/>
          <w:sz w:val="28"/>
          <w:sz w:val="28"/>
          <w:szCs w:val="28"/>
          <w:rtl w:val="true"/>
          <w:lang w:bidi="fa-IR"/>
        </w:rPr>
        <w:t xml:space="preserve">و نقل الإجماع </w:t>
      </w:r>
      <w:r>
        <w:rPr>
          <w:rStyle w:val="FootnoteAnchor"/>
          <w:rtl w:val="true"/>
        </w:rPr>
        <w:footnoteReference w:id="2756"/>
      </w:r>
      <w:r>
        <w:rPr>
          <w:rFonts w:ascii="Amiri" w:hAnsi="Amiri" w:eastAsia="Amiri" w:cs="Amiri"/>
          <w:color w:val="111111"/>
          <w:sz w:val="28"/>
          <w:sz w:val="28"/>
          <w:szCs w:val="28"/>
          <w:rtl w:val="true"/>
          <w:lang w:bidi="ar-SA"/>
        </w:rPr>
        <w:t xml:space="preserve">، و التخصّص في بعضها </w:t>
      </w:r>
      <w:r>
        <w:rPr>
          <w:rStyle w:val="FootnoteAnchor"/>
          <w:rtl w:val="true"/>
        </w:rPr>
        <w:footnoteReference w:id="2757"/>
      </w:r>
      <w:r>
        <w:rPr>
          <w:rFonts w:ascii="Amiri" w:hAnsi="Amiri" w:eastAsia="Amiri" w:cs="Amiri"/>
          <w:color w:val="111111"/>
          <w:sz w:val="28"/>
          <w:sz w:val="28"/>
          <w:szCs w:val="28"/>
          <w:rtl w:val="true"/>
          <w:lang w:bidi="ar-SA"/>
        </w:rPr>
        <w:t>و في الفتاوى بغبار أحد الثلاثة لكونها مظنّة لا للحصر</w:t>
      </w:r>
      <w:r>
        <w:rPr>
          <w:rFonts w:eastAsia="Amiri" w:cs="Amiri" w:ascii="Amiri" w:hAnsi="Amiri"/>
          <w:color w:val="111111"/>
          <w:sz w:val="28"/>
          <w:szCs w:val="28"/>
          <w:rtl w:val="true"/>
          <w:lang w:bidi="ar-SA"/>
        </w:rPr>
        <w:t>.</w:t>
      </w:r>
      <w:bookmarkStart w:id="1006" w:name="pg2479_12077"/>
    </w:p>
    <w:p>
      <w:pPr>
        <w:pStyle w:val="BookText"/>
        <w:rPr/>
      </w:pPr>
      <w:bookmarkEnd w:id="1006"/>
      <w:r>
        <w:rPr>
          <w:rFonts w:ascii="Amiri" w:hAnsi="Amiri" w:eastAsia="Amiri" w:cs="Amiri"/>
          <w:color w:val="111111"/>
          <w:sz w:val="28"/>
          <w:sz w:val="28"/>
          <w:szCs w:val="28"/>
          <w:rtl w:val="true"/>
          <w:lang w:bidi="ar-SA"/>
        </w:rPr>
        <w:t xml:space="preserve">و بذلك يظهر صحّة ما هو المشهور، و المستفاد من النصوص من التخيير في مواضعه مطلقاً، فضلًا عن الثلاثة، و ضعف 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27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Style w:val="FootnoteAnchor"/>
          <w:rtl w:val="true"/>
        </w:rPr>
        <w:footnoteReference w:id="2759"/>
      </w:r>
      <w:r>
        <w:rPr>
          <w:rFonts w:ascii="Amiri" w:hAnsi="Amiri" w:eastAsia="Amiri" w:cs="Amiri"/>
          <w:color w:val="111111"/>
          <w:sz w:val="28"/>
          <w:sz w:val="28"/>
          <w:szCs w:val="28"/>
          <w:rtl w:val="true"/>
          <w:lang w:bidi="ar-SA"/>
        </w:rPr>
        <w:t>من التعاكس في الترتيب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بالغبار مع وجود التراب </w:t>
      </w:r>
      <w:r>
        <w:rPr>
          <w:rStyle w:val="FootnoteAnchor"/>
          <w:rtl w:val="true"/>
        </w:rPr>
        <w:footnoteReference w:id="2760"/>
      </w:r>
      <w:r>
        <w:rPr>
          <w:rFonts w:ascii="Amiri" w:hAnsi="Amiri" w:eastAsia="Amiri" w:cs="Amiri"/>
          <w:color w:val="111111"/>
          <w:sz w:val="28"/>
          <w:sz w:val="28"/>
          <w:szCs w:val="28"/>
          <w:rtl w:val="true"/>
          <w:lang w:bidi="ar-SA"/>
        </w:rPr>
        <w:t xml:space="preserve">، و يدفعه الصحيح و الحسن </w:t>
      </w:r>
      <w:r>
        <w:rPr>
          <w:rStyle w:val="FootnoteAnchor"/>
          <w:rtl w:val="true"/>
        </w:rPr>
        <w:footnoteReference w:id="2761"/>
      </w:r>
      <w:r>
        <w:rPr>
          <w:rFonts w:ascii="Amiri" w:hAnsi="Amiri" w:eastAsia="Amiri" w:cs="Amiri"/>
          <w:color w:val="111111"/>
          <w:sz w:val="28"/>
          <w:sz w:val="28"/>
          <w:szCs w:val="28"/>
          <w:rtl w:val="true"/>
          <w:lang w:bidi="ar-SA"/>
        </w:rPr>
        <w:t xml:space="preserve">، كنقل الإجماع </w:t>
      </w:r>
      <w:r>
        <w:rPr>
          <w:rStyle w:val="FootnoteAnchor"/>
          <w:rtl w:val="true"/>
        </w:rPr>
        <w:footnoteReference w:id="2762"/>
      </w:r>
      <w:r>
        <w:rPr>
          <w:rFonts w:ascii="Amiri" w:hAnsi="Amiri" w:eastAsia="Amiri" w:cs="Amiri"/>
          <w:color w:val="111111"/>
          <w:sz w:val="28"/>
          <w:sz w:val="28"/>
          <w:szCs w:val="28"/>
          <w:rtl w:val="true"/>
          <w:lang w:bidi="ar-SA"/>
        </w:rPr>
        <w:t>و عدم تسميته صعيداً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الإحساس بالغبار، فلا يكفي كمونه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فقده يتيمّم بالوحل؛ للمستفيضة </w:t>
      </w:r>
      <w:r>
        <w:rPr>
          <w:rStyle w:val="FootnoteAnchor"/>
          <w:rtl w:val="true"/>
        </w:rPr>
        <w:footnoteReference w:id="2763"/>
      </w:r>
      <w:r>
        <w:rPr>
          <w:rFonts w:ascii="Amiri" w:hAnsi="Amiri" w:eastAsia="Amiri" w:cs="Amiri"/>
          <w:color w:val="111111"/>
          <w:sz w:val="28"/>
          <w:sz w:val="28"/>
          <w:szCs w:val="28"/>
          <w:rtl w:val="true"/>
          <w:lang w:bidi="ar-SA"/>
        </w:rPr>
        <w:t xml:space="preserve">و الإجماع المحقّق و المحكي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تحصيل ما يتيمّم به كالماء و لو باستئجار أو اتّهاب أو الشراء</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3732567_3804643083"/>
      <w:bookmarkStart w:id="1008" w:name="_Toc389"/>
      <w:bookmarkEnd w:id="1007"/>
      <w:r>
        <w:rPr>
          <w:rtl w:val="true"/>
        </w:rPr>
        <w:t>الثالث</w:t>
      </w:r>
      <w:r>
        <w:rPr>
          <w:rtl w:val="true"/>
        </w:rPr>
        <w:t>:</w:t>
      </w:r>
      <w:bookmarkEnd w:id="1008"/>
    </w:p>
    <w:p>
      <w:pPr>
        <w:pStyle w:val="BookText"/>
        <w:rPr/>
      </w:pPr>
      <w:r>
        <w:rPr>
          <w:rFonts w:ascii="Amiri" w:hAnsi="Amiri" w:eastAsia="Amiri" w:cs="Amiri"/>
          <w:color w:val="111111"/>
          <w:sz w:val="28"/>
          <w:sz w:val="28"/>
          <w:szCs w:val="28"/>
          <w:rtl w:val="true"/>
          <w:lang w:bidi="ar-SA"/>
        </w:rPr>
        <w:t>فقد الطهورين يسقط الصلاة أداءً بالإجماع؛ لاشتراطها بغير المقدور، فلو وجبت لزم التكليف بالمحال أو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وفاقاً للأكثر، و خلافاً للفاضلين </w:t>
      </w:r>
      <w:r>
        <w:rPr>
          <w:rStyle w:val="FootnoteAnchor"/>
          <w:rtl w:val="true"/>
        </w:rPr>
        <w:footnoteReference w:id="2765"/>
      </w:r>
      <w:r>
        <w:rPr>
          <w:rFonts w:ascii="IRNazanin" w:hAnsi="IRNazanin" w:eastAsia="IRNazanin"/>
          <w:color w:val="111111"/>
          <w:sz w:val="28"/>
          <w:sz w:val="28"/>
          <w:szCs w:val="28"/>
          <w:rtl w:val="true"/>
          <w:lang w:bidi="fa-IR"/>
        </w:rPr>
        <w:t xml:space="preserve">و بعض من تأخر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موجبات قضاء الفائت كالنبوي و الصحيحين </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bookmarkStart w:id="1009" w:name="pg2479_12079"/>
    </w:p>
    <w:p>
      <w:pPr>
        <w:pStyle w:val="BookText"/>
        <w:rPr/>
      </w:pPr>
      <w:bookmarkEnd w:id="1009"/>
      <w:r>
        <w:rPr>
          <w:rFonts w:ascii="Amiri" w:hAnsi="Amiri" w:eastAsia="Amiri" w:cs="Amiri"/>
          <w:color w:val="111111"/>
          <w:sz w:val="28"/>
          <w:sz w:val="28"/>
          <w:szCs w:val="28"/>
          <w:rtl w:val="true"/>
          <w:lang w:bidi="ar-SA"/>
        </w:rPr>
        <w:t>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القضاء للأداء، و كونه بأمر جديد، و القياس على صلاة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بالمنع، و وجود الأمر، و بطلان القياس</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3732569_3804643083"/>
      <w:bookmarkStart w:id="1011" w:name="_Toc390"/>
      <w:bookmarkEnd w:id="1010"/>
      <w:r>
        <w:rPr>
          <w:rtl w:val="true"/>
        </w:rPr>
        <w:t>الرابع</w:t>
      </w:r>
      <w:r>
        <w:rPr>
          <w:rtl w:val="true"/>
        </w:rPr>
        <w:t>:</w:t>
      </w:r>
      <w:bookmarkEnd w:id="1011"/>
    </w:p>
    <w:p>
      <w:pPr>
        <w:pStyle w:val="BookText"/>
        <w:rPr/>
      </w:pPr>
      <w:r>
        <w:rPr>
          <w:rFonts w:ascii="Amiri" w:hAnsi="Amiri" w:eastAsia="Amiri" w:cs="Amiri"/>
          <w:color w:val="111111"/>
          <w:sz w:val="28"/>
          <w:sz w:val="28"/>
          <w:szCs w:val="28"/>
          <w:rtl w:val="true"/>
          <w:lang w:bidi="ar-SA"/>
        </w:rPr>
        <w:t>عدم جواز التيمّم للفريضة قبل وقتها كوجوبه عند تضيّقه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جوازه في السعة مطلقاً، وفاقاً للصدوق و الجعفي و جماعة </w:t>
      </w:r>
      <w:r>
        <w:rPr>
          <w:rStyle w:val="FootnoteAnchor"/>
          <w:rtl w:val="true"/>
        </w:rPr>
        <w:footnoteReference w:id="2768"/>
      </w:r>
      <w:r>
        <w:rPr>
          <w:rFonts w:ascii="Amiri" w:hAnsi="Amiri" w:eastAsia="Amiri" w:cs="Amiri"/>
          <w:color w:val="111111"/>
          <w:sz w:val="28"/>
          <w:sz w:val="28"/>
          <w:szCs w:val="28"/>
          <w:rtl w:val="true"/>
          <w:lang w:bidi="ar-SA"/>
        </w:rPr>
        <w:t xml:space="preserve">، لا مع العلم باستمرار العجز كالأوّلين </w:t>
      </w:r>
      <w:r>
        <w:rPr>
          <w:rStyle w:val="FootnoteAnchor"/>
          <w:rtl w:val="true"/>
        </w:rPr>
        <w:footnoteReference w:id="2769"/>
      </w:r>
      <w:r>
        <w:rPr>
          <w:rFonts w:ascii="Amiri" w:hAnsi="Amiri" w:eastAsia="Amiri" w:cs="Amiri"/>
          <w:color w:val="111111"/>
          <w:sz w:val="28"/>
          <w:sz w:val="28"/>
          <w:szCs w:val="28"/>
          <w:rtl w:val="true"/>
          <w:lang w:bidi="ar-SA"/>
        </w:rPr>
        <w:t>و طائفة، و لا التضيّق مطلقاً كالأكثر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عموم أفضليّة أوّل الوقت، و إطلاق الآيتين </w:t>
      </w:r>
      <w:r>
        <w:rPr>
          <w:rStyle w:val="FootnoteAnchor"/>
          <w:rtl w:val="true"/>
        </w:rPr>
        <w:footnoteReference w:id="2770"/>
      </w:r>
      <w:r>
        <w:rPr>
          <w:rFonts w:ascii="Amiri" w:hAnsi="Amiri" w:eastAsia="Amiri" w:cs="Amiri"/>
          <w:color w:val="111111"/>
          <w:sz w:val="28"/>
          <w:sz w:val="28"/>
          <w:szCs w:val="28"/>
          <w:rtl w:val="true"/>
          <w:lang w:bidi="ar-SA"/>
        </w:rPr>
        <w:t xml:space="preserve">، و ما دلّ على توسّع وقت الفريضة من الكتاب و السنّة </w:t>
      </w:r>
      <w:r>
        <w:rPr>
          <w:rStyle w:val="FootnoteAnchor"/>
          <w:rtl w:val="true"/>
        </w:rPr>
        <w:footnoteReference w:id="2771"/>
      </w:r>
      <w:r>
        <w:rPr>
          <w:rFonts w:ascii="Amiri" w:hAnsi="Amiri" w:eastAsia="Amiri" w:cs="Amiri"/>
          <w:color w:val="111111"/>
          <w:sz w:val="28"/>
          <w:sz w:val="28"/>
          <w:szCs w:val="28"/>
          <w:rtl w:val="true"/>
          <w:lang w:bidi="ar-SA"/>
        </w:rPr>
        <w:t xml:space="preserve">و المستفيضة الدالّة على بدليّة التيمّم </w:t>
      </w:r>
      <w:r>
        <w:rPr>
          <w:rStyle w:val="FootnoteAnchor"/>
          <w:rtl w:val="true"/>
        </w:rPr>
        <w:footnoteReference w:id="2772"/>
      </w:r>
      <w:r>
        <w:rPr>
          <w:rFonts w:ascii="Amiri" w:hAnsi="Amiri" w:eastAsia="Amiri" w:cs="Amiri"/>
          <w:color w:val="111111"/>
          <w:sz w:val="28"/>
          <w:sz w:val="28"/>
          <w:szCs w:val="28"/>
          <w:rtl w:val="true"/>
          <w:lang w:bidi="ar-SA"/>
        </w:rPr>
        <w:t xml:space="preserve">، فيصح مع السعة كالمبدل منه، و المعتبرة النافية لإعادة واجد الماء في الوقت </w:t>
      </w:r>
      <w:r>
        <w:rPr>
          <w:rStyle w:val="FootnoteAnchor"/>
          <w:rtl w:val="true"/>
        </w:rPr>
        <w:footnoteReference w:id="2773"/>
      </w:r>
      <w:r>
        <w:rPr>
          <w:rFonts w:ascii="Amiri" w:hAnsi="Amiri" w:eastAsia="Amiri" w:cs="Amiri"/>
          <w:color w:val="111111"/>
          <w:sz w:val="28"/>
          <w:sz w:val="28"/>
          <w:szCs w:val="28"/>
          <w:rtl w:val="true"/>
          <w:lang w:bidi="ar-SA"/>
        </w:rPr>
        <w:t xml:space="preserve">، و الصحاح المصرّحة بعدمها مطلقاً </w:t>
      </w:r>
      <w:r>
        <w:rPr>
          <w:rStyle w:val="FootnoteAnchor"/>
          <w:rtl w:val="true"/>
        </w:rPr>
        <w:footnoteReference w:id="2774"/>
      </w:r>
      <w:r>
        <w:rPr>
          <w:rFonts w:ascii="Amiri" w:hAnsi="Amiri" w:eastAsia="Amiri" w:cs="Amiri"/>
          <w:color w:val="111111"/>
          <w:sz w:val="28"/>
          <w:sz w:val="28"/>
          <w:szCs w:val="28"/>
          <w:rtl w:val="true"/>
          <w:lang w:bidi="ar-SA"/>
        </w:rPr>
        <w:t xml:space="preserve">، و ما يفيد الإعادة كالصحيح و الموثّق و الرضوي </w:t>
      </w:r>
      <w:r>
        <w:rPr>
          <w:rStyle w:val="FootnoteAnchor"/>
          <w:rtl w:val="true"/>
        </w:rPr>
        <w:footnoteReference w:id="2775"/>
      </w:r>
      <w:r>
        <w:rPr>
          <w:rFonts w:ascii="Amiri" w:hAnsi="Amiri" w:eastAsia="Amiri" w:cs="Amiri"/>
          <w:color w:val="111111"/>
          <w:sz w:val="28"/>
          <w:sz w:val="28"/>
          <w:szCs w:val="28"/>
          <w:rtl w:val="true"/>
          <w:lang w:bidi="ar-SA"/>
        </w:rPr>
        <w:t xml:space="preserve">محمول على الندب كما يومي إليه الموثّق </w:t>
      </w:r>
      <w:r>
        <w:rPr>
          <w:rStyle w:val="FootnoteAnchor"/>
          <w:rtl w:val="true"/>
        </w:rPr>
        <w:footnoteReference w:id="2776"/>
      </w:r>
      <w:r>
        <w:rPr>
          <w:rFonts w:ascii="Amiri" w:hAnsi="Amiri" w:eastAsia="Amiri" w:cs="Amiri"/>
          <w:color w:val="111111"/>
          <w:sz w:val="28"/>
          <w:sz w:val="28"/>
          <w:szCs w:val="28"/>
          <w:rtl w:val="true"/>
          <w:lang w:bidi="ar-SA"/>
        </w:rPr>
        <w:t>، و في الصحيح دلالة على</w:t>
      </w:r>
      <w:bookmarkStart w:id="1012" w:name="pg2479_12081"/>
    </w:p>
    <w:p>
      <w:pPr>
        <w:pStyle w:val="BookText"/>
        <w:rPr/>
      </w:pPr>
      <w:bookmarkEnd w:id="1012"/>
      <w:r>
        <w:rPr>
          <w:rFonts w:ascii="Amiri" w:hAnsi="Amiri" w:eastAsia="Amiri" w:cs="Amiri"/>
          <w:color w:val="111111"/>
          <w:sz w:val="28"/>
          <w:sz w:val="28"/>
          <w:szCs w:val="28"/>
          <w:rtl w:val="true"/>
          <w:lang w:bidi="ar-SA"/>
        </w:rPr>
        <w:t xml:space="preserve">الجواز في السعة </w:t>
      </w:r>
      <w:r>
        <w:rPr>
          <w:rStyle w:val="FootnoteAnchor"/>
          <w:rtl w:val="true"/>
        </w:rPr>
        <w:footnoteReference w:id="2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تعليق التيمّم بالجنابة و فقد الماء، فلا يتقيّد بغيرهما، و دلالة المستفيضة على شرعيّته بمجرّد حضور الصلاة، و استلزام اعتبار التضيّق مطلقاً للعسر و الحرج سيّما في صلاة العشاء، و لوجوب التأخير و إن علم استمرار العذر، و فيه من العبث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التأخير مع العلم بالزوال؛ لقدرته على تحصيل شرط الواجب،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مع رجائه؛ للمعتبرة </w:t>
      </w:r>
      <w:r>
        <w:rPr>
          <w:rStyle w:val="FootnoteAnchor"/>
          <w:rtl w:val="true"/>
        </w:rPr>
        <w:footnoteReference w:id="2778"/>
      </w:r>
      <w:r>
        <w:rPr>
          <w:rFonts w:ascii="Amiri" w:hAnsi="Amiri" w:eastAsia="Amiri" w:cs="Amiri"/>
          <w:color w:val="111111"/>
          <w:sz w:val="28"/>
          <w:sz w:val="28"/>
          <w:szCs w:val="28"/>
          <w:rtl w:val="true"/>
          <w:lang w:bidi="ar-SA"/>
        </w:rPr>
        <w:t xml:space="preserve">، و هي مستند القولين، و لا تصلح حجّة للأخير؛ لظهورها في الرجاء، و بعضها ظاهر في الاستحباب، فحمل البواقي عليه متعيّن، و ليست لها قوّة المقاومة مع أخبار السعة حتّى تقيّد أو تؤوّل لأجلها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الاحتجاج على الأخير بنقل الإجماع من السيّد و الشيخ </w:t>
      </w:r>
      <w:r>
        <w:rPr>
          <w:rStyle w:val="FootnoteAnchor"/>
          <w:rtl w:val="true"/>
        </w:rPr>
        <w:footnoteReference w:id="2780"/>
      </w:r>
      <w:r>
        <w:rPr>
          <w:rFonts w:ascii="Amiri" w:hAnsi="Amiri" w:eastAsia="Amiri" w:cs="Amiri"/>
          <w:color w:val="111111"/>
          <w:sz w:val="28"/>
          <w:sz w:val="28"/>
          <w:szCs w:val="28"/>
          <w:rtl w:val="true"/>
          <w:lang w:bidi="ar-SA"/>
        </w:rPr>
        <w:t>و تيقّن الخروج عن العهدة، مردود بمنع الإجماع في محلّ النزاع و حصول التيقّن بما قرّرناه من الأدلّة</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3732571_3804643083"/>
      <w:bookmarkStart w:id="1014" w:name="_Toc391"/>
      <w:bookmarkEnd w:id="1013"/>
      <w:r>
        <w:rPr>
          <w:rtl w:val="true"/>
        </w:rPr>
        <w:t>الخامس</w:t>
      </w:r>
      <w:r>
        <w:rPr>
          <w:rtl w:val="true"/>
        </w:rPr>
        <w:t>:</w:t>
      </w:r>
      <w:bookmarkEnd w:id="101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دخل وقت صلاة و هو متيمّم جاز له أن يوقعها في السعة، و لو على المضايقة، وفاقاً للشيخ و المحقّق و غيرهما </w:t>
      </w:r>
      <w:r>
        <w:rPr>
          <w:rStyle w:val="FootnoteAnchor"/>
          <w:rtl w:val="true"/>
        </w:rPr>
        <w:footnoteReference w:id="2781"/>
      </w:r>
      <w:r>
        <w:rPr>
          <w:rFonts w:ascii="Amiri" w:hAnsi="Amiri" w:eastAsia="Amiri" w:cs="Amiri"/>
          <w:color w:val="111111"/>
          <w:sz w:val="28"/>
          <w:sz w:val="28"/>
          <w:szCs w:val="28"/>
          <w:rtl w:val="true"/>
          <w:lang w:bidi="ar-SA"/>
        </w:rPr>
        <w:t>لما ثبت في المعتبرة من عموم البدليّة و جواز إيقاع الكثرة بتيمّم واحدٍ، و لا تعارضها أخبار الضيق؛ لظهورها</w:t>
      </w:r>
    </w:p>
    <w:p>
      <w:pPr>
        <w:pStyle w:val="BookText"/>
        <w:rPr/>
      </w:pPr>
      <w:r>
        <w:rPr>
          <w:rFonts w:ascii="Amiri" w:hAnsi="Amiri" w:eastAsia="Amiri" w:cs="Amiri"/>
          <w:color w:val="111111"/>
          <w:sz w:val="28"/>
          <w:sz w:val="28"/>
          <w:szCs w:val="28"/>
          <w:rtl w:val="true"/>
          <w:lang w:bidi="ar-SA"/>
        </w:rPr>
        <w:t>في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بعدم الجواز </w:t>
      </w:r>
      <w:r>
        <w:rPr>
          <w:rStyle w:val="FootnoteAnchor"/>
          <w:rtl w:val="true"/>
        </w:rPr>
        <w:footnoteReference w:id="2782"/>
      </w:r>
      <w:r>
        <w:rPr>
          <w:rFonts w:ascii="Amiri" w:hAnsi="Amiri" w:eastAsia="Amiri" w:cs="Amiri"/>
          <w:color w:val="111111"/>
          <w:sz w:val="28"/>
          <w:sz w:val="28"/>
          <w:szCs w:val="28"/>
          <w:rtl w:val="true"/>
          <w:lang w:bidi="ar-SA"/>
        </w:rPr>
        <w:t>لوجود علّة التأخير،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الفوائت يصلح كلّ وقت لتيمّمه؛ لعموم الصحيحين </w:t>
      </w:r>
      <w:r>
        <w:rPr>
          <w:rStyle w:val="FootnoteAnchor"/>
          <w:rtl w:val="true"/>
        </w:rPr>
        <w:footnoteReference w:id="2783"/>
      </w:r>
      <w:r>
        <w:rPr>
          <w:rFonts w:ascii="Amiri" w:hAnsi="Amiri" w:eastAsia="Amiri" w:cs="Amiri"/>
          <w:color w:val="111111"/>
          <w:sz w:val="28"/>
          <w:sz w:val="28"/>
          <w:szCs w:val="28"/>
          <w:rtl w:val="true"/>
          <w:lang w:bidi="ar-SA"/>
        </w:rPr>
        <w:t>و ظهور أدلّة الضيق في الموقّتة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المتيمّم لحاضرة أو فائتة أو نافلة يصلّي به غيرها من الثلاثة؛ للإجماع و العمومين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يعارضها ظاهر الآية؛ لاختصاصها بالمحدث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ينافيها من الصحيح و الخبر </w:t>
      </w:r>
      <w:r>
        <w:rPr>
          <w:rStyle w:val="FootnoteAnchor"/>
          <w:rtl w:val="true"/>
        </w:rPr>
        <w:footnoteReference w:id="2784"/>
      </w:r>
      <w:r>
        <w:rPr>
          <w:rFonts w:ascii="IRNazanin" w:hAnsi="IRNazanin" w:eastAsia="IRNazanin"/>
          <w:color w:val="111111"/>
          <w:sz w:val="28"/>
          <w:sz w:val="28"/>
          <w:szCs w:val="28"/>
          <w:rtl w:val="true"/>
          <w:lang w:bidi="fa-IR"/>
        </w:rPr>
        <w:t>محمول على الندب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العمومين كما مرّ جواز فعلها به في السعة، و لو على المضايقة، و اعتبار التأخير مع تطهّره و سبقه الوقت لا وجه له، و التعليل بوجود علّته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التيمّم للنافلة المرتّبة في السعة؛ لعموم الأدلّة و اختصاص أخبار الضيق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للمبتدأة عند إرادة فعلها؛ للعمومات و عدم التوقيت و لو في أوقات الكراهة؛ لأنّها لا تنافي الانعقاد، و فتوى الفاضلين </w:t>
      </w:r>
      <w:r>
        <w:rPr>
          <w:rStyle w:val="FootnoteAnchor"/>
          <w:rtl w:val="true"/>
        </w:rPr>
        <w:footnoteReference w:id="2785"/>
      </w:r>
      <w:r>
        <w:rPr>
          <w:rFonts w:ascii="Amiri" w:hAnsi="Amiri" w:eastAsia="Amiri" w:cs="Amiri"/>
          <w:color w:val="111111"/>
          <w:sz w:val="28"/>
          <w:sz w:val="28"/>
          <w:szCs w:val="28"/>
          <w:rtl w:val="true"/>
          <w:lang w:bidi="ar-SA"/>
        </w:rPr>
        <w:t>بالمنع فيها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الضيق على اعتباره الظن لا العلم، فلو انكشف خلافه لم يعد؛ لعموم الآية و الأخبار و إتيانه بالمأمور به، و هو يقتضي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الداخل في المسجد يتيمّم للتحيّة، لتضيّق وقتها بالدخول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التأخير و عدمه بين ذوي الأعذار و إن اختصّ أخبار الضيق بفاقد الماء؛ للإجماع المركّب</w:t>
      </w:r>
      <w:r>
        <w:rPr>
          <w:rFonts w:eastAsia="Amiri" w:cs="Amiri" w:ascii="Amiri" w:hAnsi="Amiri"/>
          <w:color w:val="111111"/>
          <w:sz w:val="28"/>
          <w:szCs w:val="28"/>
          <w:rtl w:val="true"/>
          <w:lang w:bidi="ar-SA"/>
        </w:rPr>
        <w:t>.</w:t>
      </w:r>
      <w:bookmarkStart w:id="1015" w:name="pg2479_12085"/>
    </w:p>
    <w:p>
      <w:pPr>
        <w:pStyle w:val="Heading5"/>
        <w:numPr>
          <w:ilvl w:val="4"/>
          <w:numId w:val="1"/>
        </w:numPr>
        <w:rPr/>
      </w:pPr>
      <w:bookmarkStart w:id="1016" w:name="__RefHeading___Toc3732573_3804643083"/>
      <w:bookmarkStart w:id="1017" w:name="_Toc392"/>
      <w:bookmarkEnd w:id="1015"/>
      <w:bookmarkEnd w:id="1016"/>
      <w:r>
        <w:rPr>
          <w:rtl w:val="true"/>
        </w:rPr>
        <w:t>فصل للتيمّم فروض</w:t>
      </w:r>
      <w:r>
        <w:rPr>
          <w:rtl w:val="true"/>
        </w:rPr>
        <w:t>:</w:t>
      </w:r>
      <w:bookmarkEnd w:id="1017"/>
    </w:p>
    <w:p>
      <w:pPr>
        <w:pStyle w:val="Heading6"/>
        <w:numPr>
          <w:ilvl w:val="5"/>
          <w:numId w:val="1"/>
        </w:numPr>
        <w:rPr/>
      </w:pPr>
      <w:bookmarkStart w:id="1018" w:name="__RefHeading___Toc3732575_3804643083"/>
      <w:bookmarkStart w:id="1019" w:name="_Toc393"/>
      <w:bookmarkEnd w:id="1018"/>
      <w:r>
        <w:rPr>
          <w:rtl w:val="true"/>
        </w:rPr>
        <w:t>الأوّل</w:t>
      </w:r>
      <w:r>
        <w:rPr>
          <w:rtl w:val="true"/>
        </w:rPr>
        <w:t xml:space="preserve">: </w:t>
      </w:r>
      <w:r>
        <w:rPr>
          <w:rtl w:val="true"/>
        </w:rPr>
        <w:t>النيّة</w:t>
      </w:r>
      <w:r>
        <w:rPr>
          <w:rtl w:val="true"/>
        </w:rPr>
        <w:t>:</w:t>
      </w:r>
      <w:bookmarkEnd w:id="1019"/>
    </w:p>
    <w:p>
      <w:pPr>
        <w:pStyle w:val="BookText"/>
        <w:rPr/>
      </w:pPr>
      <w:r>
        <w:rPr>
          <w:rFonts w:ascii="Amiri" w:hAnsi="Amiri" w:eastAsia="Amiri" w:cs="Amiri"/>
          <w:color w:val="111111"/>
          <w:sz w:val="28"/>
          <w:sz w:val="28"/>
          <w:szCs w:val="28"/>
          <w:rtl w:val="true"/>
          <w:lang w:bidi="ar-SA"/>
        </w:rPr>
        <w:t>و وجوبها مجمع عليه، و الواجب فيها القصد و القربة دون غيرهما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منعوا من قصد الرفع فيه؛ لبقاء المانع و إن ارتفع المنع، و لذا يصحّ قصد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المنع دون المانع غير معقول، فالحق ثبوت التلازم بينهما وجوداً و عدماً، و زوالهما فيه مقيّداً و في المائيّة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المانع نفي الإطلاق فنعم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قصد البدليّة مطلقاً، وفاقاً للأكثر؛ للأصل و إطلاق الآية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باعتباره مطلقاً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786"/>
      </w:r>
      <w:r>
        <w:rPr>
          <w:rFonts w:ascii="Amiri" w:hAnsi="Amiri" w:eastAsia="Amiri" w:cs="Amiri"/>
          <w:color w:val="111111"/>
          <w:sz w:val="28"/>
          <w:sz w:val="28"/>
          <w:szCs w:val="28"/>
          <w:rtl w:val="true"/>
          <w:lang w:bidi="ar-SA"/>
        </w:rPr>
        <w:t xml:space="preserve">، أو على اختلاف الهيئتين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ضعيف، و تعليلهما بتوقّف التمييز مطلقاً أو مع الاختلاف عليه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وقتها عند الضرب، وفاقاً للمشهور؛ لأنه أوّل أفعاله الواجبة بالمستفيضة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تأخيرها إلى مسح الجبهة، حذراً عن خلوّ بعض الأفعال عن النيّة، خلافاً للفاضل تنزيلًا للضرب منزلة أخذ الماء في المائيّة </w:t>
      </w:r>
      <w:r>
        <w:rPr>
          <w:rStyle w:val="FootnoteAnchor"/>
          <w:rtl w:val="true"/>
        </w:rPr>
        <w:footnoteReference w:id="2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باختلافهما</w:t>
      </w:r>
      <w:bookmarkStart w:id="1020" w:name="pg2479_12087"/>
    </w:p>
    <w:p>
      <w:pPr>
        <w:pStyle w:val="BookText"/>
        <w:rPr/>
      </w:pPr>
      <w:bookmarkEnd w:id="1020"/>
      <w:r>
        <w:rPr>
          <w:rFonts w:ascii="Amiri" w:hAnsi="Amiri" w:eastAsia="Amiri" w:cs="Amiri"/>
          <w:color w:val="111111"/>
          <w:sz w:val="28"/>
          <w:sz w:val="28"/>
          <w:szCs w:val="28"/>
          <w:rtl w:val="true"/>
          <w:lang w:bidi="ar-SA"/>
        </w:rPr>
        <w:t>في نحو الوجوب، و لذا يجوز غمس العضو في الماء، و لا يضرّ الحدث بعد أخذه بخلاف مسحه بالتراب و الحدث بعد الضرب</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3732577_3804643083"/>
      <w:bookmarkStart w:id="1022" w:name="_Toc394"/>
      <w:bookmarkEnd w:id="1021"/>
      <w:r>
        <w:rPr>
          <w:rtl w:val="true"/>
        </w:rPr>
        <w:t>الثاني</w:t>
      </w:r>
      <w:r>
        <w:rPr>
          <w:rtl w:val="true"/>
        </w:rPr>
        <w:t xml:space="preserve">: </w:t>
      </w:r>
      <w:r>
        <w:rPr>
          <w:rtl w:val="true"/>
        </w:rPr>
        <w:t>استدامتها حكماً إلى الفراغ</w:t>
      </w:r>
      <w:r>
        <w:rPr>
          <w:rtl w:val="true"/>
        </w:rPr>
        <w:t>:</w:t>
      </w:r>
      <w:bookmarkEnd w:id="1022"/>
    </w:p>
    <w:p>
      <w:pPr>
        <w:pStyle w:val="BookText"/>
        <w:rPr/>
      </w:pPr>
      <w:r>
        <w:rPr>
          <w:rFonts w:ascii="Amiri" w:hAnsi="Amiri" w:eastAsia="Amiri" w:cs="Amiri"/>
          <w:color w:val="111111"/>
          <w:sz w:val="28"/>
          <w:sz w:val="28"/>
          <w:szCs w:val="28"/>
          <w:rtl w:val="true"/>
          <w:lang w:bidi="ar-SA"/>
        </w:rPr>
        <w:t>و قد تقدّم تحقيقها</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3732579_3804643083"/>
      <w:bookmarkStart w:id="1024" w:name="_Toc395"/>
      <w:bookmarkEnd w:id="1023"/>
      <w:r>
        <w:rPr>
          <w:rtl w:val="true"/>
        </w:rPr>
        <w:t>الثالث</w:t>
      </w:r>
      <w:r>
        <w:rPr>
          <w:rtl w:val="true"/>
        </w:rPr>
        <w:t xml:space="preserve">: </w:t>
      </w:r>
      <w:r>
        <w:rPr>
          <w:rtl w:val="true"/>
        </w:rPr>
        <w:t>وضع اليدين على الأرض</w:t>
      </w:r>
      <w:r>
        <w:rPr>
          <w:rtl w:val="true"/>
        </w:rPr>
        <w:t>:</w:t>
      </w:r>
      <w:bookmarkEnd w:id="1024"/>
    </w:p>
    <w:p>
      <w:pPr>
        <w:pStyle w:val="BookText"/>
        <w:rPr/>
      </w:pPr>
      <w:r>
        <w:rPr>
          <w:rFonts w:ascii="Amiri" w:hAnsi="Amiri" w:eastAsia="Amiri" w:cs="Amiri"/>
          <w:color w:val="111111"/>
          <w:sz w:val="28"/>
          <w:sz w:val="28"/>
          <w:szCs w:val="28"/>
          <w:rtl w:val="true"/>
          <w:lang w:bidi="ar-SA"/>
        </w:rPr>
        <w:t xml:space="preserve">و وجوبه ثابت بالإجماعين، و الأشهر كونه باعتماد، و هو الضرب؛ لوروده في الصحاح و المعتبرة </w:t>
      </w:r>
      <w:r>
        <w:rPr>
          <w:rStyle w:val="FootnoteAnchor"/>
          <w:rtl w:val="true"/>
        </w:rPr>
        <w:footnoteReference w:id="2790"/>
      </w:r>
      <w:r>
        <w:rPr>
          <w:rFonts w:ascii="Amiri" w:hAnsi="Amiri" w:eastAsia="Amiri" w:cs="Amiri"/>
          <w:color w:val="111111"/>
          <w:sz w:val="28"/>
          <w:sz w:val="28"/>
          <w:szCs w:val="28"/>
          <w:rtl w:val="true"/>
          <w:lang w:bidi="ar-SA"/>
        </w:rPr>
        <w:t>، فلا يكفي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للشهيد </w:t>
      </w:r>
      <w:r>
        <w:rPr>
          <w:rStyle w:val="FootnoteAnchor"/>
          <w:rtl w:val="true"/>
        </w:rPr>
        <w:footnoteReference w:id="2791"/>
      </w:r>
      <w:r>
        <w:rPr>
          <w:rFonts w:ascii="Amiri" w:hAnsi="Amiri" w:eastAsia="Amiri" w:cs="Amiri"/>
          <w:color w:val="111111"/>
          <w:sz w:val="28"/>
          <w:sz w:val="28"/>
          <w:szCs w:val="28"/>
          <w:rtl w:val="true"/>
          <w:lang w:bidi="ar-SA"/>
        </w:rPr>
        <w:t xml:space="preserve">و الكركي </w:t>
      </w:r>
      <w:r>
        <w:rPr>
          <w:rStyle w:val="FootnoteAnchor"/>
          <w:rtl w:val="true"/>
        </w:rPr>
        <w:footnoteReference w:id="2792"/>
      </w:r>
      <w:r>
        <w:rPr>
          <w:rFonts w:ascii="Amiri" w:hAnsi="Amiri" w:eastAsia="Amiri" w:cs="Amiri"/>
          <w:color w:val="111111"/>
          <w:sz w:val="28"/>
          <w:sz w:val="28"/>
          <w:szCs w:val="28"/>
          <w:rtl w:val="true"/>
          <w:lang w:bidi="ar-SA"/>
        </w:rPr>
        <w:t>لإطلاق الآية و الصحاح المتضمّنة للوضع، و أُجيب بالتقييد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 الضرب بباطنهما؛ لأنّه المعهود من فعل الحجج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جنس الأرض و إن لم يكن عليها؛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بهما معاً، فلا يجزئ بإحداهما أو بهما مع التعقيب؛ للإجماع و ظاهر المستفيضة من الصحاح و غيرها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القطع يسقط الضرب و المسح من المقطوع؛ لعدم تكليف بالمحال، دون الباقي؛ للاستصحاب و عموم البدليّة، و ظاهر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الشيخ بسقوط التيمّم </w:t>
      </w:r>
      <w:r>
        <w:rPr>
          <w:rStyle w:val="FootnoteAnchor"/>
          <w:rtl w:val="true"/>
        </w:rPr>
        <w:footnoteReference w:id="2794"/>
      </w:r>
      <w:r>
        <w:rPr>
          <w:rFonts w:ascii="Amiri" w:hAnsi="Amiri" w:eastAsia="Amiri" w:cs="Amiri"/>
          <w:color w:val="111111"/>
          <w:sz w:val="28"/>
          <w:sz w:val="28"/>
          <w:szCs w:val="28"/>
          <w:rtl w:val="true"/>
          <w:lang w:bidi="ar-SA"/>
        </w:rPr>
        <w:t>من أصله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القطع النجاسة المتعدّية دون الحائلة على الأصحّ؛ لإمكان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إزالتها مع الإمكان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رفع الحائل بالإجماع و الظواهر و عموم البدليّة، دون تخليل الأصابع؛ لظاهر الفتاوى و الأخبار و عمل الطائفة في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العلوق، وفاقاً للسيّد و الإسكافي </w:t>
      </w:r>
      <w:r>
        <w:rPr>
          <w:rStyle w:val="FootnoteAnchor"/>
          <w:rtl w:val="true"/>
        </w:rPr>
        <w:footnoteReference w:id="2795"/>
      </w:r>
      <w:r>
        <w:rPr>
          <w:rFonts w:ascii="Amiri" w:hAnsi="Amiri" w:eastAsia="Amiri" w:cs="Amiri"/>
          <w:color w:val="111111"/>
          <w:sz w:val="28"/>
          <w:sz w:val="28"/>
          <w:szCs w:val="28"/>
          <w:rtl w:val="true"/>
          <w:lang w:bidi="ar-SA"/>
        </w:rPr>
        <w:t>و أكثر الثالثة، و 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الضمير في الآية </w:t>
      </w:r>
      <w:r>
        <w:rPr>
          <w:rStyle w:val="FootnoteAnchor"/>
          <w:rtl w:val="true"/>
        </w:rPr>
        <w:footnoteReference w:id="2796"/>
      </w:r>
      <w:r>
        <w:rPr>
          <w:rFonts w:ascii="Amiri" w:hAnsi="Amiri" w:eastAsia="Amiri" w:cs="Amiri"/>
          <w:color w:val="111111"/>
          <w:sz w:val="28"/>
          <w:sz w:val="28"/>
          <w:szCs w:val="28"/>
          <w:rtl w:val="true"/>
          <w:lang w:bidi="ar-SA"/>
        </w:rPr>
        <w:t xml:space="preserve">إلى الصعيد، و كون من للتبعيض؛ للصحيح </w:t>
      </w:r>
      <w:r>
        <w:rPr>
          <w:rStyle w:val="FootnoteAnchor"/>
          <w:rtl w:val="true"/>
        </w:rPr>
        <w:footnoteReference w:id="2797"/>
      </w:r>
      <w:r>
        <w:rPr>
          <w:rFonts w:ascii="Amiri" w:hAnsi="Amiri" w:eastAsia="Amiri" w:cs="Amiri"/>
          <w:color w:val="111111"/>
          <w:sz w:val="28"/>
          <w:sz w:val="28"/>
          <w:szCs w:val="28"/>
          <w:rtl w:val="true"/>
          <w:lang w:bidi="ar-SA"/>
        </w:rPr>
        <w:t xml:space="preserve">و نصّ علماء اللغة و التفسير </w:t>
      </w:r>
      <w:r>
        <w:rPr>
          <w:rStyle w:val="FootnoteAnchor"/>
          <w:rtl w:val="true"/>
        </w:rPr>
        <w:footnoteReference w:id="2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عموم البدليّة، و وجوب تحصيل البراءة اليقينيّة و القطع بأنّ الطهوريّة للأجزاء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استحباب النفض، بل يؤكّده، و لعلّه لتعليل ما يوجب التشويه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كون الصعيد وجه الأرض؛ إذ كفايته لا ترفع اشتراط وجود غبار عليه بعد ثبوته بدلالة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كفاية الضربة الواحدة؛ إذ الظاهر بقاء شي‌ء فيها لليدين، مع أنّ المسلّم اشتراط العلوق الابتدائي دون غيره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الأغسال في كيفيّة التيمّم؛ لظاهر الوفاق و الخبرين </w:t>
      </w:r>
      <w:r>
        <w:rPr>
          <w:rStyle w:val="FootnoteAnchor"/>
          <w:rtl w:val="true"/>
        </w:rPr>
        <w:footnoteReference w:id="2799"/>
      </w:r>
      <w:r>
        <w:rPr>
          <w:rFonts w:ascii="Amiri" w:hAnsi="Amiri" w:eastAsia="Amiri" w:cs="Amiri"/>
          <w:color w:val="111111"/>
          <w:sz w:val="28"/>
          <w:sz w:val="28"/>
          <w:szCs w:val="28"/>
          <w:rtl w:val="true"/>
          <w:lang w:bidi="ar-SA"/>
        </w:rPr>
        <w:t>، و بها تخصّص أخبار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فإيجاب تيمّمين على غير الجنب لوجوب الطهارتين عليه ضعيف</w:t>
      </w:r>
      <w:r>
        <w:rPr>
          <w:rFonts w:eastAsia="Amiri" w:cs="Amiri" w:ascii="Amiri" w:hAnsi="Amiri"/>
          <w:color w:val="111111"/>
          <w:sz w:val="28"/>
          <w:szCs w:val="28"/>
          <w:rtl w:val="true"/>
          <w:lang w:bidi="ar-SA"/>
        </w:rPr>
        <w:t>.</w:t>
      </w:r>
      <w:bookmarkStart w:id="1025" w:name="pg2479_12091"/>
    </w:p>
    <w:p>
      <w:pPr>
        <w:pStyle w:val="Heading6"/>
        <w:numPr>
          <w:ilvl w:val="5"/>
          <w:numId w:val="1"/>
        </w:numPr>
        <w:rPr/>
      </w:pPr>
      <w:bookmarkStart w:id="1026" w:name="__RefHeading___Toc3732581_3804643083"/>
      <w:bookmarkStart w:id="1027" w:name="_Toc396"/>
      <w:bookmarkEnd w:id="1025"/>
      <w:bookmarkEnd w:id="1026"/>
      <w:r>
        <w:rPr>
          <w:rtl w:val="true"/>
        </w:rPr>
        <w:t>الرابع</w:t>
      </w:r>
      <w:r>
        <w:rPr>
          <w:rtl w:val="true"/>
        </w:rPr>
        <w:t xml:space="preserve">: </w:t>
      </w:r>
      <w:r>
        <w:rPr>
          <w:rtl w:val="true"/>
        </w:rPr>
        <w:t>مسح الجبهة و الجبينين</w:t>
      </w:r>
      <w:r>
        <w:rPr>
          <w:rtl w:val="true"/>
        </w:rPr>
        <w:t>:</w:t>
      </w:r>
      <w:bookmarkEnd w:id="1027"/>
    </w:p>
    <w:p>
      <w:pPr>
        <w:pStyle w:val="BookText"/>
        <w:rPr/>
      </w:pPr>
      <w:r>
        <w:rPr>
          <w:rFonts w:ascii="Amiri" w:hAnsi="Amiri" w:eastAsia="Amiri" w:cs="Amiri"/>
          <w:color w:val="111111"/>
          <w:sz w:val="28"/>
          <w:sz w:val="28"/>
          <w:szCs w:val="28"/>
          <w:rtl w:val="true"/>
          <w:lang w:bidi="ar-SA"/>
        </w:rPr>
        <w:t>لا غير، 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الحاجبين أيضاً كالصدوق و بعضهم </w:t>
      </w:r>
      <w:r>
        <w:rPr>
          <w:rStyle w:val="FootnoteAnchor"/>
          <w:rtl w:val="true"/>
        </w:rPr>
        <w:footnoteReference w:id="2800"/>
      </w:r>
      <w:r>
        <w:rPr>
          <w:rFonts w:ascii="Amiri" w:hAnsi="Amiri" w:eastAsia="Amiri" w:cs="Amiri"/>
          <w:color w:val="111111"/>
          <w:sz w:val="28"/>
          <w:sz w:val="28"/>
          <w:szCs w:val="28"/>
          <w:rtl w:val="true"/>
          <w:lang w:bidi="ar-SA"/>
        </w:rPr>
        <w:t xml:space="preserve">، و لا الوجه كلّه كوالده و ظاهر الجعفي </w:t>
      </w:r>
      <w:r>
        <w:rPr>
          <w:rStyle w:val="FootnoteAnchor"/>
          <w:rtl w:val="true"/>
        </w:rPr>
        <w:footnoteReference w:id="2801"/>
      </w:r>
      <w:r>
        <w:rPr>
          <w:rFonts w:ascii="Amiri" w:hAnsi="Amiri" w:eastAsia="Amiri" w:cs="Amiri"/>
          <w:color w:val="111111"/>
          <w:sz w:val="28"/>
          <w:sz w:val="28"/>
          <w:szCs w:val="28"/>
          <w:rtl w:val="true"/>
          <w:lang w:bidi="ar-SA"/>
        </w:rPr>
        <w:t xml:space="preserve">، و لا مجرّد الجبهة كالأكثر، و لا التخيير بينهما كظاهر العماني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جزئي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الموثّق و الرضوي </w:t>
      </w:r>
      <w:r>
        <w:rPr>
          <w:rStyle w:val="FootnoteAnchor"/>
          <w:rtl w:val="true"/>
        </w:rPr>
        <w:footnoteReference w:id="2803"/>
      </w:r>
      <w:r>
        <w:rPr>
          <w:rFonts w:ascii="Amiri" w:hAnsi="Amiri" w:eastAsia="Amiri" w:cs="Amiri"/>
          <w:color w:val="111111"/>
          <w:sz w:val="28"/>
          <w:sz w:val="28"/>
          <w:szCs w:val="28"/>
          <w:rtl w:val="true"/>
          <w:lang w:bidi="ar-SA"/>
        </w:rPr>
        <w:t xml:space="preserve">، مع تكرّر نقلهم </w:t>
      </w:r>
      <w:r>
        <w:rPr>
          <w:rStyle w:val="FootnoteAnchor"/>
          <w:rtl w:val="true"/>
        </w:rPr>
        <w:footnoteReference w:id="2804"/>
      </w:r>
      <w:r>
        <w:rPr>
          <w:rFonts w:ascii="Amiri" w:hAnsi="Amiri" w:eastAsia="Amiri" w:cs="Amiri"/>
          <w:color w:val="111111"/>
          <w:sz w:val="28"/>
          <w:sz w:val="28"/>
          <w:szCs w:val="28"/>
          <w:rtl w:val="true"/>
          <w:lang w:bidi="ar-SA"/>
        </w:rPr>
        <w:t>عدم الخلاف فيه و انحصاره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المعتبرة </w:t>
      </w:r>
      <w:r>
        <w:rPr>
          <w:rStyle w:val="FootnoteAnchor"/>
          <w:rtl w:val="true"/>
        </w:rPr>
        <w:footnoteReference w:id="2805"/>
      </w:r>
      <w:r>
        <w:rPr>
          <w:rFonts w:ascii="Amiri" w:hAnsi="Amiri" w:eastAsia="Amiri" w:cs="Amiri"/>
          <w:color w:val="111111"/>
          <w:sz w:val="28"/>
          <w:sz w:val="28"/>
          <w:szCs w:val="28"/>
          <w:rtl w:val="true"/>
          <w:lang w:bidi="ar-SA"/>
        </w:rPr>
        <w:t>، و كأنّها لكون الأوّل مجمعاً عليه بتضمّن زيادة غير منافية، فيجب الأخذ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فنفيه للأصل ضعيف، و حملها على الندب أو حمل الجبين فيهما على الجبهة ضعيف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أوّل جزئي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الرضوي </w:t>
      </w:r>
      <w:r>
        <w:rPr>
          <w:rStyle w:val="FootnoteAnchor"/>
          <w:rtl w:val="true"/>
        </w:rPr>
        <w:footnoteReference w:id="2806"/>
      </w:r>
      <w:r>
        <w:rPr>
          <w:rFonts w:ascii="Amiri" w:hAnsi="Amiri" w:eastAsia="Amiri" w:cs="Amiri"/>
          <w:color w:val="111111"/>
          <w:sz w:val="28"/>
          <w:sz w:val="28"/>
          <w:szCs w:val="28"/>
          <w:rtl w:val="true"/>
          <w:lang w:bidi="ar-SA"/>
        </w:rPr>
        <w:t xml:space="preserve">كقول بعضهم </w:t>
      </w:r>
      <w:r>
        <w:rPr>
          <w:rStyle w:val="FootnoteAnchor"/>
          <w:rtl w:val="true"/>
        </w:rPr>
        <w:footnoteReference w:id="2807"/>
      </w:r>
      <w:r>
        <w:rPr>
          <w:rFonts w:ascii="Amiri" w:hAnsi="Amiri" w:eastAsia="Amiri" w:cs="Amiri"/>
          <w:color w:val="111111"/>
          <w:sz w:val="28"/>
          <w:sz w:val="28"/>
          <w:szCs w:val="28"/>
          <w:rtl w:val="true"/>
          <w:lang w:bidi="ar-SA"/>
        </w:rPr>
        <w:t xml:space="preserve">بورود خبر على العيوب </w:t>
      </w:r>
      <w:r>
        <w:rPr>
          <w:rStyle w:val="FootnoteAnchor"/>
          <w:rtl w:val="true"/>
        </w:rPr>
        <w:footnoteReference w:id="2808"/>
      </w:r>
      <w:r>
        <w:rPr>
          <w:rFonts w:ascii="Amiri" w:hAnsi="Amiri" w:eastAsia="Amiri" w:cs="Amiri"/>
          <w:color w:val="111111"/>
          <w:sz w:val="28"/>
          <w:sz w:val="28"/>
          <w:szCs w:val="28"/>
          <w:rtl w:val="true"/>
          <w:lang w:bidi="ar-SA"/>
        </w:rPr>
        <w:t>غير كافية؛ إذ مجرّد ذلك غير ناهض بإثبات حكم مخالف للأصل 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حمله على الندب؛ لجواز التسامح في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يتوقّف عليه الواجب منه واجب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السيّد </w:t>
      </w:r>
      <w:r>
        <w:rPr>
          <w:rStyle w:val="FootnoteAnchor"/>
          <w:rtl w:val="true"/>
        </w:rPr>
        <w:footnoteReference w:id="2809"/>
      </w:r>
      <w:r>
        <w:rPr>
          <w:rFonts w:ascii="Amiri" w:hAnsi="Amiri" w:eastAsia="Amiri" w:cs="Amiri"/>
          <w:color w:val="111111"/>
          <w:sz w:val="28"/>
          <w:sz w:val="28"/>
          <w:szCs w:val="28"/>
          <w:rtl w:val="true"/>
          <w:lang w:bidi="ar-SA"/>
        </w:rPr>
        <w:t xml:space="preserve">و كون الباء في الآية للتبعيض؛ للصحيح </w:t>
      </w:r>
      <w:r>
        <w:rPr>
          <w:rStyle w:val="FootnoteAnchor"/>
          <w:rtl w:val="true"/>
        </w:rPr>
        <w:footnoteReference w:id="2810"/>
      </w:r>
      <w:r>
        <w:rPr>
          <w:rFonts w:ascii="Amiri" w:hAnsi="Amiri" w:eastAsia="Amiri" w:cs="Amiri"/>
          <w:color w:val="111111"/>
          <w:sz w:val="28"/>
          <w:sz w:val="28"/>
          <w:szCs w:val="28"/>
          <w:rtl w:val="true"/>
          <w:lang w:bidi="ar-SA"/>
        </w:rPr>
        <w:t>و نصّ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ما دلّ على مسح مجرّد أحد العضوين من الموثّق و المعتبرة </w:t>
      </w:r>
      <w:r>
        <w:rPr>
          <w:rStyle w:val="FootnoteAnchor"/>
          <w:rtl w:val="true"/>
        </w:rPr>
        <w:footnoteReference w:id="2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مسح الوجه من الصحاح و المعتبرة </w:t>
      </w:r>
      <w:r>
        <w:rPr>
          <w:rStyle w:val="FootnoteAnchor"/>
          <w:rtl w:val="true"/>
        </w:rPr>
        <w:footnoteReference w:id="2812"/>
      </w:r>
      <w:r>
        <w:rPr>
          <w:rFonts w:ascii="Amiri" w:hAnsi="Amiri" w:eastAsia="Amiri" w:cs="Amiri"/>
          <w:color w:val="111111"/>
          <w:sz w:val="28"/>
          <w:sz w:val="28"/>
          <w:szCs w:val="28"/>
          <w:rtl w:val="true"/>
          <w:lang w:bidi="ar-SA"/>
        </w:rPr>
        <w:t>يحمل على الندب أو التقيّة؛ لقوّة معارضها بوجوه من المرجّحات المنصوصة، و الجمع بينهما بالتخيير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البدء بقصاص الشعر إلى طرف الأنف الأعلى، فلا يجوز النكس وفاقاً للمعظم؛ لإطلاق المنزلة، و ظاهر النبوي </w:t>
      </w:r>
      <w:r>
        <w:rPr>
          <w:rStyle w:val="FootnoteAnchor"/>
          <w:rtl w:val="true"/>
        </w:rPr>
        <w:footnoteReference w:id="2813"/>
      </w:r>
      <w:r>
        <w:rPr>
          <w:rFonts w:ascii="Amiri" w:hAnsi="Amiri" w:eastAsia="Amiri" w:cs="Amiri"/>
          <w:color w:val="111111"/>
          <w:sz w:val="28"/>
          <w:sz w:val="28"/>
          <w:szCs w:val="28"/>
          <w:rtl w:val="true"/>
          <w:lang w:bidi="ar-SA"/>
        </w:rPr>
        <w:t>، و وقوع الفعل في النصوص الفعليّة بعد السؤال عن الحقيقة، فتكون بياناً لها فيجب التأسّي و لم يكن على النكس، و إلّا نقل و وجب؛ لمخالفته الظاهر المتعارف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المسح مطلقاً بباطن الكفّين معاً؛ لعموم البدليّة و ظاهر النصوص </w:t>
      </w:r>
      <w:r>
        <w:rPr>
          <w:rStyle w:val="FootnoteAnchor"/>
          <w:rtl w:val="true"/>
        </w:rPr>
        <w:footnoteReference w:id="2814"/>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استيعاب الممسوح بالماسح، بمعنى مسح الكلّ بالكلّ لا بكلّ جزء؛ لتعذّره، و لظهور إطلاق العضو في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يتأتّى في كيفيّته وجوه لا يخفى تصوّرها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تجويز التبعّض في الماسح ضعيف، و تعليله بإطلاق الأخبار و عدم إمكان الاستيعاب عليل، و ما في الصحيح من مسحه صلّى اللّٰه عليه و سلّم جبينه بأصابعه </w:t>
      </w:r>
      <w:r>
        <w:rPr>
          <w:rStyle w:val="FootnoteAnchor"/>
          <w:rtl w:val="true"/>
        </w:rPr>
        <w:footnoteReference w:id="2815"/>
      </w:r>
      <w:r>
        <w:rPr>
          <w:rFonts w:ascii="Amiri" w:hAnsi="Amiri" w:eastAsia="Amiri" w:cs="Amiri"/>
          <w:color w:val="111111"/>
          <w:sz w:val="28"/>
          <w:sz w:val="28"/>
          <w:szCs w:val="28"/>
          <w:rtl w:val="true"/>
          <w:lang w:bidi="ar-SA"/>
        </w:rPr>
        <w:t>لا يثبته</w:t>
      </w:r>
      <w:r>
        <w:rPr>
          <w:rFonts w:eastAsia="Amiri" w:cs="Amiri" w:ascii="Amiri" w:hAnsi="Amiri"/>
          <w:color w:val="111111"/>
          <w:sz w:val="28"/>
          <w:szCs w:val="28"/>
          <w:rtl w:val="true"/>
          <w:lang w:bidi="ar-SA"/>
        </w:rPr>
        <w:t>.</w:t>
      </w:r>
      <w:bookmarkStart w:id="1028" w:name="pg2479_12095"/>
    </w:p>
    <w:p>
      <w:pPr>
        <w:pStyle w:val="Heading6"/>
        <w:numPr>
          <w:ilvl w:val="5"/>
          <w:numId w:val="1"/>
        </w:numPr>
        <w:rPr/>
      </w:pPr>
      <w:bookmarkStart w:id="1029" w:name="__RefHeading___Toc3732583_3804643083"/>
      <w:bookmarkStart w:id="1030" w:name="_Toc397"/>
      <w:bookmarkEnd w:id="1028"/>
      <w:bookmarkEnd w:id="1029"/>
      <w:r>
        <w:rPr>
          <w:rtl w:val="true"/>
        </w:rPr>
        <w:t>الخامس</w:t>
      </w:r>
      <w:r>
        <w:rPr>
          <w:rtl w:val="true"/>
        </w:rPr>
        <w:t xml:space="preserve">: </w:t>
      </w:r>
      <w:r>
        <w:rPr>
          <w:rtl w:val="true"/>
        </w:rPr>
        <w:t>مسح ظاهر الكفّين بباطنهما</w:t>
      </w:r>
      <w:r>
        <w:rPr>
          <w:rtl w:val="true"/>
        </w:rPr>
        <w:t>:</w:t>
      </w:r>
      <w:bookmarkEnd w:id="1030"/>
    </w:p>
    <w:p>
      <w:pPr>
        <w:pStyle w:val="BookText"/>
        <w:rPr/>
      </w:pPr>
      <w:r>
        <w:rPr>
          <w:rFonts w:ascii="Amiri" w:hAnsi="Amiri" w:eastAsia="Amiri" w:cs="Amiri"/>
          <w:color w:val="111111"/>
          <w:sz w:val="28"/>
          <w:sz w:val="28"/>
          <w:szCs w:val="28"/>
          <w:rtl w:val="true"/>
          <w:lang w:bidi="ar-SA"/>
        </w:rPr>
        <w:t>من الزند إلى الآخر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المرفقين إليه كوالد الصدوق </w:t>
      </w:r>
      <w:r>
        <w:rPr>
          <w:rStyle w:val="FootnoteAnchor"/>
          <w:rtl w:val="true"/>
        </w:rPr>
        <w:footnoteReference w:id="2816"/>
      </w:r>
      <w:r>
        <w:rPr>
          <w:rFonts w:ascii="Amiri" w:hAnsi="Amiri" w:eastAsia="Amiri" w:cs="Amiri"/>
          <w:color w:val="111111"/>
          <w:sz w:val="28"/>
          <w:sz w:val="28"/>
          <w:szCs w:val="28"/>
          <w:rtl w:val="true"/>
          <w:lang w:bidi="ar-SA"/>
        </w:rPr>
        <w:t xml:space="preserve">، و لا من أُصول الأصابع إليه كما قيل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المصرّحات بمسح الكفّين، و ما في الصحيحين </w:t>
      </w:r>
      <w:r>
        <w:rPr>
          <w:rStyle w:val="FootnoteAnchor"/>
          <w:rtl w:val="true"/>
        </w:rPr>
        <w:footnoteReference w:id="2818"/>
      </w:r>
      <w:r>
        <w:rPr>
          <w:rFonts w:ascii="Amiri" w:hAnsi="Amiri" w:eastAsia="Amiri" w:cs="Amiri"/>
          <w:color w:val="111111"/>
          <w:sz w:val="28"/>
          <w:sz w:val="28"/>
          <w:szCs w:val="28"/>
          <w:rtl w:val="true"/>
          <w:lang w:bidi="ar-SA"/>
        </w:rPr>
        <w:t xml:space="preserve">من مسحه فوق الكفّ قليلًا و الزائد من باب المقدّمة فلا ينافي المختار، و كون الباء للتبعيض، فيندفع الأوّل، و لو كان اليد حقيقة فيما تحت الذراع كما قيل </w:t>
      </w:r>
      <w:r>
        <w:rPr>
          <w:rStyle w:val="FootnoteAnchor"/>
          <w:rtl w:val="true"/>
        </w:rPr>
        <w:footnoteReference w:id="2819"/>
      </w:r>
      <w:r>
        <w:rPr>
          <w:rFonts w:ascii="Amiri" w:hAnsi="Amiri" w:eastAsia="Amiri" w:cs="Amiri"/>
          <w:color w:val="111111"/>
          <w:sz w:val="28"/>
          <w:sz w:val="28"/>
          <w:szCs w:val="28"/>
          <w:rtl w:val="true"/>
          <w:lang w:bidi="ar-SA"/>
        </w:rPr>
        <w:t xml:space="preserve">لا يدفع بالآية </w:t>
      </w:r>
      <w:r>
        <w:rPr>
          <w:rStyle w:val="FootnoteAnchor"/>
          <w:rtl w:val="true"/>
        </w:rPr>
        <w:footnoteReference w:id="2820"/>
      </w:r>
      <w:r>
        <w:rPr>
          <w:rFonts w:ascii="Amiri" w:hAnsi="Amiri" w:eastAsia="Amiri" w:cs="Amiri"/>
          <w:color w:val="111111"/>
          <w:sz w:val="28"/>
          <w:sz w:val="28"/>
          <w:szCs w:val="28"/>
          <w:rtl w:val="true"/>
          <w:lang w:bidi="ar-SA"/>
        </w:rPr>
        <w:t xml:space="preserve">مع قطع النظر عنه، و بالمستفيضة المصرّحة بمسح اليدين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للمخالف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المعتبرة </w:t>
      </w:r>
      <w:r>
        <w:rPr>
          <w:rStyle w:val="FootnoteAnchor"/>
          <w:rtl w:val="true"/>
        </w:rPr>
        <w:footnoteReference w:id="2822"/>
      </w:r>
      <w:r>
        <w:rPr>
          <w:rFonts w:ascii="Amiri" w:hAnsi="Amiri" w:eastAsia="Amiri" w:cs="Amiri"/>
          <w:color w:val="111111"/>
          <w:sz w:val="28"/>
          <w:sz w:val="28"/>
          <w:szCs w:val="28"/>
          <w:rtl w:val="true"/>
          <w:lang w:bidi="ar-SA"/>
        </w:rPr>
        <w:t>، و هي محمولة على الندب أو التقيّة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Style w:val="FootnoteAnchor"/>
          <w:rtl w:val="true"/>
        </w:rPr>
        <w:footnoteReference w:id="2823"/>
      </w:r>
      <w:r>
        <w:rPr>
          <w:rFonts w:ascii="Amiri" w:hAnsi="Amiri" w:eastAsia="Amiri" w:cs="Amiri"/>
          <w:color w:val="111111"/>
          <w:sz w:val="28"/>
          <w:sz w:val="28"/>
          <w:szCs w:val="28"/>
          <w:rtl w:val="true"/>
          <w:lang w:bidi="ar-SA"/>
        </w:rPr>
        <w:t>، و لا عبرة به في مقابلة الصحاح المعتضدة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كون المسح بباطن الكف لا ظاهرها؛ لظاهر الوفاق و الحسن </w:t>
      </w:r>
      <w:r>
        <w:rPr>
          <w:rStyle w:val="FootnoteAnchor"/>
          <w:rtl w:val="true"/>
        </w:rPr>
        <w:footnoteReference w:id="2824"/>
      </w:r>
      <w:r>
        <w:rPr>
          <w:rFonts w:ascii="IRNazanin" w:hAnsi="IRNazanin" w:eastAsia="IRNazanin"/>
          <w:color w:val="111111"/>
          <w:sz w:val="28"/>
          <w:sz w:val="28"/>
          <w:szCs w:val="28"/>
          <w:rtl w:val="true"/>
          <w:lang w:bidi="fa-IR"/>
        </w:rPr>
        <w:t>، و لأنّه المعهود المتبادر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البدأة فيه بالزند ليساوي الوضوء و يتابع البيان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تقديم اليمنى على اليسرى بالإجماع، و ظاهر الصحيح و الرضوي </w:t>
      </w:r>
      <w:r>
        <w:rPr>
          <w:rStyle w:val="FootnoteAnchor"/>
          <w:rtl w:val="true"/>
        </w:rPr>
        <w:footnoteReference w:id="2825"/>
      </w:r>
      <w:r>
        <w:rPr>
          <w:rFonts w:ascii="IRNazanin" w:hAnsi="IRNazanin" w:eastAsia="IRNazanin"/>
          <w:color w:val="111111"/>
          <w:sz w:val="28"/>
          <w:sz w:val="28"/>
          <w:szCs w:val="28"/>
          <w:rtl w:val="true"/>
          <w:lang w:bidi="fa-IR"/>
        </w:rPr>
        <w:t>،</w:t>
      </w:r>
      <w:bookmarkStart w:id="1031" w:name="pg2479_12097"/>
    </w:p>
    <w:p>
      <w:pPr>
        <w:pStyle w:val="BookText"/>
        <w:rPr/>
      </w:pPr>
      <w:bookmarkEnd w:id="1031"/>
      <w:r>
        <w:rPr>
          <w:rFonts w:ascii="Amiri" w:hAnsi="Amiri" w:eastAsia="Amiri" w:cs="Amiri"/>
          <w:color w:val="111111"/>
          <w:sz w:val="28"/>
          <w:sz w:val="28"/>
          <w:szCs w:val="28"/>
          <w:rtl w:val="true"/>
          <w:lang w:bidi="ar-SA"/>
        </w:rPr>
        <w:t>و قضيّة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استيعاب الظاهر بالمسح إجماعاً؛ لعدم الإتيان بالمأمور به مع الإخلال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الجبائر؛ لقيامها مقام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نجس موضع المسح، فمع التعدية و تعذّر التطهير يسقط الفرض، و مع عدمها فقط يمسح عليه؛ لظاهر الوفاق و إطلاق الأخبار، و مع عدمهما فالظاهر تقديم الإزالة، وفاقاً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2826"/>
      </w:r>
      <w:r>
        <w:rPr>
          <w:rFonts w:ascii="Amiri" w:hAnsi="Amiri" w:eastAsia="Amiri" w:cs="Amiri"/>
          <w:color w:val="111111"/>
          <w:sz w:val="28"/>
          <w:sz w:val="28"/>
          <w:szCs w:val="28"/>
          <w:rtl w:val="true"/>
          <w:lang w:bidi="ar-SA"/>
        </w:rPr>
        <w:t xml:space="preserve">لإطلاق البدليّة، و خلافاً لبعضهم </w:t>
      </w:r>
      <w:r>
        <w:rPr>
          <w:rStyle w:val="FootnoteAnchor"/>
          <w:rtl w:val="true"/>
        </w:rPr>
        <w:footnoteReference w:id="2827"/>
      </w:r>
      <w:r>
        <w:rPr>
          <w:rFonts w:ascii="Amiri" w:hAnsi="Amiri" w:eastAsia="Amiri" w:cs="Amiri"/>
          <w:color w:val="111111"/>
          <w:sz w:val="28"/>
          <w:sz w:val="28"/>
          <w:szCs w:val="28"/>
          <w:rtl w:val="true"/>
          <w:lang w:bidi="ar-SA"/>
        </w:rPr>
        <w:t>للأصل و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ألحق الحاملة بالمتعدّية،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نجاسة غيره من البدن لا تمنع من التيمّم على جوازه في السعة قطعاً، و على اعتبار التضيّق ففي وجوب تقديم الإزالة و عدمه وجهان، مبناهما على أنّ المراد بالضيق هل هو بقاء ما يساوي مجرّد التيمّم و الصلاة أو مع سائر شرائطها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الشهيد عدم الخلاف في جواز تقديم التيمّم على تحصيل القبلة و الساتر </w:t>
      </w:r>
      <w:r>
        <w:rPr>
          <w:rStyle w:val="FootnoteAnchor"/>
          <w:rtl w:val="true"/>
        </w:rPr>
        <w:footnoteReference w:id="2828"/>
      </w:r>
      <w:r>
        <w:rPr>
          <w:rFonts w:ascii="Amiri" w:hAnsi="Amiri" w:eastAsia="Amiri" w:cs="Amiri"/>
          <w:color w:val="111111"/>
          <w:sz w:val="28"/>
          <w:sz w:val="28"/>
          <w:szCs w:val="28"/>
          <w:rtl w:val="true"/>
          <w:lang w:bidi="ar-SA"/>
        </w:rPr>
        <w:t>، فإن تمّ فالترجيح للثاني؛ لعدم الفرق بين الشرائط</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3732585_3804643083"/>
      <w:bookmarkStart w:id="1033" w:name="_Toc398"/>
      <w:bookmarkEnd w:id="1032"/>
      <w:r>
        <w:rPr>
          <w:rtl w:val="true"/>
        </w:rPr>
        <w:t>السادس</w:t>
      </w:r>
      <w:r>
        <w:rPr>
          <w:rtl w:val="true"/>
        </w:rPr>
        <w:t xml:space="preserve">: </w:t>
      </w:r>
      <w:r>
        <w:rPr>
          <w:rtl w:val="true"/>
        </w:rPr>
        <w:t>الترتيب</w:t>
      </w:r>
      <w:r>
        <w:rPr>
          <w:rtl w:val="true"/>
        </w:rPr>
        <w:t>:</w:t>
      </w:r>
      <w:bookmarkEnd w:id="103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بالإجماع، و عموم البدليّة، و ظاهر المستفيضة الفعليّة </w:t>
      </w:r>
      <w:r>
        <w:rPr>
          <w:rStyle w:val="FootnoteAnchor"/>
          <w:rtl w:val="true"/>
        </w:rPr>
        <w:footnoteReference w:id="2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فعلهم في مقابلة السؤال عن بيان الكيفيّة يعطي كونه بياناً واجباً، فيجب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أحد الفردين أو أفضلهما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بعضها الأمر بكيفيّتها البيانيّة</w:t>
      </w:r>
      <w:r>
        <w:rPr>
          <w:rFonts w:eastAsia="Amiri" w:cs="Amiri" w:ascii="Amiri" w:hAnsi="Amiri"/>
          <w:color w:val="111111"/>
          <w:sz w:val="28"/>
          <w:szCs w:val="28"/>
          <w:rtl w:val="true"/>
          <w:lang w:bidi="ar-SA"/>
        </w:rPr>
        <w:t>.</w:t>
      </w:r>
      <w:bookmarkStart w:id="1034" w:name="pg2479_12099"/>
    </w:p>
    <w:p>
      <w:pPr>
        <w:pStyle w:val="BookText"/>
        <w:rPr/>
      </w:pPr>
      <w:bookmarkEnd w:id="1034"/>
      <w:r>
        <w:rPr>
          <w:rFonts w:ascii="Amiri" w:hAnsi="Amiri" w:eastAsia="Amiri" w:cs="Amiri"/>
          <w:color w:val="111111"/>
          <w:sz w:val="28"/>
          <w:sz w:val="28"/>
          <w:szCs w:val="28"/>
          <w:rtl w:val="true"/>
          <w:lang w:bidi="ar-SA"/>
        </w:rPr>
        <w:t>و تضمّن أكثرها الترتيب في البعض دون البعض غير قادح؛ لثبوت تمام المطلوب بعدم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به استدرك ما يحصّله إن لم يفت به الموالاة، و إلّا استأنف</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3732587_3804643083"/>
      <w:bookmarkStart w:id="1036" w:name="_Toc399"/>
      <w:bookmarkEnd w:id="1035"/>
      <w:r>
        <w:rPr>
          <w:rtl w:val="true"/>
        </w:rPr>
        <w:t>السابع</w:t>
      </w:r>
      <w:r>
        <w:rPr>
          <w:rtl w:val="true"/>
        </w:rPr>
        <w:t xml:space="preserve">: </w:t>
      </w:r>
      <w:r>
        <w:rPr>
          <w:rtl w:val="true"/>
        </w:rPr>
        <w:t>الموالاة</w:t>
      </w:r>
      <w:r>
        <w:rPr>
          <w:rtl w:val="true"/>
        </w:rPr>
        <w:t>:</w:t>
      </w:r>
      <w:bookmarkEnd w:id="1036"/>
    </w:p>
    <w:p>
      <w:pPr>
        <w:pStyle w:val="BookText"/>
        <w:rPr/>
      </w:pPr>
      <w:r>
        <w:rPr>
          <w:rFonts w:ascii="Amiri" w:hAnsi="Amiri" w:eastAsia="Amiri" w:cs="Amiri"/>
          <w:color w:val="111111"/>
          <w:sz w:val="28"/>
          <w:sz w:val="28"/>
          <w:szCs w:val="28"/>
          <w:rtl w:val="true"/>
          <w:lang w:bidi="ar-SA"/>
        </w:rPr>
        <w:t xml:space="preserve">للإجماع، و متابعة التيمّم البياني، و التعقيب المستفاد من الفاء في قوله فَامْسَحُوا </w:t>
      </w:r>
      <w:r>
        <w:rPr>
          <w:rStyle w:val="FootnoteAnchor"/>
          <w:rtl w:val="true"/>
        </w:rPr>
        <w:footnoteReference w:id="2830"/>
      </w:r>
      <w:r>
        <w:rPr>
          <w:rFonts w:ascii="Amiri" w:hAnsi="Amiri" w:eastAsia="Amiri" w:cs="Amiri"/>
          <w:color w:val="111111"/>
          <w:sz w:val="28"/>
          <w:sz w:val="28"/>
          <w:szCs w:val="28"/>
          <w:rtl w:val="true"/>
          <w:lang w:bidi="ar-SA"/>
        </w:rPr>
        <w:t>، و تمام المطلوب يثبت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المتابعة عرفاً، فلا يضرّ ما لا يرفعها من فصل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بها ففي الصحّة مع الإثم لصدق الامتثال، أو البطلان لفوات الواجب وجهان، و يعلم تحقيقه ممّا مرّ</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3732589_3804643083"/>
      <w:bookmarkStart w:id="1038" w:name="_Toc400"/>
      <w:bookmarkEnd w:id="1037"/>
      <w:r>
        <w:rPr>
          <w:rtl w:val="true"/>
        </w:rPr>
        <w:t>الثامن</w:t>
      </w:r>
      <w:r>
        <w:rPr>
          <w:rtl w:val="true"/>
        </w:rPr>
        <w:t xml:space="preserve">: </w:t>
      </w:r>
      <w:r>
        <w:rPr>
          <w:rtl w:val="true"/>
        </w:rPr>
        <w:t>المباشرة بنفسه</w:t>
      </w:r>
      <w:r>
        <w:rPr>
          <w:rtl w:val="true"/>
        </w:rPr>
        <w:t>:</w:t>
      </w:r>
      <w:bookmarkEnd w:id="1038"/>
    </w:p>
    <w:p>
      <w:pPr>
        <w:pStyle w:val="BookText"/>
        <w:rPr/>
      </w:pPr>
      <w:r>
        <w:rPr>
          <w:rFonts w:ascii="Amiri" w:hAnsi="Amiri" w:eastAsia="Amiri" w:cs="Amiri"/>
          <w:color w:val="111111"/>
          <w:sz w:val="28"/>
          <w:sz w:val="28"/>
          <w:szCs w:val="28"/>
          <w:rtl w:val="true"/>
          <w:lang w:bidi="ar-SA"/>
        </w:rPr>
        <w:t>للإجماع و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الضرورة يجوز الاستنابة في الأفعال دون النيّة؛ لبعض الظواهر، فيضرب النائب بيدي العليل مع الإمكان، و بيديه بدونه</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732591_3804643083"/>
      <w:bookmarkStart w:id="1040" w:name="_Toc401"/>
      <w:bookmarkEnd w:id="1039"/>
      <w:r>
        <w:rPr>
          <w:rtl w:val="true"/>
        </w:rPr>
        <w:t>فصل يستحبّ للمتيمّم</w:t>
      </w:r>
      <w:r>
        <w:rPr>
          <w:rtl w:val="true"/>
        </w:rPr>
        <w:t>:</w:t>
      </w:r>
      <w:bookmarkEnd w:id="1040"/>
    </w:p>
    <w:p>
      <w:pPr>
        <w:pStyle w:val="BookText"/>
        <w:rPr/>
      </w:pPr>
      <w:r>
        <w:rPr>
          <w:rFonts w:ascii="Amiri" w:hAnsi="Amiri" w:eastAsia="Amiri" w:cs="Amiri"/>
          <w:color w:val="111111"/>
          <w:sz w:val="28"/>
          <w:sz w:val="28"/>
          <w:szCs w:val="28"/>
          <w:rtl w:val="true"/>
          <w:lang w:bidi="ar-SA"/>
        </w:rPr>
        <w:t>السواك و التسمية، كما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الولي و التوالي، كما مرّ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تفريج الأصابع عند الضرب؛ ليتمكّن من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يستحبّ تخليلها في المسح؛ للأصل</w:t>
      </w:r>
      <w:r>
        <w:rPr>
          <w:rFonts w:eastAsia="Amiri" w:cs="Amiri" w:ascii="Amiri" w:hAnsi="Amiri"/>
          <w:color w:val="111111"/>
          <w:sz w:val="28"/>
          <w:szCs w:val="28"/>
          <w:rtl w:val="true"/>
          <w:lang w:bidi="ar-SA"/>
        </w:rPr>
        <w:t>.</w:t>
      </w:r>
      <w:bookmarkStart w:id="1041" w:name="pg2479_12100"/>
    </w:p>
    <w:p>
      <w:pPr>
        <w:pStyle w:val="BookText"/>
        <w:rPr/>
      </w:pPr>
      <w:bookmarkEnd w:id="1041"/>
      <w:r>
        <w:rPr>
          <w:rFonts w:ascii="Amiri" w:hAnsi="Amiri" w:eastAsia="Amiri" w:cs="Amiri"/>
          <w:color w:val="111111"/>
          <w:sz w:val="28"/>
          <w:sz w:val="28"/>
          <w:szCs w:val="28"/>
          <w:rtl w:val="true"/>
          <w:lang w:bidi="ar-SA"/>
        </w:rPr>
        <w:t xml:space="preserve">و نفض اليدين بعد الضرب؛ للإجماع و المستفيضة </w:t>
      </w:r>
      <w:r>
        <w:rPr>
          <w:rStyle w:val="FootnoteAnchor"/>
          <w:rtl w:val="true"/>
        </w:rPr>
        <w:footnoteReference w:id="2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وفاقاً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استحبّ الشيخ مسح إحداهما بالأُخرى بعده </w:t>
      </w:r>
      <w:r>
        <w:rPr>
          <w:rStyle w:val="FootnoteAnchor"/>
          <w:rtl w:val="true"/>
        </w:rPr>
        <w:footnoteReference w:id="2832"/>
      </w:r>
      <w:r>
        <w:rPr>
          <w:rFonts w:ascii="IRNazanin" w:hAnsi="IRNazanin" w:eastAsia="IRNazanin"/>
          <w:color w:val="111111"/>
          <w:sz w:val="28"/>
          <w:sz w:val="28"/>
          <w:szCs w:val="28"/>
          <w:rtl w:val="true"/>
          <w:lang w:bidi="fa-IR"/>
        </w:rPr>
        <w:t>، و لا أعلم مستنده</w:t>
      </w:r>
      <w:r>
        <w:rPr>
          <w:rFonts w:eastAsia="IRNazanin" w:cs="IRNazanin"/>
          <w:color w:val="111111"/>
          <w:sz w:val="28"/>
          <w:szCs w:val="28"/>
          <w:rtl w:val="true"/>
          <w:lang w:bidi="fa-IR"/>
        </w:rPr>
        <w:t>.</w:t>
      </w:r>
    </w:p>
    <w:p>
      <w:pPr>
        <w:pStyle w:val="Heading5"/>
        <w:numPr>
          <w:ilvl w:val="4"/>
          <w:numId w:val="1"/>
        </w:numPr>
        <w:rPr/>
      </w:pPr>
      <w:bookmarkStart w:id="1042" w:name="__RefHeading___Toc3732593_3804643083"/>
      <w:bookmarkStart w:id="1043" w:name="_Toc402"/>
      <w:bookmarkEnd w:id="1042"/>
      <w:r>
        <w:rPr>
          <w:rtl w:val="true"/>
        </w:rPr>
        <w:t>مسائل</w:t>
      </w:r>
      <w:r>
        <w:rPr>
          <w:rtl w:val="true"/>
        </w:rPr>
        <w:t>:</w:t>
      </w:r>
      <w:bookmarkEnd w:id="1043"/>
    </w:p>
    <w:p>
      <w:pPr>
        <w:pStyle w:val="Heading6"/>
        <w:numPr>
          <w:ilvl w:val="5"/>
          <w:numId w:val="1"/>
        </w:numPr>
        <w:rPr/>
      </w:pPr>
      <w:bookmarkStart w:id="1044" w:name="__RefHeading___Toc3732595_3804643083"/>
      <w:bookmarkStart w:id="1045" w:name="_Toc403"/>
      <w:bookmarkEnd w:id="1044"/>
      <w:r>
        <w:rPr>
          <w:rtl w:val="true"/>
        </w:rPr>
        <w:t>الأُولىٰ</w:t>
      </w:r>
      <w:r>
        <w:rPr>
          <w:rtl w:val="true"/>
        </w:rPr>
        <w:t>:</w:t>
      </w:r>
      <w:bookmarkEnd w:id="1045"/>
    </w:p>
    <w:p>
      <w:pPr>
        <w:pStyle w:val="BookText"/>
        <w:rPr/>
      </w:pPr>
      <w:r>
        <w:rPr>
          <w:rFonts w:ascii="Amiri" w:hAnsi="Amiri" w:eastAsia="Amiri" w:cs="Amiri"/>
          <w:color w:val="111111"/>
          <w:sz w:val="28"/>
          <w:sz w:val="28"/>
          <w:szCs w:val="28"/>
          <w:rtl w:val="true"/>
          <w:lang w:bidi="ar-SA"/>
        </w:rPr>
        <w:t xml:space="preserve">الضرب مرّة، وفاقاً للأوّلين و السيّد </w:t>
      </w:r>
      <w:r>
        <w:rPr>
          <w:rStyle w:val="FootnoteAnchor"/>
          <w:rtl w:val="true"/>
        </w:rPr>
        <w:footnoteReference w:id="2833"/>
      </w:r>
      <w:r>
        <w:rPr>
          <w:rFonts w:ascii="Amiri" w:hAnsi="Amiri" w:eastAsia="Amiri" w:cs="Amiri"/>
          <w:color w:val="111111"/>
          <w:sz w:val="28"/>
          <w:sz w:val="28"/>
          <w:szCs w:val="28"/>
          <w:rtl w:val="true"/>
          <w:lang w:bidi="ar-SA"/>
        </w:rPr>
        <w:t xml:space="preserve">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الغرية</w:t>
      </w:r>
      <w:r>
        <w:rPr>
          <w:rFonts w:eastAsia="Amiri" w:cs="Amiri" w:ascii="Amiri" w:hAnsi="Amiri"/>
          <w:color w:val="111111"/>
          <w:sz w:val="28"/>
          <w:szCs w:val="28"/>
          <w:rtl w:val="true"/>
          <w:lang w:bidi="ar-SA"/>
        </w:rPr>
        <w:t xml:space="preserve">» </w:t>
      </w:r>
      <w:r>
        <w:rPr>
          <w:rStyle w:val="FootnoteAnchor"/>
          <w:rtl w:val="true"/>
        </w:rPr>
        <w:footnoteReference w:id="2834"/>
      </w:r>
      <w:r>
        <w:rPr>
          <w:rFonts w:ascii="Amiri" w:hAnsi="Amiri" w:eastAsia="Amiri" w:cs="Amiri"/>
          <w:color w:val="111111"/>
          <w:sz w:val="28"/>
          <w:sz w:val="28"/>
          <w:szCs w:val="28"/>
          <w:rtl w:val="true"/>
          <w:lang w:bidi="ar-SA"/>
        </w:rPr>
        <w:t>، و عليه معظم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مرّتين كالمفيد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Style w:val="FootnoteAnchor"/>
          <w:rtl w:val="true"/>
        </w:rPr>
        <w:footnoteReference w:id="2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ثلاث كبعض القدماء </w:t>
      </w:r>
      <w:r>
        <w:rPr>
          <w:rStyle w:val="FootnoteAnchor"/>
          <w:rtl w:val="true"/>
        </w:rPr>
        <w:footnoteReference w:id="2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مرّة للوضوء و مرّتين للغسل كالأكثر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و المستفيضة من الصحاح و الحسان و المعتبرة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w:t>
      </w:r>
      <w:r>
        <w:rPr>
          <w:rStyle w:val="FootnoteAnchor"/>
          <w:rtl w:val="true"/>
        </w:rPr>
        <w:footnoteReference w:id="2838"/>
      </w:r>
      <w:r>
        <w:rPr>
          <w:rFonts w:ascii="Amiri" w:hAnsi="Amiri" w:eastAsia="Amiri" w:cs="Amiri"/>
          <w:color w:val="111111"/>
          <w:sz w:val="28"/>
          <w:sz w:val="28"/>
          <w:szCs w:val="28"/>
          <w:rtl w:val="true"/>
          <w:lang w:bidi="ar-SA"/>
        </w:rPr>
        <w:t>، و حملت على الندب أو التقيّة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2839"/>
      </w:r>
      <w:r>
        <w:rPr>
          <w:rFonts w:ascii="Amiri" w:hAnsi="Amiri" w:eastAsia="Amiri" w:cs="Amiri"/>
          <w:color w:val="111111"/>
          <w:sz w:val="28"/>
          <w:sz w:val="28"/>
          <w:szCs w:val="28"/>
          <w:rtl w:val="true"/>
          <w:lang w:bidi="ar-SA"/>
        </w:rPr>
        <w:t>، و حملت على التقيّة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أخبار المرّة و المرّتين، و ردّ بورودها في مقام بيان الحقيقة، فلا يناسب التخصيص، و بالمستفيضة </w:t>
      </w:r>
      <w:r>
        <w:rPr>
          <w:rStyle w:val="FootnoteAnchor"/>
          <w:rtl w:val="true"/>
        </w:rPr>
        <w:footnoteReference w:id="2840"/>
      </w:r>
      <w:r>
        <w:rPr>
          <w:rFonts w:ascii="Amiri" w:hAnsi="Amiri" w:eastAsia="Amiri" w:cs="Amiri"/>
          <w:color w:val="111111"/>
          <w:sz w:val="28"/>
          <w:sz w:val="28"/>
          <w:szCs w:val="28"/>
          <w:rtl w:val="true"/>
          <w:lang w:bidi="ar-SA"/>
        </w:rPr>
        <w:t>الدالّة على إجزاء الواحدة في</w:t>
      </w:r>
      <w:bookmarkStart w:id="1046" w:name="pg2479_12103"/>
    </w:p>
    <w:p>
      <w:pPr>
        <w:pStyle w:val="BookText"/>
        <w:rPr/>
      </w:pPr>
      <w:bookmarkEnd w:id="1046"/>
      <w:r>
        <w:rPr>
          <w:rFonts w:ascii="IRNazanin" w:hAnsi="IRNazanin" w:eastAsia="IRNazanin"/>
          <w:color w:val="111111"/>
          <w:sz w:val="28"/>
          <w:sz w:val="28"/>
          <w:szCs w:val="28"/>
          <w:rtl w:val="true"/>
          <w:lang w:bidi="fa-IR"/>
        </w:rPr>
        <w:t xml:space="preserve">الغسل و الموثّق </w:t>
      </w:r>
      <w:r>
        <w:rPr>
          <w:rStyle w:val="FootnoteAnchor"/>
          <w:rtl w:val="true"/>
        </w:rPr>
        <w:footnoteReference w:id="2841"/>
      </w:r>
      <w:r>
        <w:rPr>
          <w:rFonts w:ascii="Amiri" w:hAnsi="Amiri" w:eastAsia="Amiri" w:cs="Amiri"/>
          <w:color w:val="111111"/>
          <w:sz w:val="28"/>
          <w:sz w:val="28"/>
          <w:szCs w:val="28"/>
          <w:rtl w:val="true"/>
          <w:lang w:bidi="ar-SA"/>
        </w:rPr>
        <w:t xml:space="preserve">المصرّح بالمساواة، و الاستدلال عليه بالصحيحين </w:t>
      </w:r>
      <w:r>
        <w:rPr>
          <w:rStyle w:val="FootnoteAnchor"/>
          <w:rtl w:val="true"/>
        </w:rPr>
        <w:footnoteReference w:id="2842"/>
      </w:r>
      <w:r>
        <w:rPr>
          <w:rFonts w:ascii="Amiri" w:hAnsi="Amiri" w:eastAsia="Amiri" w:cs="Amiri"/>
          <w:color w:val="111111"/>
          <w:sz w:val="28"/>
          <w:sz w:val="28"/>
          <w:szCs w:val="28"/>
          <w:rtl w:val="true"/>
          <w:lang w:bidi="ar-SA"/>
        </w:rPr>
        <w:t>مردود بعدم الدلالة</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3732597_3804643083"/>
      <w:bookmarkStart w:id="1048" w:name="_Toc404"/>
      <w:bookmarkEnd w:id="1047"/>
      <w:r>
        <w:rPr>
          <w:rtl w:val="true"/>
        </w:rPr>
        <w:t>الثانية</w:t>
      </w:r>
      <w:r>
        <w:rPr>
          <w:rtl w:val="true"/>
        </w:rPr>
        <w:t>:</w:t>
      </w:r>
      <w:bookmarkEnd w:id="1048"/>
    </w:p>
    <w:p>
      <w:pPr>
        <w:pStyle w:val="BookText"/>
        <w:rPr/>
      </w:pPr>
      <w:r>
        <w:rPr>
          <w:rFonts w:ascii="Amiri" w:hAnsi="Amiri" w:eastAsia="Amiri" w:cs="Amiri"/>
          <w:color w:val="111111"/>
          <w:sz w:val="28"/>
          <w:sz w:val="28"/>
          <w:szCs w:val="28"/>
          <w:rtl w:val="true"/>
          <w:lang w:bidi="ar-SA"/>
        </w:rPr>
        <w:t>من صلّى بالتيمّم لا يعيد مطلقاً وفاقاً للمعظم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للأوّلين </w:t>
      </w:r>
      <w:r>
        <w:rPr>
          <w:rStyle w:val="FootnoteAnchor"/>
          <w:rtl w:val="true"/>
        </w:rPr>
        <w:footnoteReference w:id="2843"/>
      </w:r>
      <w:r>
        <w:rPr>
          <w:rFonts w:ascii="Amiri" w:hAnsi="Amiri" w:eastAsia="Amiri" w:cs="Amiri"/>
          <w:color w:val="111111"/>
          <w:sz w:val="28"/>
          <w:sz w:val="28"/>
          <w:szCs w:val="28"/>
          <w:rtl w:val="true"/>
          <w:lang w:bidi="ar-SA"/>
        </w:rPr>
        <w:t xml:space="preserve">إذا بقي الوقت، و للسيّد إذا تيمّم الحاضر لفقد الماء </w:t>
      </w:r>
      <w:r>
        <w:rPr>
          <w:rStyle w:val="FootnoteAnchor"/>
          <w:rtl w:val="true"/>
        </w:rPr>
        <w:footnoteReference w:id="2844"/>
      </w:r>
      <w:r>
        <w:rPr>
          <w:rFonts w:ascii="Amiri" w:hAnsi="Amiri" w:eastAsia="Amiri" w:cs="Amiri"/>
          <w:color w:val="111111"/>
          <w:sz w:val="28"/>
          <w:sz w:val="28"/>
          <w:szCs w:val="28"/>
          <w:rtl w:val="true"/>
          <w:lang w:bidi="ar-SA"/>
        </w:rPr>
        <w:t xml:space="preserve">، و للشيخ إذا صلّى مع النجاسة لذلك أو تعمّد الجنابة و خاف التلف بالغسل أو تيمّم في الضيق مع إخلاله بالطلب </w:t>
      </w:r>
      <w:r>
        <w:rPr>
          <w:rStyle w:val="FootnoteAnchor"/>
          <w:rtl w:val="true"/>
        </w:rPr>
        <w:footnoteReference w:id="2845"/>
      </w:r>
      <w:r>
        <w:rPr>
          <w:rFonts w:ascii="Amiri" w:hAnsi="Amiri" w:eastAsia="Amiri" w:cs="Amiri"/>
          <w:color w:val="111111"/>
          <w:sz w:val="28"/>
          <w:sz w:val="28"/>
          <w:szCs w:val="28"/>
          <w:rtl w:val="true"/>
          <w:lang w:bidi="ar-SA"/>
        </w:rPr>
        <w:t xml:space="preserve">، و للإسكافي إذا تيمّم لغلوّ الثمن </w:t>
      </w:r>
      <w:r>
        <w:rPr>
          <w:rStyle w:val="FootnoteAnchor"/>
          <w:rtl w:val="true"/>
        </w:rPr>
        <w:footnoteReference w:id="2846"/>
      </w:r>
      <w:r>
        <w:rPr>
          <w:rFonts w:ascii="Amiri" w:hAnsi="Amiri" w:eastAsia="Amiri" w:cs="Amiri"/>
          <w:color w:val="111111"/>
          <w:sz w:val="28"/>
          <w:sz w:val="28"/>
          <w:szCs w:val="28"/>
          <w:rtl w:val="true"/>
          <w:lang w:bidi="ar-SA"/>
        </w:rPr>
        <w:t xml:space="preserve">، و لهما إذا منعه زحام الجمعة من الخروج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الصحاح و غيرها </w:t>
      </w:r>
      <w:r>
        <w:rPr>
          <w:rStyle w:val="FootnoteAnchor"/>
          <w:rtl w:val="true"/>
        </w:rPr>
        <w:footnoteReference w:id="2848"/>
      </w:r>
      <w:r>
        <w:rPr>
          <w:rFonts w:ascii="Amiri" w:hAnsi="Amiri" w:eastAsia="Amiri" w:cs="Amiri"/>
          <w:color w:val="111111"/>
          <w:sz w:val="28"/>
          <w:sz w:val="28"/>
          <w:szCs w:val="28"/>
          <w:rtl w:val="true"/>
          <w:lang w:bidi="ar-SA"/>
        </w:rPr>
        <w:t xml:space="preserve">، و دعوىٰ الإجماع من الشيخ و الفاضلين </w:t>
      </w:r>
      <w:r>
        <w:rPr>
          <w:rStyle w:val="FootnoteAnchor"/>
          <w:rtl w:val="true"/>
        </w:rPr>
        <w:footnoteReference w:id="2849"/>
      </w:r>
      <w:r>
        <w:rPr>
          <w:rFonts w:ascii="Amiri" w:hAnsi="Amiri" w:eastAsia="Amiri" w:cs="Amiri"/>
          <w:color w:val="111111"/>
          <w:sz w:val="28"/>
          <w:sz w:val="28"/>
          <w:szCs w:val="28"/>
          <w:rtl w:val="true"/>
          <w:lang w:bidi="ar-SA"/>
        </w:rPr>
        <w:t>على عدم الإعادة مع خروج الوقت، و إتيانه بالمأمور به، و توقّف القضاء على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bookmarkStart w:id="1049" w:name="pg2479_12105"/>
    </w:p>
    <w:p>
      <w:pPr>
        <w:pStyle w:val="BookText"/>
        <w:rPr/>
      </w:pPr>
      <w:bookmarkEnd w:id="1049"/>
      <w:r>
        <w:rPr>
          <w:rFonts w:ascii="Amiri" w:hAnsi="Amiri" w:eastAsia="Amiri" w:cs="Amiri"/>
          <w:color w:val="111111"/>
          <w:sz w:val="28"/>
          <w:sz w:val="28"/>
          <w:szCs w:val="28"/>
          <w:rtl w:val="true"/>
          <w:lang w:bidi="ar-SA"/>
        </w:rPr>
        <w:t>و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المرسل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عن الكلّ بالحمل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مستند للثاني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جليّة الحال في الخامس و السابع</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3732599_3804643083"/>
      <w:bookmarkStart w:id="1051" w:name="_Toc405"/>
      <w:bookmarkEnd w:id="1050"/>
      <w:r>
        <w:rPr>
          <w:rtl w:val="true"/>
        </w:rPr>
        <w:t>الثالثة</w:t>
      </w:r>
      <w:r>
        <w:rPr>
          <w:rtl w:val="true"/>
        </w:rPr>
        <w:t>:</w:t>
      </w:r>
      <w:bookmarkEnd w:id="1051"/>
    </w:p>
    <w:p>
      <w:pPr>
        <w:pStyle w:val="BookText"/>
        <w:rPr/>
      </w:pPr>
      <w:r>
        <w:rPr>
          <w:rFonts w:ascii="Amiri" w:hAnsi="Amiri" w:eastAsia="Amiri" w:cs="Amiri"/>
          <w:color w:val="111111"/>
          <w:sz w:val="28"/>
          <w:sz w:val="28"/>
          <w:szCs w:val="28"/>
          <w:rtl w:val="true"/>
          <w:lang w:bidi="ar-SA"/>
        </w:rPr>
        <w:t xml:space="preserve">انتقاض التيمّم بالتمكّن من الماء مجمع عليه، و النصوص به مستفيضة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اتّفق قبل دخوله في الصلاة انتقض و 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صحّت و 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أثنائها أتمّها مطلقاً وفاقاً للأكثر؛ لإطلاق الصحيحين </w:t>
      </w:r>
      <w:r>
        <w:rPr>
          <w:rStyle w:val="FootnoteAnchor"/>
          <w:rtl w:val="true"/>
        </w:rPr>
        <w:footnoteReference w:id="2854"/>
      </w:r>
      <w:r>
        <w:rPr>
          <w:rFonts w:ascii="Amiri" w:hAnsi="Amiri" w:eastAsia="Amiri" w:cs="Amiri"/>
          <w:color w:val="111111"/>
          <w:sz w:val="28"/>
          <w:sz w:val="28"/>
          <w:szCs w:val="28"/>
          <w:rtl w:val="true"/>
          <w:lang w:bidi="ar-SA"/>
        </w:rPr>
        <w:t xml:space="preserve">و صريح الرضوي </w:t>
      </w:r>
      <w:r>
        <w:rPr>
          <w:rStyle w:val="FootnoteAnchor"/>
          <w:rtl w:val="true"/>
        </w:rPr>
        <w:footnoteReference w:id="2855"/>
      </w:r>
      <w:r>
        <w:rPr>
          <w:rFonts w:ascii="Amiri" w:hAnsi="Amiri" w:eastAsia="Amiri" w:cs="Amiri"/>
          <w:color w:val="111111"/>
          <w:sz w:val="28"/>
          <w:sz w:val="28"/>
          <w:szCs w:val="28"/>
          <w:rtl w:val="true"/>
          <w:lang w:bidi="ar-SA"/>
        </w:rPr>
        <w:t>، و يعضدها الأصل و الاستصحاب و عموم البدليّة و النهي عن قطع العمل و الصلاة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ما لم يركع </w:t>
      </w:r>
      <w:r>
        <w:rPr>
          <w:rStyle w:val="FootnoteAnchor"/>
          <w:rtl w:val="true"/>
        </w:rPr>
        <w:footnoteReference w:id="2856"/>
      </w:r>
      <w:r>
        <w:rPr>
          <w:rFonts w:ascii="Amiri" w:hAnsi="Amiri" w:eastAsia="Amiri" w:cs="Amiri"/>
          <w:color w:val="111111"/>
          <w:sz w:val="28"/>
          <w:sz w:val="28"/>
          <w:szCs w:val="28"/>
          <w:rtl w:val="true"/>
          <w:lang w:bidi="ar-SA"/>
        </w:rPr>
        <w:t xml:space="preserve">للصحيح و الخبر </w:t>
      </w:r>
      <w:r>
        <w:rPr>
          <w:rStyle w:val="FootnoteAnchor"/>
          <w:rtl w:val="true"/>
        </w:rPr>
        <w:footnoteReference w:id="2857"/>
      </w:r>
      <w:r>
        <w:rPr>
          <w:rFonts w:ascii="Amiri" w:hAnsi="Amiri" w:eastAsia="Amiri" w:cs="Amiri"/>
          <w:color w:val="111111"/>
          <w:sz w:val="28"/>
          <w:sz w:val="28"/>
          <w:szCs w:val="28"/>
          <w:rtl w:val="true"/>
          <w:lang w:bidi="ar-SA"/>
        </w:rPr>
        <w:t>، و لا بدّ من حملهما على الندب أو تأويلهما أو طرحهما؛ لقوّة المعارض بالأكثريّة و الأشهريّة و الأصحّية و الاعتضاد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تقيّده بهما بعيد أو متعذّر، و تأييدهما بمنطوق آيتي الوضوء و الغسل </w:t>
      </w:r>
      <w:r>
        <w:rPr>
          <w:rStyle w:val="FootnoteAnchor"/>
          <w:rtl w:val="true"/>
        </w:rPr>
        <w:footnoteReference w:id="2858"/>
      </w:r>
      <w:r>
        <w:rPr>
          <w:rFonts w:ascii="Amiri" w:hAnsi="Amiri" w:eastAsia="Amiri" w:cs="Amiri"/>
          <w:color w:val="111111"/>
          <w:sz w:val="28"/>
          <w:sz w:val="28"/>
          <w:szCs w:val="28"/>
          <w:rtl w:val="true"/>
          <w:lang w:bidi="ar-SA"/>
        </w:rPr>
        <w:t xml:space="preserve">و مفهوم آية التيمّم </w:t>
      </w:r>
      <w:r>
        <w:rPr>
          <w:rStyle w:val="FootnoteAnchor"/>
          <w:rtl w:val="true"/>
        </w:rPr>
        <w:footnoteReference w:id="2859"/>
      </w:r>
      <w:r>
        <w:rPr>
          <w:rFonts w:ascii="Amiri" w:hAnsi="Amiri" w:eastAsia="Amiri" w:cs="Amiri"/>
          <w:color w:val="111111"/>
          <w:sz w:val="28"/>
          <w:sz w:val="28"/>
          <w:szCs w:val="28"/>
          <w:rtl w:val="true"/>
          <w:lang w:bidi="ar-SA"/>
        </w:rPr>
        <w:t>ضعيف؛ لظهور اختصاصها بما قبل الدخول، و بما دلّ على كون الوجدان غاية أجزاء التيمّم مردود بلزوم تخصيصه بالخبرين أو</w:t>
      </w:r>
    </w:p>
    <w:p>
      <w:pPr>
        <w:pStyle w:val="BookText"/>
        <w:rPr/>
      </w:pPr>
      <w:r>
        <w:rPr>
          <w:rFonts w:ascii="IRNazanin" w:hAnsi="IRNazanin" w:eastAsia="IRNazanin"/>
          <w:color w:val="111111"/>
          <w:sz w:val="28"/>
          <w:sz w:val="28"/>
          <w:szCs w:val="28"/>
          <w:rtl w:val="true"/>
          <w:lang w:bidi="fa-IR"/>
        </w:rPr>
        <w:t xml:space="preserve">بمعارضتهما </w:t>
      </w:r>
      <w:r>
        <w:rPr>
          <w:rStyle w:val="FootnoteAnchor"/>
          <w:rtl w:val="true"/>
        </w:rPr>
        <w:footnoteReference w:id="2860"/>
      </w:r>
      <w:r>
        <w:rPr>
          <w:rFonts w:ascii="Amiri" w:hAnsi="Amiri" w:eastAsia="Amiri" w:cs="Amiri"/>
          <w:color w:val="111111"/>
          <w:sz w:val="28"/>
          <w:sz w:val="28"/>
          <w:szCs w:val="28"/>
          <w:rtl w:val="true"/>
          <w:lang w:bidi="ar-SA"/>
        </w:rPr>
        <w:t>، غاية الأمر لزوم زيادته على الثاني، و هو مرجّح ضعيف لا يقاوم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أقوال أُخر ضعيفة لا مستند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الدخول المانع من الرجوع عندنا بإتمام التكبير؛ لظاهر الصحيحين </w:t>
      </w:r>
      <w:r>
        <w:rPr>
          <w:rStyle w:val="FootnoteAnchor"/>
          <w:rtl w:val="true"/>
        </w:rPr>
        <w:footnoteReference w:id="2861"/>
      </w:r>
      <w:r>
        <w:rPr>
          <w:rFonts w:ascii="Amiri" w:hAnsi="Amiri" w:eastAsia="Amiri" w:cs="Amiri"/>
          <w:color w:val="111111"/>
          <w:sz w:val="28"/>
          <w:sz w:val="28"/>
          <w:szCs w:val="28"/>
          <w:rtl w:val="true"/>
          <w:lang w:bidi="ar-SA"/>
        </w:rPr>
        <w:t xml:space="preserve">و صريح الرضوي </w:t>
      </w:r>
      <w:r>
        <w:rPr>
          <w:rStyle w:val="FootnoteAnchor"/>
          <w:rtl w:val="true"/>
        </w:rPr>
        <w:footnoteReference w:id="2862"/>
      </w:r>
      <w:r>
        <w:rPr>
          <w:rFonts w:ascii="Amiri" w:hAnsi="Amiri" w:eastAsia="Amiri" w:cs="Amiri"/>
          <w:color w:val="111111"/>
          <w:sz w:val="28"/>
          <w:sz w:val="28"/>
          <w:szCs w:val="28"/>
          <w:rtl w:val="true"/>
          <w:lang w:bidi="ar-SA"/>
        </w:rPr>
        <w:t>، فيرجع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المضي بعده على الوجوب عند الأكثر؛ لعموم النهي عن الإبطال، و على الجواز عند بعضهم ما لم يركع؛ لقضيّة الجمع،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وجوبه بعد الركوع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العدول إلى النفل بعد فوت المحل؛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على ناسي الأذان و مزيد فضيلة الجماعة قياس باطل، و قول الفاضل بجوازه </w:t>
      </w:r>
      <w:r>
        <w:rPr>
          <w:rStyle w:val="FootnoteAnchor"/>
          <w:rtl w:val="true"/>
        </w:rPr>
        <w:footnoteReference w:id="2863"/>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مساواة النافلة للفريضة في الحكم؛ لإطلاق الأخبار </w:t>
      </w:r>
      <w:r>
        <w:rPr>
          <w:rStyle w:val="FootnoteAnchor"/>
          <w:rtl w:val="true"/>
        </w:rPr>
        <w:footnoteReference w:id="2864"/>
      </w:r>
      <w:r>
        <w:rPr>
          <w:rFonts w:ascii="Amiri" w:hAnsi="Amiri" w:eastAsia="Amiri" w:cs="Amiri"/>
          <w:color w:val="111111"/>
          <w:sz w:val="28"/>
          <w:sz w:val="28"/>
          <w:szCs w:val="28"/>
          <w:rtl w:val="true"/>
          <w:lang w:bidi="ar-SA"/>
        </w:rPr>
        <w:t>، و يحتمل القطع فيها؛ لجوازه اختياراً فينتفي مانع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المشهور بقاء حكمه بالنسبة إلى كلّ صلاة، و لا يعيده لو فقد الماء قبل الفراغ؛ لكون المانع الشرعي أقوى من الحسّي، و عدم جواز اجتماع الصحّة و الفساد في طهارة واحدة، و استمراره إلى الفراغ و لا تمكّن من المائيّة بعده فرضاً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بانتقاضه بالنسبة إلى الصلوات المستقبلة </w:t>
      </w:r>
      <w:r>
        <w:rPr>
          <w:rStyle w:val="FootnoteAnchor"/>
          <w:rtl w:val="true"/>
        </w:rPr>
        <w:footnoteReference w:id="2865"/>
      </w:r>
      <w:r>
        <w:rPr>
          <w:rFonts w:ascii="Amiri" w:hAnsi="Amiri" w:eastAsia="Amiri" w:cs="Amiri"/>
          <w:color w:val="111111"/>
          <w:sz w:val="28"/>
          <w:sz w:val="28"/>
          <w:szCs w:val="28"/>
          <w:rtl w:val="true"/>
          <w:lang w:bidi="ar-SA"/>
        </w:rPr>
        <w:t>ضعيف، و تعليله بصدق</w:t>
      </w:r>
      <w:bookmarkStart w:id="1052" w:name="pg2479_12109"/>
    </w:p>
    <w:p>
      <w:pPr>
        <w:pStyle w:val="BookText"/>
        <w:rPr/>
      </w:pPr>
      <w:bookmarkEnd w:id="1052"/>
      <w:r>
        <w:rPr>
          <w:rFonts w:ascii="Amiri" w:hAnsi="Amiri" w:eastAsia="Amiri" w:cs="Amiri"/>
          <w:color w:val="111111"/>
          <w:sz w:val="28"/>
          <w:sz w:val="28"/>
          <w:szCs w:val="28"/>
          <w:rtl w:val="true"/>
          <w:lang w:bidi="ar-SA"/>
        </w:rPr>
        <w:t>التمكّن عقلًا و عدم تغيّره بالمنع شرعاً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تيمّم الميّت بدلًا عن غسله لم ينزّل الصلاة عليه بمنزلة التكبير من المتيمّم؛ لانتقاض تيمّمه بوجود الماء، فيجب تغسيله بمقتضى الأمر؛ لبقاء الوقت و حصول الامتثال المسقط له في خبر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إعادة الصلاة؛ لوقوعها بطهارة صحيحة، فتكون مجزئة، و بطلان التيمّم للتمكّن من مبدله لا يوجب بطلانها</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3732601_3804643083"/>
      <w:bookmarkStart w:id="1054" w:name="_Toc406"/>
      <w:bookmarkEnd w:id="1053"/>
      <w:r>
        <w:rPr>
          <w:rtl w:val="true"/>
        </w:rPr>
        <w:t>الرابعة</w:t>
      </w:r>
      <w:r>
        <w:rPr>
          <w:rtl w:val="true"/>
        </w:rPr>
        <w:t>:</w:t>
      </w:r>
      <w:bookmarkEnd w:id="1054"/>
    </w:p>
    <w:p>
      <w:pPr>
        <w:pStyle w:val="BookText"/>
        <w:rPr/>
      </w:pPr>
      <w:r>
        <w:rPr>
          <w:rFonts w:ascii="Amiri" w:hAnsi="Amiri" w:eastAsia="Amiri" w:cs="Amiri"/>
          <w:color w:val="111111"/>
          <w:sz w:val="28"/>
          <w:sz w:val="28"/>
          <w:szCs w:val="28"/>
          <w:rtl w:val="true"/>
          <w:lang w:bidi="ar-SA"/>
        </w:rPr>
        <w:t>التمكّن 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الماء مع ظنّه إكمال المائيّة، فلو فقده قبله جدّد التيمّم، و لا يعتبر فيه مضي وقت يسعه وفاقاً لجماعة؛ لإطلاق المستفيضة </w:t>
      </w:r>
      <w:r>
        <w:rPr>
          <w:rStyle w:val="FootnoteAnchor"/>
          <w:rtl w:val="true"/>
        </w:rPr>
        <w:footnoteReference w:id="2866"/>
      </w:r>
      <w:r>
        <w:rPr>
          <w:rFonts w:ascii="Amiri" w:hAnsi="Amiri" w:eastAsia="Amiri" w:cs="Amiri"/>
          <w:color w:val="111111"/>
          <w:sz w:val="28"/>
          <w:sz w:val="28"/>
          <w:szCs w:val="28"/>
          <w:rtl w:val="true"/>
          <w:lang w:bidi="ar-SA"/>
        </w:rPr>
        <w:t>بانتقاضه مع الوجدان، و توجّه الخطاب بفعلها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الثالثة </w:t>
      </w:r>
      <w:r>
        <w:rPr>
          <w:rStyle w:val="FootnoteAnchor"/>
          <w:rtl w:val="true"/>
        </w:rPr>
        <w:footnoteReference w:id="2867"/>
      </w:r>
      <w:r>
        <w:rPr>
          <w:rFonts w:ascii="Amiri" w:hAnsi="Amiri" w:eastAsia="Amiri" w:cs="Amiri"/>
          <w:color w:val="111111"/>
          <w:sz w:val="28"/>
          <w:sz w:val="28"/>
          <w:szCs w:val="28"/>
          <w:rtl w:val="true"/>
          <w:lang w:bidi="ar-SA"/>
        </w:rPr>
        <w:t>لامتناع التكليف بفعل في وقت لا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بحسب الظن و الظاهر، دون القطع و الواقع، و كفايته للانتقاض كعدم اشتراطه بمضيّ وقت يسع الإكمال واضح</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3732603_3804643083"/>
      <w:bookmarkStart w:id="1056" w:name="_Toc407"/>
      <w:bookmarkEnd w:id="1055"/>
      <w:r>
        <w:rPr>
          <w:rtl w:val="true"/>
        </w:rPr>
        <w:t>الخامسة</w:t>
      </w:r>
      <w:r>
        <w:rPr>
          <w:rtl w:val="true"/>
        </w:rPr>
        <w:t>:</w:t>
      </w:r>
      <w:bookmarkEnd w:id="105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إعادة المتيمّم صلاته إذا أحدث فيها عمداً مجمع عليه، و سهواً مختار الفاضل و الحلّي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bookmarkStart w:id="1057" w:name="pg2479_12111"/>
    </w:p>
    <w:p>
      <w:pPr>
        <w:pStyle w:val="BookText"/>
        <w:rPr/>
      </w:pPr>
      <w:bookmarkEnd w:id="1057"/>
      <w:r>
        <w:rPr>
          <w:rFonts w:ascii="Amiri" w:hAnsi="Amiri" w:eastAsia="Amiri" w:cs="Amiri"/>
          <w:color w:val="111111"/>
          <w:sz w:val="28"/>
          <w:sz w:val="28"/>
          <w:szCs w:val="28"/>
          <w:rtl w:val="true"/>
          <w:lang w:bidi="ar-SA"/>
        </w:rPr>
        <w:t xml:space="preserve">و الحق المشهور التطهّر و البناء؛ لإطلاق المستفيضة </w:t>
      </w:r>
      <w:r>
        <w:rPr>
          <w:rStyle w:val="FootnoteAnchor"/>
          <w:rtl w:val="true"/>
        </w:rPr>
        <w:footnoteReference w:id="2869"/>
      </w:r>
      <w:r>
        <w:rPr>
          <w:rFonts w:ascii="Amiri" w:hAnsi="Amiri" w:eastAsia="Amiri" w:cs="Amiri"/>
          <w:color w:val="111111"/>
          <w:sz w:val="28"/>
          <w:sz w:val="28"/>
          <w:szCs w:val="28"/>
          <w:rtl w:val="true"/>
          <w:lang w:bidi="ar-SA"/>
        </w:rPr>
        <w:t xml:space="preserve">و خصوص الصحيحين </w:t>
      </w:r>
      <w:r>
        <w:rPr>
          <w:rStyle w:val="FootnoteAnchor"/>
          <w:rtl w:val="true"/>
        </w:rPr>
        <w:footnoteReference w:id="2870"/>
      </w:r>
      <w:r>
        <w:rPr>
          <w:rFonts w:ascii="Amiri" w:hAnsi="Amiri" w:eastAsia="Amiri" w:cs="Amiri"/>
          <w:color w:val="111111"/>
          <w:sz w:val="28"/>
          <w:sz w:val="28"/>
          <w:szCs w:val="28"/>
          <w:rtl w:val="true"/>
          <w:lang w:bidi="ar-SA"/>
        </w:rPr>
        <w:t>، و لا وجه لتأويلها بالبعيد، كما ارتكبه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احتجاجه بتسوية الطهارتين و اشتراط الصلاة بدوام الطهارة و بطلانها بانتقاضها و بالفعل الكثير مردود بالفرق و المنع</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3732605_3804643083"/>
      <w:bookmarkStart w:id="1059" w:name="_Toc408"/>
      <w:bookmarkEnd w:id="1058"/>
      <w:r>
        <w:rPr>
          <w:rtl w:val="true"/>
        </w:rPr>
        <w:t>السادسة</w:t>
      </w:r>
      <w:r>
        <w:rPr>
          <w:rtl w:val="true"/>
        </w:rPr>
        <w:t>:</w:t>
      </w:r>
      <w:bookmarkEnd w:id="1059"/>
    </w:p>
    <w:p>
      <w:pPr>
        <w:pStyle w:val="BookText"/>
        <w:rPr/>
      </w:pPr>
      <w:r>
        <w:rPr>
          <w:rFonts w:ascii="Amiri" w:hAnsi="Amiri" w:eastAsia="Amiri" w:cs="Amiri"/>
          <w:color w:val="111111"/>
          <w:sz w:val="28"/>
          <w:sz w:val="28"/>
          <w:szCs w:val="28"/>
          <w:rtl w:val="true"/>
          <w:lang w:bidi="ar-SA"/>
        </w:rPr>
        <w:t xml:space="preserve">الجنب أولى بالماء المباح أو المبذول للأحوج من الميّت و المحدث، وفاقاً للأكثر؛ للصحيح و الخبرين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بأولويّة الميّت </w:t>
      </w:r>
      <w:r>
        <w:rPr>
          <w:rStyle w:val="FootnoteAnchor"/>
          <w:rtl w:val="true"/>
        </w:rPr>
        <w:footnoteReference w:id="2872"/>
      </w:r>
      <w:r>
        <w:rPr>
          <w:rFonts w:ascii="IRNazanin" w:hAnsi="IRNazanin" w:eastAsia="IRNazanin"/>
          <w:color w:val="111111"/>
          <w:sz w:val="28"/>
          <w:sz w:val="28"/>
          <w:szCs w:val="28"/>
          <w:rtl w:val="true"/>
          <w:lang w:bidi="fa-IR"/>
        </w:rPr>
        <w:t xml:space="preserve">للمرسل المضمر </w:t>
      </w:r>
      <w:r>
        <w:rPr>
          <w:rStyle w:val="FootnoteAnchor"/>
          <w:rtl w:val="true"/>
        </w:rPr>
        <w:footnoteReference w:id="2873"/>
      </w:r>
      <w:r>
        <w:rPr>
          <w:rFonts w:ascii="Amiri" w:hAnsi="Amiri" w:eastAsia="Amiri" w:cs="Amiri"/>
          <w:color w:val="111111"/>
          <w:sz w:val="28"/>
          <w:sz w:val="28"/>
          <w:szCs w:val="28"/>
          <w:rtl w:val="true"/>
          <w:lang w:bidi="ar-SA"/>
        </w:rPr>
        <w:t>، و لا يصلح للمعارضة، و لاعتبارات معارضة بمثلها أو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بالتخيير بلا أولويّة؛ لتزاحم الحقوق و تعارض النصوص مع فقد الترجيح،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 الجمع بالجمع تعيّن، و لو كفى المحدث خاصّة اختصّ به، و احتمال صرفه إلى بعض أعضاء الجنب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كفى لجنب أو محدثين فالظاهر تقديمه؛ لإطلاق ما مرّ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اجتمع ميّت و محدث قدّم الميّت؛ لشدّة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جامعهم ذات دم أو ماسّ ميّت ففي ترجيح الجنب أو التخيير أو القرعة وجوه</w:t>
      </w:r>
      <w:r>
        <w:rPr>
          <w:rFonts w:eastAsia="Amiri" w:cs="Amiri" w:ascii="Amiri" w:hAnsi="Amiri"/>
          <w:color w:val="111111"/>
          <w:sz w:val="28"/>
          <w:szCs w:val="28"/>
          <w:rtl w:val="true"/>
          <w:lang w:bidi="ar-SA"/>
        </w:rPr>
        <w:t>.</w:t>
      </w:r>
      <w:bookmarkStart w:id="1060" w:name="pg2479_12113"/>
    </w:p>
    <w:p>
      <w:pPr>
        <w:pStyle w:val="BookText"/>
        <w:rPr/>
      </w:pPr>
      <w:bookmarkEnd w:id="1060"/>
      <w:r>
        <w:rPr>
          <w:rFonts w:ascii="Amiri" w:hAnsi="Amiri" w:eastAsia="Amiri" w:cs="Amiri"/>
          <w:color w:val="111111"/>
          <w:sz w:val="28"/>
          <w:sz w:val="28"/>
          <w:szCs w:val="28"/>
          <w:rtl w:val="true"/>
          <w:lang w:bidi="ar-SA"/>
        </w:rPr>
        <w:t>و مزيل الخبث يقدّم على الكلّ؛ لانتفاء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العطشان أولى من الجميع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أحدهم إلى ماء مباح اختصّ به، و لو استووا في إثبات اليد اشتركوا في الأولويّة و يملك المتغلّب مع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المبذول للأحوج بنذر أو وصيّة يختصّ به الجنب؛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المالك المكلّف بالطهارة لا يجوز له البذل؛ لمخاطبته بالصرف</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3732607_3804643083"/>
      <w:bookmarkStart w:id="1062" w:name="_Toc409"/>
      <w:bookmarkEnd w:id="1061"/>
      <w:r>
        <w:rPr>
          <w:rtl w:val="true"/>
        </w:rPr>
        <w:t>السابعة</w:t>
      </w:r>
      <w:r>
        <w:rPr>
          <w:rtl w:val="true"/>
        </w:rPr>
        <w:t>:</w:t>
      </w:r>
      <w:bookmarkEnd w:id="1062"/>
    </w:p>
    <w:p>
      <w:pPr>
        <w:pStyle w:val="BookText"/>
        <w:rPr/>
      </w:pPr>
      <w:r>
        <w:rPr>
          <w:rFonts w:ascii="Amiri" w:hAnsi="Amiri" w:eastAsia="Amiri" w:cs="Amiri"/>
          <w:color w:val="111111"/>
          <w:sz w:val="28"/>
          <w:sz w:val="28"/>
          <w:szCs w:val="28"/>
          <w:rtl w:val="true"/>
          <w:lang w:bidi="ar-SA"/>
        </w:rPr>
        <w:t>الجنب إن لم يجد الماء إلّا في المسجد أخرجه و استعمله، و لو فقد ما يغترف اغتسل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أفتى الفاضل </w:t>
      </w:r>
      <w:r>
        <w:rPr>
          <w:rStyle w:val="FootnoteAnchor"/>
          <w:rtl w:val="true"/>
        </w:rPr>
        <w:footnoteReference w:id="2874"/>
      </w:r>
      <w:r>
        <w:rPr>
          <w:rFonts w:ascii="Amiri" w:hAnsi="Amiri" w:eastAsia="Amiri" w:cs="Amiri"/>
          <w:color w:val="111111"/>
          <w:sz w:val="28"/>
          <w:sz w:val="28"/>
          <w:szCs w:val="28"/>
          <w:rtl w:val="true"/>
          <w:lang w:bidi="ar-SA"/>
        </w:rPr>
        <w:t>، و للنظر فيه مجال</w:t>
      </w:r>
      <w:r>
        <w:rPr>
          <w:rFonts w:eastAsia="Amiri" w:cs="Amiri" w:ascii="Amiri" w:hAnsi="Amiri"/>
          <w:color w:val="111111"/>
          <w:sz w:val="28"/>
          <w:szCs w:val="28"/>
          <w:rtl w:val="true"/>
          <w:lang w:bidi="ar-SA"/>
        </w:rPr>
        <w:t>.</w:t>
      </w:r>
    </w:p>
    <w:p>
      <w:pPr>
        <w:pStyle w:val="Heading6"/>
        <w:numPr>
          <w:ilvl w:val="5"/>
          <w:numId w:val="1"/>
        </w:numPr>
        <w:rPr/>
      </w:pPr>
      <w:bookmarkStart w:id="1063" w:name="__RefHeading___Toc3732609_3804643083"/>
      <w:bookmarkStart w:id="1064" w:name="_Toc410"/>
      <w:bookmarkEnd w:id="1063"/>
      <w:r>
        <w:rPr>
          <w:rtl w:val="true"/>
        </w:rPr>
        <w:t>الثامنة</w:t>
      </w:r>
      <w:r>
        <w:rPr>
          <w:rtl w:val="true"/>
        </w:rPr>
        <w:t>:</w:t>
      </w:r>
      <w:bookmarkEnd w:id="1064"/>
    </w:p>
    <w:p>
      <w:pPr>
        <w:pStyle w:val="BookText"/>
        <w:rPr/>
      </w:pPr>
      <w:r>
        <w:rPr>
          <w:rFonts w:ascii="Amiri" w:hAnsi="Amiri" w:eastAsia="Amiri" w:cs="Amiri"/>
          <w:color w:val="111111"/>
          <w:sz w:val="28"/>
          <w:sz w:val="28"/>
          <w:szCs w:val="28"/>
          <w:rtl w:val="true"/>
          <w:lang w:bidi="ar-SA"/>
        </w:rPr>
        <w:t>لو أحدث الجنب المتيمّم بالأصغر تيمّم بدلًا من الغسل، وفاقاً للمعظم؛ لزوال ما حصل بالتيمّم من الرفع المقيّد أو الاستباحة بالأصغر فتعود الحالة السابقة، فيلزم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الاحتجاج عليه بالصحيحين </w:t>
      </w:r>
      <w:r>
        <w:rPr>
          <w:rStyle w:val="FootnoteAnchor"/>
          <w:rtl w:val="true"/>
        </w:rPr>
        <w:footnoteReference w:id="2875"/>
      </w:r>
      <w:r>
        <w:rPr>
          <w:rFonts w:ascii="Amiri" w:hAnsi="Amiri" w:eastAsia="Amiri" w:cs="Amiri"/>
          <w:color w:val="111111"/>
          <w:sz w:val="28"/>
          <w:sz w:val="28"/>
          <w:szCs w:val="28"/>
          <w:rtl w:val="true"/>
          <w:lang w:bidi="ar-SA"/>
        </w:rPr>
        <w:t>ساقط بعدم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السيّد بالتوضّؤ أو التيمّم بدلًا منه </w:t>
      </w:r>
      <w:r>
        <w:rPr>
          <w:rStyle w:val="FootnoteAnchor"/>
          <w:rtl w:val="true"/>
        </w:rPr>
        <w:footnoteReference w:id="2876"/>
      </w:r>
      <w:r>
        <w:rPr>
          <w:rFonts w:ascii="Amiri" w:hAnsi="Amiri" w:eastAsia="Amiri" w:cs="Amiri"/>
          <w:color w:val="111111"/>
          <w:sz w:val="28"/>
          <w:sz w:val="28"/>
          <w:szCs w:val="28"/>
          <w:rtl w:val="true"/>
          <w:lang w:bidi="ar-SA"/>
        </w:rPr>
        <w:t>ضعيف، و تعليله عليل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الطهارة، بعون اللّٰه واهب الكفاية</w:t>
      </w:r>
      <w:r>
        <w:rPr>
          <w:rFonts w:eastAsia="Amiri" w:cs="Amiri" w:ascii="Amiri" w:hAnsi="Amiri"/>
          <w:color w:val="111111"/>
          <w:sz w:val="28"/>
          <w:szCs w:val="28"/>
          <w:rtl w:val="true"/>
          <w:lang w:bidi="ar-SA"/>
        </w:rPr>
        <w:t>»</w:t>
      </w:r>
      <w:bookmarkStart w:id="1065" w:name="pg2479_1211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6" w:name="__RefHeading___Toc3732611_3804643083"/>
      <w:bookmarkStart w:id="1067" w:name="_Toc411"/>
      <w:bookmarkEnd w:id="1065"/>
      <w:bookmarkEnd w:id="1066"/>
      <w:r>
        <w:rPr>
          <w:rtl w:val="true"/>
        </w:rPr>
        <w:t>المنابع و المآخذ</w:t>
      </w:r>
      <w:bookmarkEnd w:id="1067"/>
    </w:p>
    <w:p>
      <w:pPr>
        <w:pStyle w:val="BookText"/>
        <w:rPr/>
      </w:pPr>
      <w:r>
        <w:rPr>
          <w:rFonts w:ascii="IRNazanin" w:hAnsi="IRNazanin" w:eastAsia="IRNazanin"/>
          <w:color w:val="111111"/>
          <w:sz w:val="28"/>
          <w:sz w:val="28"/>
          <w:szCs w:val="28"/>
          <w:rtl w:val="true"/>
          <w:lang w:bidi="fa-IR"/>
        </w:rPr>
        <w:t>المنابع و المآخذ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أحمد بن علي بن أبي طالب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المرتضى، مشهد،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العكبري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المؤتمر العالمي لألفيّة الشيخ المفيد،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بن مري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الدعوة إستانبول، تركية،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الرابعة،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في معرفة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يوسف بن عبد اللّٰه بن محمد بن عبد البرّ بن عاصم النمري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احياء التراث العربي، بيروت، الطبعة الأولى،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موسى بن جعفر بن طاوس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تهران، الطبعة الثانية،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آية اللّٰه المرعشي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و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 الأعلام الإسلامي، 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بيروت، الطبعة الخامسة،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علم الهدىٰ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أبي طالب محمد بن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إسماعيليان،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الوفاء، بيروت، الطبعة الثانية،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البدائع الصنائع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أبي بكر بن مسعود الكاساني الحنفي الملقب بملك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محمد بن مكي بن محمد العاملي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بنياد فرهنگى 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بن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علي بن الحسن بن هبة اللّٰه الشافعي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التعارف للمطبوعات، بيروت، الطبعة الأُولىٰ،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محمد بن مسعود بن عيّاش السلمي السمرقندي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الاعلمي للمطبوعات، بيروت،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على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دار الكتاب قم، الطبعة الثالثة،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للفخر الرازي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الحسن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التلخيص الحبير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المجموع شرح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يزيد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أحمد بن يحيى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سيد الشهداء العلميّة،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الكركي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بحر ابن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جماعة المدرسين، قم،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محمد باقر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الثالثة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مدارك الأحكام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بن عبد الصمد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بن إبراهيم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الإضواء، بيروت، الطبعة الثانية،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جلال الدين عبد الرحمن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بيروت،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النعمان بن محمد التميمي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علي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إسماعيليان،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الحسن بن يحيى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رحمه اللّٰه، قم،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علي بن الحسين بن موسى الموسوي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القرآن الكريم، قم،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بن محمد بن 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الكركي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آية اللّٰه المرعشي النجفي رحمه اللّٰه قم،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العاملي الجبعي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العاملي الجبعي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الاعلمي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المعارف الإسلامية،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الأردبيلي،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مؤتمر المقدّس الأردبيلي رحمه اللّٰه، الطبعة الأولى، قم،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منصور بن أحمد بن إدريس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الثانية،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الطبعة الأولى،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عبد الرحمن بن فضل تميمي 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الكتاب العربي، بيروت،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أحمد بن علي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الحسن بن يحيى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الإضواء، بيروت،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العلم للملايين، بيروت،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إسماعيل بن إبراهيم بن البخاري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ابن حزم، بيروت،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المكتبة الحيدرية، النجف الأشرف،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للمطبوعات، بيروت، الطبعة الأولى،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في شرح نكت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مركز الأبحاث و الدراسات الإسلامية، قم،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المكارم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الإمام الصادق عليه السّلام، قم،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غوالي اللآلي العزيزية في الأحاديث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سيد الشهداء، قم، الطبعة الأولى،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المؤتمر العالمي للإمام الرضا عليه السّلام،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الجزيري، نشر دار احياء التراث العربي، بيروت، الطبعة السابعة،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للراوندي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سعيد بن هبة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رحمه اللّٰه، قم، الطبعة الثانية،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الثالث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سعيد بن هبة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البحوث الإسلامية، مشهد،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منشورات الرضى،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بن إسحاق الكليني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الرابعة،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الإمام أمير المؤمنين عليه السّلام، أصفهان،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أبي الحسن علي بن عيسى بن أبي الفتح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بني هاشمي، تبريز،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محمد الأصفهاني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مدرسة صدر المهدوي،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الرسالة،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جمال الدين محمد بن مكرم 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مكّي بن محمّد العاملي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قم، الطبعة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 بن علي بن أحمد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مكتبة الحياة، بيروت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منهج الفوائد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الكتاب العربي، بيروت، الطبعة الثالثة،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الأردبيلي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جماعة المدرسين، 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شرف بن مري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جمال الدين محمد بن مكرم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الطبعة الأولى،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الحسن بن يحيى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قسم الدراسات الإسلاميّة في مؤسسة البعثة، طهران، الطبعة الثالثة،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عليهم السّلام لإحياء التراث، مشهد المقدّسة،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في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العزيز الديلمي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منشورات حرمين، الطبعة الأُولى،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بن أحمد العاملي الجبعي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المعارف الإسلاميّة، قم،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بن الميرزا محمد تقي بن الميرزا علي محمد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أحمد بن محمّد مهدي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 مشهد المقدّسة و قم المقدّسة،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أحمد بن محمد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حسين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بن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فقه الشيعة، بيروت،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الفيّومي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الهجرة، قم، الطبعة الثانية،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المجلس العلمي، بيروت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الشيخ الحسن بن زين الدين الشهيد الثاني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 ملاذ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الشيخ حسن بن زين الدين الشهيد الثاني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الفقه للطباعة و النشر، قم،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الحسن بن يحيىٰ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سيد الشهداء، 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فقه احمد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احمد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بيروت، الطبعة الأولى،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مرتضى بن فيض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الذخائر الإسلامية، 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الأولىٰ،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حسين بن محمّد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مجمع البحوث الإسلاميّة، مشهد،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الهادي عليه السّلام،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العكبري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الطبعة الثانية،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البحوث الإسلامية، مشهد، الطبعة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الإسلامية، طهران، الطبعة الخامسة،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بن مالك الاصبحي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بحر ابن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علم الهدىٰ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رابطة الثقافة و العلاقات الإسلامية،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إسماعيليّان، قم، الطبعة الثانية،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قدس 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مرتضى بن فيض اللّٰه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أمير المؤمنين عليه السّلام، أصفهان،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علي الطوسي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آية اللّٰه المرعشي النجفي رحمه اللّٰه، قم،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الإمام الهادي عليه السّلام، قم،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و الغسل و التيمّم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ماء المطلق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ماء المطلق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العمّاني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الآسار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تحرير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القمّيين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المدرسة الفيضيّة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ببعض المطلوب، و هو ماء الأواني دون الحياض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المدرسة الفيضيّة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زوال العلّة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المدرسة الفيضيّة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المرعشي النجفي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مطلقاً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خبر آخر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مظانّه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كتب الأخبار على حكم البغل نعم جاء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هلال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بلغت الحمار و الجمل و البغل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رواية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يعضدها العمل فهي أولى و إن ضعف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استبعد العمل برواية أبي أسامة لرجحانها بسلامة السند، لكنّي لم أر بها عاملا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يتمسك لإطلاق الحديث الرضوي و حمل الدلاء على أقل الجمع،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 للحية أدل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استفادة الثلاثة إنما تكون بملاحظة أقل الجمع،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صحيحين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السام الأبرص في 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الوزغة الكبيرة،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المبسوط، و هو غير موجود في كتب الحديث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القول الأخير في مظانّه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الغيبة المحتملة،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كالفأرة و غيرها،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مظانّه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العلامة الذي هو المراد من الفاضل عند الإطلاق و الظاهر المراد هنا هو المحقق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المدارك للوحيد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نقل عن المحقق الثاني أيضاً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الشيخ،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المدرسة الفيضيّة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التنجّس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الأواني المنطبقة و الحرفية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نقل عن العماني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الصحيح و الحسن، مرّا آنفاً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المتخلّف أو متخلّف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و 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30296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نقل عن الحسن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نقل عن الجعفي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الحسن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الجنيد و ابن أبي عقيل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الصدوق عن والده رحمهما اللّٰه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البول قد عفي عنه في ما يرشش عند الاستنجاء كرؤوس الابر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مضمرة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27267</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علي بن بابويه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5606</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 مطلقاً،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 في الوقت فقط،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يعيد مطلقاً، نقل عنه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نسخة مكتبة آية اللّٰه السيد المرعشي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حاله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للّٰه السيد المرعشي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في المنتهي عن الجفاف بنجاسة الغير المرئيّة، و مثّل له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بالبول إذا جف على الثوب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نسخة مكتبة المدرسة الفيضيّة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الطهوريّة و أُجيب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لإطلاقات الغسل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نعم جمع الصدوق بين قول الأوّل و الثاني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و لكن جاء 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قول الثاني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سنن ابي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بول الصبي يصيب الثوب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3970</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آنفاً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32143</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موثقة أخرى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الرواية في كتب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اغسله بالتراب أول مرّة ثم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نقل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بالماء مرّتين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والد الصدوق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آنفاً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نقل عن الراوندي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 عن الإسكافي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مقارب للفظ الحديث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الحاشية علىٰ مدارك الأحكام للوحيد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المخالفين ببعض الروايات التي لا تدل علىٰ مطلوبهم إلّا بضرب من التأويل،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و 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اشتباه من النسّاخ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وافق المشهور أيضاً في موضع آخر من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المدرسة الفيضيّة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يطهر للحسن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30305</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الشيخان و علم الهدىٰ، نقل عن الشيخ المفيد و المرتضى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بين الأصحاب لا الوفاق،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 خبر الحجام لعله تحريف أخي خلّاد، لانّه لا يوجد حديث في هذا البحث يمكن يستدل عليه للسيد إلّا حديث حكم بن حكيم بن أخي خلّاد، نقل عن السيد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 إلّا عن النبي صلّى اللّٰه عليه و سلّم،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 في التحريم و لكن جاء في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استعمال أواني الذهب و الفضّة و كذلك المفضض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مراده في الخلاف بالكراهة التحريم، و هكذا فهم المصنّف من عبارة الخلاف أيضاً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المفيد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المفيد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المدرسة الفيضيّة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المصنف و صاحب المعالم من عبارة الديلمي أنّ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للنتر لا للتنحنح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9597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بسندين المرفوع و المرسل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الصدوقين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سجدتا السهو،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السيد المرعشي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و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نقل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لهذا الحكم ابنه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برواية شهاب و الرضوي فعلى هذا الصحيح و الرضوي لا الموثق، و لعلّه سهو من النساخ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عبد اللّٰه ثقة عند الأكثر فالرواية الثانية أيضاً صحيحة على المشهور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26895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12762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أبي عقيل و ابن الجنيد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الغيبة و الغضب،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لعل المصنّف رحمه اللّٰه عبّر عنها بكلمة واحدة و هي الفحش</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المرعشي النجفي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 للوحيد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 عن البصروي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الطريّة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نقل عن الراوندي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وافقه الفاضل الهندي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ششش</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سسس</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نعم نقل عن المحقق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في المنتهي بالتداخل فقط و لم يفصّل بين الأقسام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نقل عن ابن أبي عقيل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عن ابن الجنيد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حكى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الصحيح 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العماني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صريح الصحاح،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نقل عن الإسكافي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فيه عن والده رحمه اللّٰه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صحيحين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العلامة اللغوي رضي الدين أبي منصور عميد الرؤساء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خاصاً في هذا الموضوع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الكعب و بيان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أتى فيه شواهد كثيرة لإثبات أن الكعب هو قبة القدم،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العقدتان في أسفل الساقين اللتان تسميان كعبين عند العامة، فهما عند العرب الفصحاء و غيرهم جاهليهم و إسلاميهم تسمّيان المنجمين بفتح الجيم و الميم و الرهرهتين بضم الرائين،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34701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27693</w:t>
      </w:r>
      <w:r>
        <w:rPr>
          <w:rFonts w:ascii="IRNazanin" w:hAnsi="IRNazanin" w:eastAsia="IRNazanin"/>
          <w:b w:val="false"/>
          <w:b w:val="false"/>
          <w:bCs w:val="false"/>
          <w:i w:val="false"/>
          <w:i w:val="false"/>
          <w:iCs w:val="false"/>
          <w:color w:val="333333"/>
          <w:sz w:val="20"/>
          <w:sz w:val="20"/>
          <w:szCs w:val="20"/>
          <w:rtl w:val="true"/>
        </w:rPr>
        <w:t>، التفسير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الإثم و البطلان يترك التابعّية العرفيّة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قائل بالبطلان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البزنطي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الجنيد و ابن أبي عقيل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حدث، و الظاهر أنّ الصحيح ما أثبتناه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الحرمين، و الظاهر أنّ الصحيح ما أثبتناه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ما في المتن أثبتناه بملاحظة الأحاديث الشريفة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الغسل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الخطّية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كغير الزائد منها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 لإعادة الإفراط</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9211</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السند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طريقته رحمه اللّٰه في ذلك الكتاب نقل متون الأخبار و إفتاؤه بمضمونها،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12837</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صحيحة، و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موثقة، و الثاني أظهر لوجود إبراهيم بن عبد الحميد الذي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واقفيّ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12824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12844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فقه القرآن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الناقض، الظاهر أنّ الصحيح ما أثبتناه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نقل عن المرتضى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7977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الجنيد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في المسجدين و اللبث في كل مسجد،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العدلان هما، السيد ابن زهرة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المصنف عن هذا الحديث بالصحيح، و كذا ابنه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لكن المشهور أنه ضعيف بعبد اللّٰه بن بحر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و الظاهر أنّ الصحيح ما أثبتناه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بغسل مرّتين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يستدل للاستحباب بصحيحة زرارة و حسنته،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 البطن، و ما في المتن أثبتناه،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السيد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و القاضي،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نقل عن القاضي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 عن الإسكافي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طال الزمان، و الظاهر أنّ الصحيح ما أثبتناه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يكفي تغسلها، و الظاهر أنّ الصحيح ما أثبتناه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السيد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نقل عن والد 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يفسد الثاني، و الظاهر أنّ الصحيح ما أثبتناه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الأكبر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الدفعة، و الظاهر أنّ الصحيح ما أثبتناه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 عن الإسكافي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الشيخ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 عن الإسكافي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كالمسددة، و الظاهر أنّ الصحيح ما أثبتناه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الظاهر أنّ الصحيح ما أثبتناه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نقل عن فخر المحقّقين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الصدوق و المفيد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يمكن أن يستنبط من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نقل عن السيد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نسب إلى المنتهي، لكن أفتى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القضاء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الأحد و الانقطاع، و ما في المتن أثبتناه بملاحظة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 عن المرتضى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الفتوى الصدوق عن والده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و لكن نقل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المبسوط، لكن نقل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انّ كلّ دم يمكن شرعاً أن يكون حيضاً فهو حيض</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المقاربة، و الظاهر أنّ الصحيح ما أثبتناه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الأقوال العشرة التي مرّت في المبتدأة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في القواعد إلى القيل و اقتصر عليه و هو مؤذن باختياره، و مثله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 على بعض المذاهب كما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هذه الروايات حسنة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المشهور و صحيحة عند المصنّف و عدة من الأعلام،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عبّر عن مرفوعة أي الحديث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بصحيحة،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بل 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موافقته للمشهور، نعم هذا ظاهر الأردبيلي في مجمعه،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35008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والده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العماني و الإسكافي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عنهما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الكثيرة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صحيح صريح</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عثرنا 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الصحيحين فقط و هما الحديث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و لذا عبّر ابنه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للتصريح بالانصاب أو السيلان أو التجاوز</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طاوس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في روض الجنان فتوى الشهيد الثاني بل هو فتوى المصنّف أي العلّامة رحمه اللّٰه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كون وقت الصلاة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ما أثبتناه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ما أثبتناه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و لكن الشهيد الثاني استنبط من إطلاقات كلام عدّة من الأعلام أن حكمهم بتقديم الغسل من غير تقييد يشعر بعدم وجوب مراعات التضييق الليل لغفلة، فعلى هذا يجوز الاغتسال في كل جزء من الليل عندهم،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السيد المرعشي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تقليل الحدث</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ما أثبتناه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 عن صاحب البشرىٰ ابن طاوس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نقل عن والد الصدوق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المتن أثبتناه بملاحظة الأحاديث الشريفة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العماني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 و الظاهر أن الصحيح ما أثبتناه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النبويّ في مظانّه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24550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التطيف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للسيد 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تعويض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الجامع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والد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الحاشية علىٰ مدارك الأحكام للوحيد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كلام المفيد رحمه اللّٰه،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لكن نقل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حمزة الطوسي،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لكن نسب إليه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نقل عن الصدوقين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و العماني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 إزار و قميص و لفافة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علي بن بابويه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تبسط عليه الحبرة و تبسط الإزار على الحبرة و تبسط القميص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يمكن أن يتوهّم أن فتواهما لا يطابق لما ادعاه المصنّف و لكن هذا اختلاف في الألفاظ فقط، و الشاهد علىٰ ذلك أنّ المصنّف بيّن آنفاً أنّ المراد من الإزار اللفافة الشاملة، فعلى هذا يصحّ بأن يقال مكان إزار و لفافة لفافتان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جاء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في اللفافة أن تكون حبرة يمانيّة، فعلى هذا الحبرة أيضاً نوع من اللفافات</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بالنسبة إلى الوبر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العماني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الشيخ رحمه اللّٰه، نعم استنبط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الاقتصاد و استبعده الفاضل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ما أثبتناه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الصحيح و المرسل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حديث صحيح</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مجالس ابن الشيخ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و لكن نسب إليه الشهيد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تأويل و كذا نسب إليه العاملي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الكاظمي و البحراني،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المفيد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بالتسريح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تسوية القبر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42407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الميّت</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الصحيح ما أثبتناه</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نعم نقل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مرسلًا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 من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6553</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34755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34757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34758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نعم نقل عنهما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17763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ما أثبتناه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المفيد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 و السنّة و الإجماع</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البحراني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حققناه في المقام يظهر لك قوة القول المذكور و انّه عار عن وصمة القصور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فعلى هذا ليس مجرد احتمال</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نقل عن الإسكافي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الحاشية علىٰ مدارك الأحكام للوحيد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السيد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الشيخ، نسب إليه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المرتضىٰ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السيد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نوادر الراوندي</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الإسكافي و السيد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 عن الجعفي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إطلاق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بأقل لأجلها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الصحيح ما أثبتناه</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السيد في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نقل عن الإسكافي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و الجعفي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العمّاني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الحاجبين</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والد الصدوق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جنيد و ابن أبي عقيل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المفيد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بعض القدماء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جنيد و ابن أبي عقيل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نقل عن الإسكافي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مكتبة آية اللّٰه السيد المرعشي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بمعارضهما</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نعم نسب إلى ظاهر المنتهي البحراني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المضمر، نعم طعن العاملي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بالإرسال و الإضمار</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61320</Words>
  <Characters>257070</Characters>
  <CharactersWithSpaces>315336</CharactersWithSpaces>
  <Paragraphs>3055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2026-08-17T08:20:12Z</dcterms:created>
  <dc:creator>ghaemiyeh.com</dc:creator>
  <dc:description/>
  <dc:language>en-US</dc:language>
  <cp:lastModifiedBy/>
  <dcterms:modified xsi:type="dcterms:W3CDTF">2026-08-17T11:50:41Z</dcterms:modified>
  <cp:revision>1</cp:revision>
  <dc:subject/>
  <dc:title>معتمد الشیعه فی احکام الشریعه</dc:title>
</cp:coreProperties>
</file>

<file path=docProps/custom.xml><?xml version="1.0" encoding="utf-8"?>
<Properties xmlns="http://schemas.openxmlformats.org/officeDocument/2006/custom-properties" xmlns:vt="http://schemas.openxmlformats.org/officeDocument/2006/docPropsVTypes"/>
</file>