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روش تفسیر قرآن به قرآن در تفسیر المیزان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67337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567339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567341_3804643083">
            <w:r>
              <w:rPr>
                <w:webHidden/>
                <w:rStyle w:val="IndexLink"/>
              </w:rPr>
              <w:t>1</w:t>
            </w:r>
            <w:r>
              <w:rPr>
                <w:rStyle w:val="IndexLink"/>
                <w:rtl w:val="true"/>
              </w:rPr>
              <w:t xml:space="preserve">- </w:t>
            </w:r>
            <w:r>
              <w:rPr>
                <w:rStyle w:val="IndexLink"/>
                <w:rtl w:val="true"/>
              </w:rPr>
              <w:t>در آغاز بفرماييد ارزيابى شما از الميزان و شخصيت نويسنده آن در سنجش با ديگر تفاسير چيست؟</w:t>
            </w:r>
            <w:r>
              <w:rPr>
                <w:rStyle w:val="IndexLink"/>
                <w:rtl w:val="true"/>
              </w:rPr>
              <w:tab/>
            </w:r>
            <w:r>
              <w:rPr>
                <w:rStyle w:val="IndexLink"/>
              </w:rPr>
              <w:t>5</w:t>
            </w:r>
          </w:hyperlink>
        </w:p>
        <w:p>
          <w:pPr>
            <w:pStyle w:val="Contents3"/>
            <w:tabs>
              <w:tab w:val="clear" w:pos="8459"/>
              <w:tab w:val="right" w:pos="9026" w:leader="dot"/>
            </w:tabs>
            <w:rPr/>
          </w:pPr>
          <w:hyperlink w:anchor="__RefHeading___Toc3567343_3804643083">
            <w:r>
              <w:rPr>
                <w:webHidden/>
                <w:rStyle w:val="IndexLink"/>
                <w:rtl w:val="true"/>
              </w:rPr>
              <w:t>استاد سيدان</w:t>
            </w:r>
            <w:r>
              <w:rPr>
                <w:rStyle w:val="IndexLink"/>
                <w:rtl w:val="true"/>
              </w:rPr>
              <w:t>:</w:t>
              <w:tab/>
            </w:r>
            <w:r>
              <w:rPr>
                <w:rStyle w:val="IndexLink"/>
              </w:rPr>
              <w:t>5</w:t>
            </w:r>
          </w:hyperlink>
        </w:p>
        <w:p>
          <w:pPr>
            <w:pStyle w:val="Contents2"/>
            <w:tabs>
              <w:tab w:val="clear" w:pos="8743"/>
              <w:tab w:val="right" w:pos="9026" w:leader="dot"/>
            </w:tabs>
            <w:rPr/>
          </w:pPr>
          <w:hyperlink w:anchor="__RefHeading___Toc3567345_3804643083">
            <w:r>
              <w:rPr>
                <w:webHidden/>
                <w:rStyle w:val="IndexLink"/>
              </w:rPr>
              <w:t>2</w:t>
            </w:r>
            <w:r>
              <w:rPr>
                <w:rStyle w:val="IndexLink"/>
                <w:rtl w:val="true"/>
              </w:rPr>
              <w:t xml:space="preserve">- </w:t>
            </w:r>
            <w:r>
              <w:rPr>
                <w:rStyle w:val="IndexLink"/>
                <w:rtl w:val="true"/>
              </w:rPr>
              <w:t>روش تفسير قرآن به قرآن، كه از سوى علامه دنبال شده تا چه اندازه در كار تفسير پذيرفته است؟</w:t>
            </w:r>
            <w:r>
              <w:rPr>
                <w:rStyle w:val="IndexLink"/>
                <w:rtl w:val="true"/>
              </w:rPr>
              <w:tab/>
            </w:r>
            <w:r>
              <w:rPr>
                <w:rStyle w:val="IndexLink"/>
              </w:rPr>
              <w:t>8</w:t>
            </w:r>
          </w:hyperlink>
        </w:p>
        <w:p>
          <w:pPr>
            <w:pStyle w:val="Contents3"/>
            <w:tabs>
              <w:tab w:val="clear" w:pos="8459"/>
              <w:tab w:val="right" w:pos="9026" w:leader="dot"/>
            </w:tabs>
            <w:rPr/>
          </w:pPr>
          <w:hyperlink w:anchor="__RefHeading___Toc3567347_3804643083">
            <w:r>
              <w:rPr>
                <w:webHidden/>
                <w:rStyle w:val="IndexLink"/>
                <w:rtl w:val="true"/>
              </w:rPr>
              <w:t>استاد سيدان</w:t>
            </w:r>
            <w:r>
              <w:rPr>
                <w:rStyle w:val="IndexLink"/>
                <w:rtl w:val="true"/>
              </w:rPr>
              <w:t>:</w:t>
              <w:tab/>
            </w:r>
            <w:r>
              <w:rPr>
                <w:rStyle w:val="IndexLink"/>
              </w:rPr>
              <w:t>8</w:t>
            </w:r>
          </w:hyperlink>
        </w:p>
        <w:p>
          <w:pPr>
            <w:pStyle w:val="Contents4"/>
            <w:tabs>
              <w:tab w:val="clear" w:pos="8176"/>
              <w:tab w:val="right" w:pos="9026" w:leader="dot"/>
            </w:tabs>
            <w:rPr/>
          </w:pPr>
          <w:hyperlink w:anchor="__RefHeading___Toc3567349_3804643083">
            <w:r>
              <w:rPr>
                <w:webHidden/>
                <w:rStyle w:val="IndexLink"/>
                <w:rtl w:val="true"/>
              </w:rPr>
              <w:t>اشاره</w:t>
            </w:r>
            <w:r>
              <w:rPr>
                <w:rStyle w:val="IndexLink"/>
                <w:rtl w:val="true"/>
              </w:rPr>
              <w:tab/>
            </w:r>
            <w:r>
              <w:rPr>
                <w:rStyle w:val="IndexLink"/>
              </w:rPr>
              <w:t>8</w:t>
            </w:r>
          </w:hyperlink>
        </w:p>
        <w:p>
          <w:pPr>
            <w:pStyle w:val="Contents4"/>
            <w:tabs>
              <w:tab w:val="clear" w:pos="8176"/>
              <w:tab w:val="right" w:pos="9026" w:leader="dot"/>
            </w:tabs>
            <w:rPr/>
          </w:pPr>
          <w:hyperlink w:anchor="__RefHeading___Toc3567351_3804643083">
            <w:r>
              <w:rPr>
                <w:webHidden/>
                <w:rStyle w:val="IndexLink"/>
                <w:rtl w:val="true"/>
              </w:rPr>
              <w:t>آيا به راستى اين نظر علامه صائب است يا خير؟</w:t>
            </w:r>
            <w:r>
              <w:rPr>
                <w:rStyle w:val="IndexLink"/>
                <w:rtl w:val="true"/>
              </w:rPr>
              <w:tab/>
            </w:r>
            <w:r>
              <w:rPr>
                <w:rStyle w:val="IndexLink"/>
              </w:rPr>
              <w:t>9</w:t>
            </w:r>
          </w:hyperlink>
        </w:p>
        <w:p>
          <w:pPr>
            <w:pStyle w:val="Contents3"/>
            <w:tabs>
              <w:tab w:val="clear" w:pos="8459"/>
              <w:tab w:val="right" w:pos="9026" w:leader="dot"/>
            </w:tabs>
            <w:rPr/>
          </w:pPr>
          <w:hyperlink w:anchor="__RefHeading___Toc3567353_3804643083">
            <w:r>
              <w:rPr>
                <w:webHidden/>
                <w:rStyle w:val="IndexLink"/>
                <w:rtl w:val="true"/>
              </w:rPr>
              <w:t>دلايل سه گانه علامه بدنى قرار است</w:t>
            </w:r>
            <w:r>
              <w:rPr>
                <w:rStyle w:val="IndexLink"/>
                <w:rtl w:val="true"/>
              </w:rPr>
              <w:t>:</w:t>
              <w:tab/>
            </w:r>
            <w:r>
              <w:rPr>
                <w:rStyle w:val="IndexLink"/>
              </w:rPr>
              <w:t>11</w:t>
            </w:r>
          </w:hyperlink>
        </w:p>
        <w:p>
          <w:pPr>
            <w:pStyle w:val="Contents4"/>
            <w:tabs>
              <w:tab w:val="clear" w:pos="8176"/>
              <w:tab w:val="right" w:pos="9026" w:leader="dot"/>
            </w:tabs>
            <w:rPr/>
          </w:pPr>
          <w:hyperlink w:anchor="__RefHeading___Toc3567355_3804643083">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3567357_3804643083">
            <w:r>
              <w:rPr>
                <w:webHidden/>
                <w:rStyle w:val="IndexLink"/>
                <w:rtl w:val="true"/>
              </w:rPr>
              <w:t>نقد دليل اول</w:t>
            </w:r>
            <w:r>
              <w:rPr>
                <w:rStyle w:val="IndexLink"/>
                <w:rtl w:val="true"/>
              </w:rPr>
              <w:tab/>
            </w:r>
            <w:r>
              <w:rPr>
                <w:rStyle w:val="IndexLink"/>
              </w:rPr>
              <w:t>13</w:t>
            </w:r>
          </w:hyperlink>
        </w:p>
        <w:p>
          <w:pPr>
            <w:pStyle w:val="Contents4"/>
            <w:tabs>
              <w:tab w:val="clear" w:pos="8176"/>
              <w:tab w:val="right" w:pos="9026" w:leader="dot"/>
            </w:tabs>
            <w:rPr/>
          </w:pPr>
          <w:hyperlink w:anchor="__RefHeading___Toc3567359_3804643083">
            <w:r>
              <w:rPr>
                <w:webHidden/>
                <w:rStyle w:val="IndexLink"/>
                <w:rtl w:val="true"/>
              </w:rPr>
              <w:t>نقد دليل دوم</w:t>
            </w:r>
            <w:r>
              <w:rPr>
                <w:rStyle w:val="IndexLink"/>
                <w:rtl w:val="true"/>
              </w:rPr>
              <w:tab/>
            </w:r>
            <w:r>
              <w:rPr>
                <w:rStyle w:val="IndexLink"/>
              </w:rPr>
              <w:t>17</w:t>
            </w:r>
          </w:hyperlink>
        </w:p>
        <w:p>
          <w:pPr>
            <w:pStyle w:val="Contents4"/>
            <w:tabs>
              <w:tab w:val="clear" w:pos="8176"/>
              <w:tab w:val="right" w:pos="9026" w:leader="dot"/>
            </w:tabs>
            <w:rPr/>
          </w:pPr>
          <w:hyperlink w:anchor="__RefHeading___Toc3567361_3804643083">
            <w:r>
              <w:rPr>
                <w:webHidden/>
                <w:rStyle w:val="IndexLink"/>
                <w:rtl w:val="true"/>
              </w:rPr>
              <w:t>نقد دليل سوم</w:t>
            </w:r>
            <w:r>
              <w:rPr>
                <w:rStyle w:val="IndexLink"/>
                <w:rtl w:val="true"/>
              </w:rPr>
              <w:tab/>
            </w:r>
            <w:r>
              <w:rPr>
                <w:rStyle w:val="IndexLink"/>
              </w:rPr>
              <w:t>19</w:t>
            </w:r>
          </w:hyperlink>
        </w:p>
        <w:p>
          <w:pPr>
            <w:pStyle w:val="Contents3"/>
            <w:tabs>
              <w:tab w:val="clear" w:pos="8459"/>
              <w:tab w:val="right" w:pos="9026" w:leader="dot"/>
            </w:tabs>
            <w:rPr/>
          </w:pPr>
          <w:hyperlink w:anchor="__RefHeading___Toc3567363_3804643083">
            <w:r>
              <w:rPr>
                <w:webHidden/>
                <w:rStyle w:val="IndexLink"/>
                <w:rtl w:val="true"/>
              </w:rPr>
              <w:t>خلاصه سخن علامه اين است كه</w:t>
            </w:r>
            <w:r>
              <w:rPr>
                <w:rStyle w:val="IndexLink"/>
                <w:rtl w:val="true"/>
              </w:rPr>
              <w:t>:</w:t>
              <w:tab/>
            </w:r>
            <w:r>
              <w:rPr>
                <w:rStyle w:val="IndexLink"/>
              </w:rPr>
              <w:t>19</w:t>
            </w:r>
          </w:hyperlink>
        </w:p>
        <w:p>
          <w:pPr>
            <w:pStyle w:val="Contents3"/>
            <w:tabs>
              <w:tab w:val="clear" w:pos="8459"/>
              <w:tab w:val="right" w:pos="9026" w:leader="dot"/>
            </w:tabs>
            <w:rPr/>
          </w:pPr>
          <w:hyperlink w:anchor="__RefHeading___Toc3567365_3804643083">
            <w:r>
              <w:rPr>
                <w:webHidden/>
                <w:rStyle w:val="IndexLink"/>
                <w:rtl w:val="true"/>
              </w:rPr>
              <w:t>نقدى بر بيان علامه</w:t>
            </w:r>
            <w:r>
              <w:rPr>
                <w:rStyle w:val="IndexLink"/>
                <w:rtl w:val="true"/>
              </w:rPr>
              <w:t>(</w:t>
            </w:r>
            <w:r>
              <w:rPr>
                <w:rStyle w:val="IndexLink"/>
                <w:rtl w:val="true"/>
              </w:rPr>
              <w:t>ره</w:t>
            </w:r>
            <w:r>
              <w:rPr>
                <w:rStyle w:val="IndexLink"/>
                <w:rtl w:val="true"/>
              </w:rPr>
              <w:t xml:space="preserve">) </w:t>
            </w:r>
            <w:r>
              <w:rPr>
                <w:rStyle w:val="IndexLink"/>
                <w:rtl w:val="true"/>
              </w:rPr>
              <w:t>درباره حديث تقلين</w:t>
            </w:r>
            <w:r>
              <w:rPr>
                <w:rStyle w:val="IndexLink"/>
                <w:rtl w:val="true"/>
              </w:rPr>
              <w:tab/>
            </w:r>
            <w:r>
              <w:rPr>
                <w:rStyle w:val="IndexLink"/>
              </w:rPr>
              <w:t>25</w:t>
            </w:r>
          </w:hyperlink>
        </w:p>
        <w:p>
          <w:pPr>
            <w:pStyle w:val="Contents2"/>
            <w:tabs>
              <w:tab w:val="clear" w:pos="8743"/>
              <w:tab w:val="right" w:pos="9026" w:leader="dot"/>
            </w:tabs>
            <w:rPr/>
          </w:pPr>
          <w:hyperlink w:anchor="__RefHeading___Toc3567367_3804643083">
            <w:r>
              <w:rPr>
                <w:webHidden/>
                <w:rStyle w:val="IndexLink"/>
              </w:rPr>
              <w:t>3</w:t>
            </w:r>
            <w:r>
              <w:rPr>
                <w:rStyle w:val="IndexLink"/>
                <w:rtl w:val="true"/>
              </w:rPr>
              <w:t xml:space="preserve">- </w:t>
            </w:r>
            <w:r>
              <w:rPr>
                <w:rStyle w:val="IndexLink"/>
                <w:rtl w:val="true"/>
              </w:rPr>
              <w:t>كاستيهاى تفسير الميزان يا روش تفسير قرآن به قرآن را در چه مى بينيد؟</w:t>
            </w:r>
            <w:r>
              <w:rPr>
                <w:rStyle w:val="IndexLink"/>
                <w:rtl w:val="true"/>
              </w:rPr>
              <w:tab/>
            </w:r>
            <w:r>
              <w:rPr>
                <w:rStyle w:val="IndexLink"/>
              </w:rPr>
              <w:t>26</w:t>
            </w:r>
          </w:hyperlink>
        </w:p>
        <w:p>
          <w:pPr>
            <w:pStyle w:val="Contents3"/>
            <w:tabs>
              <w:tab w:val="clear" w:pos="8459"/>
              <w:tab w:val="right" w:pos="9026" w:leader="dot"/>
            </w:tabs>
            <w:rPr/>
          </w:pPr>
          <w:hyperlink w:anchor="__RefHeading___Toc3567369_3804643083">
            <w:r>
              <w:rPr>
                <w:webHidden/>
                <w:rStyle w:val="IndexLink"/>
                <w:rtl w:val="true"/>
              </w:rPr>
              <w:t>استاد سيدان</w:t>
            </w:r>
            <w:r>
              <w:rPr>
                <w:rStyle w:val="IndexLink"/>
                <w:rtl w:val="true"/>
              </w:rPr>
              <w:t>:</w:t>
              <w:tab/>
            </w:r>
            <w:r>
              <w:rPr>
                <w:rStyle w:val="IndexLink"/>
              </w:rPr>
              <w:t>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64_16040"/>
      <w:bookmarkStart w:id="1" w:name="pg2464_16040"/>
      <w:bookmarkEnd w:id="1"/>
    </w:p>
    <w:p>
      <w:pPr>
        <w:pStyle w:val="Heading2"/>
        <w:numPr>
          <w:ilvl w:val="1"/>
          <w:numId w:val="1"/>
        </w:numPr>
        <w:rPr/>
      </w:pPr>
      <w:bookmarkStart w:id="2" w:name="pg2464_16040"/>
      <w:bookmarkStart w:id="3" w:name="__RefHeading___Toc3567337_3804643083"/>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سیدان،سیدجعفر،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المیزان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روش تفسیر قرآن به قرآن در تفسیر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جعفر سیدان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پارسیران ،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6365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نوشتار حاضر برگرفته از فصلنامه پژوهشهای قرآنی است که در سال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در شماره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ویژه تفسیر المیزان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استاد سیدجعفر سیدان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سیدان، جعفر، </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مصاحبه‌ها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۹۰۴۲۲۵‌۱۳۹۰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۲۳۱۲۸۴۸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67339_3804643083"/>
      <w:bookmarkStart w:id="6" w:name="_Toc2"/>
      <w:bookmarkEnd w:id="5"/>
      <w:r>
        <w:rPr>
          <w:rtl w:val="true"/>
        </w:rPr>
        <w:t>اشاره</w:t>
      </w:r>
      <w:bookmarkStart w:id="7" w:name="pg2464_16043"/>
      <w:bookmarkEnd w:id="6"/>
    </w:p>
    <w:p>
      <w:pPr>
        <w:pStyle w:val="Heading2"/>
        <w:numPr>
          <w:ilvl w:val="1"/>
          <w:numId w:val="1"/>
        </w:numPr>
        <w:rPr/>
      </w:pPr>
      <w:bookmarkStart w:id="8" w:name="__RefHeading___Toc3567341_3804643083"/>
      <w:bookmarkStart w:id="9" w:name="_Toc3"/>
      <w:bookmarkEnd w:id="7"/>
      <w:bookmarkEnd w:id="8"/>
      <w:r>
        <w:rPr/>
        <w:t>1</w:t>
      </w:r>
      <w:r>
        <w:rPr>
          <w:rtl w:val="true"/>
        </w:rPr>
        <w:t xml:space="preserve">- </w:t>
      </w:r>
      <w:r>
        <w:rPr>
          <w:rtl w:val="true"/>
        </w:rPr>
        <w:t>در آغاز بفرماييد ارزيابى شما از الميزان و شخصيت نويسنده آن در سنجش با ديگر تفاسير چيست؟</w:t>
      </w:r>
      <w:bookmarkEnd w:id="9"/>
    </w:p>
    <w:p>
      <w:pPr>
        <w:pStyle w:val="Heading3"/>
        <w:numPr>
          <w:ilvl w:val="2"/>
          <w:numId w:val="1"/>
        </w:numPr>
        <w:rPr/>
      </w:pPr>
      <w:bookmarkStart w:id="10" w:name="__RefHeading___Toc3567343_3804643083"/>
      <w:bookmarkStart w:id="11" w:name="_Toc4"/>
      <w:bookmarkEnd w:id="10"/>
      <w:r>
        <w:rPr>
          <w:rtl w:val="true"/>
        </w:rPr>
        <w:t>استاد سيدان</w:t>
      </w:r>
      <w:r>
        <w:rPr>
          <w:rtl w:val="true"/>
        </w:rPr>
        <w:t>:</w:t>
      </w:r>
      <w:bookmarkEnd w:id="11"/>
    </w:p>
    <w:p>
      <w:pPr>
        <w:pStyle w:val="BookText"/>
        <w:rPr/>
      </w:pPr>
      <w:r>
        <w:rPr>
          <w:rFonts w:ascii="IRNazanin" w:hAnsi="IRNazanin" w:eastAsia="IRNazanin"/>
          <w:color w:val="111111"/>
          <w:sz w:val="28"/>
          <w:sz w:val="28"/>
          <w:szCs w:val="28"/>
          <w:rtl w:val="true"/>
          <w:lang w:bidi="fa-IR"/>
        </w:rPr>
        <w:t xml:space="preserve">پيش از هر چيز، لازم مى دانم كه به ابعاد روشن و ممتاز تفسير شريف الميزان، اشاره اى هر چند به اجمال داشته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امتيازهاى فراوان و مهمى برخوردار است كه بخشى از آنها را در جامعيت شخصيت مؤلف آن بايد جست و جود كرد و برخى را در سبك و شيوه تأليف الميزان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شخصيتى چون 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علوم عقلى و نقلى و دانشهاى مختلف حوزوى و دينى برخوردار بود، بديهى است كه وقتى به تفسير قرآن روى مى آورد، دستاورد او از كمال و</w:t>
      </w:r>
    </w:p>
    <w:p>
      <w:pPr>
        <w:pStyle w:val="BookText"/>
        <w:rPr/>
      </w:pPr>
      <w:r>
        <w:rPr>
          <w:rFonts w:ascii="IRNazanin" w:hAnsi="IRNazanin" w:eastAsia="IRNazanin"/>
          <w:color w:val="111111"/>
          <w:sz w:val="28"/>
          <w:sz w:val="28"/>
          <w:szCs w:val="28"/>
          <w:rtl w:val="true"/>
          <w:lang w:bidi="fa-IR"/>
        </w:rPr>
        <w:t>جامعيتى بالا بهره داشته باشد، به كار تفسير مى پرداخت، ولى از نظر مايه علمى و بينش اجتماعى در سطحى پايين تر قرار داشت، به رغم دسترسى به منابع فراوان تفسير و مدارك علمى مختلف، باز هم انتظار نمى رفت كه كارى در حدّ الميزان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 بسيار بالاى علامه در علوم عقلى و نقلى و اهتمام ايشان به كار تفسير و عزم ايشان بر استقصا و تفصيل و تحقيق و بسط كلام، سبب شده است تا مجموعه تفسير الميزان، حاوى بررسيهايى عميق و اصيل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سبك و شيوه تدوين و تأليف الميزان نيز امتيازهايى بر بسيارى از تفاسير پيشين و يا معاصر خود دارد،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شناسى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تتبّع كرده ام، شايد بهترين انتخاب از معانى كلمه ها در ذيل آيات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زمينه هاى تاريخى و شأن نزول و شرايط ويژه آيات در تفسير يك آيه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 به مباحث مختلف اجتماعى، اخلاقى، اعتقادى</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آيات، به تناسب مطالب و اشاراتى كه در آيات، نسبت به آن موضوعات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تفكيك مباحث تفسيرى از مباحث موضوعى و نقطه نظرهاى علمى و فلسفى و كلامى كه به تناسب آيات مى بايست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دقيق مباحث عقلى به گونه اى كه مانند آن در ساير تفاسيرى كه ديده ام، نيست و اين معلول تبحّر خاص علامه در مطالعات عقلى و فلسفى است، كه در بسيارى از تفاسير، با آن كه وارد مسائل عقلى شده اند، آن را به گونه مناسب مطرح نكرده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مسائل روايى به گونه مناسب و با تجزيه و تحليل بسيار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 در نظر گرفتن همه اين ابعاد، مى توان تصريح كرد كه تفسير الميزان از جايگاهى بس والا برخوردار است، حتى تفاسيرى كه بعد از الميزان نوشته شده اند، نتوانسته اند برتر از آن به شمار آيند، يا از نظر تبيين مطالب و احاطه بر تفسير با آن برابرى اهل نظر قرار گيرد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همه، نكته ها و ملاحظاتى در تفسير الميزان نيز هست كه</w:t>
      </w:r>
      <w:bookmarkStart w:id="12" w:name="pg2464_16049"/>
    </w:p>
    <w:p>
      <w:pPr>
        <w:pStyle w:val="BookText"/>
        <w:rPr/>
      </w:pPr>
      <w:bookmarkEnd w:id="12"/>
      <w:r>
        <w:rPr>
          <w:rFonts w:ascii="IRNazanin" w:hAnsi="IRNazanin" w:eastAsia="IRNazanin"/>
          <w:color w:val="111111"/>
          <w:sz w:val="28"/>
          <w:sz w:val="28"/>
          <w:szCs w:val="28"/>
          <w:rtl w:val="true"/>
          <w:lang w:bidi="fa-IR"/>
        </w:rPr>
        <w:t>مى تواند مورد تأمّل اهل نظر قرار گيرد</w:t>
      </w:r>
      <w:r>
        <w:rPr>
          <w:rFonts w:eastAsia="IRNazanin" w:cs="IRNazanin"/>
          <w:color w:val="111111"/>
          <w:sz w:val="28"/>
          <w:szCs w:val="28"/>
          <w:rtl w:val="true"/>
          <w:lang w:bidi="fa-IR"/>
        </w:rPr>
        <w:t>.</w:t>
      </w:r>
    </w:p>
    <w:p>
      <w:pPr>
        <w:pStyle w:val="Heading2"/>
        <w:numPr>
          <w:ilvl w:val="1"/>
          <w:numId w:val="1"/>
        </w:numPr>
        <w:rPr/>
      </w:pPr>
      <w:bookmarkStart w:id="13" w:name="__RefHeading___Toc3567345_3804643083"/>
      <w:bookmarkStart w:id="14" w:name="_Toc5"/>
      <w:bookmarkEnd w:id="13"/>
      <w:r>
        <w:rPr/>
        <w:t>2</w:t>
      </w:r>
      <w:r>
        <w:rPr>
          <w:rtl w:val="true"/>
        </w:rPr>
        <w:t xml:space="preserve">- </w:t>
      </w:r>
      <w:r>
        <w:rPr>
          <w:rtl w:val="true"/>
        </w:rPr>
        <w:t>روش تفسير قرآن به قرآن، كه از سوى علامه دنبال شده تا چه اندازه در كار تفسير پذيرفته است؟</w:t>
      </w:r>
      <w:bookmarkEnd w:id="14"/>
    </w:p>
    <w:p>
      <w:pPr>
        <w:pStyle w:val="Heading3"/>
        <w:numPr>
          <w:ilvl w:val="2"/>
          <w:numId w:val="1"/>
        </w:numPr>
        <w:rPr/>
      </w:pPr>
      <w:bookmarkStart w:id="15" w:name="__RefHeading___Toc3567347_3804643083"/>
      <w:bookmarkStart w:id="16" w:name="_Toc6"/>
      <w:bookmarkEnd w:id="15"/>
      <w:r>
        <w:rPr>
          <w:rtl w:val="true"/>
        </w:rPr>
        <w:t>استاد سيدان</w:t>
      </w:r>
      <w:r>
        <w:rPr>
          <w:rtl w:val="true"/>
        </w:rPr>
        <w:t>:</w:t>
      </w:r>
      <w:bookmarkEnd w:id="16"/>
    </w:p>
    <w:p>
      <w:pPr>
        <w:pStyle w:val="Heading4"/>
        <w:numPr>
          <w:ilvl w:val="3"/>
          <w:numId w:val="1"/>
        </w:numPr>
        <w:rPr/>
      </w:pPr>
      <w:bookmarkStart w:id="17" w:name="__RefHeading___Toc3567349_3804643083"/>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 xml:space="preserve">يكى از مبانى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 بسيار بارزترين ويژگى آن نيز به شمار مى آيد و به يقين شما هم در ويژه نامه خود درباره الميزان، بدان پرداخته ايد،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بر اين اعتقاد است كه جز در زمينه آيات الاحكام و برخى آيات معاد و قصص، ساير آيات قرآن بى نياز از غير خود مى باشد، چه اين كه قرآن، مفسر و مبين آيات خود است و آيات مبهم و متشابه به وسيله آيات محكم و مبيّن تفسير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در جلد سوم تفسير الميزان،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نويسد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مرفيما تقدم ان الآيات التي تدعو الناس عامة من كافر او مؤمن ممن شاهد عصر النزول او غاب عنه، الى تعقل القرآن و تأمله و التدبر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خاصة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افلا يتدبرون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دلالة واضحة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 بالتدبر</w:t>
      </w:r>
      <w:bookmarkStart w:id="19" w:name="pg2464_16051"/>
    </w:p>
    <w:p>
      <w:pPr>
        <w:pStyle w:val="BookText"/>
        <w:rPr/>
      </w:pPr>
      <w:bookmarkEnd w:id="19"/>
      <w:r>
        <w:rPr>
          <w:rFonts w:ascii="Amiri" w:hAnsi="Amiri" w:eastAsia="Amiri" w:cs="Amiri"/>
          <w:color w:val="111111"/>
          <w:sz w:val="28"/>
          <w:sz w:val="28"/>
          <w:szCs w:val="28"/>
          <w:rtl w:val="true"/>
          <w:lang w:bidi="ar-SA"/>
        </w:rPr>
        <w:t xml:space="preserve">و البحث و يرتفع به ما يترائى من الاختلاف بين الآيات و الآية في مقام التحدي، و لا معنى لارجاع فهم معاني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المقام هذاالمقام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فهم الصحابة و تلامذتهم من التابعين حتى الى بيان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2"/>
      </w:r>
    </w:p>
    <w:p>
      <w:pPr>
        <w:pStyle w:val="Heading4"/>
        <w:numPr>
          <w:ilvl w:val="3"/>
          <w:numId w:val="1"/>
        </w:numPr>
        <w:rPr/>
      </w:pPr>
      <w:bookmarkStart w:id="20" w:name="__RefHeading___Toc3567351_3804643083"/>
      <w:bookmarkStart w:id="21" w:name="_Toc8"/>
      <w:bookmarkEnd w:id="20"/>
      <w:r>
        <w:rPr>
          <w:rtl w:val="true"/>
        </w:rPr>
        <w:t>آيا به راستى اين نظر علامه صائب است يا خير؟</w:t>
      </w:r>
      <w:bookmarkEnd w:id="21"/>
    </w:p>
    <w:p>
      <w:pPr>
        <w:pStyle w:val="BookText"/>
        <w:rPr/>
      </w:pPr>
      <w:r>
        <w:rPr>
          <w:rFonts w:ascii="IRNazanin" w:hAnsi="IRNazanin" w:eastAsia="IRNazanin"/>
          <w:color w:val="111111"/>
          <w:sz w:val="28"/>
          <w:sz w:val="28"/>
          <w:szCs w:val="28"/>
          <w:rtl w:val="true"/>
          <w:lang w:bidi="fa-IR"/>
        </w:rPr>
        <w:t>قبل از اين كه هر گونه داورى كرده باشيم، بيان چند نكته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قطعاً آياتى هست كه نياز به تبيين و تفسير داشته باشد و تفسير و توضيح آن را بتوان از برخى آيات ديگر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اصل اين موضوع به شكل موجبه جزئيه صحيح و غير قابل ترديد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ارائه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تعظيم و تكريم قرآن را هدف قرار داده است و انگيزه اى جز اهتمام به امر وحى و كتاب الهى نداشته است و هرگز در صدد نفى ارزش و اعتبار و حجيت قول و فعل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تفسير و ساير معارف</w:t>
      </w:r>
    </w:p>
    <w:p>
      <w:pPr>
        <w:pStyle w:val="BookText"/>
        <w:rPr/>
      </w:pPr>
      <w:r>
        <w:rPr>
          <w:rFonts w:ascii="Amiri" w:hAnsi="Amiri" w:eastAsia="Amiri" w:cs="Amiri"/>
          <w:color w:val="111111"/>
          <w:sz w:val="28"/>
          <w:sz w:val="28"/>
          <w:szCs w:val="28"/>
          <w:rtl w:val="true"/>
          <w:lang w:bidi="ar-SA"/>
        </w:rPr>
        <w:t>دينى نبوده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با اين مقدمات پذيرفته و مسلم، بايد عرض كنم كه آنچه جاى تأمّل و نقد دارد، اطلاق و يا عموم اين سخن است و نه اصل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بگوييم يكى از راههاى تفسير قرآن، اين است كه به وسيله خود آيات تفسير شود، سخن درستى است و امّا اگر بگوييم تنها را صحيح، تفسير قرآن به قرآن است و قرآن به بيان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غير آيات احكام و بعضى از آيات معاد و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نيست، اين اشكال پديد مى آيد كه در برخى زمينه ها قادر به رفع ابهام آيه به وسيله خود آيات نيستيم و بيان معصوم است كه رفع ابهام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بديهى است كه علامه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نظريه خويش دلايلى دارند كه به شرح زير بيان مى شود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كتاب شريف الميزان، براى اثبات ضرورت تفسير قرآن به قرآن سه دليل آورده اند و در جلد اول و همچنين جلد نهم الميزان اظهار داشته اند كه اين مجموعه در تبيين خودش نياز به غير ندارد، خودش، را تبيين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طور</w:t>
      </w:r>
      <w:bookmarkStart w:id="22" w:name="pg2464_16055"/>
    </w:p>
    <w:p>
      <w:pPr>
        <w:pStyle w:val="BookText"/>
        <w:rPr/>
      </w:pPr>
      <w:bookmarkEnd w:id="22"/>
      <w:r>
        <w:rPr>
          <w:rFonts w:ascii="Amiri" w:hAnsi="Amiri" w:eastAsia="Amiri" w:cs="Amiri"/>
          <w:color w:val="111111"/>
          <w:sz w:val="28"/>
          <w:sz w:val="28"/>
          <w:szCs w:val="28"/>
          <w:rtl w:val="true"/>
          <w:lang w:bidi="ar-SA"/>
        </w:rPr>
        <w:t xml:space="preserve">نيست كه همه افراد، اين توان را داشته باشند كه از خود قرآن، قرآن را بفهمند، ولى كسانى كه راسخ در قرآن و دانش قرآنى هستند و از دقت خاصى برخوردارند و مقدماتى از نظر فن ادبى و لغت قرآنى را مى دانند و براى ورود در قرآن اهليت دارند، با تفكر و تأمّل مى توانند قرآن را با قرآن تفسير كنند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در مواردى كه استثنا شده است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3567353_3804643083"/>
      <w:bookmarkStart w:id="24" w:name="_Toc9"/>
      <w:bookmarkEnd w:id="23"/>
      <w:r>
        <w:rPr>
          <w:rtl w:val="true"/>
        </w:rPr>
        <w:t>دلايل سه گانه علامه بدنى قرار است</w:t>
      </w:r>
      <w:r>
        <w:rPr>
          <w:rtl w:val="true"/>
        </w:rPr>
        <w:t>:</w:t>
      </w:r>
      <w:bookmarkEnd w:id="24"/>
    </w:p>
    <w:p>
      <w:pPr>
        <w:pStyle w:val="Heading4"/>
        <w:numPr>
          <w:ilvl w:val="3"/>
          <w:numId w:val="1"/>
        </w:numPr>
        <w:rPr/>
      </w:pPr>
      <w:bookmarkStart w:id="25" w:name="__RefHeading___Toc3567355_3804643083"/>
      <w:bookmarkStart w:id="26" w:name="_Toc10"/>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را نور معرفى كرده است و نور هم نياز به غير خود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لايستنير بنور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با نور ديگر روشنى نمى يابد وگرنه نور ناميده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كه مى گويد،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كل 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چون خودش تبيان و بيان كننده و روشنگر است، نياز به بيان ديگرى ندارد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تحدى قرآن، منوط به آن است كه قرآن از غنا و روشنى لازم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ديگران را دعوت كرده است كه بياييد و اين كتاب را بخوانيد تا هدايت شويد و آن را مورد توجه قرار</w:t>
      </w:r>
    </w:p>
    <w:p>
      <w:pPr>
        <w:pStyle w:val="BookText"/>
        <w:rPr/>
      </w:pPr>
      <w:r>
        <w:rPr>
          <w:rFonts w:ascii="Amiri" w:hAnsi="Amiri" w:eastAsia="Amiri" w:cs="Amiri"/>
          <w:color w:val="111111"/>
          <w:sz w:val="28"/>
          <w:sz w:val="28"/>
          <w:szCs w:val="28"/>
          <w:rtl w:val="true"/>
          <w:lang w:bidi="ar-SA"/>
        </w:rPr>
        <w:t>دهيد و ببينيد كه انسان معمولى از آوردن معارف و مطالبى همانند آن عاجز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قرآن در مقام تحدى است و اين تحدّى زمانى تمام است كه اولا، فهم آن و مفاهيم آن، براى مخاطبانش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و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باشد و ثانياً، فهم قرآن به چيز ديگرى نيازمند و متكى نباشد، حتى به بيان پيامبر و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بسيار، وارد شده است كه به قرآن تمسك جوييد و روايات را به قرآن عرضه نماييد و اين سفارش هنگامى صحيح است كه هر چه در حديث هست و 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از قرآن استفاده شود و اگر فهم قرآن به روايات توقف داشته باشد، دور لازم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چنانچه قرار باشد احاديث را به قرآن عرضه كنيم، بايد قرآن مشتمل بر تمامى مطالب و مفاهيم احاديث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اگر بنا باشد قرآن را با حديث بفهميم، اين دورى است آشكار و 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در اين زمينه مى نويسد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ان الطريق الى فهم القرآن الكريم غير مسدود، و ان</w:t>
      </w:r>
      <w:bookmarkStart w:id="27" w:name="pg2464_16059"/>
    </w:p>
    <w:p>
      <w:pPr>
        <w:pStyle w:val="BookText"/>
        <w:rPr/>
      </w:pPr>
      <w:bookmarkEnd w:id="27"/>
      <w:r>
        <w:rPr>
          <w:rFonts w:ascii="Amiri" w:hAnsi="Amiri" w:eastAsia="Amiri" w:cs="Amiri"/>
          <w:color w:val="111111"/>
          <w:sz w:val="28"/>
          <w:sz w:val="28"/>
          <w:szCs w:val="28"/>
          <w:rtl w:val="true"/>
          <w:lang w:bidi="ar-SA"/>
        </w:rPr>
        <w:t>البيان الالي و الذكر الحكيم بنفسه، هو الطريق الهادي الى نفسه، أي انه لايحتاج في تبيين مقاصد الى طريق، فكيف يتصور ان يكون الكتاب الذي عرفه الله تعالى بان هدى و انه نور و أنه تبيان لك شي، مفتقراً الى هاد غيره و مستنيراً بنور غيره و مبيناً بامر غيره</w:t>
      </w:r>
      <w:r>
        <w:rPr>
          <w:rFonts w:eastAsia="Amiri" w:cs="Amiri" w:ascii="Amiri" w:hAnsi="Amiri"/>
          <w:color w:val="111111"/>
          <w:sz w:val="28"/>
          <w:szCs w:val="28"/>
          <w:rtl w:val="true"/>
          <w:lang w:bidi="ar-SA"/>
        </w:rPr>
        <w:t>.»</w:t>
      </w:r>
      <w:r>
        <w:rPr>
          <w:rStyle w:val="FootnoteAnchor"/>
          <w:rtl w:val="true"/>
        </w:rPr>
        <w:footnoteReference w:id="3"/>
      </w:r>
    </w:p>
    <w:p>
      <w:pPr>
        <w:pStyle w:val="Heading4"/>
        <w:numPr>
          <w:ilvl w:val="3"/>
          <w:numId w:val="1"/>
        </w:numPr>
        <w:rPr/>
      </w:pPr>
      <w:bookmarkStart w:id="28" w:name="__RefHeading___Toc3567357_3804643083"/>
      <w:bookmarkStart w:id="29" w:name="_Toc11"/>
      <w:bookmarkEnd w:id="28"/>
      <w:r>
        <w:rPr>
          <w:rtl w:val="true"/>
        </w:rPr>
        <w:t>نقد دليل اول</w:t>
      </w:r>
      <w:bookmarkEnd w:id="29"/>
    </w:p>
    <w:p>
      <w:pPr>
        <w:pStyle w:val="BookText"/>
        <w:rPr/>
      </w:pPr>
      <w:r>
        <w:rPr>
          <w:rFonts w:ascii="Amiri" w:hAnsi="Amiri" w:eastAsia="Amiri" w:cs="Amiri"/>
          <w:color w:val="111111"/>
          <w:sz w:val="28"/>
          <w:sz w:val="28"/>
          <w:szCs w:val="28"/>
          <w:rtl w:val="true"/>
          <w:lang w:bidi="ar-SA"/>
        </w:rPr>
        <w:t>نقطه محورى سخن مرحوم علامه در دليل اول، اين عبارت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هدى و نوراً و تبياناً لكلّ شى، فمابال النّور يستنير بنور غيره، و ما شأن الهدى يهتدى بهداية سواه، و كيف يتبّين ما هو تبيان لكلّ شى، بشى دون نفسه</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سپس در همين زمينه مى افزايد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آيات الاحكام فقد اجتبينا تفصيل البيان فيها لرجوع ذلك الى الفقه</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پاسخ ايشان بايد عرض كرد و كه اوّلا شما خود، آيات الاحكام و برخى آيات معاد را از موضوع خارج دانسته ايد و فرموده ايد كه در اين موارد، نمى توان به خود قرآن اكتفا كرد و بيان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آنها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ما اين است كه مگر تبيان بودن قرآن، استثناپذير است؟ آيا ممكن است برخى آيات بيان و نور باشد و برخى ديگر خبر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بپذيريم كه همه قرآن، نور و همه آيات، بيّنات است و لازمه نور بودن و بيّنات بودن را بى نيازى از تفسير و توضيح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نبايد حتى آيات الاحكام و آيات معاد را هم استثنا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نور بودن قرآن، منافاتى با اين نكته نداشته باشد كه برخى آيات آن در تفسير و تبيين نيازمند سنت باشد، در اين صورت دليلى ندارد كه به استناد نور بودن قرآن، سنت را از گردونه تفسير بيرون برانيم و قرآن را بى نياز از سنّت بدانيم، بلكه مى توانيم بپذيريم كه حتى در صورتى كه فهم برخى آيات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آيات الاحكام و آيات معاد و چه آيات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توضيح و تبيين روايات متكى باشد، باز هم قرآن، نور است و بيّنات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اين است كه نور بودن كليت قرآن، به عنوان يك مجموعه، منافاتى با اين ندارد كه برخى آيات آن متشابه باشد و در فهم و تفسير، نيازمند روايات و بيان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منظور از نور بودن قرآن و هدايتگرى آن، در خطوط كلى هدايت و سعادت است، اگر مى گوييم،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كل 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نظر به مجموع قرآن است، نه اين كه هر آيه به تنهايى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تبيان كلى 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اين كه تبيان كل شى بودن، از كجا كه ويژه معصوم و در مقام ثبوت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قرآن مى فهماند كه حق و باطل چيست و مى فهماند كه خودش كتاب حق است، هر چند بخشى از حقايق آن با ارجاع به آورنده آن آشكار گردد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گفتنى است كه خود ايشان گاه در پايان تفسير يك آيه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اند كه از آن فهميده مى شود مطلب روشن نشده است، مانند تفسير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ويقولون ما ذاينفقون قل العفو</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گاه نيز فرموده اند، معنى اين كلمه را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علامه در ذيل آيه شريفه مي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نجد في كلامه تعالي ما يصلح لتفسير هذه الايه و ان هذه الدابه التي سيخرجها لهم من الارض فتكلمهم ما هي و ما صفتها و كيف تخرج و ماذا تتكلم به بل سياق الايه نعم الدليل علي آن القصد الي الابهام فهو كلام مرموز فيه</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lang w:bidi="ar-SA"/>
        </w:rPr>
        <w:t>15/434</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قرآن نفهميديم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گونه موارد، منافات با نور بودن آن ندارد، با آن كه بر خلاف نظر ايشان چنين آياتى نيازمند به غير خود مى باشند</w:t>
      </w:r>
      <w:r>
        <w:rPr>
          <w:rFonts w:eastAsia="IRNazanin" w:cs="IRNazanin"/>
          <w:color w:val="111111"/>
          <w:sz w:val="28"/>
          <w:szCs w:val="28"/>
          <w:rtl w:val="true"/>
          <w:lang w:bidi="fa-IR"/>
        </w:rPr>
        <w:t>.</w:t>
      </w:r>
      <w:bookmarkStart w:id="30" w:name="pg2464_16067"/>
    </w:p>
    <w:p>
      <w:pPr>
        <w:pStyle w:val="Heading4"/>
        <w:numPr>
          <w:ilvl w:val="3"/>
          <w:numId w:val="1"/>
        </w:numPr>
        <w:rPr/>
      </w:pPr>
      <w:bookmarkStart w:id="31" w:name="__RefHeading___Toc3567359_3804643083"/>
      <w:bookmarkStart w:id="32" w:name="_Toc12"/>
      <w:bookmarkEnd w:id="30"/>
      <w:bookmarkEnd w:id="31"/>
      <w:r>
        <w:rPr>
          <w:rtl w:val="true"/>
        </w:rPr>
        <w:t>نقد دليل دوم</w:t>
      </w:r>
      <w:bookmarkEnd w:id="32"/>
    </w:p>
    <w:p>
      <w:pPr>
        <w:pStyle w:val="BookText"/>
        <w:rPr/>
      </w:pPr>
      <w:r>
        <w:rPr>
          <w:rFonts w:ascii="Amiri" w:hAnsi="Amiri" w:eastAsia="Amiri" w:cs="Amiri"/>
          <w:color w:val="111111"/>
          <w:sz w:val="28"/>
          <w:sz w:val="28"/>
          <w:szCs w:val="28"/>
          <w:rtl w:val="true"/>
          <w:lang w:bidi="ar-SA"/>
        </w:rPr>
        <w:t xml:space="preserve">مرحوم علامه طباطبايى در جلد سوم الميزان صفحه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لاريب انّ القرآن انما نزل ليعقله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قد مرّ فيما تقدّم ان الآيات التى تدعو النّاست عامة من كافر او مؤمن ممن شاهد عصر النزول او غاب عنه، الى تعقل القرآن أو تأمّل و تدبّر فيه و خاصة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افلا يتدبّرون القرآن و لوكان من عند غير اللّه لوجدوا فيه اختلافاً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دلالة واضحة على أنّ المعارف القرآنية يمكن ان يناله الباحث بالتدبّر و البحث و يرتفع به ما يترائى من الاختلاف بين الآيات و الآية فى مقام التحدّى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ياد شده، اجمال نظر علامه اين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براى همه مردم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براى گروه خاصى از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از مردم خواسته است تا درباره مطالب وحى بينديشند و تأمّل و تدبّر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مقدمه ياد شده نتيجه مى دهد كه پس از مفاهيم قرآن اگر</w:t>
      </w:r>
    </w:p>
    <w:p>
      <w:pPr>
        <w:pStyle w:val="BookText"/>
        <w:rPr/>
      </w:pPr>
      <w:r>
        <w:rPr>
          <w:rFonts w:ascii="IRNazanin" w:hAnsi="IRNazanin" w:eastAsia="IRNazanin"/>
          <w:color w:val="111111"/>
          <w:sz w:val="28"/>
          <w:sz w:val="28"/>
          <w:szCs w:val="28"/>
          <w:rtl w:val="true"/>
          <w:lang w:bidi="fa-IR"/>
        </w:rPr>
        <w:t>مورد تأمّل و تدبّر قرار گيرد، براى همه انسانها قابل فهم است و مردم براى درك حقانيت قرآن و حقايق معرفتى آن، نياز به غير قرآن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معنى لإرجاع فهم معانى الآيات الى فهم الصّحابة و تلامذتهم من التابعين حتى الى بيان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بيان، معنا ندارد كه كسى بگويد فهم معانى آيات قرآن، نيازمند فهم صحابه و يا شاگردان صحابه است و حتى نمى توان گفت كه نيازمند بيان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فرمايش علامه هم تمام نيست، زيرا اگر بخش مهمى از آيات قرآن داراى مفاهيم محكم و بيّن باشد، باز هم كافى است كه خداوند، همه انسانها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تأمّل در آن آيات فراخواند و از ايشان بخواهد كه با تدبّر در قرآن، آثار حقانيت وحى و رسالت پيامبر را دريابند و نيز اذعان كنند كه نمى توانند مانند هدايت قرآنى كتابى بياورند و هرگز لزومى ندارد كه همه آيات مربوط به معارف روشن و آشكار باشد</w:t>
      </w:r>
      <w:r>
        <w:rPr>
          <w:rFonts w:eastAsia="IRNazanin" w:cs="IRNazanin"/>
          <w:color w:val="111111"/>
          <w:sz w:val="28"/>
          <w:szCs w:val="28"/>
          <w:rtl w:val="true"/>
          <w:lang w:bidi="fa-IR"/>
        </w:rPr>
        <w:t>.</w:t>
      </w:r>
      <w:bookmarkStart w:id="33" w:name="pg2464_16071"/>
    </w:p>
    <w:p>
      <w:pPr>
        <w:pStyle w:val="Heading4"/>
        <w:numPr>
          <w:ilvl w:val="3"/>
          <w:numId w:val="1"/>
        </w:numPr>
        <w:rPr/>
      </w:pPr>
      <w:bookmarkStart w:id="34" w:name="__RefHeading___Toc3567361_3804643083"/>
      <w:bookmarkStart w:id="35" w:name="_Toc13"/>
      <w:bookmarkEnd w:id="33"/>
      <w:bookmarkEnd w:id="34"/>
      <w:r>
        <w:rPr>
          <w:rtl w:val="true"/>
        </w:rPr>
        <w:t>نقد دليل سوم</w:t>
      </w:r>
      <w:bookmarkEnd w:id="35"/>
    </w:p>
    <w:p>
      <w:pPr>
        <w:pStyle w:val="BookText"/>
        <w:rPr/>
      </w:pPr>
      <w:r>
        <w:rPr>
          <w:rFonts w:ascii="Amiri" w:hAnsi="Amiri" w:eastAsia="Amiri" w:cs="Amiri"/>
          <w:color w:val="111111"/>
          <w:sz w:val="28"/>
          <w:sz w:val="28"/>
          <w:szCs w:val="28"/>
          <w:rtl w:val="true"/>
          <w:lang w:bidi="ar-SA"/>
        </w:rPr>
        <w:t>بيان علامه در دليل سوم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الاخبار المتواترة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لوصيته بالتّمسّك بالقرآن و الأخذ به وعرض الروايات المنقولة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اللّه، لايستقيم معناها الاّ مع كون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الدور الباطل و هو ظاهر</w:t>
      </w:r>
      <w:r>
        <w:rPr>
          <w:rFonts w:eastAsia="Amiri" w:cs="Amiri" w:ascii="Amiri" w:hAnsi="Amiri"/>
          <w:color w:val="111111"/>
          <w:sz w:val="28"/>
          <w:szCs w:val="28"/>
          <w:rtl w:val="true"/>
          <w:lang w:bidi="ar-SA"/>
        </w:rPr>
        <w:t xml:space="preserve">.» </w:t>
      </w:r>
      <w:r>
        <w:rPr>
          <w:rStyle w:val="FootnoteAnchor"/>
          <w:rtl w:val="true"/>
        </w:rPr>
        <w:footnoteReference w:id="9"/>
      </w:r>
    </w:p>
    <w:p>
      <w:pPr>
        <w:pStyle w:val="Heading3"/>
        <w:numPr>
          <w:ilvl w:val="2"/>
          <w:numId w:val="1"/>
        </w:numPr>
        <w:rPr/>
      </w:pPr>
      <w:bookmarkStart w:id="36" w:name="__RefHeading___Toc3567363_3804643083"/>
      <w:bookmarkStart w:id="37" w:name="_Toc14"/>
      <w:bookmarkEnd w:id="36"/>
      <w:r>
        <w:rPr>
          <w:rtl w:val="true"/>
        </w:rPr>
        <w:t>خلاصه سخن علامه اين است كه</w:t>
      </w:r>
      <w:r>
        <w:rPr>
          <w:rtl w:val="true"/>
        </w:rPr>
        <w:t>:</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 را بايد به قرآن عرضه داشت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زمانى مى تواند مرجع روايات بادشد كه در بردارنده همه مفاهيم و معارف روايى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واجد همه معارف و مفاهيم موجود در روايات است و مى توان آنها را فهميد، پس قرآن براى تبيين و تفسير مفاهيم خويش، نيازمند روايات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بگوييم با اين كه سنجش محتواى روايات به قرآن متكى</w:t>
      </w:r>
    </w:p>
    <w:p>
      <w:pPr>
        <w:pStyle w:val="BookText"/>
        <w:rPr/>
      </w:pPr>
      <w:r>
        <w:rPr>
          <w:rFonts w:ascii="IRNazanin" w:hAnsi="IRNazanin" w:eastAsia="IRNazanin"/>
          <w:color w:val="111111"/>
          <w:sz w:val="28"/>
          <w:sz w:val="28"/>
          <w:szCs w:val="28"/>
          <w:rtl w:val="true"/>
          <w:lang w:bidi="fa-IR"/>
        </w:rPr>
        <w:t xml:space="preserve">است، قرآن هم براى فهميده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بخشى از مطالب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بيان روايات است، دور لازم مى آيد، و دور قطعاً پذيرفته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اين فرمايش علامه به نظر مى رسد، اين است كه اگر دقت شود، دورى در كار نيست، زيرا جهت توقف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وقتى باطل است كه جهت دور واحد باشد، ولى اگر جهت آن دو يا چند چيز شد، اساساً دورى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 ما از فرمايش علامه چهار قضيه به دست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دوميت جمله اين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زمانى مى تواند مرجع روايات باشد كه در بردارنده همه معارف و مفاهيم روايى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علامه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الروايات المنقولة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 اللّه، لايستقيم معناها الاّ مع كون جميع ما نقل عن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يمكن استفادته من الكتاب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اصلى در همين قسمت عبارت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عرضه داشتن روايات به قرآن براى تشخيص صحيح از غير صحيح است و عرضه روايات بر قرآن، به اين نيست كه حتماً قرآن درباره يكايك</w:t>
      </w:r>
    </w:p>
    <w:p>
      <w:pPr>
        <w:pStyle w:val="BookText"/>
        <w:rPr/>
      </w:pPr>
      <w:r>
        <w:rPr>
          <w:rFonts w:ascii="Amiri" w:hAnsi="Amiri" w:eastAsia="Amiri" w:cs="Amiri"/>
          <w:color w:val="111111"/>
          <w:sz w:val="28"/>
          <w:sz w:val="28"/>
          <w:szCs w:val="28"/>
          <w:rtl w:val="true"/>
          <w:lang w:bidi="ar-SA"/>
        </w:rPr>
        <w:t>احاديث، سخنى به تصريح داشته باشد و همه احاديث در قرآن باشد، بلكه عرضه روايات بر قرآن براى اين است كه آن روايات، ناهمخوان با آيات و مخالف قرآن نباشند، نه اين كه حتماً جهت تأييدى در خصوص محتواى هر روايت در آيات بيابيم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در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اين است كه اگر حديثى را مخالف قرآن يافتيد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 على الجدار</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نه اين كه اگر مضمون حديثى در قرآن نيامده بود، آن حديث را كنار بگذاريد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كوتاه سخن اين كه در عرضه روايات قرآن، بايد در جست و جوى اين باشيم كه بدانيم آن روايات، مخالف با قرآن است</w:t>
      </w:r>
    </w:p>
    <w:p>
      <w:pPr>
        <w:pStyle w:val="BookText"/>
        <w:rPr/>
      </w:pPr>
      <w:r>
        <w:rPr>
          <w:rFonts w:ascii="IRNazanin" w:hAnsi="IRNazanin" w:eastAsia="IRNazanin"/>
          <w:color w:val="111111"/>
          <w:sz w:val="28"/>
          <w:sz w:val="28"/>
          <w:szCs w:val="28"/>
          <w:rtl w:val="true"/>
          <w:lang w:bidi="fa-IR"/>
        </w:rPr>
        <w:t>يا مخالف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را كنار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مخالف قرآن نيست،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 درباره آن بيانى در قرآن نيامده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تأييد آن، بيانى صريح به دلالت مطابقى و يا بيان غير 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التزامى و يا تضمنى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گفتيم جهت توقف فرق دارد، به اين معناست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روايات را بر قرآن عرضه كنيم، تا بدانيم تضادى با قرآن دارد يا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نياز عرضه قرآن بر روايات، براى تبيين و تشريح بخشى از آيات است كه بدون روايات تبيين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توجه داشت كه قرآن در موارد بسيارى خود، مخاطبانش را به غير خودش ارجاع داده و از جمله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 اليك القرآن التبيّن للنّاس</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يا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آيات بينات فى صدور الذين اوتوالعلم</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ظهور اين گونه آيبات در اين است كه هر گاه كسانى كه شأنيت فهم قرآن را دارند، به آيه اى رسيدند كه تفسير آن را ندانستند،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اوتوالعلم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 نيز وقتى ما به قرآن مراجعه مى كنيم، در مى يابيم كه با وجود بيانهاى تفسيرى عالمان علم تفسير، باز هم معناى برخى آيات چندان روشن نيست، چنانكه خود علامه در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كوشش كرديم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پرتو آيات ديگر به دست آؤريم، ميسّر نشد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اى كه در اين جا لازم به ذكر است اين است كه مرحوم علامه طباطبايى از آن جا كه همتشان تفسير قرآن به قرآن بوده است و اين سبب شده تا به آيات توجه بيش ترى داشته باشند و در اين رابطه به طور كامل تلاش كرده اند، طبعاً تفسير ايشان از جهات بسيارى ممتاز و برجسته است و بسيارى از تفاسير اساساً در هنگام بررسى يك آيه توجهى به اين نكته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p>
    <w:p>
      <w:pPr>
        <w:pStyle w:val="BookText"/>
        <w:rPr/>
      </w:pPr>
      <w:r>
        <w:rPr>
          <w:rFonts w:ascii="IRNazanin" w:hAnsi="IRNazanin" w:eastAsia="IRNazanin"/>
          <w:color w:val="111111"/>
          <w:sz w:val="28"/>
          <w:sz w:val="28"/>
          <w:szCs w:val="28"/>
          <w:rtl w:val="true"/>
          <w:lang w:bidi="fa-IR"/>
        </w:rPr>
        <w:t>چنين توفيقى را نيز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اين نكته كه علامه مى فرمايند قرآن نور است و نور به غير خودش براى روشن شدن نيازى ندارد، گفته شد كه بر اساس آنچه از مراجعه به خود قرآن و برخى روايات استفاده مى شود، قرآن احياناً و در مواردى نيازمند به غير خودش، يعنى پيامبر 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با تبيان بودن قرآن براى خودش منافات ندارد، زيرا مى توان گفت، قرآن در مقام ثبوت، نياز به غير خودش ندارد، و در اين صورت قرآن در كنار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غير ندارد و غير معصوم، نيازمند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معصوم با توجه به آن مقام علمى خاص، مى تواند از خود قرآن نكاتى را از قرآن استفاده كند، گر چه به صورت رمز در قرآن بيان شده باشد و در فهم قرآن نياز به غير قرآن نداشته باشد، ولى اين جهت كه آيات قرآن در مقام ثبوت، چنين وضعيتى را دارد يا نه، مورد بحث ما نيست و در اين سخنى نيست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مورد بحث است، در ارتباط با غير معصومين است كه آيا در مقام فهم قرآن، گر چه در مواردى خاص و به عنوان موجبه جزئيه به بيان معصوميت نيازمند هستند يا نه؟ از عبارتى كه ايشان در</w:t>
      </w:r>
      <w:bookmarkStart w:id="38" w:name="pg2464_16082"/>
    </w:p>
    <w:p>
      <w:pPr>
        <w:pStyle w:val="BookText"/>
        <w:rPr/>
      </w:pPr>
      <w:bookmarkEnd w:id="38"/>
      <w:r>
        <w:rPr>
          <w:rFonts w:ascii="IRNazanin" w:hAnsi="IRNazanin" w:eastAsia="IRNazanin"/>
          <w:color w:val="111111"/>
          <w:sz w:val="28"/>
          <w:sz w:val="28"/>
          <w:szCs w:val="28"/>
          <w:rtl w:val="true"/>
          <w:lang w:bidi="fa-IR"/>
        </w:rPr>
        <w:t>جلد سوم آورده بودند، به طور صريح استفاده مى شود كه قرآن نيازى به غير خود در اين جهت ندارد و با حثان و پژوهشگران، خود مى توانند با مراجعه به آيات ديگر وحتى در موارد اختلاف بين آيات، خود اختلاف را بر طرف سازند و مسأله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از سخن علامه مورد خدشه ما بود و گفته شد كه از بررسى آيات قرآن و مراجعه به روايات به گونه ديگرى استفاده مى شود</w:t>
      </w:r>
      <w:r>
        <w:rPr>
          <w:rFonts w:eastAsia="IRNazanin" w:cs="IRNazanin"/>
          <w:color w:val="111111"/>
          <w:sz w:val="28"/>
          <w:szCs w:val="28"/>
          <w:rtl w:val="true"/>
          <w:lang w:bidi="fa-IR"/>
        </w:rPr>
        <w:t>.</w:t>
      </w:r>
    </w:p>
    <w:p>
      <w:pPr>
        <w:pStyle w:val="Heading3"/>
        <w:numPr>
          <w:ilvl w:val="2"/>
          <w:numId w:val="1"/>
        </w:numPr>
        <w:rPr/>
      </w:pPr>
      <w:bookmarkStart w:id="39" w:name="__RefHeading___Toc3567365_3804643083"/>
      <w:bookmarkStart w:id="40" w:name="_Toc15"/>
      <w:bookmarkEnd w:id="39"/>
      <w:r>
        <w:rPr>
          <w:rtl w:val="true"/>
        </w:rPr>
        <w:t>نقدى بر بيان علامه</w:t>
      </w:r>
      <w:r>
        <w:rPr>
          <w:rtl w:val="true"/>
        </w:rPr>
        <w:t>(</w:t>
      </w:r>
      <w:r>
        <w:rPr>
          <w:rtl w:val="true"/>
        </w:rPr>
        <w:t>ره</w:t>
      </w:r>
      <w:r>
        <w:rPr>
          <w:rtl w:val="true"/>
        </w:rPr>
        <w:t xml:space="preserve">) </w:t>
      </w:r>
      <w:r>
        <w:rPr>
          <w:rtl w:val="true"/>
        </w:rPr>
        <w:t>درباره حديث تقلين</w:t>
      </w:r>
      <w:bookmarkEnd w:id="40"/>
    </w:p>
    <w:p>
      <w:pPr>
        <w:pStyle w:val="BookText"/>
        <w:rPr/>
      </w:pPr>
      <w:r>
        <w:rPr>
          <w:rFonts w:ascii="Amiri" w:hAnsi="Amiri" w:eastAsia="Amiri" w:cs="Amiri"/>
          <w:color w:val="111111"/>
          <w:sz w:val="28"/>
          <w:sz w:val="28"/>
          <w:szCs w:val="28"/>
          <w:rtl w:val="true"/>
          <w:lang w:bidi="ar-SA"/>
        </w:rPr>
        <w:t xml:space="preserve">علامه در جلد سوم الميزان صفحه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ارتباط با مطالبى كه از ايشان آورديم، حديث ثقلين را مطرح كرده اند كه به نظر مى رسد، معناى كه براى حديث آورده اند، جاى تأمّل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فرموده اند، اگر كسى بگويد با اين روش كه شما داريد و قرآن را بى نياز از غير خود دانسته ايد، درباره حديث ثقلين كه بر تلازم ميان قرآن و حديث عترت دلالت دارد، چه مى گوييد؟ در پاسخ مى گوييم، اين حديث شريف در مقام حجيت هر يك به طور مستقل است و هرگز نظر به تلازم قرآن و عترت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 چنين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والحديث غير مسوق لابطال حجية ظاهر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bookmarkStart w:id="41" w:name="pg2464_16084"/>
    </w:p>
    <w:p>
      <w:pPr>
        <w:pStyle w:val="BookText"/>
        <w:rPr/>
      </w:pPr>
      <w:bookmarkEnd w:id="41"/>
      <w:r>
        <w:rPr>
          <w:rFonts w:ascii="Amiri" w:hAnsi="Amiri" w:eastAsia="Amiri" w:cs="Amiri"/>
          <w:color w:val="111111"/>
          <w:sz w:val="28"/>
          <w:sz w:val="28"/>
          <w:szCs w:val="28"/>
          <w:rtl w:val="true"/>
          <w:lang w:bidi="ar-SA"/>
        </w:rPr>
        <w:t>وهو يقول لن يفترقا، فيجعل الحجية لهما معاً، فللقرآن الدّلاله على معانيها و الكشف عن المعارف الالهيّة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هل البيت، الدّلالة على الطريق و هداية النّاس الى عقائدهم و مقاصدهم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كلام علامه اين است كه قرآن و عترت هر دو حجّيت دارند، امّا هر يك مستقل از ديگر است و لازم نيست كه به يكديگر وابسته باشند، ولى به خوبى روشن است كه حديث شريف توصيه به تمسك به هر دو دارد و اين كه اين دو بايستى با هم در نظر گرفته شوند و روايات بسيارى جز حديث ثقلين نيز تلازم بين قرآن و عترت را مى فهماند و در بيانات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آمده است كه ما بيانگر قرآن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معنى كه اگر بيان ما اهل بيت نباشد، همه مفاهيم براى مردم روشن نمى شود</w:t>
      </w:r>
      <w:r>
        <w:rPr>
          <w:rFonts w:eastAsia="IRNazanin" w:cs="IRNazanin"/>
          <w:color w:val="111111"/>
          <w:sz w:val="28"/>
          <w:szCs w:val="28"/>
          <w:rtl w:val="true"/>
          <w:lang w:bidi="fa-IR"/>
        </w:rPr>
        <w:t>.)</w:t>
      </w:r>
    </w:p>
    <w:p>
      <w:pPr>
        <w:pStyle w:val="Heading2"/>
        <w:numPr>
          <w:ilvl w:val="1"/>
          <w:numId w:val="1"/>
        </w:numPr>
        <w:rPr/>
      </w:pPr>
      <w:bookmarkStart w:id="42" w:name="__RefHeading___Toc3567367_3804643083"/>
      <w:bookmarkStart w:id="43" w:name="_Toc16"/>
      <w:bookmarkEnd w:id="42"/>
      <w:r>
        <w:rPr/>
        <w:t>3</w:t>
      </w:r>
      <w:r>
        <w:rPr>
          <w:rtl w:val="true"/>
        </w:rPr>
        <w:t xml:space="preserve">- </w:t>
      </w:r>
      <w:r>
        <w:rPr>
          <w:rtl w:val="true"/>
        </w:rPr>
        <w:t>كاستيهاى تفسير الميزان يا روش تفسير قرآن به قرآن را در چه مى بينيد؟</w:t>
      </w:r>
      <w:bookmarkEnd w:id="43"/>
    </w:p>
    <w:p>
      <w:pPr>
        <w:pStyle w:val="Heading3"/>
        <w:numPr>
          <w:ilvl w:val="2"/>
          <w:numId w:val="1"/>
        </w:numPr>
        <w:rPr/>
      </w:pPr>
      <w:bookmarkStart w:id="44" w:name="__RefHeading___Toc3567369_3804643083"/>
      <w:bookmarkStart w:id="45" w:name="_Toc17"/>
      <w:bookmarkEnd w:id="44"/>
      <w:r>
        <w:rPr>
          <w:rtl w:val="true"/>
        </w:rPr>
        <w:t>استاد سيدان</w:t>
      </w:r>
      <w:r>
        <w:rPr>
          <w:rtl w:val="true"/>
        </w:rPr>
        <w:t>:</w:t>
      </w:r>
      <w:bookmarkEnd w:id="4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گونه كه از بررسى اين تفسير به دست مى آيد، از آن جا كه تفسير الميزان در تفسير آيات، روش تفسير قرآن به قرآن را برگزيده و بنابراين بوده است كه همه آيه ها با خود آيات معنى شود، در مواردى به نظر مى رسد، برخى از آيات در كنار</w:t>
      </w:r>
    </w:p>
    <w:p>
      <w:pPr>
        <w:pStyle w:val="BookText"/>
        <w:rPr/>
      </w:pPr>
      <w:r>
        <w:rPr>
          <w:rFonts w:ascii="IRNazanin" w:hAnsi="IRNazanin" w:eastAsia="IRNazanin"/>
          <w:color w:val="111111"/>
          <w:sz w:val="28"/>
          <w:sz w:val="28"/>
          <w:szCs w:val="28"/>
          <w:rtl w:val="true"/>
          <w:lang w:bidi="fa-IR"/>
        </w:rPr>
        <w:t>آن حديثى رسيده است و آن آيه را تفسير كرده است، به دليل آن كه حديث مزبور در مورد توجه قرار نگرفته است، آيه نيز آن گونه كه مناسب بوده و در شأن اين تفسير بوده، تبيين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موارد، آيه زير است كه از گفته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اغفرلى و هب لى ملكاً لاينبغى لأحد من بعدى</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درباره اين آيه، پرسشى مطرح است كه اين درخواست، چگونه از پيامبرى مانند حضرت سليمان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مى داند، پس از او پيامبران و پيامبر خاتم و اوصياى او خواهند آمد، چنين مطلبى را از خداوند 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بازگشت اين در خواست به نوعى بخل يا عجب نيست؟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در ذيل آيه، روايتى از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پاسخگوى اين پرسش است و در الميزان ذكر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حل اين مشكل خواسته اند از آيات استفاده كنند و از آن</w:t>
      </w:r>
    </w:p>
    <w:p>
      <w:pPr>
        <w:pStyle w:val="BookText"/>
        <w:rPr/>
      </w:pPr>
      <w:r>
        <w:rPr>
          <w:rFonts w:ascii="IRNazanin" w:hAnsi="IRNazanin" w:eastAsia="IRNazanin"/>
          <w:color w:val="111111"/>
          <w:sz w:val="28"/>
          <w:sz w:val="28"/>
          <w:szCs w:val="28"/>
          <w:rtl w:val="true"/>
          <w:lang w:bidi="fa-IR"/>
        </w:rPr>
        <w:t>جا كه آيات، پاسخى در اين زمينه به دست نمى دهد، اين گونه موضوع را حل كرده اند كه در اين آيه اختصاص ايشان به ملك تقاضا شده است و نه اختصاص ملك به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از ظاهر آيه چنين مطلبى استفاده نمى شود و شاهدى نيز بر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كه در اين صورت نيز جاى سؤال و استبعاد همچنان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اين آيه مى 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و حاكميت، گاه با قهر و غلبه و ظلم و جور به دست مى آيد كه امور ياد شده نشانه الهى نبودن چنين حكومتى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مواردى به گونه اى است كه خود آن مُلك، نشان دهنده الهى بودن آن ملك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چنين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بر من مُلك و حكومتى ببخش كه كسى در الهى بودن و حقانيت آن شك نكند و سزاوار آن نباشد كه كسى چنين بپندارد كه منشأ غير الهى دارد، چنانكه مى بينيم، پادشاهى سليمان چنين بود و با آن حشمت و قدرت سليمان و تسلط او بر جن و انس و حيوانات و 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ترديد در الهى بودن حكومت او</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اين جا روشن مى شود كه براى فهميدن برخى از آيات، نياز به غير قرآن داريم و لذا اين آيه جز با روايت ياد شه، قابل حل نيست وگرنه باعث دانشمندى مانند علامه بايد مشكل آيه را به جاى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نياز تفسير قرآن به روايات را روشن مى سازد، اين است كه به فرض آن كه برخى احتمالات در يك آيه در برابر اشكالات وارد شده بر آيه، مشكل را حل مى كند، ولى چنين پاسخى قابل ارائه به اشكال كننده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در آيه اى نسبت به مراد و مفهوم آيه، شبهه و اشكالى وارد شود، يا تضادى ميان دو آيه به نظر رسيده باشد، اگر پاسخى آن گفته شود، اگر اين آيه به طور احتمال معناى آن چنين باشد و آيه ديگر احتمالا معناى آن چنان باشد، ديگر تضادى نيست و به اين گونه پاسخ داده شود، چنين پاسخى براى اعتراض كننده، قانع كننده و كارساز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تناقض و اشكالى با چنين پاسخى حل مى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خود اين كتاب و آورنده اين كتاب، افرادى را كه سخن آنان در اثبات و تعيين يك احتمال از ميان احتمالات</w:t>
      </w:r>
    </w:p>
    <w:p>
      <w:pPr>
        <w:pStyle w:val="BookText"/>
        <w:rPr/>
      </w:pPr>
      <w:r>
        <w:rPr>
          <w:rFonts w:ascii="IRNazanin" w:hAnsi="IRNazanin" w:eastAsia="IRNazanin"/>
          <w:color w:val="111111"/>
          <w:sz w:val="28"/>
          <w:sz w:val="28"/>
          <w:szCs w:val="28"/>
          <w:rtl w:val="true"/>
          <w:lang w:bidi="fa-IR"/>
        </w:rPr>
        <w:t>گوناگون سند و حجت باشد، معرفى نكند، همچنان اشكال باقى است و تنها با وجود احتمالات نمى توان مشكل و شبهه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موارد بسيارى براى فهم آيه نمى توان به راحتى و به طور كامل و روشن و قطعى آيه را با آيات ديگر روشن ساخت و مشكل را حل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با احتمالاتى مى توان از كنار آيه به آسانى گذشت، ولى اين احتمالات براى اشكال كننده، پاسخ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پاسخ او گفته شود كه بايد در اين زمينه به كسانى كه سخن آنان سند و حجت است، و در ارتباط با اين كتاب مطرح هستند و با آن تلازم دارند، مراجعه كنيم و از بيان آنها در حل اشكالات بهره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پاسخى قانع كننده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آور مى شود كه با توجه به اصرار مرحوم علامه بر روش تفسير قرآن به قرآن و دخالت ندان مطالبى ديگر در آن و موفقيت ايشان در بسيارى از موارد، با آن همه گاهى انس با مسائل عقلى تأثير خود را گذاشته است كه با يك نمونه آن اشاره مى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پس از نقل روايتى از پيامبر با اين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تفكروا فى خلق</w:t>
      </w:r>
    </w:p>
    <w:p>
      <w:pPr>
        <w:pStyle w:val="BookText"/>
        <w:rPr/>
      </w:pPr>
      <w:r>
        <w:rPr>
          <w:rFonts w:ascii="Amiri" w:hAnsi="Amiri" w:eastAsia="Amiri" w:cs="Amiri"/>
          <w:color w:val="111111"/>
          <w:sz w:val="28"/>
          <w:sz w:val="28"/>
          <w:szCs w:val="28"/>
          <w:rtl w:val="true"/>
          <w:lang w:bidi="ar-SA"/>
        </w:rPr>
        <w:t>الله و لاتفكروا فى الله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النهى عن التفكر فى الله سبحانه روايات كثيرة اُخر مودعة فى جوامع الفريقين، و النهى ارشادى متعلق بمن لايحسن الورود فى المسائل العقبلة العميقة، فيكون خوضه فيها تعرضاً للهالاك الدائم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گفت چنين برداشتى از اين روايت، تنها با انس با مسائل عقلى قابل توجيه است، و گرنه روشن است كه از ظاهر روايت اين گونه استفاده نمى شود</w:t>
      </w:r>
      <w:r>
        <w:rPr>
          <w:rFonts w:eastAsia="IRNazanin" w:cs="IRNazanin"/>
          <w:color w:val="111111"/>
          <w:sz w:val="28"/>
          <w:szCs w:val="28"/>
          <w:rtl w:val="true"/>
          <w:lang w:bidi="fa-IR"/>
        </w:rPr>
        <w:t>.</w:t>
      </w:r>
      <w:r>
        <w:rPr>
          <w:rStyle w:val="FootnoteAnchor"/>
          <w:rtl w:val="true"/>
        </w:rPr>
        <w:footnoteReference w:id="1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ذيل تفسير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3/86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3/88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مقدمه الكتاب </w:t>
      </w:r>
      <w:r>
        <w:rPr>
          <w:rFonts w:eastAsia="IRNazanin" w:cs="IRNazanin"/>
          <w:b w:val="false"/>
          <w:bCs w:val="false"/>
          <w:i w:val="false"/>
          <w:iCs w:val="false"/>
          <w:color w:val="333333"/>
          <w:sz w:val="20"/>
          <w:szCs w:val="20"/>
        </w:rPr>
        <w:t>1/4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مقدمه الكتاب </w:t>
      </w:r>
      <w:r>
        <w:rPr>
          <w:rFonts w:eastAsia="IRNazanin" w:cs="IRNazanin"/>
          <w:b w:val="false"/>
          <w:bCs w:val="false"/>
          <w:i w:val="false"/>
          <w:iCs w:val="false"/>
          <w:color w:val="333333"/>
          <w:sz w:val="20"/>
          <w:szCs w:val="20"/>
        </w:rPr>
        <w:t>1/11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ذيل ايه شريفه </w:t>
      </w:r>
      <w:r>
        <w:rPr>
          <w:rFonts w:eastAsia="IRNazanin" w:cs="IRNazanin"/>
          <w:b w:val="false"/>
          <w:bCs w:val="false"/>
          <w:i w:val="false"/>
          <w:iCs w:val="false"/>
          <w:color w:val="333333"/>
          <w:sz w:val="20"/>
          <w:szCs w:val="20"/>
        </w:rPr>
        <w:t>2/205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86.3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روايات مختلف به اين حقيقت گويا است، به طور مثال شيخ طوسي رحمة الله در مقدمه تفسير التبيان،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 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جاءكم عنّي حديث، فاعرضوه علي كتاب الله، فما و افق فاقبلوه خالفه فاضربوه به عرض الحائط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مرحوم كليني در كافي، كتاب فضل العلم، باب الأخذ بالسنة و شواهد الكتاب، دوازده حديث بدين معنا نقل كرده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حرّ عاملي رحمة الله نيز در كتاب وسائل الشيعة، ابواب صفات القاضي،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وجوه الجمع بين الاحاديث المختلفة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چهل و هشت حديث نقل كرده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محترم مضمون روايت شريف را بيان كرده اند، لذا در اين جا متن كامل حديث را نقل مي 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بن يقطين،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موسي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أيجوز أن يكون نبّي الله عزّ و جلّ بخيلاً؟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أغفِرلي وَهَب لِي مُلكاً لا ينبغِي لأَحَدٍ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وجهه و معناه؟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ملكان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مأخوذ بالغلبة و الجور و إجبار الناس، و ملك مأخوذ من قبل الله تعالي كملك آل ابراهيم و ملك طالوت و ذي القرنين، فقال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 لي ملكاً لا ينبغي لأحد من بعدي أن يقول أنه مأخوذ بالغلبة و الجور و إجبار الناس فسخرّ الله عزّ و جلّ له الريح تجري بأمره رُخاءاً حيث أصاب، و جعل غدّوها شهراً و رواحها شهراً، فسخّر الله له الشياطين كلّ بنّاء و غوّاص، و علم منطق الطير و مكّن في الأرض، فعلم الناس في وقته و بعده أن ملكه لا يشبه ملك الملوك المختارين من قبل الناس، و المالكين بالغبلة و الجور، قال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أخي سليمان بن داود ما كان أبخله؟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أبخله بعرضه و سوء القول فيه، و الوجه الاخر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أبخله إن كان أراد ما كان يذهب اليه الجهال،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الله أويتنا ما أوتي سليمان، و ما لم يؤت سليمان و ما لم يؤت احد من الانبياء، قال الله عزّ و جلّ في قصة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عَطاؤُنا فَامْنُنْ أَوْ أَمْسِكْ بِغَيْرِ 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الله عزّ و جلّ قصة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ءَاتَئكُمُ الرَّسُولُ فَخُذُوهُ وَ مَا نهََئكُمْ عَنْهُ فَانتَهُواْ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 ذيل آيه شريفه،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الصافي، ذيل آيه ي شريفه،</w:t>
      </w:r>
      <w:r>
        <w:rPr>
          <w:rFonts w:eastAsia="IRNazanin" w:cs="IRNazanin"/>
          <w:b w:val="false"/>
          <w:bCs w:val="false"/>
          <w:i w:val="false"/>
          <w:iCs w:val="false"/>
          <w:color w:val="333333"/>
          <w:sz w:val="20"/>
          <w:szCs w:val="20"/>
        </w:rPr>
        <w:t>4/300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19/58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image" Target="media/image2.jpeg"/><Relationship Id="rId36" Type="http://schemas.openxmlformats.org/officeDocument/2006/relationships/image" Target="media/image2.jpeg"/><Relationship Id="rId37" Type="http://schemas.openxmlformats.org/officeDocument/2006/relationships/footer" Target="footer30.xml"/><Relationship Id="rId38" Type="http://schemas.openxmlformats.org/officeDocument/2006/relationships/footnotes" Target="footnotes.xml"/><Relationship Id="rId39" Type="http://schemas.openxmlformats.org/officeDocument/2006/relationships/numbering" Target="numbering.xml"/><Relationship Id="rId40" Type="http://schemas.openxmlformats.org/officeDocument/2006/relationships/fontTable" Target="fontTable.xml"/><Relationship Id="rId41" Type="http://schemas.openxmlformats.org/officeDocument/2006/relationships/settings" Target="settings.xml"/><Relationship Id="rId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Pages>
  <Words>4962</Words>
  <Characters>18625</Characters>
  <CharactersWithSpaces>23388</CharactersWithSpaces>
  <Paragraphs>234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2026-08-17T08:11:21Z</dcterms:created>
  <dc:creator>ghaemiyeh.com</dc:creator>
  <dc:description/>
  <dc:language>en-US</dc:language>
  <cp:lastModifiedBy/>
  <dcterms:modified xsi:type="dcterms:W3CDTF">2026-08-17T11:41:22Z</dcterms:modified>
  <cp:revision>1</cp:revision>
  <dc:subject/>
  <dc:title>بررسی روش تفسیر قرآن به قرآن در تفسیر المیزان</dc:title>
</cp:coreProperties>
</file>

<file path=docProps/custom.xml><?xml version="1.0" encoding="utf-8"?>
<Properties xmlns="http://schemas.openxmlformats.org/officeDocument/2006/custom-properties" xmlns:vt="http://schemas.openxmlformats.org/officeDocument/2006/docPropsVTypes"/>
</file>