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طریقتنا فی المحاورات العلمیه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24352_380464308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624354_380464308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624356_3804643083">
            <w:r>
              <w:rPr>
                <w:webHidden/>
                <w:rStyle w:val="IndexLink"/>
                <w:rtl w:val="true"/>
              </w:rPr>
              <w:t>الفهرس</w:t>
            </w:r>
            <w:r>
              <w:rPr>
                <w:rStyle w:val="IndexLink"/>
                <w:rtl w:val="true"/>
              </w:rPr>
              <w:tab/>
            </w:r>
            <w:r>
              <w:rPr>
                <w:rStyle w:val="IndexLink"/>
              </w:rPr>
              <w:t>7</w:t>
            </w:r>
          </w:hyperlink>
        </w:p>
        <w:p>
          <w:pPr>
            <w:pStyle w:val="Contents2"/>
            <w:tabs>
              <w:tab w:val="clear" w:pos="8743"/>
              <w:tab w:val="right" w:pos="9026" w:leader="dot"/>
            </w:tabs>
            <w:rPr/>
          </w:pPr>
          <w:hyperlink w:anchor="__RefHeading___Toc2624358_3804643083">
            <w:r>
              <w:rPr>
                <w:webHidden/>
                <w:rStyle w:val="IndexLink"/>
                <w:rtl w:val="true"/>
              </w:rPr>
              <w:t>مقدّمة المترجم</w:t>
            </w:r>
            <w:r>
              <w:rPr>
                <w:rStyle w:val="IndexLink"/>
                <w:rtl w:val="true"/>
              </w:rPr>
              <w:tab/>
            </w:r>
            <w:r>
              <w:rPr>
                <w:rStyle w:val="IndexLink"/>
              </w:rPr>
              <w:t>8</w:t>
            </w:r>
          </w:hyperlink>
        </w:p>
        <w:p>
          <w:pPr>
            <w:pStyle w:val="Contents2"/>
            <w:tabs>
              <w:tab w:val="clear" w:pos="8743"/>
              <w:tab w:val="right" w:pos="9026" w:leader="dot"/>
            </w:tabs>
            <w:rPr/>
          </w:pPr>
          <w:hyperlink w:anchor="__RefHeading___Toc2624360_3804643083">
            <w:r>
              <w:rPr>
                <w:webHidden/>
                <w:rStyle w:val="IndexLink"/>
              </w:rPr>
              <w:t>1</w:t>
            </w:r>
            <w:r>
              <w:rPr>
                <w:rStyle w:val="IndexLink"/>
                <w:rtl w:val="true"/>
              </w:rPr>
              <w:t>ـ مسألة نسبة الحقّ تعالى مع الكائنات</w:t>
            </w:r>
            <w:r>
              <w:rPr>
                <w:rStyle w:val="IndexLink"/>
                <w:rtl w:val="true"/>
              </w:rPr>
              <w:tab/>
            </w:r>
            <w:r>
              <w:rPr>
                <w:rStyle w:val="IndexLink"/>
              </w:rPr>
              <w:t>25</w:t>
            </w:r>
          </w:hyperlink>
        </w:p>
        <w:p>
          <w:pPr>
            <w:pStyle w:val="Contents2"/>
            <w:tabs>
              <w:tab w:val="clear" w:pos="8743"/>
              <w:tab w:val="right" w:pos="9026" w:leader="dot"/>
            </w:tabs>
            <w:rPr/>
          </w:pPr>
          <w:hyperlink w:anchor="__RefHeading___Toc2624362_3804643083">
            <w:r>
              <w:rPr>
                <w:webHidden/>
                <w:rStyle w:val="IndexLink"/>
              </w:rPr>
              <w:t>2</w:t>
            </w:r>
            <w:r>
              <w:rPr>
                <w:rStyle w:val="IndexLink"/>
                <w:rtl w:val="true"/>
              </w:rPr>
              <w:t>ـ مسألة فاعليّة اللّه تعالى</w:t>
            </w:r>
            <w:r>
              <w:rPr>
                <w:rStyle w:val="IndexLink"/>
                <w:rtl w:val="true"/>
              </w:rPr>
              <w:tab/>
            </w:r>
            <w:r>
              <w:rPr>
                <w:rStyle w:val="IndexLink"/>
              </w:rPr>
              <w:t>25</w:t>
            </w:r>
          </w:hyperlink>
        </w:p>
        <w:p>
          <w:pPr>
            <w:pStyle w:val="Contents2"/>
            <w:tabs>
              <w:tab w:val="clear" w:pos="8743"/>
              <w:tab w:val="right" w:pos="9026" w:leader="dot"/>
            </w:tabs>
            <w:rPr/>
          </w:pPr>
          <w:hyperlink w:anchor="__RefHeading___Toc2624364_3804643083">
            <w:r>
              <w:rPr>
                <w:webHidden/>
                <w:rStyle w:val="IndexLink"/>
              </w:rPr>
              <w:t>3</w:t>
            </w:r>
            <w:r>
              <w:rPr>
                <w:rStyle w:val="IndexLink"/>
                <w:rtl w:val="true"/>
              </w:rPr>
              <w:t>ـ مسألة علم اللّه سبحانه وإرادته</w:t>
            </w:r>
            <w:r>
              <w:rPr>
                <w:rStyle w:val="IndexLink"/>
                <w:rtl w:val="true"/>
              </w:rPr>
              <w:tab/>
            </w:r>
            <w:r>
              <w:rPr>
                <w:rStyle w:val="IndexLink"/>
              </w:rPr>
              <w:t>26</w:t>
            </w:r>
          </w:hyperlink>
        </w:p>
        <w:p>
          <w:pPr>
            <w:pStyle w:val="Contents2"/>
            <w:tabs>
              <w:tab w:val="clear" w:pos="8743"/>
              <w:tab w:val="right" w:pos="9026" w:leader="dot"/>
            </w:tabs>
            <w:rPr/>
          </w:pPr>
          <w:hyperlink w:anchor="__RefHeading___Toc2624366_3804643083">
            <w:r>
              <w:rPr>
                <w:webHidden/>
                <w:rStyle w:val="IndexLink"/>
              </w:rPr>
              <w:t>4</w:t>
            </w:r>
            <w:r>
              <w:rPr>
                <w:rStyle w:val="IndexLink"/>
                <w:rtl w:val="true"/>
              </w:rPr>
              <w:t>ـ مسألة الجبر والتفويض</w:t>
            </w:r>
            <w:r>
              <w:rPr>
                <w:rStyle w:val="IndexLink"/>
                <w:rtl w:val="true"/>
              </w:rPr>
              <w:tab/>
            </w:r>
            <w:r>
              <w:rPr>
                <w:rStyle w:val="IndexLink"/>
              </w:rPr>
              <w:t>26</w:t>
            </w:r>
          </w:hyperlink>
        </w:p>
        <w:p>
          <w:pPr>
            <w:pStyle w:val="Contents2"/>
            <w:tabs>
              <w:tab w:val="clear" w:pos="8743"/>
              <w:tab w:val="right" w:pos="9026" w:leader="dot"/>
            </w:tabs>
            <w:rPr/>
          </w:pPr>
          <w:hyperlink w:anchor="__RefHeading___Toc2624368_3804643083">
            <w:r>
              <w:rPr>
                <w:webHidden/>
                <w:rStyle w:val="IndexLink"/>
              </w:rPr>
              <w:t>5</w:t>
            </w:r>
            <w:r>
              <w:rPr>
                <w:rStyle w:val="IndexLink"/>
                <w:rtl w:val="true"/>
              </w:rPr>
              <w:t>ـ مسألة الحدوث والقِدَم</w:t>
            </w:r>
            <w:r>
              <w:rPr>
                <w:rStyle w:val="IndexLink"/>
                <w:rtl w:val="true"/>
              </w:rPr>
              <w:tab/>
            </w:r>
            <w:r>
              <w:rPr>
                <w:rStyle w:val="IndexLink"/>
              </w:rPr>
              <w:t>27</w:t>
            </w:r>
          </w:hyperlink>
        </w:p>
        <w:p>
          <w:pPr>
            <w:pStyle w:val="Contents2"/>
            <w:tabs>
              <w:tab w:val="clear" w:pos="8743"/>
              <w:tab w:val="right" w:pos="9026" w:leader="dot"/>
            </w:tabs>
            <w:rPr/>
          </w:pPr>
          <w:hyperlink w:anchor="__RefHeading___Toc2624370_3804643083">
            <w:r>
              <w:rPr>
                <w:webHidden/>
                <w:rStyle w:val="IndexLink"/>
              </w:rPr>
              <w:t>6</w:t>
            </w:r>
            <w:r>
              <w:rPr>
                <w:rStyle w:val="IndexLink"/>
                <w:rtl w:val="true"/>
              </w:rPr>
              <w:t xml:space="preserve"> </w:t>
            </w:r>
            <w:r>
              <w:rPr>
                <w:rStyle w:val="IndexLink"/>
                <w:rtl w:val="true"/>
              </w:rPr>
              <w:t>ـ مسألة المعاد</w:t>
            </w:r>
            <w:r>
              <w:rPr>
                <w:rStyle w:val="IndexLink"/>
                <w:rtl w:val="true"/>
              </w:rPr>
              <w:tab/>
            </w:r>
            <w:r>
              <w:rPr>
                <w:rStyle w:val="IndexLink"/>
              </w:rPr>
              <w:t>28</w:t>
            </w:r>
          </w:hyperlink>
        </w:p>
        <w:p>
          <w:pPr>
            <w:pStyle w:val="Contents2"/>
            <w:tabs>
              <w:tab w:val="clear" w:pos="8743"/>
              <w:tab w:val="right" w:pos="9026" w:leader="dot"/>
            </w:tabs>
            <w:rPr/>
          </w:pPr>
          <w:hyperlink w:anchor="__RefHeading___Toc2624372_3804643083">
            <w:r>
              <w:rPr>
                <w:webHidden/>
                <w:rStyle w:val="IndexLink"/>
              </w:rPr>
              <w:t>7</w:t>
            </w:r>
            <w:r>
              <w:rPr>
                <w:rStyle w:val="IndexLink"/>
                <w:rtl w:val="true"/>
              </w:rPr>
              <w:t>ـ مسألة جهنم والعذاب</w:t>
            </w:r>
            <w:r>
              <w:rPr>
                <w:rStyle w:val="IndexLink"/>
                <w:rtl w:val="true"/>
              </w:rPr>
              <w:tab/>
            </w:r>
            <w:r>
              <w:rPr>
                <w:rStyle w:val="IndexLink"/>
              </w:rPr>
              <w:t>29</w:t>
            </w:r>
          </w:hyperlink>
        </w:p>
        <w:p>
          <w:pPr>
            <w:pStyle w:val="Contents2"/>
            <w:tabs>
              <w:tab w:val="clear" w:pos="8743"/>
              <w:tab w:val="right" w:pos="9026" w:leader="dot"/>
            </w:tabs>
            <w:rPr/>
          </w:pPr>
          <w:hyperlink w:anchor="__RefHeading___Toc2624374_3804643083">
            <w:r>
              <w:rPr>
                <w:webHidden/>
                <w:rStyle w:val="IndexLink"/>
              </w:rPr>
              <w:t>8</w:t>
            </w:r>
            <w:r>
              <w:rPr>
                <w:rStyle w:val="IndexLink"/>
                <w:rtl w:val="true"/>
              </w:rPr>
              <w:t xml:space="preserve"> </w:t>
            </w:r>
            <w:r>
              <w:rPr>
                <w:rStyle w:val="IndexLink"/>
                <w:rtl w:val="true"/>
              </w:rPr>
              <w:t>ـ مسألة الجنة ونعيمها</w:t>
            </w:r>
            <w:r>
              <w:rPr>
                <w:rStyle w:val="IndexLink"/>
                <w:rtl w:val="true"/>
              </w:rPr>
              <w:tab/>
            </w:r>
            <w:r>
              <w:rPr>
                <w:rStyle w:val="IndexLink"/>
              </w:rPr>
              <w:t>29</w:t>
            </w:r>
          </w:hyperlink>
        </w:p>
        <w:p>
          <w:pPr>
            <w:pStyle w:val="Contents2"/>
            <w:tabs>
              <w:tab w:val="clear" w:pos="8743"/>
              <w:tab w:val="right" w:pos="9026" w:leader="dot"/>
            </w:tabs>
            <w:rPr/>
          </w:pPr>
          <w:hyperlink w:anchor="__RefHeading___Toc2624376_3804643083">
            <w:r>
              <w:rPr>
                <w:webHidden/>
                <w:rStyle w:val="IndexLink"/>
                <w:rtl w:val="true"/>
              </w:rPr>
              <w:t>المصادر</w:t>
            </w:r>
            <w:r>
              <w:rPr>
                <w:rStyle w:val="IndexLink"/>
                <w:rtl w:val="true"/>
              </w:rPr>
              <w:tab/>
            </w:r>
            <w:r>
              <w:rPr>
                <w:rStyle w:val="IndexLink"/>
              </w:rPr>
              <w:t>31</w:t>
            </w:r>
          </w:hyperlink>
        </w:p>
        <w:p>
          <w:pPr>
            <w:pStyle w:val="Contents2"/>
            <w:tabs>
              <w:tab w:val="clear" w:pos="8743"/>
              <w:tab w:val="right" w:pos="9026" w:leader="dot"/>
            </w:tabs>
            <w:rPr/>
          </w:pPr>
          <w:hyperlink w:anchor="__RefHeading___Toc2624378_3804643083">
            <w:r>
              <w:rPr>
                <w:webHidden/>
                <w:rStyle w:val="IndexLink"/>
                <w:rtl w:val="true"/>
              </w:rPr>
              <w:t>چكيده</w:t>
            </w:r>
            <w:r>
              <w:rPr>
                <w:rStyle w:val="IndexLink"/>
                <w:rtl w:val="true"/>
              </w:rPr>
              <w:tab/>
            </w:r>
            <w:r>
              <w:rPr>
                <w:rStyle w:val="IndexLink"/>
              </w:rPr>
              <w:t>35</w:t>
            </w:r>
          </w:hyperlink>
        </w:p>
        <w:p>
          <w:pPr>
            <w:pStyle w:val="Contents2"/>
            <w:tabs>
              <w:tab w:val="clear" w:pos="8743"/>
              <w:tab w:val="right" w:pos="9026" w:leader="dot"/>
            </w:tabs>
            <w:rPr/>
          </w:pPr>
          <w:hyperlink w:anchor="__RefHeading___Toc2624380_3804643083">
            <w:r>
              <w:rPr>
                <w:webHidden/>
                <w:rStyle w:val="IndexLink"/>
              </w:rPr>
              <w:t>BOOK SUMMARY</w:t>
            </w:r>
            <w:r>
              <w:rPr>
                <w:rStyle w:val="IndexLink"/>
                <w:rtl w:val="true"/>
              </w:rPr>
              <w:tab/>
            </w:r>
            <w:r>
              <w:rPr>
                <w:rStyle w:val="IndexLink"/>
              </w:rPr>
              <w:t>36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42_14301"/>
      <w:bookmarkStart w:id="1" w:name="pg2342_14301"/>
      <w:bookmarkEnd w:id="1"/>
    </w:p>
    <w:p>
      <w:pPr>
        <w:pStyle w:val="Heading2"/>
        <w:numPr>
          <w:ilvl w:val="1"/>
          <w:numId w:val="1"/>
        </w:numPr>
        <w:rPr/>
      </w:pPr>
      <w:bookmarkStart w:id="2" w:name="pg2342_14301"/>
      <w:bookmarkStart w:id="3" w:name="__RefHeading___Toc2624352_3804643083"/>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سيدان، سيد جعفر، </w:t>
      </w:r>
      <w:r>
        <w:rPr>
          <w:rFonts w:ascii="Amiri" w:hAnsi="Amiri" w:eastAsia="Amiri" w:cs="Amiri"/>
          <w:color w:val="111111"/>
          <w:sz w:val="28"/>
          <w:sz w:val="28"/>
          <w:szCs w:val="28"/>
          <w:lang w:bidi="ar-SA"/>
        </w:rPr>
        <w:t>۱۳۱۳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قراردادي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ما در گفت و‌گوهاي 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طريقتنا في المحاورات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جعفر سيّدان؛ المترجم عبدالحليم عوض حلّي؛ التصحيح الشيخ غلام رضا فاضليّ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w:t>
      </w:r>
      <w:r>
        <w:rPr>
          <w:rFonts w:ascii="Amiri" w:hAnsi="Amiri" w:eastAsia="Amiri" w:cs="Amiri"/>
          <w:color w:val="111111"/>
          <w:sz w:val="28"/>
          <w:sz w:val="28"/>
          <w:szCs w:val="28"/>
          <w:lang w:bidi="ar-SA"/>
        </w:rPr>
        <w:t>۱۳۹۳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مناظره ـ ـ جنبه‌هاي مذهبي ـ ـ 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مناظره ـ ـ جنبه‌هاي قرآني</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حلي، عبدالحليم،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خبيري، حميد، مصحح</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۹۰۴۳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۴۸۴</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۳۵۰۶۱۰۱</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طريقتنا في المحاورات العلميّة</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جعفر سيّدان</w:t>
      </w:r>
    </w:p>
    <w:p>
      <w:pPr>
        <w:pStyle w:val="BookText"/>
        <w:rPr/>
      </w:pP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عوض الحلّي</w:t>
      </w:r>
    </w:p>
    <w:p>
      <w:pPr>
        <w:pStyle w:val="BookText"/>
        <w:rPr/>
      </w:pPr>
      <w:r>
        <w:rPr>
          <w:rFonts w:ascii="Amiri" w:hAnsi="Amiri" w:eastAsia="Amiri" w:cs="Amiri"/>
          <w:color w:val="111111"/>
          <w:sz w:val="28"/>
          <w:sz w:val="28"/>
          <w:szCs w:val="28"/>
          <w:rtl w:val="true"/>
          <w:lang w:bidi="ar-SA"/>
        </w:rPr>
        <w:t>التصحيح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غلام رضا الفاضليّ</w:t>
      </w:r>
    </w:p>
    <w:p>
      <w:pPr>
        <w:pStyle w:val="BookText"/>
        <w:rPr/>
      </w:pPr>
      <w:r>
        <w:rPr>
          <w:rFonts w:ascii="Amiri" w:hAnsi="Amiri" w:eastAsia="Amiri" w:cs="Amiri"/>
          <w:color w:val="111111"/>
          <w:sz w:val="28"/>
          <w:sz w:val="28"/>
          <w:szCs w:val="28"/>
          <w:rtl w:val="true"/>
          <w:lang w:bidi="ar-SA"/>
        </w:rPr>
        <w:t>تقويم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حميد الخبيريّ</w:t>
      </w:r>
    </w:p>
    <w:p>
      <w:pPr>
        <w:pStyle w:val="BookText"/>
        <w:rPr/>
      </w:pPr>
      <w:r>
        <w:rPr>
          <w:rFonts w:ascii="Amiri" w:hAnsi="Amiri" w:eastAsia="Amiri" w:cs="Amiri"/>
          <w:color w:val="111111"/>
          <w:sz w:val="28"/>
          <w:sz w:val="28"/>
          <w:szCs w:val="28"/>
          <w:rtl w:val="true"/>
          <w:lang w:bidi="ar-SA"/>
        </w:rPr>
        <w:t>تنضيد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الجعفريّ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الولاية للنشر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مراكز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ـ مشهد المقدسة ـ منشورات الولاية ـ نقال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00989151576003</w:t>
      </w:r>
    </w:p>
    <w:p>
      <w:pPr>
        <w:pStyle w:val="BookText"/>
        <w:rPr/>
      </w:pPr>
      <w:r>
        <w:rPr>
          <w:rFonts w:ascii="Amiri" w:hAnsi="Amiri" w:eastAsia="Amiri" w:cs="Amiri"/>
          <w:color w:val="111111"/>
          <w:sz w:val="28"/>
          <w:sz w:val="28"/>
          <w:szCs w:val="28"/>
          <w:rtl w:val="true"/>
          <w:lang w:bidi="ar-SA"/>
        </w:rPr>
        <w:t xml:space="preserve">قم المقدسة ـ شارع الصفائية ـ مجتمع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الطابق الأرضي ـ رقم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00982537833624</w:t>
      </w:r>
    </w:p>
    <w:p>
      <w:pPr>
        <w:pStyle w:val="BookText"/>
        <w:rPr/>
      </w:pPr>
      <w:r>
        <w:rPr>
          <w:rFonts w:ascii="Amiri" w:hAnsi="Amiri" w:eastAsia="Amiri" w:cs="Amiri"/>
          <w:color w:val="111111"/>
          <w:sz w:val="28"/>
          <w:sz w:val="28"/>
          <w:szCs w:val="28"/>
          <w:rtl w:val="true"/>
          <w:lang w:bidi="ar-SA"/>
        </w:rPr>
        <w:t>عراق ـ النجف الاشرف ـ نهاية شارع الرسول ـ قرب مدرسة النضال ـ نقال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009648802450230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334072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24354_380464308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وَالـمَوعِظَةِ الـحَسَنَة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العلم والمعرفة أفضل وأكبر النِّعم الإلهيّة المهداة لعباد اللّه الصالحين لأنّه بالعلم يُعينهم اللّه على عبوديّته وبه يخضعون له، وهو من أكبر النّعم التي بها يفتخرون في حياتهم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والعلماء الربانيّون والعرفاء الإلهيّون هم من يستضيئون بهدى الأنبياء والأئمّة… عليهم السلام …  ولا يشعرون بالتَّعب أو الملل أبداً في سلوك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العلم والعمل، ويتجنّبون الطُرُق الأُخرى التي لا تنتهي بهم إلى نيل معارف الأئمّة… عليهم السلام …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تهدف هذه المؤسّسة ـ التي تأسّست بدافع إحياء آثار هذه الثلَّة المخلصة التي تحملت على عاتقها مهمّة الدفاع عن معارف الوحي والعلوم الإلهيّة الأصيلة ـ إلى نشر هذا الفكر عبر الوسائل العصريّة المتاحة ومن اللّه التوفيق</w:t>
      </w:r>
      <w:r>
        <w:rPr>
          <w:rFonts w:eastAsia="Amiri" w:cs="Amiri" w:ascii="Amiri" w:hAnsi="Amiri"/>
          <w:color w:val="111111"/>
          <w:sz w:val="28"/>
          <w:szCs w:val="28"/>
          <w:rtl w:val="true"/>
          <w:lang w:bidi="ar-SA"/>
        </w:rPr>
        <w:t>.</w:t>
      </w:r>
      <w:bookmarkStart w:id="7" w:name="pg2342_14312"/>
    </w:p>
    <w:p>
      <w:pPr>
        <w:pStyle w:val="Heading2"/>
        <w:numPr>
          <w:ilvl w:val="1"/>
          <w:numId w:val="1"/>
        </w:numPr>
        <w:rPr/>
      </w:pPr>
      <w:bookmarkStart w:id="8" w:name="__RefHeading___Toc2624356_3804643083"/>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مقدّمة المترجم</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مسألة نسبة الحقّ تعالى مع الكائنات</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مسألة فاعليّة اللّه تعالى</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مسألة علم اللّه سبحانه وإرادته</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مسألة الجبر والتفويض</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مسألة الحدوث والقِدَم</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مسألة المعاد</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مسألة جهنم والعذاب</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مسألة الجنة ونعيمها</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lang w:bidi="fa-IR"/>
        </w:rPr>
        <w:t>32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ملخّص الفارسيّ والإنجليزيّ</w:t>
      </w:r>
      <w:r>
        <w:rPr>
          <w:rFonts w:eastAsia="Amiri" w:cs="Amiri" w:ascii="Amiri" w:hAnsi="Amiri"/>
          <w:color w:val="111111"/>
          <w:sz w:val="28"/>
          <w:szCs w:val="28"/>
          <w:lang w:bidi="ar-SA"/>
        </w:rPr>
        <w:t>36</w:t>
      </w:r>
      <w:bookmarkStart w:id="10" w:name="pg2342_14316"/>
    </w:p>
    <w:p>
      <w:pPr>
        <w:pStyle w:val="Heading2"/>
        <w:numPr>
          <w:ilvl w:val="1"/>
          <w:numId w:val="1"/>
        </w:numPr>
        <w:rPr/>
      </w:pPr>
      <w:bookmarkStart w:id="11" w:name="__RefHeading___Toc2624358_3804643083"/>
      <w:bookmarkStart w:id="12" w:name="_Toc4"/>
      <w:bookmarkEnd w:id="10"/>
      <w:bookmarkEnd w:id="11"/>
      <w:r>
        <w:rPr>
          <w:rtl w:val="true"/>
        </w:rPr>
        <w:t>مقدّمة المترجم</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 المرسلين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لا‌يخفى على الباحثين أنّ مصدر المعارف الحقّة في شريعتنا المقدّسة القرآن الكريم وأحاديث رسوله الكريم وعترته الطاهرة صلوات اللّه عليهم أجمعين، وعليه فنحن مأمورون بمدارسة نصوص الشريعة والتأمّل والتدقيق فيها والأخذ بظواهرها من غير فرق بين مسائل الأحكام الشرعيّة أو مسائل الاعتقاديّة أو المسائل الأخلاقيّة، كلّ ذلك لثبوت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سلك هذا السبيل فقد نجى واهتدى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يسلك البعض سبيلاً غير هذا فيعطي لمصادر أخرى غير الكتاب والسنّة منزلة أكبر، ويرجّح ما يستفيده من تلك المصادر على ما يستفيده من ظاهر النصوص، ونقول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وهذا الطريق لم نكن اُمِرْنا باتّباعه، ومن سلك هذا الطريق كانت نتائجه واعتقاداته تختلف عن نتائج واعتقادات من سلك طريق الكتاب والسنّة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تصدّى السيّد الأستاذ جعفر سيّدان لمن اتّبع سبل غير القرآن الكريم والسنّة الشريفة وأوضح أنّ ما تُوصله إليه طرقهم غير ما تُوصل إليه</w:t>
      </w:r>
    </w:p>
    <w:p>
      <w:pPr>
        <w:pStyle w:val="BookText"/>
        <w:rPr/>
      </w:pPr>
      <w:r>
        <w:rPr>
          <w:rFonts w:ascii="Amiri" w:hAnsi="Amiri" w:eastAsia="Amiri" w:cs="Amiri"/>
          <w:color w:val="111111"/>
          <w:sz w:val="28"/>
          <w:sz w:val="28"/>
          <w:szCs w:val="28"/>
          <w:rtl w:val="true"/>
          <w:lang w:bidi="ar-SA"/>
        </w:rPr>
        <w:t>نصوص الشريعة المقدّسة التي أمرنا الشارع المقدّس باتّباعها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يدي القارئ الكريم مجموعة محاضرات ألقاها السيّد الأستاذ جعفر سيّدان على مجموعة من طلّاب الحوزة العلميّة في مشهد المقدّسة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شمسية باللغة الفارسيّة، وقد آثرنا ترجمتها إلى اللغة العربيّة ليستفيد منها الباحثون ويطّلع عليها المفكّرون في تلك اللغة، وقد أوضح السيّد الأستاذ فيها لزوم اتّباع الأساليب العقليّة في المحاورات العلميّة، وبيّن بعض الآيات والروايات الدالّة على لزوم اتّباع القرآن الكريم وروايات السنّة الشريفة في الأحكام الشرعيّة والمعارف الحقّة، كما بيّن نماذج من الاستفادات الخاطئة والتفسيرات غير المناسبة لبعض آيات الذكر الحكيم، وختم البحث ببيان بعض اختلافات العقائد الحقّة عن العقائد التي توصّل إليها العرفاء والفلاسفة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مشهد المقدّسة</w:t>
      </w:r>
    </w:p>
    <w:p>
      <w:pPr>
        <w:pStyle w:val="BookText"/>
        <w:rPr/>
      </w:pPr>
      <w:r>
        <w:rPr>
          <w:rFonts w:ascii="Amiri" w:hAnsi="Amiri" w:eastAsia="Amiri" w:cs="Amiri"/>
          <w:color w:val="111111"/>
          <w:sz w:val="28"/>
          <w:sz w:val="28"/>
          <w:szCs w:val="28"/>
          <w:rtl w:val="true"/>
          <w:lang w:bidi="ar-SA"/>
        </w:rPr>
        <w:t>عبد الحليم عوض الحلّي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طرحت عليّ أسئلة كثيرة بعضها مكتوبة، وبعضها شفويّة من قِبَل بعض المراكز العلميّة ومن قِبَل بعض المحقّقين الأعزّاء فيما يخصّ المحاورات في المعارف الإسلاميّة، ولابدّ من التذكير بأنّ من جملة المسائل المهمّة المؤثّرة في تكامل المجتمعات البشريّة وسعادتها هي محاورات أهل الفضل والفضيلة في المجالات المختلفة؛ العلميّة والأخلاقيّة،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البديهيّ أنّ تبادل الأفكار وتضارب النظريّات يولّد وينتج معارف ويوضّح مجهولات، ويكشف عن حقائق، قال الإمام الحسين… عليه السلام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الْعِلْمِ لِقَاحُ المَعْرِفَة</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الموارد التي لها تاريخ طويل في المحاورات ـ ومع وجود اختلافات لأصحاب الرأي في هذا المجال ـ والتي أثمرت نتائج مطلوبة ضمن شرائط</w:t>
      </w:r>
    </w:p>
    <w:p>
      <w:pPr>
        <w:pStyle w:val="BookText"/>
        <w:rPr/>
      </w:pPr>
      <w:r>
        <w:rPr>
          <w:rFonts w:ascii="Amiri" w:hAnsi="Amiri" w:eastAsia="Amiri" w:cs="Amiri"/>
          <w:color w:val="111111"/>
          <w:sz w:val="28"/>
          <w:sz w:val="28"/>
          <w:szCs w:val="28"/>
          <w:rtl w:val="true"/>
          <w:lang w:bidi="ar-SA"/>
        </w:rPr>
        <w:t>خاصّة؛ ألا وهو التحقيقُ في المسائل الاعتقاديّة والمعارفيّة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غضّ النظر عمّا وقع في الماضي، وعن كيفيّة تعامل أصحاب النظريّات والآراء المختلفة مع بعضهم البعض،</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وبالجملة هذه طرق ثلاثة في البحث عن الحقايق والكشف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الظواهر الدينية، وطريق البحث العقلي، وطريق تصفية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لا تري اهل كلّ فن من هذه الفنون إلّا ترمي غيره بجهالة أو زندقة أو سفاهة رأي والعامة تتبري منهم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وبكل إحترام وأدب اُذكّر المجاميع العلميّة الحوزويّة والأكاديميّة وكذا العلماء الأعزّاء الذين اتّفقوا على قبول الوحي ببعض الملاحظات المهمّة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لابدّ أن يكون الهدف من المحاورة والمناظرة وأيّ طريق آخر معدّ لبيان الآراء المختلفة ونقدها وتنقيحها هو الوصول إلى الحقّ، والتحقيق لكشف الحقيقة والواقع، والالتزام به، كما لو فُقد جوهر ثمين وراح جمع يبحثون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والمحاورات العلميّة يجب أن تكون ملازمة لطلب الحقّ، بحيث إنّه إذا كان جماعة على الحقّ ولكن كانوا ضعفاء في الاستدلال على مدّعاهم، أسرعت المجموعة الأخرى لمساعدتهم، وساعدت نفسها وتلك الجماعة في سبيل الوصول للحقّ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مراعاة الآداب، والأخلاق، والحقوق الإنسانيّة والإسلاميّة في</w:t>
      </w:r>
    </w:p>
    <w:p>
      <w:pPr>
        <w:pStyle w:val="BookText"/>
        <w:rPr/>
      </w:pPr>
      <w:r>
        <w:rPr>
          <w:rFonts w:ascii="Amiri" w:hAnsi="Amiri" w:eastAsia="Amiri" w:cs="Amiri"/>
          <w:color w:val="111111"/>
          <w:sz w:val="28"/>
          <w:sz w:val="28"/>
          <w:szCs w:val="28"/>
          <w:rtl w:val="true"/>
          <w:lang w:bidi="ar-SA"/>
        </w:rPr>
        <w:t>المناظرات العلميّة، وأن يُقتصر على طرح الآراء والنظريّات والنقض والإبرام وتبيين وشرح المطالب المقصودة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يُجتنب استعمال العبارات الركيكة، وأن لا يُنسب للطرف المقابل أموراً موهنة والتي غالباً ما تكشف عن ضعف استدلال الموهِن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إهانة الشخصيّات في المناظرة وهتك حرمتهم وشخصيّتهم، وإن كان مؤثراً في نفوس البسطاء، لكنّه يعطي نتيجة معكوسة عند أهل العلم والفهم والانصاف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أن لا تُخلط الاختلافات العلميّة مع الآراء والنظريّات السياسيّة التي لا ربط لها بها، فإنّ هذا الخلط كاشف عن عدم الانصاف وعن الضعف العلميّ، فكم من العلماء كانت سيرتهم السياسيّة وطريقهم الاجتماعيّة مشتركة لكنّهم مختلفين في المجالات العلميّة والاعتقاديّة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وبالعكس فإنّ كثيراً منهم اختلف في الأمور السياسيّة والاجتماعيّة، ولكنّهم اتّفقوا في المطالب العلميّة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وبنظرة عابرة للحياة العلميّة والسياسيّة للشخصيّات المعروفة في التاريخ 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شمسيّة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نعثر بينهم على أفراد مالوا إلى الفلسفة والعرفان الاصطلاحيّين، ولكن في سيرتهم الاجتماعيّة والسياسيّة اختلفوا مع مؤيّدي الفلاسفة والعرفاء وأيضاً يوجد أشخاص يختلفون في المباحث العرفانيّة والفلسفيّة، ولكن مع ذلك عندهم وحدة نظر في السيرة السياسيّة والاجتماعيّة، وتراهم متّحدين في</w:t>
      </w:r>
    </w:p>
    <w:p>
      <w:pPr>
        <w:pStyle w:val="BookText"/>
        <w:rPr/>
      </w:pPr>
      <w:r>
        <w:rPr>
          <w:rFonts w:ascii="Amiri" w:hAnsi="Amiri" w:eastAsia="Amiri" w:cs="Amiri"/>
          <w:color w:val="111111"/>
          <w:sz w:val="28"/>
          <w:sz w:val="28"/>
          <w:szCs w:val="28"/>
          <w:rtl w:val="true"/>
          <w:lang w:bidi="ar-SA"/>
        </w:rPr>
        <w:t>جبهات القتال في خندق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لابدّ أن لا يصل التحفّظ المطلوب على حرمة الشخصيّات العلميّة إلى حدّ المنع من التحقيق فتصير شهرتهم سدّاً يمنع المحقّق من الخوض في مجاله فقد قال أميرالمؤمنين… عليه السلام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إعْرِفِ الحَقَّ تَعْرِفْ أَهْلَه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وما أجمل كلام الإمام الصادق… عليه السلام … وأحكمه وأهداه ـ وكلّ كلاماته كذلك ـ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أَنْ تَنْصِبَ رَجُلاً دُونَ الحُجَّةِ، فَتُصَدِّقَهُ فِي كُلِّ مَا قَالَ</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نعم، إنّ أحد السدود الحديديّة والموانع الكبيرة المانعة عن الوصول إلى الحقّ هي أن يهاب الإنسان من شخصيّة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ينبغي رعاية حرمة الأشخاص، لكن إلى حدّ لا يخلّ بالتحقيق والتدقيق، ومن الواضح أنّ النقد والتقييم المنطقي والصحيح بالنسبة إلي المطالب غير الصحيحة للمشاهير والعظماء لا يكون عملاً مخالفاً للصواب وغير جيّد، بل أنّ تصحيح جميع النظريّات يجب أسلوباً خاطئاً يؤدّي إلى الركود العلمي والتوقّف في طريق التكامل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التدقيق والنقد هو السبيل الموصل إلى التكامل العلمي، وعلى هذا</w:t>
      </w:r>
    </w:p>
    <w:p>
      <w:pPr>
        <w:pStyle w:val="BookText"/>
        <w:rPr/>
      </w:pPr>
      <w:r>
        <w:rPr>
          <w:rFonts w:ascii="Amiri" w:hAnsi="Amiri" w:eastAsia="Amiri" w:cs="Amiri"/>
          <w:color w:val="111111"/>
          <w:sz w:val="28"/>
          <w:sz w:val="28"/>
          <w:szCs w:val="28"/>
          <w:rtl w:val="true"/>
          <w:lang w:bidi="ar-SA"/>
        </w:rPr>
        <w:t xml:space="preserve">الأساس فيجب أن لا يصير المنع الشديد من قبل مشاهير الفقه ومراجع الدين العظام بالنسبة لقراءة الفلسفة والعرفان ومدارستهما، مانعاً للمحقّق الذي يبحث في المسائل الفلسفيّة والعرفانيّة الرائجة والمتداولة بقصد المحاورات الضروريّة، وكذلك لا يمنعه من التحقيق في نقد المطالب الفلسفيّة والعرفانيّة، ما ينسبه بعض الفلاسفة والعرفاء من الجهل لمن ينتقدهم، بل يجب أن يكمل بحثه وتحقيقه بطراوة ودقّة بحيث يتلائم مع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أتباع الدليل نميل حيث يميل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يجوز أن يُتوهّم أنّ كلّ من قِبَل الفلسفة والعرفان واعتقد بهما عارف بهما، كما لا يجوز أن يُتوهّم أنّ من لم يقبل ولا يعتقد بالفلسفة والعرفان، جاهلٌ وغير عارف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 الأشخاص الذين عندهم معرفة تامّة بالفلسفة والعرفان ـ ومؤيّدون من قِبَل عموم أهل الفنّ، وخاصة مدرِّسي تلك المطالب المذكورة ولكنّهم في نفس الوقت ـ كانوا من الناقدين المهمِّين للعرفان والفلسفة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التوجّه إلى ما جاء في أوائل هذا المقال من أنّ المخاطب بهذا الكلام هو من قِبَل الكتاب الكريم والعترة الطاهرة بالتعقّل، فعليه من المناسب أن تكون مطالب الوحي مورداً للعناية والدقة والتوجّه أكثر وأحسن، وأن لا يغفل عن التعقّل فيها، وأن نتنبّه أكثر إلى أنّ أيَّ منبع معرفيّ لا يمكن أن يكون مثل الوحي في بيان الحقائق، فإنّ الوحي نابع من علم اللّه تعالى غير المتناهي، والذي لا يُخطأ، وأنّه غير قابل للمقايسة</w:t>
      </w:r>
    </w:p>
    <w:p>
      <w:pPr>
        <w:pStyle w:val="BookText"/>
        <w:rPr/>
      </w:pPr>
      <w:r>
        <w:rPr>
          <w:rFonts w:ascii="Amiri" w:hAnsi="Amiri" w:eastAsia="Amiri" w:cs="Amiri"/>
          <w:color w:val="111111"/>
          <w:sz w:val="28"/>
          <w:sz w:val="28"/>
          <w:szCs w:val="28"/>
          <w:rtl w:val="true"/>
          <w:lang w:bidi="ar-SA"/>
        </w:rPr>
        <w:t>والمقارنة مع سائر المنابع المعرفيّة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المناسب للعاقل أن يستخدم نور عقله في هذا النبع الفريد، كي يستفيد من جواهره الثمينة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لأجل التوجّه للمطالب المذكورة بشكل أكثر، لا بأس بالإشارة إلى الآيات الشريفة والروايات المأثورة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 كِتابٌ أَنْزَلناهُ إِلَيكَ لِتُخْرِجَ النَّاسَ مِنَ الظُلُماتِ إِلى النُورِ بِإِذْنِ رَبِّهِمْ إِلَى صِراطِ العَزيزِ الحَمِيدِ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جَاءَكُمْ مِنَ اللهِ نُورٌ وَكِتابٌ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رِضْوانَهُ سُبُلَ السَّلامِ وَيُخْرِجُهُم مِنَ الظُلُماتِ إِلى النُورِ بِإذنِه وَيَهدِيهِمْ إِلى صِراطٍ مُستَقِيمٍ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القُرآن يَهدِي لِلَّتي هِيَ أَقْوَمُ وَيُبَشِّرُ المُؤمِنِينَ الَّذِينَ يَعْمَلُونَ الصّالِحاتِ أَنَّ لَهم أَجْراً كَبيراً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المذكورة نموذج من كلام الوحي الذي تؤكّد بوضوح وصراحة على</w:t>
      </w:r>
    </w:p>
    <w:p>
      <w:pPr>
        <w:pStyle w:val="BookText"/>
        <w:rPr/>
      </w:pPr>
      <w:r>
        <w:rPr>
          <w:rFonts w:ascii="Amiri" w:hAnsi="Amiri" w:eastAsia="Amiri" w:cs="Amiri"/>
          <w:color w:val="111111"/>
          <w:sz w:val="28"/>
          <w:sz w:val="28"/>
          <w:szCs w:val="28"/>
          <w:rtl w:val="true"/>
          <w:lang w:bidi="ar-SA"/>
        </w:rPr>
        <w:t>لزوم الرجوع إلى الكتاب الكريم، وتذكّر بأنّ هذا الكتاب، بيّن ومبيّن، بديهيّ أنّ المعارف والمسائل التوحيديّة والإعتقاديّة هي أهمّ حقائق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فعلى المعتقدين بمدرسة الوحي أن يستفيدوا من القرآن أكثر من أيّ شيء، حتّى يصانوا من ظلمات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أكّدت الروايات المتواترة على هذه الحقيقة، نذكر لكم بعضها 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 السلام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تَذْهَبُونَ</w:t>
      </w:r>
      <w:r>
        <w:rPr>
          <w:rStyle w:val="FootnoteAnchor"/>
          <w:rtl w:val="true"/>
        </w:rPr>
        <w:footnoteReference w:id="10"/>
      </w:r>
      <w:r>
        <w:rPr>
          <w:rFonts w:ascii="Amiri" w:hAnsi="Amiri" w:eastAsia="Amiri" w:cs="Amiri"/>
          <w:color w:val="111111"/>
          <w:sz w:val="28"/>
          <w:sz w:val="28"/>
          <w:szCs w:val="28"/>
          <w:rtl w:val="true"/>
          <w:lang w:bidi="ar-SA"/>
        </w:rPr>
        <w:t>وَأَنَّى تُؤْفَكُونَ وَالْأَعْلَامُ قَائِمَةٌ وَالْآيَاتُ وَاضِحَةٌ وَالمَنَارُ مَنْصُوبَةٌ، فَأَيْنَ يُتَاهُ بِكُمْ وَكَيْفَ تَعْمَهُون وَبَيْنَكُمْ عِتْرَةُ نَبِيِّكُمْ وَهُمْ أَزِمَّةُ الْحَقِّ وَأَعْلَامُ الدِّينِ وَأَلْسِنَةُ الصِّدْقِ، فَأَنْزِلُوهُمْ بِأَحْسَنِ مَنَازِلِ الْقُرْآنِ وَرِدُوهُمْ وُرُودَ الْهِيمِ الْعِطَاش</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محمّد الباقر… عليه السلام … لسلمة وحَكَم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شَرِّقَا وَغَرِّبَا لَن تَجِدَا عِلْماً صَحِيحاً إِلَّا شَيْئاً خَرَجَ مِنْ عِنْدِنَا أَهْلَ‌الْبَيْتِ</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جعفر الصادق… عليه السلام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مَنْ زَعَمَ أَنَّهُ مِنْ شِيعَتِنَا، وَهُوَ مُتَمَسِّكٌ بِعُرْوَةِ غَيْرِنَا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موسى بن جعفر… عليها السلام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مَا بَعَثَ اللهُ أَنْبِيَاءَهُ وَرُسُلَهُ إِلَى عِبَادِهِ إِلَّا لِيَعْقِلُوا عَنِ الله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أي عليهم أن يأخذوا المعارف عن اللّه بواسطة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يُستفاد من الأحاديث المذكورة بوضوح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نموذج من مئات الأحاديث التي جاءت بهذا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والحثّ على الرجوع إلى الوحي وأهل البيت… عليهم السلام … في أخذ المعارف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حثّت مدرسة الوحي الجميع إلى التعقّل ورغّبت الناس في الاستفادة من العقل والقواعد العقليّة الواضحة لإدراك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الاستفادة من المستقلات العقليّة، وكلّ ما يبتني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النقاط المهمّة التي لابدّ من الالتفات إليها في مقام الاستفادة من نصوص الوحي، هي رعاية الضوابط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الفقيه الأصولي في مجال الفقه يستفيد من الضوابط المحققة والثابتة العقلائيّة في فهم عبارات المؤلّفين وكلماتهم، كذلك الأمر في عرصة البحوث العقائديّة</w:t>
      </w:r>
    </w:p>
    <w:p>
      <w:pPr>
        <w:pStyle w:val="BookText"/>
        <w:rPr/>
      </w:pPr>
      <w:r>
        <w:rPr>
          <w:rFonts w:ascii="Amiri" w:hAnsi="Amiri" w:eastAsia="Amiri" w:cs="Amiri"/>
          <w:color w:val="111111"/>
          <w:sz w:val="28"/>
          <w:sz w:val="28"/>
          <w:szCs w:val="28"/>
          <w:rtl w:val="true"/>
          <w:lang w:bidi="ar-SA"/>
        </w:rPr>
        <w:t>والمعارفيّة، فإنّ اللازم الاعتماد والاستناد إلى تلك الضوابط للاستفادة من القرآن والحديث، وأن يُجتنب من التأويلات والإستنباطات والتفسيرات المستندة إلي مبانٍ شخصيّة ـ لا دليل عليها وبعيدة عن الضوابط العقلائيّة ـ بعنوان الرجوع إلي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لا ينسب إلي متون الوحي أيضاً تلك الاستفادات والتأويلات غير الملائمة، والمخالفة للأصول القطعيّة للقرآن والحديث، بعنوان أنّها تأويل وبيان أسرار باطن النصوص المقدّسة وتأويلها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نشير بعنوان المثال إلى بعض التأويلات والاستفادات غير الصحيحة لإبن عربي وللمرحوم الآخوند ملّا صدرا ولبعض آخر من المشاهير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كتاب ممدّ الهمم في شرح فصوص الحكم لأحد مشاهير الفلسفة والعرفان المعاصرين، في بيان مراد ابن عربي في الفصّ الهاروني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موسى… عليه السلام … أعلم بالأمر من هارون لأنّه علم ما عبده أصحاب العجل، لعلمه بأنّ اللّه قد قضى ألّا يعبد إلّا إيّاه وما حكم اللّه بشيء إلّا وقع فكان عتب موسى أخاه هارون لمّا وقع الأمر في إنكاره وعدم اتساعه، فإنّ العارف من يرى الحقّ في كلّ شيء بل يراه عين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شرحه لهذا المقطع</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غرض الشيخ في مثل هذه المسائل ـ في الفصوص والفتوحات وبقية</w:t>
      </w:r>
    </w:p>
    <w:p>
      <w:pPr>
        <w:pStyle w:val="BookText"/>
        <w:rPr/>
      </w:pPr>
      <w:r>
        <w:rPr>
          <w:rFonts w:ascii="Amiri" w:hAnsi="Amiri" w:eastAsia="Amiri" w:cs="Amiri"/>
          <w:color w:val="111111"/>
          <w:sz w:val="28"/>
          <w:sz w:val="28"/>
          <w:szCs w:val="28"/>
          <w:rtl w:val="true"/>
          <w:lang w:bidi="ar-SA"/>
        </w:rPr>
        <w:t>زبره ورسائله ـ بيان أسرار الولاية والباطن لأهل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مقرّين حسب نبوّة التشريع بلزوم إبعاد الناس عن عبادة الأصنام، كما أنكر الأنبياء عبادة الأصنام</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نعلم أنّ القرآن الكريم قد حارب انحراف عبدة العجل بشدّة إلى درجة أنّه أمر في توبتهم أن يقتل بعضهم بعضاً وأمرهم بحرق العجل ونثر رماده في البحر، بيّن شدّة الغضب الإلهيّ، مع هذا كان استفادة ابن عربي وشرّاح أقواله بالصورة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الشارح أيّد عبادة قوم موسى العجل والتي أوجبت غضب اللّه تعالى، ويرى بالصراحة أنّ الذي كان سبباً للعنة الإلهيّة، كان مقبولاً من قِبَل نبي اللّه موسى… عليه السلام … ؛ وأيضاً فإنّ ما أضافه الشارح بين المعقوفتين عجيب، ذلك أنّ إنكار عبادة الأصنام من الأنبياء لعموم الناس ـ التي قبلها الشارح ـ عين الموضوع الذي كان قد أنكره هارون، وإذا كان كذلك فلماذا عاتب موسى… عليه السلام … أخاه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الفصّ النوحي من الشرح القيصري على فصوص الحكم فيما استفاده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خَطِيئاتِهِم أغْرِقُوا فَأُدْخِلُوا نَاراً</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خَطِيئاتِهِم فهي التي خطت بهم فغرقوا في بحار العلم باللّه و هو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جاء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خَطيئاتِهِمْ أُغْرِقُوا فَأُدْخِلُوا ناراً فَلَمْ</w:t>
      </w:r>
    </w:p>
    <w:p>
      <w:pPr>
        <w:pStyle w:val="BookText"/>
        <w:rPr/>
      </w:pPr>
      <w:r>
        <w:rPr>
          <w:rFonts w:ascii="Amiri" w:hAnsi="Amiri" w:eastAsia="Amiri" w:cs="Amiri"/>
          <w:color w:val="111111"/>
          <w:sz w:val="28"/>
          <w:sz w:val="28"/>
          <w:szCs w:val="28"/>
          <w:rtl w:val="true"/>
          <w:lang w:bidi="ar-SA"/>
        </w:rPr>
        <w:t>يَجِدُوا لهُمْ مِنْ دُونِ اللهِ أَنْصارا</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1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التي خطت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ساقهم و سلك بهم إشارةً إلى أنها 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يخطو و يتعدّى أوامرَ اللّه، فيقع في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خطواتهم وقطع مقاماتهم بالسلوك هي التي خطت بهم إلى بحار العلم باللّه، فغرقوا فيها وحاروا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فَأُدْخِلُوا ناراً في عين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فأدخلوا في نار المحبّة والشوق حال كونهم في عين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ناراً كائنة في عين الماء، ليَفنيهم عن أنفسهم ويبقيهم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عين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نار المحبّة المُفنية لهم بأنوار سبحات وجه الحقّ، حصلت لهم واستولت عليهم في عين العلم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العلم</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بحث المعاد من الأسفار</w:t>
      </w:r>
      <w:r>
        <w:rPr>
          <w:rStyle w:val="FootnoteAnchor"/>
          <w:rtl w:val="true"/>
        </w:rPr>
        <w:footnoteReference w:id="18"/>
      </w:r>
      <w:r>
        <w:rPr>
          <w:rFonts w:ascii="Amiri" w:hAnsi="Amiri" w:eastAsia="Amiri" w:cs="Amiri"/>
          <w:color w:val="111111"/>
          <w:sz w:val="28"/>
          <w:sz w:val="28"/>
          <w:szCs w:val="28"/>
          <w:rtl w:val="true"/>
          <w:lang w:bidi="ar-SA"/>
        </w:rPr>
        <w:t>إِنَّ اللهَ يَبْعَثُ مَنْ في القُبُور</w:t>
      </w:r>
      <w:r>
        <w:rPr>
          <w:rStyle w:val="FootnoteAnchor"/>
          <w:rtl w:val="true"/>
        </w:rPr>
        <w:footnoteReference w:id="19"/>
      </w:r>
      <w:r>
        <w:rPr>
          <w:rFonts w:ascii="Amiri" w:hAnsi="Amiri" w:eastAsia="Amiri" w:cs="Amiri"/>
          <w:color w:val="111111"/>
          <w:sz w:val="28"/>
          <w:sz w:val="28"/>
          <w:szCs w:val="28"/>
          <w:rtl w:val="true"/>
          <w:lang w:bidi="ar-SA"/>
        </w:rPr>
        <w:t>قبور الأجساد وقبور الأرواح أعني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نلاحظ أنّ المرحوم الآخوند الملّا صدرا ذهب إلى أنّ القبور بمعنى الأبدان كي يستطيع استنتاج المعاد المثالي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البديهي أنّه لا يمكن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الأبدان، وهذه</w:t>
      </w:r>
    </w:p>
    <w:p>
      <w:pPr>
        <w:pStyle w:val="BookText"/>
        <w:rPr/>
      </w:pPr>
      <w:r>
        <w:rPr>
          <w:rFonts w:ascii="Amiri" w:hAnsi="Amiri" w:eastAsia="Amiri" w:cs="Amiri"/>
          <w:color w:val="111111"/>
          <w:sz w:val="28"/>
          <w:sz w:val="28"/>
          <w:szCs w:val="28"/>
          <w:rtl w:val="true"/>
          <w:lang w:bidi="ar-SA"/>
        </w:rPr>
        <w:t>الاستفادة من القرآن الكريم غير صحيحة، ولا تتلائم مع ما ذكرنا من الضوابط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 الاستنتاجات والاستفادات التي لا دليل عليها، والتي تخالف الضوابط ما استنتجه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الِجبالَ تَحْسَبُها جَامِدَةً وَهِيَ تَمُرُّ مَرَّ السَّحَابِ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استفاد المرحوم الآخوند ملّا صدرا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الإستشهاد بالآيات القرآنيّة الشريفة علي الحركة الجوهريّة من هذه الآية الشريفة،</w:t>
      </w:r>
      <w:r>
        <w:rPr>
          <w:rStyle w:val="FootnoteAnchor"/>
          <w:rtl w:val="true"/>
        </w:rPr>
        <w:footnoteReference w:id="21"/>
      </w:r>
      <w:r>
        <w:rPr>
          <w:rFonts w:ascii="Amiri" w:hAnsi="Amiri" w:eastAsia="Amiri" w:cs="Amiri"/>
          <w:color w:val="111111"/>
          <w:sz w:val="28"/>
          <w:sz w:val="28"/>
          <w:szCs w:val="28"/>
          <w:rtl w:val="true"/>
          <w:lang w:bidi="ar-SA"/>
        </w:rPr>
        <w:t xml:space="preserve">والحال أنّ الآية الكريمة صريحة في حركة الأين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الحركة المكانيّة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وبديهيّ أنّ حركة الغيوم حركة في الأين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بوضوح لمن راجع كتب ابن عربي والآخوند ملّاصدرا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وكثير من كتب العرفان الاصطلاحي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الشريفة القرآنيّة يستفاد منها في موارد كثيرة استفادة مبنيّة على فرضيّاتهم الذهنيّة</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الإستفادات الخاطئة الإستفادة العجيبة في بحث الجبر والتفويض من الحديث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جَبْرَ وَلَا تَفْوِيضَ بَلْ أَمْرٌ بَيْنَ الْأَمْرَيْن</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بأس أن تطّلع على بعض العبارات المرتبطة بالبحث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الموجود الإمكاني على هذا المشرب صورة مرآتيّة لا وجود لها في الخارج وهي مع ذلك تحكي ذا الصورة حكاية صادقة، فحينئذ يصير نفي الجبر والتفويض عن ذلك الصورة وإثبات المنزلة الوسطى بين طرفي الإفراط والتفريط من باب السالبة بانتفاء الموضوع في الأوّلين ومن باب المجاز في الإسناد في الثالث</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وعلى هذا فإنّه يجب أن نراعي إلي أن تكون الإستفادة من الآيات القرآنيّة الكريمة وروايات أئمة الهدى… عليهم السلام … طبق الضوابط العقلائيّة المعقولة، لا كما شاهدته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بديهيّ أنّ للآيات القرآنيّة الشريفة بطون وتأويلات، وهذه الحقيقة من الاُمور القطعيّة والمسلّمة في مدرسة الوحي، ولكن بيان البطن وتأويل الآيات الكريمة منحصر للنبيّ الأكرم… صلي الله عليه و آله و سلم … والأئمة المعصومين… عليهم السلام … ، وذلك لأنّ المفروض أنّ البطن والتأويل لا يستفاد من العبارة، وإلّا كان نفس المستفاد من العبارة، لا البطن والتأويل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فإنّ بيان المراد الإلهيّ ـ الذي لا يمكن استظهاره من ظاهر الآيات ـ يُقبل ممّن له ارتباط خاصّ مع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للقرآن الكريم إشارات ولطائف ودقائق وظرائف يمكن أن يفهمها غير المعصوم إثر التدبّر وصفاء النفس</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التذكّر المهمّ الآخر هو أن تكون نسبة المطالب للأفراد مستندة</w:t>
      </w:r>
    </w:p>
    <w:p>
      <w:pPr>
        <w:pStyle w:val="BookText"/>
        <w:rPr/>
      </w:pPr>
      <w:r>
        <w:rPr>
          <w:rFonts w:ascii="Amiri" w:hAnsi="Amiri" w:eastAsia="Amiri" w:cs="Amiri"/>
          <w:color w:val="111111"/>
          <w:sz w:val="28"/>
          <w:sz w:val="28"/>
          <w:szCs w:val="28"/>
          <w:rtl w:val="true"/>
          <w:lang w:bidi="ar-SA"/>
        </w:rPr>
        <w:t>ويراعي فيها 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يُدَقّق في صدر وذيل المطالب، ولا ينسب المطالب الظنيّة أو المشكوكة المتعلّقة لشخص بعنوان مستند قطعيّ ومسلّم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المناسب أن يضع الإنسان نفسه مكان الآخرين ويتصوّر كيف يتأثّر ويتألّم إذا نسب إليه نسبة غير صحيحة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إنّني بحمد اللّه وفضله قد بحثت وحقّقت في موارد مهمّة من المباحث العقائديّة بدقّة وتأنّ ـ قدر القدرة والإستطاعة ـ على أساس التعقّل في الوحي، ثم بعد ذلك قارنته مع مباحث الفلسفة والعرفان المتداولة، وتوصّلت إلى المفارقة والبون الشاسع بين ما يؤمي إليه الوحي وبين ما تؤدي إليه الفلسفة والعرفان، كلّ ذلك بالهداية الإلهيّة ونور العقل والبرهان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استفدت في هذا المسير من آثار العلماء الكبار، مثل ثقة الإسلام الكليني والمرحوم الشيخ الصدوق، والمرحوم العلّامة الحلّي، وبالخصوص من بيانات المرحوم العلّامة المجلسي… قدس سرهم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آمل أن أكون كما كان الأستاذي الكبير المرحوم العلّامة الحاج الشيخ مجتبى القزوينيّ رضوان اللّه تعالى عليه ـ الذي له حقّ كبير عليّ ـ مصداقاً للجملة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مُحَقِّقٌ لِمَا حَقَّقْتُمْ، مُبْطِلٌ لِمَا أَبْطَلْتُمْ</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أنا وكلّ من كان مولعاً بالمعارف الحقّة كذلك</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أعلن مرّة أخرى عن استعدادى للحوار والبحث العلمي مع الطلّاب الأفاضل في المسائل الاعتقاديّة ـ على أساس الضوابط والآداب المذكورة ـ بعون اللّه تعالى، ومن اللّه التوفيق وعليه التكلان</w:t>
      </w:r>
      <w:r>
        <w:rPr>
          <w:rFonts w:eastAsia="Amiri" w:cs="Amiri" w:ascii="Amiri" w:hAnsi="Amiri"/>
          <w:color w:val="111111"/>
          <w:sz w:val="28"/>
          <w:szCs w:val="28"/>
          <w:rtl w:val="true"/>
          <w:lang w:bidi="ar-SA"/>
        </w:rPr>
        <w:t>.</w:t>
      </w:r>
      <w:bookmarkStart w:id="13" w:name="pg2342_14352"/>
    </w:p>
    <w:p>
      <w:pPr>
        <w:pStyle w:val="BookText"/>
        <w:rPr/>
      </w:pPr>
      <w:bookmarkEnd w:id="13"/>
      <w:r>
        <w:rPr>
          <w:rFonts w:ascii="Amiri" w:hAnsi="Amiri" w:eastAsia="Amiri" w:cs="Amiri"/>
          <w:color w:val="111111"/>
          <w:sz w:val="28"/>
          <w:sz w:val="28"/>
          <w:szCs w:val="28"/>
          <w:rtl w:val="true"/>
          <w:lang w:bidi="ar-SA"/>
        </w:rPr>
        <w:t>والآن أذكر فهرساً لموارد افتراق العقائد المستفادة من مدرسة الوحي مع ما بيّنته المدارس الفلسفيّة والعرفانيّة السائدة كي يحقّق أهل الفن والتحقيق بدقّة أكثر في المطالب</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2624360_3804643083"/>
      <w:bookmarkStart w:id="15" w:name="_Toc5"/>
      <w:bookmarkEnd w:id="14"/>
      <w:r>
        <w:rPr/>
        <w:t>1</w:t>
      </w:r>
      <w:r>
        <w:rPr>
          <w:rtl w:val="true"/>
        </w:rPr>
        <w:t>ـ مسألة نسبة الحقّ تعالى مع الكائنات</w:t>
      </w:r>
      <w:bookmarkEnd w:id="15"/>
    </w:p>
    <w:p>
      <w:pPr>
        <w:pStyle w:val="BookText"/>
        <w:rPr/>
      </w:pPr>
      <w:r>
        <w:rPr>
          <w:rFonts w:ascii="Amiri" w:hAnsi="Amiri" w:eastAsia="Amiri" w:cs="Amiri"/>
          <w:color w:val="111111"/>
          <w:sz w:val="28"/>
          <w:sz w:val="28"/>
          <w:szCs w:val="28"/>
          <w:rtl w:val="true"/>
          <w:lang w:bidi="ar-SA"/>
        </w:rPr>
        <w:t>إنّ نسبة اللّه تعالى مع الكائنات في مدرسة الوحي هي البينونة، وفي عرفان ابن عربي النسبة هي العينيّة، وفي الفلسفة الحكمة المتعالية فإنّ بينهما السنخيّة والإشتراك في حقيقة الوجود</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ولمزيد من الإطلاع راجع كتاب السنخيّة أم الإتحاد والعينيّة أم التباين</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2624362_3804643083"/>
      <w:bookmarkStart w:id="17" w:name="_Toc6"/>
      <w:bookmarkEnd w:id="16"/>
      <w:r>
        <w:rPr/>
        <w:t>2</w:t>
      </w:r>
      <w:r>
        <w:rPr>
          <w:rtl w:val="true"/>
        </w:rPr>
        <w:t>ـ مسألة فاعليّة اللّه تعالى</w:t>
      </w:r>
      <w:bookmarkEnd w:id="17"/>
    </w:p>
    <w:p>
      <w:pPr>
        <w:pStyle w:val="BookText"/>
        <w:rPr/>
      </w:pPr>
      <w:r>
        <w:rPr>
          <w:rFonts w:ascii="Amiri" w:hAnsi="Amiri" w:eastAsia="Amiri" w:cs="Amiri"/>
          <w:color w:val="111111"/>
          <w:sz w:val="28"/>
          <w:sz w:val="28"/>
          <w:szCs w:val="28"/>
          <w:rtl w:val="true"/>
          <w:lang w:bidi="ar-SA"/>
        </w:rPr>
        <w:t>إنّ اللّه تعالى فاعل مختار في مدرسة الوحي، ولا يمكن أن يتصوّر أيّ موجب من الداخل أو الخارج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العرفان والفلسفة فإنّه لا يكون موجِباً لِلّه تعالى من الخارج، ولكن حيث أنّ اللّه تعالى هو العلّة التامّة حسب الإصطلاح، فإنّه سيكون صدور الفعل منه بنحو الوجوب</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أنّ صنع العلّة في المعلول هو الإيجاب لا غير وأنّ الشيء من لم يجب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فعل بالإختيار إلّا من الحقّ تعالى</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ولمزيد من الإطلاع راجع كتاب تنبيهات حول المبدأ والمعاد، 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bookmarkStart w:id="18" w:name="pg2342_14354"/>
    </w:p>
    <w:p>
      <w:pPr>
        <w:pStyle w:val="Heading2"/>
        <w:numPr>
          <w:ilvl w:val="1"/>
          <w:numId w:val="1"/>
        </w:numPr>
        <w:rPr/>
      </w:pPr>
      <w:bookmarkStart w:id="19" w:name="__RefHeading___Toc2624364_3804643083"/>
      <w:bookmarkStart w:id="20" w:name="_Toc7"/>
      <w:bookmarkEnd w:id="18"/>
      <w:bookmarkEnd w:id="19"/>
      <w:r>
        <w:rPr/>
        <w:t>3</w:t>
      </w:r>
      <w:r>
        <w:rPr>
          <w:rtl w:val="true"/>
        </w:rPr>
        <w:t>ـ مسألة علم اللّه سبحانه وإرادته</w:t>
      </w:r>
      <w:bookmarkEnd w:id="20"/>
    </w:p>
    <w:p>
      <w:pPr>
        <w:pStyle w:val="BookText"/>
        <w:rPr/>
      </w:pPr>
      <w:r>
        <w:rPr>
          <w:rFonts w:ascii="Amiri" w:hAnsi="Amiri" w:eastAsia="Amiri" w:cs="Amiri"/>
          <w:color w:val="111111"/>
          <w:sz w:val="28"/>
          <w:sz w:val="28"/>
          <w:szCs w:val="28"/>
          <w:rtl w:val="true"/>
          <w:lang w:bidi="ar-SA"/>
        </w:rPr>
        <w:t>إنّ العلم غير الإرادة في مدرسة الوحي، العلم من صفات الذات والإرادة من صفات الفعل، أمّا في العرفان والفلسفة فإنّهما واحد</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أن المريد هو الذي يكون عالما بصدور الفعل غير المنافي عنه وغير المريد هو الذي لا يكون عالماً بما يصدر عنه كالقوى الطبيعيًة وإن كان الشعور حاصلاً لكنّ الفعل لا يكون ملائماً بل منافراً مثل المُلجأ على الفعل فإنّ الفعل لا يكون مراداً له</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2624366_3804643083"/>
      <w:bookmarkStart w:id="22" w:name="_Toc8"/>
      <w:bookmarkEnd w:id="21"/>
      <w:r>
        <w:rPr/>
        <w:t>4</w:t>
      </w:r>
      <w:r>
        <w:rPr>
          <w:rtl w:val="true"/>
        </w:rPr>
        <w:t>ـ مسألة الجبر والتفويض</w:t>
      </w:r>
      <w:bookmarkEnd w:id="22"/>
    </w:p>
    <w:p>
      <w:pPr>
        <w:pStyle w:val="BookText"/>
        <w:rPr/>
      </w:pPr>
      <w:r>
        <w:rPr>
          <w:rFonts w:ascii="Amiri" w:hAnsi="Amiri" w:eastAsia="Amiri" w:cs="Amiri"/>
          <w:color w:val="111111"/>
          <w:sz w:val="28"/>
          <w:sz w:val="28"/>
          <w:szCs w:val="28"/>
          <w:rtl w:val="true"/>
          <w:lang w:bidi="ar-SA"/>
        </w:rPr>
        <w:t xml:space="preserve">إنّ الإنسان في كثير من 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الأفعال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في مدرسة الوحي، أي أنّ اللّه سبحانه وتعالى أعطاه القدرة والسلطنة على الفعل والترك، في حين أنّ الإنسان في الفلسفة موجود مجبور وفي صورة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العرفان لا وجود لفاعل غير اللّه تعالى، حتّى يقال إنّه مجبور أو 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وإسناد الوجود إلي جميع الموجودات الأخري مجازيّ ومسألة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باب السالبة بانتفاء الموضوع</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والعقل الإختياري لايتحقق ولا يصح بالحقيقة إلّا في واجب الوجود وحده وغيره من المختارين لا يكونون إلّا مضطرّين في صورة المختارين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p>
    <w:p>
      <w:pPr>
        <w:pStyle w:val="BookText"/>
        <w:rPr/>
      </w:pPr>
      <w:r>
        <w:rPr>
          <w:rFonts w:ascii="Amiri" w:hAnsi="Amiri" w:eastAsia="Amiri" w:cs="Amiri"/>
          <w:color w:val="111111"/>
          <w:sz w:val="28"/>
          <w:sz w:val="28"/>
          <w:szCs w:val="28"/>
          <w:rtl w:val="true"/>
          <w:lang w:bidi="ar-SA"/>
        </w:rPr>
        <w:t>وعلي بن موسي الرضا والفلسفة الإلهية، ص</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يصير نفي الجبر والتفويض عن ذلك الصورة وإثبات المنزلة الوسطى بين طرفي الإفراط والتفريط من باب السالبة بانتفاء الموضوع في الأوّلين ومن باب المجاز في الإسناد في الثالث لأن القول بأن تلك الصورة الحاكية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وجود لها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مجبورة و لا مفوضاً إليها؛ قضيّة سالبة بإنتفاء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بأن تلك الصورة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وجود لها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مختارة في فعلها؛ قضيّة يكون اسناد محمولها الي موضوعها مجازاً عقلياً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ولمزيد من الاطلاع راجع كتاب سدّ المفر على القائل بالقدر، ص</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bookmarkStart w:id="23" w:name="pg2342_14357"/>
    </w:p>
    <w:p>
      <w:pPr>
        <w:pStyle w:val="Heading2"/>
        <w:numPr>
          <w:ilvl w:val="1"/>
          <w:numId w:val="1"/>
        </w:numPr>
        <w:rPr/>
      </w:pPr>
      <w:bookmarkStart w:id="24" w:name="__RefHeading___Toc2624368_3804643083"/>
      <w:bookmarkStart w:id="25" w:name="_Toc9"/>
      <w:bookmarkEnd w:id="23"/>
      <w:bookmarkEnd w:id="24"/>
      <w:r>
        <w:rPr/>
        <w:t>5</w:t>
      </w:r>
      <w:r>
        <w:rPr>
          <w:rtl w:val="true"/>
        </w:rPr>
        <w:t>ـ مسألة الحدوث والقِدَم</w:t>
      </w:r>
      <w:bookmarkEnd w:id="25"/>
    </w:p>
    <w:p>
      <w:pPr>
        <w:pStyle w:val="BookText"/>
        <w:rPr/>
      </w:pPr>
      <w:r>
        <w:rPr>
          <w:rFonts w:ascii="Amiri" w:hAnsi="Amiri" w:eastAsia="Amiri" w:cs="Amiri"/>
          <w:color w:val="111111"/>
          <w:sz w:val="28"/>
          <w:sz w:val="28"/>
          <w:szCs w:val="28"/>
          <w:rtl w:val="true"/>
          <w:lang w:bidi="ar-SA"/>
        </w:rPr>
        <w:t>إنّ جميع الخلق والعوالم غير اللّه حادث بالحدوث الحقيقي في مدرسة الوحي، أي إنّه مسبوق بالعدم وله بدء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الفلسفة فإنّ ما سوى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باستثناء الحوادث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بالغير وحادث بالذات، وفي العرفان فإنّ جميع الموجودات طور من أطوار الحقّ وشأن من شؤونه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ما من جسم إلّا ويتقوّم ذاته من هذا الجوهر الصوري الساري في جميع أجزائه، وهو أبدا في التحوّل والسيلان والتجدّد والانصرام والزوال والانهدام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بقاء لها، ولا سبب لحدوثها وتجدّدها، لأنّ الذاتي غير معلّل بعلّة سوى علّة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والجاعل إذا جعلها، جعل ذاتها المتجدّدة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تجدّدها، فليس بجعل جاعل وصنع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يرتبط الحادث بالقديم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وشرح فصوص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 السادس في حكمة حقية في كلمة اسحاقية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p>
    <w:p>
      <w:pPr>
        <w:pStyle w:val="BookText"/>
        <w:rPr/>
      </w:pPr>
      <w:r>
        <w:rPr>
          <w:rFonts w:ascii="Amiri" w:hAnsi="Amiri" w:eastAsia="Amiri" w:cs="Amiri"/>
          <w:color w:val="111111"/>
          <w:sz w:val="28"/>
          <w:sz w:val="28"/>
          <w:szCs w:val="28"/>
          <w:rtl w:val="true"/>
          <w:lang w:bidi="ar-SA"/>
        </w:rPr>
        <w:t>أنّ الحقّ إذا تجلّى لك أو للخلق، فإنّما يتجلّى من العين الثابتة التي للخلق، فقد سفر في تجلّيه بحقيقته و وجوده عن وجه الحقّ، أي كشف صورة العين الخلقيّة الكونيّة، وهي شأن من شؤونه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ولمزيد من الاطلاع راجع كتاب ميزان المطالب، ص</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ورسالة حدوث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الاستاذ سيّدان</w:t>
      </w:r>
      <w:r>
        <w:rPr>
          <w:rFonts w:eastAsia="Amiri" w:cs="Amiri" w:ascii="Amiri" w:hAnsi="Amiri"/>
          <w:color w:val="111111"/>
          <w:sz w:val="28"/>
          <w:szCs w:val="28"/>
          <w:rtl w:val="true"/>
          <w:lang w:bidi="ar-SA"/>
        </w:rPr>
        <w:t>).</w:t>
      </w:r>
      <w:bookmarkStart w:id="26" w:name="pg2342_14359"/>
    </w:p>
    <w:p>
      <w:pPr>
        <w:pStyle w:val="Heading2"/>
        <w:numPr>
          <w:ilvl w:val="1"/>
          <w:numId w:val="1"/>
        </w:numPr>
        <w:rPr/>
      </w:pPr>
      <w:bookmarkStart w:id="27" w:name="__RefHeading___Toc2624370_3804643083"/>
      <w:bookmarkStart w:id="28" w:name="_Toc10"/>
      <w:bookmarkEnd w:id="26"/>
      <w:bookmarkEnd w:id="27"/>
      <w:r>
        <w:rPr/>
        <w:t>6</w:t>
      </w:r>
      <w:r>
        <w:rPr>
          <w:rtl w:val="true"/>
        </w:rPr>
        <w:t xml:space="preserve"> </w:t>
      </w:r>
      <w:r>
        <w:rPr>
          <w:rtl w:val="true"/>
        </w:rPr>
        <w:t>ـ مسألة المعاد</w:t>
      </w:r>
      <w:bookmarkEnd w:id="28"/>
    </w:p>
    <w:p>
      <w:pPr>
        <w:pStyle w:val="BookText"/>
        <w:rPr/>
      </w:pPr>
      <w:r>
        <w:rPr>
          <w:rFonts w:ascii="Amiri" w:hAnsi="Amiri" w:eastAsia="Amiri" w:cs="Amiri"/>
          <w:color w:val="111111"/>
          <w:sz w:val="28"/>
          <w:sz w:val="28"/>
          <w:szCs w:val="28"/>
          <w:rtl w:val="true"/>
          <w:lang w:bidi="ar-SA"/>
        </w:rPr>
        <w:t>إنّ المحشور في يوم القيامة من هذا البدن الترابيّ، وأمّا في الفلسفة فالموجود في العالم الآخر روح الإنسان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الحكمة المتعالية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صدر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الإنسانيّة تخترع وتخلق بإذن اللّه تعالى لنفسها صورة مثاليّة وتكون معها ولا أثر للبدن الترابيّ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العرفان أنّ الحدود والتعيّنات تنعدم وكلّ الموجودات تندكّ في ذات الحقّ تعالى</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فكلّ نفس من النفوس إذا انقطع تعلّقها عن البدن بالموت و خلت و بخراب البيت ارتحلت تصير حواسها الباطنيّة لإدراك أمور الآخرة أشدّ وأقوى فتشاهد الصور العينيّة الموجودة في تلك الدار ولا يختصّ ذلك بنفس دون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فصوص الحكم، ص</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نفثيّة في كلمة شيئيّة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المتجلّى له ما رأى سوي صورته في مرآة الحقّ وما رأى الحقّ ولا يمكن أن يراه مع علمه أنّه ما رأى صورته إلّا فيه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ولمزيد من الإطلاع راجع كتاب بحثي پيرامون مسأله‌اي از معاد</w:t>
      </w:r>
      <w:r>
        <w:rPr>
          <w:rFonts w:eastAsia="IRNazanin" w:cs="IRNazanin"/>
          <w:color w:val="111111"/>
          <w:sz w:val="28"/>
          <w:szCs w:val="28"/>
          <w:rtl w:val="true"/>
          <w:lang w:bidi="fa-IR"/>
        </w:rPr>
        <w:t>.</w:t>
      </w:r>
      <w:bookmarkStart w:id="29" w:name="pg2342_14361"/>
    </w:p>
    <w:p>
      <w:pPr>
        <w:pStyle w:val="Heading2"/>
        <w:numPr>
          <w:ilvl w:val="1"/>
          <w:numId w:val="1"/>
        </w:numPr>
        <w:rPr/>
      </w:pPr>
      <w:bookmarkStart w:id="30" w:name="__RefHeading___Toc2624372_3804643083"/>
      <w:bookmarkStart w:id="31" w:name="_Toc11"/>
      <w:bookmarkEnd w:id="29"/>
      <w:bookmarkEnd w:id="30"/>
      <w:r>
        <w:rPr/>
        <w:t>7</w:t>
      </w:r>
      <w:r>
        <w:rPr>
          <w:rtl w:val="true"/>
        </w:rPr>
        <w:t>ـ مسألة جهنم والعذاب</w:t>
      </w:r>
      <w:bookmarkEnd w:id="31"/>
    </w:p>
    <w:p>
      <w:pPr>
        <w:pStyle w:val="BookText"/>
        <w:rPr/>
      </w:pPr>
      <w:r>
        <w:rPr>
          <w:rFonts w:ascii="Amiri" w:hAnsi="Amiri" w:eastAsia="Amiri" w:cs="Amiri"/>
          <w:color w:val="111111"/>
          <w:sz w:val="28"/>
          <w:sz w:val="28"/>
          <w:szCs w:val="28"/>
          <w:rtl w:val="true"/>
          <w:lang w:bidi="ar-SA"/>
        </w:rPr>
        <w:t xml:space="preserve">في مدرسة الوحي؛ يكون العذاب على جماعة والخلود في النار على المعاندين في العالم الآخر بعد هذا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الحكمة المتعالية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الصدرائيّة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يتبدّل العذاب إلى العذب، أو أنّ العذاب موجود في جهنّم، ولكن لا خلود لأحد هناك، والخلود نوعي، وفي العرفان سيكون العذاب عذباً</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الظاهر في تلك الصور فما يعبدون إلّا اللّه فرضي اللّه منهم من هذا الوجه فينقلب عذابهم عذبا في حقّهم وبالنسبة إلى الكافرين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العرشية، 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دار الجحيم ليست بدار نعيم وإنّما هي موضع الألم والمحن وفيها العذاب الدائم لكن آلامها متفتّة متجدّدة على الاستمرار بلا انقطاع والخلود فيها متبدّلة وليس هناك موضع راحة واطمينان، لأنّ منزلتها من ذلك العالم منزلة عالم الكون والفساد من هذا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ممدّ الهمم، ص</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العذاب بالنسبة إلي العارف الذي دخل في العذاب هو بسبب الأعمال المناسبة لذلك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العذاب هو عذب من وجه و عذاب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ولمزيد من الإطلاع راجع كتاب 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سيّدان</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2624374_3804643083"/>
      <w:bookmarkStart w:id="33" w:name="_Toc12"/>
      <w:bookmarkEnd w:id="32"/>
      <w:r>
        <w:rPr/>
        <w:t>8</w:t>
      </w:r>
      <w:r>
        <w:rPr>
          <w:rtl w:val="true"/>
        </w:rPr>
        <w:t xml:space="preserve"> </w:t>
      </w:r>
      <w:r>
        <w:rPr>
          <w:rtl w:val="true"/>
        </w:rPr>
        <w:t>ـ مسألة الجنة ونعيمها</w:t>
      </w:r>
      <w:bookmarkEnd w:id="3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الجنّة ونعيمها حقائق خارجيّة في مدرسة الوحي، وفي فلسفة صدر الدين</w:t>
      </w:r>
    </w:p>
    <w:p>
      <w:pPr>
        <w:pStyle w:val="BookText"/>
        <w:rPr/>
      </w:pPr>
      <w:r>
        <w:rPr>
          <w:rFonts w:ascii="Amiri" w:hAnsi="Amiri" w:eastAsia="Amiri" w:cs="Amiri"/>
          <w:color w:val="111111"/>
          <w:sz w:val="28"/>
          <w:sz w:val="28"/>
          <w:szCs w:val="28"/>
          <w:rtl w:val="true"/>
          <w:lang w:bidi="ar-SA"/>
        </w:rPr>
        <w:t>الجنّة ونعيمها من صنع الإنسان، وقائمة به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أنّ الجنّة الجسمانيّة عبارة عن الصور الإدراكيّة القائمة بالنفس الخياليّة ممّا تشتهيها النفس وتستلذها ولا مادّة ولا مظهر لها إلّا النفس وكذا فاعلها وموجدها القريب وهو هي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ولمزيد من الإطلاع راجع كتاب انسان ومعاد، ص</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معرفة 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توجد موارد أخرى من نتائج الذهن البشريّ، والتي تعارض ما جاء به مدرسة الوحي، والتي جاء تحقيقها المفصّل في كتب الكلام المفصّلة؛ مثل كتاب كفاية الموحدين</w:t>
      </w:r>
      <w:r>
        <w:rPr>
          <w:rStyle w:val="FootnoteAnchor"/>
          <w:rtl w:val="true"/>
        </w:rPr>
        <w:footnoteReference w:id="34"/>
      </w:r>
      <w:r>
        <w:rPr>
          <w:rFonts w:ascii="Amiri" w:hAnsi="Amiri" w:eastAsia="Amiri" w:cs="Amiri"/>
          <w:color w:val="111111"/>
          <w:sz w:val="28"/>
          <w:sz w:val="28"/>
          <w:szCs w:val="28"/>
          <w:rtl w:val="true"/>
          <w:lang w:bidi="ar-SA"/>
        </w:rPr>
        <w:t>، وكذلك في بعض بيانات المرحوم العلّامة المجلسي …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 الكلام؛ مع أخذ المطالب المذكورة بعين الإعتبار أرى من المناسب والضروري للطلّاب والمحقّقين الأعزّاء أن لا يغفلوا عن التحقيق في هذه الموارد والمسائل الاعتقاديّة الأخرى، وأن يجتنبوا التساهل والمسامحة وأن يدقّقوا في المطالب العقائديّة حتّى يصلوا إلى خلوص المعارف الإلهيّة عن الآراء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 من اتبع الهدي</w:t>
      </w:r>
      <w:bookmarkStart w:id="34" w:name="pg2342_14365"/>
    </w:p>
    <w:p>
      <w:pPr>
        <w:pStyle w:val="Heading2"/>
        <w:numPr>
          <w:ilvl w:val="1"/>
          <w:numId w:val="1"/>
        </w:numPr>
        <w:rPr/>
      </w:pPr>
      <w:bookmarkStart w:id="35" w:name="__RefHeading___Toc2624376_3804643083"/>
      <w:bookmarkStart w:id="36" w:name="_Toc13"/>
      <w:bookmarkEnd w:id="34"/>
      <w:bookmarkEnd w:id="35"/>
      <w:r>
        <w:rPr>
          <w:rtl w:val="true"/>
        </w:rPr>
        <w:t>المصادر</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الكريم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 الهمم في شرح 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زاده الآملي،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وزراة الثقافة والإرشاد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مجلسى، محمد باقر بن محمد تقى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موسى الرضا… عليها السلام … والفلسفة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الجواديّ آمليّ،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شفيعيان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دارالإسراء للنشر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وسائل الشيعة إلي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الحرالعاملي، محمد بن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آل‌البيت… عليهم السلام … لأحياء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 الدرجات في فضائل آل محمد… عليهم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 و مستنبط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نورى، حسين بن محمد 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آل‌البيت… عليهم السلام … 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 وبصيرة المتعظين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فتال النيسابوري، محمد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الناظر وتنبيه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الحلواني، 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عليه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النوري الطبرسي،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المنشورات العلمية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في الحدوث، صدر المتألهين، محمد بن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صدرا للحكمة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المتعالية في الأسفار الأربعة، صدر المتألهين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 الميانجي،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القيصري الرومي، محمد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المنشورات الثقافية والعلمية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الجندي، مؤيد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عربي، محيي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دارالصادر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تنبيهات حول المبدأ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المرواريد، الميرزا حسن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الطبع والنشر التابعة للآستانة الرضويّة المقدّسة، مجمع</w:t>
      </w:r>
    </w:p>
    <w:p>
      <w:pPr>
        <w:pStyle w:val="BookText"/>
        <w:rPr/>
      </w:pPr>
      <w:r>
        <w:rPr>
          <w:rFonts w:ascii="Amiri" w:hAnsi="Amiri" w:eastAsia="Amiri" w:cs="Amiri"/>
          <w:color w:val="111111"/>
          <w:sz w:val="28"/>
          <w:sz w:val="28"/>
          <w:szCs w:val="28"/>
          <w:rtl w:val="true"/>
          <w:lang w:bidi="ar-SA"/>
        </w:rPr>
        <w:t>البحوث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 الميانجيّ، محمد باقر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البذرة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الطهراني، ميرزا جواد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طريق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المفرّ علي القائل بالقدر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الهدي، محمدباقر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 الرضويّ، حسن الكاشاني، امير الفخاريّ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صدرالمتألّهين، محمد بن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طهوري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پيرامون مسئله‌اي از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المرواريد،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الخامسة</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ومعاد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البياباني الأسكوئي،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و صوفي چه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الطهراني، الميرزا جواد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الأولي</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السنخيّة أم الإتّحاد والعينيّة أم التباين؟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سيّدان، السيّد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الكاظمي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پارسيران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الأولي</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حدوث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درس الأستاذ السيّد جعفر سيّدان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فاضل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 ما در گفتگوهاي علمي</w:t>
      </w:r>
    </w:p>
    <w:p>
      <w:pPr>
        <w:pStyle w:val="BookText"/>
        <w:rPr/>
      </w:pPr>
      <w:r>
        <w:rPr>
          <w:rFonts w:ascii="Amiri" w:hAnsi="Amiri" w:eastAsia="Amiri" w:cs="Amiri"/>
          <w:color w:val="111111"/>
          <w:sz w:val="28"/>
          <w:sz w:val="28"/>
          <w:szCs w:val="28"/>
          <w:rtl w:val="true"/>
          <w:lang w:bidi="ar-SA"/>
        </w:rPr>
        <w:t>استاد سيد جعفر سيدان</w:t>
      </w:r>
      <w:r>
        <w:rPr>
          <w:rFonts w:ascii="Amiri" w:hAnsi="Amiri" w:eastAsia="Amiri" w:cs="Amiri"/>
          <w:color w:val="111111"/>
          <w:sz w:val="28"/>
          <w:sz w:val="28"/>
          <w:szCs w:val="28"/>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عبدالحليم عوض حلي</w:t>
      </w:r>
    </w:p>
    <w:p>
      <w:pPr>
        <w:pStyle w:val="BookText"/>
        <w:rPr/>
      </w:pPr>
      <w:r>
        <w:rPr>
          <w:rFonts w:ascii="Amiri" w:hAnsi="Amiri" w:eastAsia="Amiri" w:cs="Amiri"/>
          <w:color w:val="111111"/>
          <w:sz w:val="28"/>
          <w:sz w:val="28"/>
          <w:szCs w:val="28"/>
          <w:rtl w:val="true"/>
          <w:lang w:bidi="ar-SA"/>
        </w:rPr>
        <w:t>انتشارات ولايت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1435</w:t>
      </w:r>
      <w:bookmarkStart w:id="37" w:name="pg2342_14373"/>
    </w:p>
    <w:p>
      <w:pPr>
        <w:pStyle w:val="Heading2"/>
        <w:numPr>
          <w:ilvl w:val="1"/>
          <w:numId w:val="1"/>
        </w:numPr>
        <w:rPr/>
      </w:pPr>
      <w:bookmarkStart w:id="38" w:name="__RefHeading___Toc2624378_3804643083"/>
      <w:bookmarkStart w:id="39" w:name="_Toc14"/>
      <w:bookmarkEnd w:id="37"/>
      <w:bookmarkEnd w:id="38"/>
      <w:r>
        <w:rPr>
          <w:rtl w:val="true"/>
        </w:rPr>
        <w:t>چكيده</w:t>
      </w:r>
      <w:bookmarkEnd w:id="39"/>
    </w:p>
    <w:p>
      <w:pPr>
        <w:pStyle w:val="BookText"/>
        <w:rPr/>
      </w:pPr>
      <w:r>
        <w:rPr>
          <w:rFonts w:ascii="IRNazanin" w:hAnsi="IRNazanin" w:eastAsia="IRNazanin"/>
          <w:color w:val="111111"/>
          <w:sz w:val="28"/>
          <w:sz w:val="28"/>
          <w:szCs w:val="28"/>
          <w:rtl w:val="true"/>
          <w:lang w:bidi="fa-IR"/>
        </w:rPr>
        <w:t>اين نوشتار از جمله آثاري است كه توسط محقق فرزانه و استاد گرانقدر آيت اللّه سيدان به رشته تحرير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طليعه اين نوشتار هفت نكته بسيار ارزشمند در مناظرات و گفتگوها و سير ورود به بحث و مناظرات علمي را بيان مي كنند و در ادامه مهمترين اين نكات را پايبندي به كتاب و عترت معرفي مي‌كنند و سپس به سه آيه و چهار حديث به صورت گذرا اشاره كرده و آن‌ها را شاهد بر اين مدعا قرار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بحث را با پنج تأويل و برداشت غير صحيح اهل عرفان و فلسفه ادامه مي‌دهند و در پايان به هشت مسأله مهم اعتقادي كه جدايي مكتب فلسفه و عرفان را از مكتب وحي در پي دارد اشاره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انتشارات ولايت</w:t>
      </w:r>
    </w:p>
    <w:p>
      <w:pPr>
        <w:pStyle w:val="BookText"/>
        <w:rPr/>
      </w:pPr>
      <w:r>
        <w:rPr>
          <w:rFonts w:ascii="IRNazanin" w:hAnsi="IRNazanin" w:eastAsia="IRNazanin"/>
          <w:color w:val="111111"/>
          <w:sz w:val="28"/>
          <w:sz w:val="28"/>
          <w:szCs w:val="28"/>
          <w:rtl w:val="true"/>
          <w:lang w:bidi="fa-IR"/>
        </w:rPr>
        <w:t>ايران ـ مشهد مقدس ـ بازار بزرگ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00989151162907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00989151576003</w:t>
      </w:r>
      <w:bookmarkStart w:id="40" w:name="pg2342_14375"/>
    </w:p>
    <w:p>
      <w:pPr>
        <w:pStyle w:val="Heading2"/>
        <w:numPr>
          <w:ilvl w:val="1"/>
          <w:numId w:val="1"/>
        </w:numPr>
        <w:rPr/>
      </w:pPr>
      <w:bookmarkStart w:id="41" w:name="__RefHeading___Toc2624380_3804643083"/>
      <w:bookmarkStart w:id="42" w:name="_Toc15"/>
      <w:bookmarkEnd w:id="40"/>
      <w:bookmarkEnd w:id="41"/>
      <w:r>
        <w:rPr/>
        <w:t>BOOK SUMMARY</w:t>
      </w:r>
      <w:bookmarkEnd w:id="42"/>
    </w:p>
    <w:p>
      <w:pPr>
        <w:pStyle w:val="BookText"/>
        <w:rPr/>
      </w:pPr>
      <w:r>
        <w:rPr>
          <w:rFonts w:eastAsia="Times New Roman" w:cs="Times New Roman" w:ascii="Times New Roman" w:hAnsi="Times New Roman"/>
          <w:color w:val="111111"/>
          <w:sz w:val="28"/>
          <w:szCs w:val="28"/>
          <w:lang w:val="en-US" w:bidi="en-US"/>
        </w:rPr>
        <w:t>This book is yet another valuable treatise by the eminent scholarly authority Ayatollah S. J. Seyyedan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author touches in the beginning on seven important points in regards to engaging in debates and offers insights on objective research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Ayatollah Sayyedan stresses, among other things, the essential need to stay firmly within the confines of the teachings of the Ahlulbayt, and cites verses and traditions in this regard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 also refers to several examples of erroneous conclusions arrived at by philosophers and mystics relevant to this discussion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Finally, the author points out several important issues on the separation between the school of Philosophy and Mysticism on one side, and that of divine revelation on the other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ــــــــــــــــــــــــــــــــــــــــــــــــــــــــــــــــــــــــــــــــــــــــ</w:t>
      </w:r>
    </w:p>
    <w:p>
      <w:pPr>
        <w:pStyle w:val="BookText"/>
        <w:rPr/>
      </w:pPr>
      <w:r>
        <w:rPr>
          <w:rFonts w:eastAsia="Times New Roman" w:cs="Times New Roman" w:ascii="Times New Roman" w:hAnsi="Times New Roman"/>
          <w:color w:val="111111"/>
          <w:sz w:val="28"/>
          <w:szCs w:val="28"/>
          <w:lang w:val="en-US" w:bidi="en-US"/>
        </w:rPr>
        <w:t>The publisher</w:t>
      </w:r>
    </w:p>
    <w:p>
      <w:pPr>
        <w:pStyle w:val="BookText"/>
        <w:rPr/>
      </w:pPr>
      <w:r>
        <w:rPr>
          <w:rFonts w:eastAsia="Times New Roman" w:cs="Times New Roman" w:ascii="Times New Roman" w:hAnsi="Times New Roman"/>
          <w:color w:val="111111"/>
          <w:sz w:val="28"/>
          <w:szCs w:val="28"/>
          <w:lang w:val="en-US" w:bidi="en-US"/>
        </w:rPr>
        <w:t>Velayat publishers</w:t>
      </w:r>
    </w:p>
    <w:p>
      <w:pPr>
        <w:pStyle w:val="BookText"/>
        <w:rPr/>
      </w:pPr>
      <w:r>
        <w:rPr>
          <w:rFonts w:eastAsia="Times New Roman" w:cs="Times New Roman" w:ascii="Times New Roman" w:hAnsi="Times New Roman"/>
          <w:color w:val="111111"/>
          <w:sz w:val="28"/>
          <w:szCs w:val="28"/>
          <w:lang w:val="en-US" w:bidi="en-US"/>
        </w:rPr>
        <w:t>Address: Iran, Mashhad, Central Bazaar, Velayat publisher</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Tel: 00989151576003 - 00989151162907</w:t>
      </w:r>
    </w:p>
    <w:p>
      <w:pPr>
        <w:pStyle w:val="BookText"/>
        <w:rPr/>
      </w:pPr>
      <w:r>
        <w:rPr>
          <w:rFonts w:eastAsia="Times New Roman" w:cs="Times New Roman" w:ascii="Times New Roman" w:hAnsi="Times New Roman"/>
          <w:color w:val="111111"/>
          <w:sz w:val="28"/>
          <w:szCs w:val="28"/>
          <w:lang w:val="en-US" w:bidi="en-US"/>
        </w:rPr>
        <w:t>A Guide To Debathing Methodology</w:t>
      </w:r>
    </w:p>
    <w:p>
      <w:pPr>
        <w:pStyle w:val="BookText"/>
        <w:rPr/>
      </w:pPr>
      <w:r>
        <w:rPr>
          <w:rFonts w:eastAsia="Times New Roman" w:cs="Times New Roman" w:ascii="Times New Roman" w:hAnsi="Times New Roman"/>
          <w:color w:val="111111"/>
          <w:sz w:val="28"/>
          <w:szCs w:val="28"/>
          <w:lang w:val="en-US" w:bidi="en-US"/>
        </w:rPr>
        <w:t>Ayatollah Seyyedan</w:t>
      </w:r>
    </w:p>
    <w:p>
      <w:pPr>
        <w:pStyle w:val="BookText"/>
        <w:rPr/>
      </w:pPr>
      <w:r>
        <w:rPr>
          <w:rFonts w:eastAsia="Times New Roman" w:cs="Times New Roman" w:ascii="Times New Roman" w:hAnsi="Times New Roman"/>
          <w:color w:val="111111"/>
          <w:sz w:val="28"/>
          <w:szCs w:val="28"/>
          <w:lang w:val="en-US" w:bidi="en-US"/>
        </w:rPr>
        <w:t>Translated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Abdolhalim Evaz Al_helli</w:t>
      </w:r>
    </w:p>
    <w:p>
      <w:pPr>
        <w:pStyle w:val="BookText"/>
        <w:rPr/>
      </w:pPr>
      <w:r>
        <w:rPr>
          <w:rFonts w:eastAsia="Times New Roman" w:cs="Times New Roman" w:ascii="Times New Roman" w:hAnsi="Times New Roman"/>
          <w:color w:val="111111"/>
          <w:sz w:val="28"/>
          <w:szCs w:val="28"/>
          <w:lang w:val="en-US" w:bidi="en-US"/>
        </w:rPr>
        <w:t>Velayat Publishers</w:t>
      </w:r>
    </w:p>
    <w:p>
      <w:pPr>
        <w:pStyle w:val="BookText"/>
        <w:rPr/>
      </w:pPr>
      <w:r>
        <w:rPr>
          <w:rFonts w:eastAsia="Times New Roman" w:cs="Times New Roman" w:ascii="Times New Roman" w:hAnsi="Times New Roman"/>
          <w:color w:val="111111"/>
          <w:sz w:val="28"/>
          <w:szCs w:val="28"/>
          <w:lang w:val="en-US" w:bidi="en-US"/>
        </w:rPr>
        <w:t>2014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1393</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وَالـمَوعِظَةِ الـحَسَنَة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و معرفت بزرگترين و بهترين نعمت الهي است كه خداوند متعال آن را به بندگان صالح خويش عطا مي‌فرمايد و آن‌ها را در مسير عبوديت و كمال بندگي به سوي خود با آن ياري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افتخار بندگان خدا برخورداري آن‌ها از اين نعمت گرانسنگ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رباني و عارفان حقيقي كساني هستند كه در راه بندگي خدا همواره پيامبران الهي و امامان معصوم… عليهم السلام … را چراغ راه خويش قرار داده واز سلوك طريق علمي و عملي آن‌ها هيچ وقت احساس خستگي به خود راه نداده و از هر طريق ديگري غير از راه امامان معصوم… عليهم السلام … دوري و بيزاري مي‌جويند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بنياد با هدف احياي آثار چنين بزرگاني كه در طول تاريخ تشيع همواره مدافع و پشتيبان معارف اصيل وحياني و علوم راستين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تشكل مي‌يابد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با توجهات خاص حضرات معصومين در اين راه توفيق يارشان باشد تا بتوانند قدم‌هاي مثبت مهمي در احياي آثار ارزشمند آن بزرگان با شرايط روز بردارند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وَالـمَوعِظَةِ الـحَسَنَة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Call on to the way of your lord with wisdom and good preaching</w:t>
      </w:r>
    </w:p>
    <w:p>
      <w:pPr>
        <w:pStyle w:val="BookText"/>
        <w:rPr/>
      </w:pPr>
      <w:r>
        <w:rPr>
          <w:rFonts w:eastAsia="Times New Roman" w:cs="Times New Roman" w:ascii="Times New Roman" w:hAnsi="Times New Roman"/>
          <w:color w:val="111111"/>
          <w:sz w:val="28"/>
          <w:szCs w:val="28"/>
          <w:lang w:val="en-US" w:bidi="en-US"/>
        </w:rPr>
        <w:t>Knowledge is arguably God's most precious blessing given to humanity, with which they can understand, worship, and submit to the Almighty's commandments. It is indeed the greatest of His gifts for both in this life and the afterlife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those with divine understanding are the true inheritors of the prophets and their successors. Those are the people of wisdom who stop at nithing in carrying on their endeavor in seeking knowledge from its one and only source; The messengers of Allah</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This institution, was founded on the revival and republishing the canons and original works of the scholars who gave their life in supporting the foundations of the religion and the teachings of the holy prophet and his immaculate household. We ask Allah to guide us in this holy path</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المواعظ والحكم من كتاب الروضة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أن تلاحظوا تفسير الميزان،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شدّة الإختلاف في المجالات العقائديّة والمعرفيّة واستمرارهما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فضائله ومناقبه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تاريخ أميرالمؤمنين… عليه السلام …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العلم من كتاب العقل والعلم والجهل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من الجزء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السابع من أبواب صفات القاضي من كتاب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وجاء في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تجدان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التاسع 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أبواب العقل والجهل من كتاب العقل والعلم والجهل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 في شرح فصوص الحكم،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الحدوث،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الإطّلاع راجع إلى كتاب السنخية أم الإتحاد والعينية أم التباين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من أبواب أسمائه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موسى الرضا… عليه السلام … والفلسفة الإلهيّة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لعبد اللّه جواديّ الآمليّ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زيارة الجامعة الكبيرة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فسبحان من أظهر الأشياء و هوعينها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الحكمة المتعالية،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والواجب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بسيط الحقيقة، واحد من جميع الوجوه، فهو كلّ الوجود، كما أن كلّه الوجود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المشاعر،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الموحدين،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وكتاب عارف و صوفي چه مي‌گويند؟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image" Target="media/image2.jpeg"/><Relationship Id="rId42" Type="http://schemas.openxmlformats.org/officeDocument/2006/relationships/image" Target="media/image2.jpeg"/><Relationship Id="rId43" Type="http://schemas.openxmlformats.org/officeDocument/2006/relationships/footer" Target="footer36.xml"/><Relationship Id="rId44" Type="http://schemas.openxmlformats.org/officeDocument/2006/relationships/footnotes" Target="footnotes.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Relationship Id="rId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Pages>
  <Words>5423</Words>
  <Characters>26298</Characters>
  <CharactersWithSpaces>31408</CharactersWithSpaces>
  <Paragraphs>369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2026-08-17T06:48:53Z</dcterms:created>
  <dc:creator>ghaemiyeh.com</dc:creator>
  <dc:description/>
  <dc:language>en-US</dc:language>
  <cp:lastModifiedBy/>
  <dcterms:modified xsi:type="dcterms:W3CDTF">2026-08-17T10:18:55Z</dcterms:modified>
  <cp:revision>1</cp:revision>
  <dc:subject/>
  <dc:title>طریقتنا فی المحاورات العلمیه</dc:title>
</cp:coreProperties>
</file>

<file path=docProps/custom.xml><?xml version="1.0" encoding="utf-8"?>
<Properties xmlns="http://schemas.openxmlformats.org/officeDocument/2006/custom-properties" xmlns:vt="http://schemas.openxmlformats.org/officeDocument/2006/docPropsVTypes"/>
</file>