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التوسل وصلته بالتوحید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41754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4175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41758_3650668749">
            <w:r>
              <w:rPr>
                <w:webHidden/>
                <w:rStyle w:val="IndexLink"/>
                <w:rtl w:val="true"/>
              </w:rPr>
              <w:t>كلمة المعهد</w:t>
            </w:r>
            <w:r>
              <w:rPr>
                <w:rStyle w:val="IndexLink"/>
                <w:rtl w:val="true"/>
              </w:rPr>
              <w:tab/>
            </w:r>
            <w:r>
              <w:rPr>
                <w:rStyle w:val="IndexLink"/>
              </w:rPr>
              <w:t>8</w:t>
            </w:r>
          </w:hyperlink>
        </w:p>
        <w:p>
          <w:pPr>
            <w:pStyle w:val="Contents2"/>
            <w:tabs>
              <w:tab w:val="clear" w:pos="8743"/>
              <w:tab w:val="right" w:pos="9026" w:leader="dot"/>
            </w:tabs>
            <w:rPr/>
          </w:pPr>
          <w:hyperlink w:anchor="__RefHeading___Toc4041760_3650668749">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041762_3650668749">
            <w:r>
              <w:rPr>
                <w:webHidden/>
                <w:rStyle w:val="IndexLink"/>
                <w:rtl w:val="true"/>
              </w:rPr>
              <w:t>ما هو التوسل؟ وما هي طبيعة الصلة بينه وبين التوحيد؟</w:t>
            </w:r>
            <w:r>
              <w:rPr>
                <w:rStyle w:val="IndexLink"/>
                <w:rtl w:val="true"/>
              </w:rPr>
              <w:tab/>
            </w:r>
            <w:r>
              <w:rPr>
                <w:rStyle w:val="IndexLink"/>
              </w:rPr>
              <w:t>12</w:t>
            </w:r>
          </w:hyperlink>
        </w:p>
        <w:p>
          <w:pPr>
            <w:pStyle w:val="Contents3"/>
            <w:tabs>
              <w:tab w:val="clear" w:pos="8459"/>
              <w:tab w:val="right" w:pos="9026" w:leader="dot"/>
            </w:tabs>
            <w:rPr/>
          </w:pPr>
          <w:hyperlink w:anchor="__RefHeading___Toc4041764_365066874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041766_3650668749">
            <w:r>
              <w:rPr>
                <w:webHidden/>
                <w:rStyle w:val="IndexLink"/>
                <w:rtl w:val="true"/>
              </w:rPr>
              <w:t>تفصيل الموضوع</w:t>
            </w:r>
            <w:r>
              <w:rPr>
                <w:rStyle w:val="IndexLink"/>
                <w:rtl w:val="true"/>
              </w:rPr>
              <w:tab/>
            </w:r>
            <w:r>
              <w:rPr>
                <w:rStyle w:val="IndexLink"/>
              </w:rPr>
              <w:t>13</w:t>
            </w:r>
          </w:hyperlink>
        </w:p>
        <w:p>
          <w:pPr>
            <w:pStyle w:val="Contents2"/>
            <w:tabs>
              <w:tab w:val="clear" w:pos="8743"/>
              <w:tab w:val="right" w:pos="9026" w:leader="dot"/>
            </w:tabs>
            <w:rPr/>
          </w:pPr>
          <w:hyperlink w:anchor="__RefHeading___Toc4041768_3650668749">
            <w:r>
              <w:rPr>
                <w:webHidden/>
                <w:rStyle w:val="IndexLink"/>
                <w:rtl w:val="true"/>
              </w:rPr>
              <w:t>الوسائط في عال</w:t>
            </w:r>
            <w:r>
              <w:rPr>
                <w:rStyle w:val="IndexLink"/>
                <w:rtl w:val="true"/>
              </w:rPr>
              <w:t>-</w:t>
            </w:r>
            <w:r>
              <w:rPr>
                <w:rStyle w:val="IndexLink"/>
                <w:rtl w:val="true"/>
              </w:rPr>
              <w:t>َمي التكوين والتشريع</w:t>
            </w:r>
            <w:r>
              <w:rPr>
                <w:rStyle w:val="IndexLink"/>
                <w:rtl w:val="true"/>
              </w:rPr>
              <w:tab/>
            </w:r>
            <w:r>
              <w:rPr>
                <w:rStyle w:val="IndexLink"/>
              </w:rPr>
              <w:t>20</w:t>
            </w:r>
          </w:hyperlink>
        </w:p>
        <w:p>
          <w:pPr>
            <w:pStyle w:val="Contents2"/>
            <w:tabs>
              <w:tab w:val="clear" w:pos="8743"/>
              <w:tab w:val="right" w:pos="9026" w:leader="dot"/>
            </w:tabs>
            <w:rPr/>
          </w:pPr>
          <w:hyperlink w:anchor="__RefHeading___Toc4041770_3650668749">
            <w:r>
              <w:rPr>
                <w:webHidden/>
                <w:rStyle w:val="IndexLink"/>
                <w:rtl w:val="true"/>
              </w:rPr>
              <w:t>التوسل من وجهة نظر مفكّري الشيعة والسنة</w:t>
            </w:r>
            <w:r>
              <w:rPr>
                <w:rStyle w:val="IndexLink"/>
                <w:rtl w:val="true"/>
              </w:rPr>
              <w:tab/>
            </w:r>
            <w:r>
              <w:rPr>
                <w:rStyle w:val="IndexLink"/>
              </w:rPr>
              <w:t>32</w:t>
            </w:r>
          </w:hyperlink>
        </w:p>
        <w:p>
          <w:pPr>
            <w:pStyle w:val="Contents3"/>
            <w:tabs>
              <w:tab w:val="clear" w:pos="8459"/>
              <w:tab w:val="right" w:pos="9026" w:leader="dot"/>
            </w:tabs>
            <w:rPr/>
          </w:pPr>
          <w:hyperlink w:anchor="__RefHeading___Toc4041772_3650668749">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4041774_3650668749">
            <w:r>
              <w:rPr>
                <w:webHidden/>
                <w:rStyle w:val="IndexLink"/>
                <w:rtl w:val="true"/>
              </w:rPr>
              <w:t>آراء علماء قريتي ديوبند وبريلة الهنديّتين</w:t>
            </w:r>
            <w:r>
              <w:rPr>
                <w:rStyle w:val="IndexLink"/>
                <w:rtl w:val="true"/>
              </w:rPr>
              <w:tab/>
            </w:r>
            <w:r>
              <w:rPr>
                <w:rStyle w:val="IndexLink"/>
              </w:rPr>
              <w:t>33</w:t>
            </w:r>
          </w:hyperlink>
        </w:p>
        <w:p>
          <w:pPr>
            <w:pStyle w:val="Contents3"/>
            <w:tabs>
              <w:tab w:val="clear" w:pos="8459"/>
              <w:tab w:val="right" w:pos="9026" w:leader="dot"/>
            </w:tabs>
            <w:rPr/>
          </w:pPr>
          <w:hyperlink w:anchor="__RefHeading___Toc4041776_3650668749">
            <w:r>
              <w:rPr>
                <w:webHidden/>
                <w:rStyle w:val="IndexLink"/>
                <w:rtl w:val="true"/>
              </w:rPr>
              <w:t>مُقتطفات من كتاب المهنَّد على المفنِّد</w:t>
            </w:r>
            <w:r>
              <w:rPr>
                <w:rStyle w:val="IndexLink"/>
                <w:rtl w:val="true"/>
              </w:rPr>
              <w:tab/>
            </w:r>
            <w:r>
              <w:rPr>
                <w:rStyle w:val="IndexLink"/>
              </w:rPr>
              <w:t>35</w:t>
            </w:r>
          </w:hyperlink>
        </w:p>
        <w:p>
          <w:pPr>
            <w:pStyle w:val="Contents3"/>
            <w:tabs>
              <w:tab w:val="clear" w:pos="8459"/>
              <w:tab w:val="right" w:pos="9026" w:leader="dot"/>
            </w:tabs>
            <w:rPr/>
          </w:pPr>
          <w:hyperlink w:anchor="__RefHeading___Toc4041778_3650668749">
            <w:r>
              <w:rPr>
                <w:webHidden/>
                <w:rStyle w:val="IndexLink"/>
                <w:rtl w:val="true"/>
              </w:rPr>
              <w:t>أقوال بعض علماء السُنّة</w:t>
            </w:r>
            <w:r>
              <w:rPr>
                <w:rStyle w:val="IndexLink"/>
                <w:rtl w:val="true"/>
              </w:rPr>
              <w:tab/>
            </w:r>
            <w:r>
              <w:rPr>
                <w:rStyle w:val="IndexLink"/>
              </w:rPr>
              <w:t>38</w:t>
            </w:r>
          </w:hyperlink>
        </w:p>
        <w:p>
          <w:pPr>
            <w:pStyle w:val="Contents2"/>
            <w:tabs>
              <w:tab w:val="clear" w:pos="8743"/>
              <w:tab w:val="right" w:pos="9026" w:leader="dot"/>
            </w:tabs>
            <w:rPr/>
          </w:pPr>
          <w:hyperlink w:anchor="__RefHeading___Toc4041780_3650668749">
            <w:r>
              <w:rPr>
                <w:webHidden/>
                <w:rStyle w:val="IndexLink"/>
                <w:rtl w:val="true"/>
              </w:rPr>
              <w:t xml:space="preserve">التوسل بالنبي </w:t>
            </w:r>
            <w:r>
              <w:rPr>
                <w:rStyle w:val="IndexLink"/>
                <w:rtl w:val="true"/>
              </w:rPr>
              <w:t>(</w:t>
            </w:r>
            <w:r>
              <w:rPr>
                <w:rStyle w:val="IndexLink"/>
                <w:rtl w:val="true"/>
              </w:rPr>
              <w:t>ص</w:t>
            </w:r>
            <w:r>
              <w:rPr>
                <w:rStyle w:val="IndexLink"/>
                <w:rtl w:val="true"/>
              </w:rPr>
              <w:t xml:space="preserve">) </w:t>
            </w:r>
            <w:r>
              <w:rPr>
                <w:rStyle w:val="IndexLink"/>
                <w:rtl w:val="true"/>
              </w:rPr>
              <w:t>في حياته البرزخية</w:t>
            </w:r>
            <w:r>
              <w:rPr>
                <w:rStyle w:val="IndexLink"/>
                <w:rtl w:val="true"/>
              </w:rPr>
              <w:tab/>
            </w:r>
            <w:r>
              <w:rPr>
                <w:rStyle w:val="IndexLink"/>
              </w:rPr>
              <w:t>42</w:t>
            </w:r>
          </w:hyperlink>
        </w:p>
        <w:p>
          <w:pPr>
            <w:pStyle w:val="Contents2"/>
            <w:tabs>
              <w:tab w:val="clear" w:pos="8743"/>
              <w:tab w:val="right" w:pos="9026" w:leader="dot"/>
            </w:tabs>
            <w:rPr/>
          </w:pPr>
          <w:hyperlink w:anchor="__RefHeading___Toc4041782_3650668749">
            <w:r>
              <w:rPr>
                <w:webHidden/>
                <w:rStyle w:val="IndexLink"/>
                <w:rtl w:val="true"/>
              </w:rPr>
              <w:t>المنع من التوسل، بدعةٌ أُموية</w:t>
            </w:r>
            <w:r>
              <w:rPr>
                <w:rStyle w:val="IndexLink"/>
                <w:rtl w:val="true"/>
              </w:rPr>
              <w:tab/>
            </w:r>
            <w:r>
              <w:rPr>
                <w:rStyle w:val="IndexLink"/>
              </w:rPr>
              <w:t>54</w:t>
            </w:r>
          </w:hyperlink>
        </w:p>
        <w:p>
          <w:pPr>
            <w:pStyle w:val="Contents2"/>
            <w:tabs>
              <w:tab w:val="clear" w:pos="8743"/>
              <w:tab w:val="right" w:pos="9026" w:leader="dot"/>
            </w:tabs>
            <w:rPr/>
          </w:pPr>
          <w:hyperlink w:anchor="__RefHeading___Toc4041784_3650668749">
            <w:r>
              <w:rPr>
                <w:webHidden/>
                <w:rStyle w:val="IndexLink"/>
                <w:rtl w:val="true"/>
              </w:rPr>
              <w:t>أسئلة تنتظر الرد من منكري التوسل</w:t>
            </w:r>
            <w:r>
              <w:rPr>
                <w:rStyle w:val="IndexLink"/>
                <w:rtl w:val="true"/>
              </w:rPr>
              <w:tab/>
            </w:r>
            <w:r>
              <w:rPr>
                <w:rStyle w:val="IndexLink"/>
              </w:rPr>
              <w:t>58</w:t>
            </w:r>
          </w:hyperlink>
        </w:p>
        <w:p>
          <w:pPr>
            <w:pStyle w:val="Contents3"/>
            <w:tabs>
              <w:tab w:val="clear" w:pos="8459"/>
              <w:tab w:val="right" w:pos="9026" w:leader="dot"/>
            </w:tabs>
            <w:rPr/>
          </w:pPr>
          <w:hyperlink w:anchor="__RefHeading___Toc4041786_3650668749">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4041788_3650668749">
            <w:r>
              <w:rPr>
                <w:webHidden/>
                <w:rStyle w:val="IndexLink"/>
                <w:rtl w:val="true"/>
              </w:rPr>
              <w:t>فالتوسّل في الحقيقة على عدّة أقسامٍ</w:t>
            </w:r>
            <w:r>
              <w:rPr>
                <w:rStyle w:val="IndexLink"/>
                <w:rtl w:val="true"/>
              </w:rPr>
              <w:t>:</w:t>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9_12664"/>
      <w:bookmarkStart w:id="1" w:name="pg2009_12664"/>
      <w:bookmarkEnd w:id="1"/>
    </w:p>
    <w:p>
      <w:pPr>
        <w:pStyle w:val="Heading2"/>
        <w:numPr>
          <w:ilvl w:val="1"/>
          <w:numId w:val="1"/>
        </w:numPr>
        <w:rPr/>
      </w:pPr>
      <w:bookmarkStart w:id="2" w:name="pg2009_12664"/>
      <w:bookmarkStart w:id="3" w:name="__RefHeading___Toc4041754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رج‍ب‍ي‌، ح‍س‍ي‍ن‌،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و رابطه آن با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وصلته بالتوحيد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رجبي؛ ترجمه اسعد الكعبي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‫‭978-964-540-416-9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كعبي، اسعد،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ر۳ت۹۰۴۳ ۱۳۹۲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۳۰۲۰۶۷۸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41756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09_12668"/>
      <w:bookmarkStart w:id="8" w:name="pg2009_12668"/>
      <w:bookmarkEnd w:id="8"/>
    </w:p>
    <w:p>
      <w:pPr>
        <w:pStyle w:val="Heading2"/>
        <w:numPr>
          <w:ilvl w:val="1"/>
          <w:numId w:val="1"/>
        </w:numPr>
        <w:rPr/>
      </w:pPr>
      <w:bookmarkStart w:id="9" w:name="pg2009_12668"/>
      <w:bookmarkStart w:id="10" w:name="__RefHeading___Toc4041758_3650668749"/>
      <w:bookmarkStart w:id="11" w:name="_Toc3"/>
      <w:bookmarkEnd w:id="9"/>
      <w:bookmarkEnd w:id="10"/>
      <w:r>
        <w:rPr>
          <w:rtl w:val="true"/>
        </w:rPr>
        <w:t>كلمة المعهد</w:t>
      </w:r>
      <w:bookmarkEnd w:id="11"/>
    </w:p>
    <w:p>
      <w:pPr>
        <w:pStyle w:val="BookText"/>
        <w:rPr/>
      </w:pPr>
      <w:r>
        <w:rPr>
          <w:rFonts w:ascii="Amiri" w:hAnsi="Amiri" w:eastAsia="Amiri" w:cs="Amiri"/>
          <w:color w:val="111111"/>
          <w:sz w:val="28"/>
          <w:sz w:val="28"/>
          <w:szCs w:val="28"/>
          <w:rtl w:val="true"/>
          <w:lang w:bidi="ar-SA"/>
        </w:rPr>
        <w:t>من الأمور البديهية اتّخاذ الواسطة أو الوسيلة عند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لأجل الحصول على أهداف مادية أو معنوية، وقد أشار المولى تبارك و تعالى في القرآن الكريم إلى أنواع من الوسائط المادية والمعنوية، وبالخصوص المعنوية منها، حيث أمر باتّخاذ الوسيلة إليه،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ثمّ إنّ أفضل الوسائل لغفران الذنوب، التوسّل بالرسول الأكرم محمّد</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جاءُوكَ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توسّل المسلمون على مرِّ التأريخ الإسلامي بذات الله </w:t>
      </w:r>
    </w:p>
    <w:p>
      <w:pPr>
        <w:pStyle w:val="BookText"/>
        <w:rPr/>
      </w:pPr>
      <w:r>
        <w:rPr>
          <w:rFonts w:ascii="Amiri" w:hAnsi="Amiri" w:eastAsia="Amiri" w:cs="Amiri"/>
          <w:color w:val="111111"/>
          <w:sz w:val="28"/>
          <w:sz w:val="28"/>
          <w:szCs w:val="28"/>
          <w:rtl w:val="true"/>
          <w:lang w:bidi="ar-SA"/>
        </w:rPr>
        <w:t>المقدّسة إلى أن ظهر ابن تيمية الحراني الحنبلي في القرن الثامن، وتبعه محمّد بن عبدالوهاب في القرن الثاني‌عش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حرّما التوسّل،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بالأنبياء والأولياء معارض للتوحيد، وبَدَءا يهاجمان المسلمين على هذا العمل، ولكن في المقابل عارض المفكرون والمحققون والعلماء المسلمون هذه الفكرة علمياً وثقافياً، فبيّنوا مفهوم ومعنى التوسّل وعدم معارضته 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عزيزي القارئ، هذا الكتيب الماثل بين يديك قام بتدوينه المحقق المحترم والأستاذ الجليل حسين رجبي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الموضوع باللغة الفارسية، ثمّ قام بتعريبه الأخ الفاضل العزيز أسعد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وأخيراً يتقدّم معهد الحج والزيارة بجزيل الشكر والامتنان للجهود المضنية التي بذلها المؤلّف العزيز والمترجم الفاضل، ولجميع الذين ساهموا في إنجاز هذا الأثر القيّم، راجياً من المولى العلي القدير للجميع قبول الأعمال والتوفيق للطاعة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معهد الحج و الزيارة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المعارف والكلام </w:t>
      </w:r>
      <w:bookmarkStart w:id="12" w:name="pg2009_12670"/>
    </w:p>
    <w:p>
      <w:pPr>
        <w:pStyle w:val="Heading2"/>
        <w:numPr>
          <w:ilvl w:val="1"/>
          <w:numId w:val="1"/>
        </w:numPr>
        <w:rPr/>
      </w:pPr>
      <w:bookmarkStart w:id="13" w:name="__RefHeading___Toc4041760_3650668749"/>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 xml:space="preserve">يتناول هذا الكُتيّب دراسة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يُعتبر أحد المصطلحات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دُوّن بشكلٍ موجز، وبطريقةٍ استدلاليّةٍ، اعتماداً على القرآن الكريم والأحاديث المعتبرة وآراء فطاحل علماء المسلمين، خاصّةً أهل السُنّة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حرّرنا هذا البحث المقتضب والأمل يحدونا لأن يكون سبباً لترسيخ المودّة بين أبناء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ونرجو أن يقطع الطريق على المتصيِّدين في الماء العكر، الذين لا همَّ لهم سوى خلق الفتن والترويج للخلافات بين أبناء الدين الواحد؛ إذ سوف نتناول فيه الآراء الصحيحة لأتباع كِلا المذهبين، ومن ثَمَّ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سنوضّح ما يشوب التوسّل من ملابساتٍ وما يدور حوله من استفساراتٍ هامّة</w:t>
      </w:r>
      <w:r>
        <w:rPr>
          <w:rFonts w:eastAsia="Amiri" w:cs="Amiri" w:ascii="Amiri" w:hAnsi="Amiri"/>
          <w:color w:val="111111"/>
          <w:sz w:val="28"/>
          <w:szCs w:val="28"/>
          <w:rtl w:val="true"/>
          <w:lang w:bidi="ar-SA"/>
        </w:rPr>
        <w:t xml:space="preserve">. </w:t>
      </w:r>
      <w:bookmarkStart w:id="15" w:name="pg2009_12672"/>
    </w:p>
    <w:p>
      <w:pPr>
        <w:pStyle w:val="Heading2"/>
        <w:numPr>
          <w:ilvl w:val="1"/>
          <w:numId w:val="1"/>
        </w:numPr>
        <w:rPr/>
      </w:pPr>
      <w:bookmarkStart w:id="16" w:name="__RefHeading___Toc4041762_3650668749"/>
      <w:bookmarkStart w:id="17" w:name="_Toc5"/>
      <w:bookmarkEnd w:id="15"/>
      <w:bookmarkEnd w:id="16"/>
      <w:r>
        <w:rPr>
          <w:rtl w:val="true"/>
        </w:rPr>
        <w:t>ما هو التوسل؟ وما هي طبيعة الصلة بينه وبين التوحيد؟</w:t>
      </w:r>
      <w:bookmarkEnd w:id="17"/>
    </w:p>
    <w:p>
      <w:pPr>
        <w:pStyle w:val="Heading3"/>
        <w:numPr>
          <w:ilvl w:val="2"/>
          <w:numId w:val="1"/>
        </w:numPr>
        <w:rPr/>
      </w:pPr>
      <w:bookmarkStart w:id="18" w:name="__RefHeading___Toc4041764_3650668749"/>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التوسّل يعني اتّخاذ شيءٍ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للوصول إلى هدفٍ محدّدٍ عادةً ما يسعى الإنسان لتحقيقه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والوسيلة تارةً تكون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 وأُخرى تكون معنويّةً، وتارةً تكون إنساناً وأُخرى ليست بإنسانٍ، وتارةً تكون الله تعالى وأُخرى الأعمال الصالحة،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والصوم وسائر الأعمال الحسنة، وفي بعض الأحيان تكون الوسيلة بقوّة الإرادة وبإبراز المحبّة والمودّة أو ما شابه ذلك؛ إذ حسب عقيدتنا التوحيديّة، فإنّ البارئ جلّ وعلا قد خلق العالم وأتحفه بشتّى الوسائل والعلل التكوينيّة والتشريعيّة؛ لذلك يكون الاعتقاد بالوسائط للوصول </w:t>
      </w:r>
      <w:bookmarkStart w:id="20" w:name="pg2009_12673"/>
    </w:p>
    <w:p>
      <w:pPr>
        <w:pStyle w:val="BookText"/>
        <w:rPr/>
      </w:pPr>
      <w:bookmarkEnd w:id="20"/>
      <w:r>
        <w:rPr>
          <w:rFonts w:ascii="Amiri" w:hAnsi="Amiri" w:eastAsia="Amiri" w:cs="Amiri"/>
          <w:color w:val="111111"/>
          <w:sz w:val="28"/>
          <w:sz w:val="28"/>
          <w:szCs w:val="28"/>
          <w:rtl w:val="true"/>
          <w:lang w:bidi="ar-SA"/>
        </w:rPr>
        <w:t>إلى الهدف جزءاً من هذه العقيدة، ولا ينفكّ عنها قطعاً، كما أنّ إنكار هذه الوسائط مُنافٍ للتوحيد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الموحّد يعتقد أنّ المؤثّر في العالم وخالقه واحدٌ، وسائر الوسائط وإن كانت مؤثّرةً لكنّها غير مستقلّةٍ، وإنّما اكتسبت تأثيرها من هذا الخالق العظيم،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الارتواء بالماء والشبع بالغذاء والتداوي عند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الموحِّد لا يعتقد بالتأثير المستقلّ للوسائط، ولا يعتبرها كائنةً في مصافّ الله تعالى؛ إذ هذا الاعتقاد ينافي التوحيد، وفي نفس الوقت فإنّ إنكار هذه الوسائط وغضّ النظر عنها يتنافى مع التوحيد أيضاً</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041766_3650668749"/>
      <w:bookmarkStart w:id="22" w:name="_Toc7"/>
      <w:bookmarkEnd w:id="21"/>
      <w:r>
        <w:rPr>
          <w:rtl w:val="true"/>
        </w:rPr>
        <w:t>تفصيل الموضوع</w:t>
      </w:r>
      <w:bookmarkEnd w:id="22"/>
    </w:p>
    <w:p>
      <w:pPr>
        <w:pStyle w:val="BookText"/>
        <w:rPr/>
      </w:pPr>
      <w:r>
        <w:rPr>
          <w:rFonts w:ascii="Amiri" w:hAnsi="Amiri" w:eastAsia="Amiri" w:cs="Amiri"/>
          <w:color w:val="111111"/>
          <w:sz w:val="28"/>
          <w:sz w:val="28"/>
          <w:szCs w:val="28"/>
          <w:rtl w:val="true"/>
          <w:lang w:bidi="ar-SA"/>
        </w:rPr>
        <w:t>إنّ أيّ إنسانٍ يواجه شاكل ومصاعب في حياته، ويميل بطبعه إلى البحث عن مأوىً يلجأ إليه للتخلّص من ذلك العبء الذي يثقل كاهله، وذلك من خلال بيان مشاكله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لجأ إليه، حيث ستصبح نفسيّته بحالٍ أفضل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جهةٍ، كلّما تقدم الزمان فإنّ المشاكل الروحية والنفسية والمادّية تزداد على الإنسان، فيزداد عنده الشعور بضرورة اللجوء </w:t>
      </w:r>
    </w:p>
    <w:p>
      <w:pPr>
        <w:pStyle w:val="BookText"/>
        <w:rPr/>
      </w:pPr>
      <w:r>
        <w:rPr>
          <w:rFonts w:ascii="Amiri" w:hAnsi="Amiri" w:eastAsia="Amiri" w:cs="Amiri"/>
          <w:color w:val="111111"/>
          <w:sz w:val="28"/>
          <w:sz w:val="28"/>
          <w:szCs w:val="28"/>
          <w:rtl w:val="true"/>
          <w:lang w:bidi="ar-SA"/>
        </w:rPr>
        <w:t>للأُمور الروحيّة شيئاً فشيئاً، وهذا الأمر هو الذي جعل للتوسّل مكانةً خاصّةً عند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الملجأ بطبيعة الحال يختلف باختلاف عقائد الناس، فأحياناً يكون إنساناً مثلهم، وأحياناً يكون صنماً أو طاغيةً، وأحياناً يلتجِؤون إلى مدبّر الأُمور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 العقلاء لا يلتجؤون لأيّ شيءٍ كان، بل يجعلون مَأواهم وملتجأهم مَن بيده زمام الأُمور، فالعقل يُدرك أنّ المخلوق الضعيف الذي لا ينفع نفسه كيف يمكنه أن يحلّ مشاكل الآخرين؟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فإنّ كافّة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يتمتّعون بنفس القدرة والمستوى، باستثناء الذين أنعم الله تعالى عليهم بقدرةٍ خاصّةٍ، ومنحهم مكانةً رفيعةً امتازوا بها عن سائر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فإنّ هؤلاء لم ينالوا هذه الكرامة إلّا بعد خلوص النيّة وكمال العبوديّة، ومن ثمّ صار باستطاعتهم حلّ مشاكل الآخرين المادّية والروحيّة بإذن الله وبفيضٍ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الأشخاص قد جعلهم الله تعالى واسطةً بينه وبين خلقه؛ إذ إنّه جلّ شأنه تارةً يبعثهم كأنبياء يحملون على عاتقهم مسؤوليّة هداية الناس، فيخرجونهم من </w:t>
      </w:r>
    </w:p>
    <w:p>
      <w:pPr>
        <w:pStyle w:val="BookText"/>
        <w:rPr/>
      </w:pPr>
      <w:r>
        <w:rPr>
          <w:rFonts w:ascii="Amiri" w:hAnsi="Amiri" w:eastAsia="Amiri" w:cs="Amiri"/>
          <w:color w:val="111111"/>
          <w:sz w:val="28"/>
          <w:sz w:val="28"/>
          <w:szCs w:val="28"/>
          <w:rtl w:val="true"/>
          <w:lang w:bidi="ar-SA"/>
        </w:rPr>
        <w:t>الظلمات إلى النور، بلطفٍ ربّاني ووحيٍ سماويٍّ، وتارةً يجعلهم واسطةً لطلب المغفرة والتقرّب إليه؛ وبالتأكيد فإنّه لا يليق بالتصدّي لهاذين المقامين أيّ شخصٍ كان، بل لا ينالهما إلّا مَن سمَت نفسه وعَلَت همّته، كما قال العزيز الحكيم في قرآنه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من الواضح أنّ هذا المقام هو مكانةٌ معنويّةٌ رفيعةٌ أساسها القرب من الله تعالى، ولا ينالها أيّ مخلوقٍ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ينالوا حقّ الشفاعة وحقّ الولاية وحقّ الطاعة، وسائر الحقوق المعنويّة، إلّا بعد أن منحهم الله تعالى المقام السامي عنده، ولولا ذلك لما كان لأحدٍ على الآخر حقٌّ، وعليه فقد اتّخذ الله عزّ وجلّ عدداً من خاصّة خلقه، وجعلهم وسائط لإيصال وحيه وهداية الناس، وبالأخصّ إيصال رسالة التوحيد، التي تُعتبر الدعامة الأساسيّة للدين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الاعتقاد بسموِّ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والتوسّل بمقامه عند الله لا يتنافى مع عقيدة التوحيد، ولا يتعارض مع كون الله تعالى هو </w:t>
      </w:r>
    </w:p>
    <w:p>
      <w:pPr>
        <w:pStyle w:val="BookText"/>
        <w:rPr/>
      </w:pPr>
      <w:r>
        <w:rPr>
          <w:rFonts w:ascii="Amiri" w:hAnsi="Amiri" w:eastAsia="Amiri" w:cs="Amiri"/>
          <w:color w:val="111111"/>
          <w:sz w:val="28"/>
          <w:sz w:val="28"/>
          <w:szCs w:val="28"/>
          <w:rtl w:val="true"/>
          <w:lang w:bidi="ar-SA"/>
        </w:rPr>
        <w:t>المرجع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مُلتَجأ الحقيقي عند النوائب؛ لأنّ هذا المقام هو نعمةٌ وهبةٌ من الله،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يهبه إلّا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أهلاً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التوحيد الصادق هو الاعتقاد بأنْ لا ملجأ ولا مأوى إلّا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بما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التجسيم والصفات المادّية، فلا بدّ من وسائط مادّيةٍ تقوم بإرشاد الناس وحلّ مشاكلهم، فلا يمكن أن يتجسّم الله تعالى للناس ويحكم بينهم بشكلٍ مباشرٍ، بل يختار منهم فرداً أو أفراداً ذوي صفاتٍ حميدةٍ وخصالٍ تؤهّلهم لهذا الأمر، ليمنحهم المقام المحمود، ومن ثَمَّ يكونوا خلفاءه في الأرض، ويحكموا بما ألهمهم من خلال الوحي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العبد مكلّفاً بالانصياع والطاعة لهذه الأحكام، فالاعتقاد بحكومة خليفة الله، الذي هو واسطةٌ بينه وبين خالقه، يُعتبر أمراً ضروريّاً لا مناص منه، وهذا هو التوحيد الحقّ، على خلاف ما اعتقده الخوارج،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حكم أيّ حاكمٍ سوى الله تعالى؛ مستندين إلى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أيّة واسطةٍ في الحكم بين الله وبين خلقه، فعلّق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احتجاجهم الزائف هذا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واستخدام الخوارج لهذا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عن فهمٍ خاطئٍ لمعنى الآية الكريمة؛ إذ ليس من شأن الله تعالى أن يتصدّى لمنصب الحكم بشكلٍ مباشرٍ، بل لا بدّ وأن يختار خليفة لائقاً ينوب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انحرافٍ في عقيدة التوحيد عند المسلمين قد ابتُلي به الخوارج؛ لأنّ التوحيد الصحيح يستلزم قبول الوسائط التي نصّبها الله علينا، وليس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اعتبر الله سبحانه وتعالى في قرآنه الكريم أنّ طاعتَه عبادةٌ، وأنّ اتّباع وإطاعة مَن سواه شركٌ، كما جاء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لا تَعْبُدِ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الواضح إنّ عبادة الشيطان هنا تعني إطاعته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العكس من هذا، فإنّه تعالى اعتبر في آيةٍ أُخرى، أنّ إطاعة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 هي طاعة 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اعتبر البارئ جلّ وعلا أنّ إطاعة الوسائط هي توحيدٌ صحيحٌ، وعصيانها شركٌ،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 أَطِيعُوا الرَّسُولَ وَ </w:t>
      </w:r>
    </w:p>
    <w:p>
      <w:pPr>
        <w:pStyle w:val="BookText"/>
        <w:rPr/>
      </w:pPr>
      <w:r>
        <w:rPr>
          <w:rFonts w:ascii="Amiri" w:hAnsi="Amiri" w:eastAsia="Amiri" w:cs="Amiri"/>
          <w:color w:val="111111"/>
          <w:sz w:val="28"/>
          <w:sz w:val="28"/>
          <w:szCs w:val="28"/>
          <w:rtl w:val="true"/>
          <w:lang w:bidi="ar-SA"/>
        </w:rPr>
        <w:t>أُولِي الْأَمْرِ مِنْكُمْ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ولايةٍ وطاعةٍ أمرَنا الله بها، تنصبُ في طاعته تعالى وتُعتبر توحيداً صحيحاً دون أدنى شكٍّ، وكلّ طاعةٍ على خلاف طاعة الله تعالى ورسوله وأُولي الأمر تُعتبر شركاً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الطاعة سواء أكانت للشيطان، أم لامرئٍ لم يُنصّبه الله تعالى، أم لأهواء النفس، أم لغير ذلك، هي باطلةٌ؛ لذلك فالواسطة، سواء أكانت في الحُكم أم في الولاية، وسواء أكانت في إيصال الرزق، أم في أيّ شيءٍ آخر، إذا كانت بإذنٍ منه تعالى فالاعتقاد بها توحيدٌ، وإلّا فإنّ الاعتقاد بها شركٌ</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009_12680"/>
      <w:bookmarkStart w:id="24" w:name="pg2009_12680"/>
      <w:bookmarkEnd w:id="24"/>
    </w:p>
    <w:p>
      <w:pPr>
        <w:pStyle w:val="Heading2"/>
        <w:numPr>
          <w:ilvl w:val="1"/>
          <w:numId w:val="1"/>
        </w:numPr>
        <w:rPr/>
      </w:pPr>
      <w:bookmarkStart w:id="25" w:name="pg2009_12680"/>
      <w:bookmarkStart w:id="26" w:name="__RefHeading___Toc4041768_3650668749"/>
      <w:bookmarkStart w:id="27" w:name="_Toc8"/>
      <w:bookmarkEnd w:id="25"/>
      <w:bookmarkEnd w:id="26"/>
      <w:r>
        <w:rPr>
          <w:rtl w:val="true"/>
        </w:rPr>
        <w:t>الوسائط في عال</w:t>
      </w:r>
      <w:r>
        <w:rPr>
          <w:rtl w:val="true"/>
        </w:rPr>
        <w:t>-</w:t>
      </w:r>
      <w:r>
        <w:rPr>
          <w:rtl w:val="true"/>
        </w:rPr>
        <w:t>َمي التكوين والتشريع</w:t>
      </w:r>
      <w:bookmarkEnd w:id="27"/>
    </w:p>
    <w:p>
      <w:pPr>
        <w:pStyle w:val="BookText"/>
        <w:rPr/>
      </w:pPr>
      <w:r>
        <w:rPr>
          <w:rFonts w:ascii="Amiri" w:hAnsi="Amiri" w:eastAsia="Amiri" w:cs="Amiri"/>
          <w:color w:val="111111"/>
          <w:sz w:val="28"/>
          <w:sz w:val="28"/>
          <w:szCs w:val="28"/>
          <w:rtl w:val="true"/>
          <w:lang w:bidi="ar-SA"/>
        </w:rPr>
        <w:t>إنّ الوسائط تارةً يكون لها وجودٌ خارجيٌّ في عالم التكوين، وأُخرى تكون في عالم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ونقل أحكام الدين والوحي؛ فالملائكة هم وسائطٌ بين الله تعالى وبين عباده في عالمي التكوين والتش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مثلاً في قبض الأرواح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هم وسائطٌ في إيصال الرزق للناس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بعض الأنبياء أيضاً مؤثّرين في عالم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بالنسبة للنبيّ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أُبْرِئُ الْأَكْمَهَ وَ الْأَبْرَصَ وَ أُحْيِ الْمَوْتى بِإِذْنِ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فأنبياء الله هم وسائطٌ، مُهمّتهم إيصال الوحي وتعاليم الدين للبش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وإنكار </w:t>
      </w:r>
    </w:p>
    <w:p>
      <w:pPr>
        <w:pStyle w:val="BookText"/>
        <w:rPr/>
      </w:pPr>
      <w:r>
        <w:rPr>
          <w:rFonts w:ascii="Amiri" w:hAnsi="Amiri" w:eastAsia="Amiri" w:cs="Amiri"/>
          <w:color w:val="111111"/>
          <w:sz w:val="28"/>
          <w:sz w:val="28"/>
          <w:szCs w:val="28"/>
          <w:rtl w:val="true"/>
          <w:lang w:bidi="ar-SA"/>
        </w:rPr>
        <w:t>هذه الوسائط في التكوين والتشريع يُعتبر مخالفاً لما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الصادق هو أن يقبل الموحِّد كلّ شيءٍ أقرّه دين الله تعالى ويعتبره توحيداً، ويرفض كلّ ما سواه ويعتبره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الاعتقاد بالوسائط، حسب مبادئ التوحيد الصادق، لا يستلزم الشرك مطلقاً؛ لأنّ هذه الوسائط لا تتمتّع باستقلالٍ بذاتها، وكلّ ما لديها هو من الله تعالى؛ إذ لا يُنظر إليها كوجودٍ مستقلٍّ دون مؤثّرٍ، فلو اعتُبرت مستقّلةً في التأثير، لأصبح الاعتقاد بها شركاً، حتّى وإن كانت هذه الواسطة هي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نفى أتباع بعض المذاهب أيَّ نوعٍ من الوسائط استناداً لهذه النظرة الأخيرة، واعتبروها شركاً، ولكن حسب ما ذكرنا من تفاصيل، يتّضح أنّ الفهم الذي تمخّض عنه رأي هؤلاء، هو في الحقيقة خاطئٌ ومخالفٌ للقرآن الكريم ولسنّة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 لأنّ القرآن الكريم خصّ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كافّة الذين تركوا عبادة الله قبل الإسلام، واتّخذوا لأنفسهم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الأصنام التي صنعوها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وجعلوها وسائط بينهم وبين الله، وقاموا بعبادتها، حيث إنّهم اختاروا وسائط لا نفع لها و </w:t>
      </w:r>
    </w:p>
    <w:p>
      <w:pPr>
        <w:pStyle w:val="BookText"/>
        <w:rPr/>
      </w:pPr>
      <w:r>
        <w:rPr>
          <w:rFonts w:ascii="IRNazanin" w:hAnsi="IRNazanin" w:eastAsia="IRNazanin"/>
          <w:color w:val="111111"/>
          <w:sz w:val="28"/>
          <w:sz w:val="28"/>
          <w:szCs w:val="28"/>
          <w:rtl w:val="true"/>
          <w:lang w:bidi="fa-IR"/>
        </w:rPr>
        <w:t>لا ضرر، دون إذنٍ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ادّعاء البعض بكون أفعال وعقائد المسلمين، باحترام وإجلال مراقد الرسول وأهل بيته وصحابته وسائر أولياء الله تعالى، شِركاً، أو في بعض الأحيان يُقارنوها مع أفعال مشركي صدر الإسلام، هو ادّعاءٌ باطلٌ، ومقارنتهم هذه لا وجه لها، ولا يقتنع بها أيّ عاقلٍ؛ لأنّ كلّ مسلمٍ لا يعبد أحداً سوى الله تعالى، وإنّما يزور أضرحة أنبياء وأولياء الله حبّاً بهم واحتراماً لهم؛ إذ وهبهم ربّ العالمين مقاماً محموداً ومكانةً رفيعةً، وكرّمهم بالشفاعة لسائر خلقه، فيقصدهم الخلق طلباً لحلّ المشاكل، من خلال وساطتهم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أفهل يُعتبر طلبُ العباد حلّ مشاكلهم من أشخاصٍ رفعهم الله تعالى مقاماً محموداً وأذِن لهم بذلك، شركاً؟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الحقيقة ليس هناك مسلمٌ يعتقد أنّ هذا الفعل يُنافي التوحيد الخالص، إذ كما أنّ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كانوا يجعلونه واسطةً بينهم وبين الله تعالى عندما كان حيّاً، فبعد رحيله يمكن أن نجعله واسطةً أيضاً، وإنكار هذا الأمر لا دليل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الإنسان عندما يريد أن يحصل على منزلةٍ عاليةٍ </w:t>
      </w:r>
    </w:p>
    <w:p>
      <w:pPr>
        <w:pStyle w:val="BookText"/>
        <w:rPr/>
      </w:pPr>
      <w:r>
        <w:rPr>
          <w:rFonts w:ascii="Amiri" w:hAnsi="Amiri" w:eastAsia="Amiri" w:cs="Amiri"/>
          <w:color w:val="111111"/>
          <w:sz w:val="28"/>
          <w:sz w:val="28"/>
          <w:szCs w:val="28"/>
          <w:rtl w:val="true"/>
          <w:lang w:bidi="ar-SA"/>
        </w:rPr>
        <w:t xml:space="preserve">وقربٍ من الله تعالى، عليه أن ينال ذلك بواسطة أعماله الصالحة وعقائده الصحيحة، فالأعمال الصالحة تتجلّى في الصلاة والصوم والحجّ وسائر العبادات، التي من شأنها أن تقرّبه إلى خالقه، وكذلك فتوحيده الخالص وتصديقه بنبوّة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ومحبّته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أُمورٌ لها تأثيرٌ بالغٌ في تقرّبه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الأعمال التي لها دَورٌ مشهودٌ في التقرّب إلى الله، المواظبة على الدعاء وطلب المراد منه تعالى، ولا شكَّ فإنّ مجرّد التوسّل بغير الله لا يُعتبر شركاً، بل التوسّل الذي يُعتبر شركاً هو ما كان دون إذنٍ من الله، أو رجاء شخصٍ بموازاته تعالى، والاعتقاد بتأثيره المستقلّ، وإلاّ فإنّ جميع المسلمين يطلبون العون من غير الله تعالى عند الشدائد المادّية والنفسيّة، ولا أحد يستطيع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مشركون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أصبح لا يهتمُّ بأُمور المسلمين فليس منهم، ومَن سمع رجلاً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فليس بمسلمٍ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يُعتبر طلب الغوث والمدد من المسلمين </w:t>
      </w:r>
    </w:p>
    <w:p>
      <w:pPr>
        <w:pStyle w:val="BookText"/>
        <w:rPr/>
      </w:pPr>
      <w:r>
        <w:rPr>
          <w:rFonts w:ascii="Amiri" w:hAnsi="Amiri" w:eastAsia="Amiri" w:cs="Amiri"/>
          <w:color w:val="111111"/>
          <w:sz w:val="28"/>
          <w:sz w:val="28"/>
          <w:szCs w:val="28"/>
          <w:rtl w:val="true"/>
          <w:lang w:bidi="ar-SA"/>
        </w:rPr>
        <w:t xml:space="preserve">طلباً من 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 الطلب من الميّت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يُعتبر الطلب من الميّت شركاً؟ وما هو المعيار في كون الطلب من الميّت شركاً؟ هل أنّه شركٌ لأنّ الإنسان عند فناء جسده المادّي يصبح عاجزاً عن إدراك شيءٍ؟ أو لأنّه اتّخذ واسطةً غير الله تعالى فيكون فعله شركاً؟</w:t>
      </w:r>
    </w:p>
    <w:p>
      <w:pPr>
        <w:pStyle w:val="BookText"/>
        <w:rPr/>
      </w:pPr>
      <w:r>
        <w:rPr>
          <w:rFonts w:ascii="Amiri" w:hAnsi="Amiri" w:eastAsia="Amiri" w:cs="Amiri"/>
          <w:color w:val="111111"/>
          <w:sz w:val="28"/>
          <w:sz w:val="28"/>
          <w:szCs w:val="28"/>
          <w:rtl w:val="true"/>
          <w:lang w:bidi="ar-SA"/>
        </w:rPr>
        <w:t>من المؤكّد أنّ الإنسان لا يفنى بموته، ولا يوجد مسلمٌ يعتقد بهذا الشيء، بل إنّ صريح القرآن والأحاديث يؤكّد أنّ الإنسان بعد موته يبدأ حياةً جديدةً، ويصبح إدراكه للأُمور أكثر من الأحياء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الأموات لا يسمعون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تنصّ الأحاديث التي يرويها 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استحباب السلام على أهل القبور عند زيارتها؛ لأنّ أهلها يسمعون سلامنا؟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المشركين في حرب بدرٍ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الآن ما كنتم تُنكرون؟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سألوه هل أنّ الموتى يفهمون؟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إنّهم يفهمون أفضل منكم؟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أَلم يذكر القرآن الكريم أنّ الشهداء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يا تُرى أنّ مقام الأنبياء والأئمة عند الله أدنى من مقام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توصل الملائكة سلامنا إلى النبيّ والأئمة؟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الحقيقة إنّ الموتى، وخاصّةً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يُدركون الأُمور في عالم البرزخ أكثر من الأحياء، بل إنّهم يُحيطون بها بشكلٍ أوسعَ بلطفٍ وكرامةٍ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الأنبياء والأولياء في عالم البرزخ يدعون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يستطيع الأنبياء والأئمة أن يدعوا لأُمّتهم في عالم البرزخ؟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مسلمٍ يؤمن بمنزلة الرسول والأئمة عند الله تعالى، وعنده يقينٌ بالحياة بعد الموت، سوف يكون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إنّهم يستطيعون أن يدعوا لأُمّتهم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أنّ مناجاة هؤلاء الصلحاء يُعتبر 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مناجاتهم وهم أموات شركاً، فمناجاتهم عندما كانوا أحياءً شركٌ أيضاً؛ لأنّ الذين توسّلوا بهم آنذاك قد اتّخذوا غيرَ الله واسطةً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لايدّعي فيه أحدٌ أنّ هذا الفعل شركٌ؛ إذ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هو التوسّل بحيٍّ أو بغير حيّ بشكلٍ مستقلٍّ وفي موازاة الله تعالى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ليس المعيار في الشرك هو الموت أو الحياة، بل المعيار فيه </w:t>
      </w:r>
    </w:p>
    <w:p>
      <w:pPr>
        <w:pStyle w:val="BookText"/>
        <w:rPr/>
      </w:pPr>
      <w:r>
        <w:rPr>
          <w:rFonts w:ascii="Amiri" w:hAnsi="Amiri" w:eastAsia="Amiri" w:cs="Amiri"/>
          <w:color w:val="111111"/>
          <w:sz w:val="28"/>
          <w:sz w:val="28"/>
          <w:szCs w:val="28"/>
          <w:rtl w:val="true"/>
          <w:lang w:bidi="ar-SA"/>
        </w:rPr>
        <w:t>اتّخاذ الإنسان معبوداً يلتجئ إليه إلى جانب الله تعالى؛ لذا، لا يجوز الاتّكاء على الذوق في تعيين مصداق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ونسبته إلى شخصٍ أو طائفةٍ ما، بل لا بدّ من الاعتماد على معيارٍ صحيحٍ، وهو الاستناد إلى الآيات والروايات التي لا شكّ فيها ولا خللٍ، وكذلك الأخذ بنظر الاعتبار أعمال المسلمين، التي هي قطعاً تطابق التوحيد وتخالف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ادّعى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معيار الشرك هو اتّخاذ واسطةٍ، وبما أنّكم جعلتم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وسائط، فقد أشركتم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هذا الادّعاء قد تمّ توضيحه فيما سبق،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اتّخاذ واسطةٍ ليس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فالله تعالى قد جعل الأنبياء وسائط بينه وبين خلقه، لذلك إذا كانت الواسطة بحدّ ذاتها شركاً، فهذا النوع من الشرك قد أمر الله تعالى به، فالوسائط إنّما تكون شركاً عندما تُتَّخذ دون إذنٍ من الله تعالى، ويجعلها العبد آلهةً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العجيب أنّ البعض يرفضون التوسّل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هو دليلهم على رفض الواسطة بين الله تعالى وبين خلقه؟ ففي النظام الكوني الذي نحن فيه، هل نرى شيئاً غير </w:t>
      </w:r>
    </w:p>
    <w:p>
      <w:pPr>
        <w:pStyle w:val="BookText"/>
        <w:rPr/>
      </w:pPr>
      <w:r>
        <w:rPr>
          <w:rFonts w:ascii="Amiri" w:hAnsi="Amiri" w:eastAsia="Amiri" w:cs="Amiri"/>
          <w:color w:val="111111"/>
          <w:sz w:val="28"/>
          <w:sz w:val="28"/>
          <w:szCs w:val="28"/>
          <w:rtl w:val="true"/>
          <w:lang w:bidi="ar-SA"/>
        </w:rPr>
        <w:t xml:space="preserve">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أصل النظام الكوني مُبتنٍ على الأسباب والمسبّبات؛ أَليس الأنبياء وسائط بين الله وبين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ملائكة الحياة والموت هم وسائط بين الله وبين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العوامل الطبيعيّة وغيرها 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الطبيب هو واسطة لشفاء المرضى؟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الماء واسطة لرفع العطش، والطعام واسطة لرفع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الشمس واسطة لتزويدنا بالنور، والنار واسطة للإحراق؟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وجهة نظر الإنسان الموحّد، واستناداً لحقيقة التوحيد الصادق، فإنّ الوسائط ليست إلّا وسائل خلقها الله تعالى، وجعل على عاتق كلّ واحدةٍ منها مهمّةً أو مهمّاتٍ تؤدّيها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المباركة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إنكار هذه الوسائط البتّة، بل تشير إلى أنّ المؤثّر الوحيد في الكون هو الله تعالى، وليس هناك مؤثر مستقلٌّ حقيقيٌّ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اعتقدت أيّها الإنسان بوجود مؤثّرٍ مستقلٍ غيره تعالى فأنت مشركٌ؛ لأنّ اعتقادك هذا ينافي التوحيد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الموحّد لا يعتبر الوسائط مستقلّةً، بل يرى أنّ الأثر </w:t>
      </w:r>
    </w:p>
    <w:p>
      <w:pPr>
        <w:pStyle w:val="BookText"/>
        <w:rPr/>
      </w:pPr>
      <w:r>
        <w:rPr>
          <w:rFonts w:ascii="Amiri" w:hAnsi="Amiri" w:eastAsia="Amiri" w:cs="Amiri"/>
          <w:color w:val="111111"/>
          <w:sz w:val="28"/>
          <w:sz w:val="28"/>
          <w:szCs w:val="28"/>
          <w:rtl w:val="true"/>
          <w:lang w:bidi="ar-SA"/>
        </w:rPr>
        <w:t xml:space="preserve">الناشئ عنها هو بإذنٍ من الخالق البارئ، كما 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الموتى، وكما يعالج الطبيب المرضى، وكما يرفع الماء العطش، بإذنٍ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فالكعبة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شرّفة، والحجر الأسود، والسعي بين الصفا والمروة، وكلّ ما في مكّة، تنال احترام وتقديس المسلمين؛ إذ إنّهم يولّون وجوههم نحو الكعبة في صلواتهم ودعائهم، فمن المؤكّد أنّ معبودهم ليس الحجر والتراب الذي بُني منه بيت الله الحرام، أو المكان الذي يتّجهون نحوه؛ لأنّ هذا المكان وما فيه ليس سوى علاماتٍ وآياتٍ يتّخذوها ذريعةً للتقرّب من الله تعالى، كما هو الحال عندما سجد الملائكة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عندما يكون الحجر أو المكان علامةً على تقرّب العبد لربّه، وواسطةً لذلك، أَوَليس من الأولى حينها أن يكون رسول هذا الربّ، وموفده إلى عباده، علامةً وواسطةً للتقرّب إليه تعالى؟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فلا ضيرَ من اتّخاذ واسطة، سواء أَكانت إنساناً أم دعاءً أم عملاً، ولا فرق في كون هذا الإنسان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 اعتقد العبد باستقلال هذه الوسائط في التأثير بذاتها، فالأمر </w:t>
      </w:r>
    </w:p>
    <w:p>
      <w:pPr>
        <w:pStyle w:val="BookText"/>
        <w:rPr/>
      </w:pPr>
      <w:r>
        <w:rPr>
          <w:rFonts w:ascii="Amiri" w:hAnsi="Amiri" w:eastAsia="Amiri" w:cs="Amiri"/>
          <w:color w:val="111111"/>
          <w:sz w:val="28"/>
          <w:sz w:val="28"/>
          <w:szCs w:val="28"/>
          <w:rtl w:val="true"/>
          <w:lang w:bidi="ar-SA"/>
        </w:rPr>
        <w:t>حينها يصبح مختلفاً، ويتحوّل إلى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بأنّ الله تعالى قد خلقها لقضاء حوائجنا، وأنعم بها علينا، كوسائط نستفيض منها فحسب، لا ينافي التوحيد بوجهٍ، والتوسّل بالقرآن وبأسماء الله وبالصلاة وبالحجّ هو عين التوحيد؛ لأنّه استجابة لأمر الخالق الواحد الأحد، وهذا التوسّل هو السبيل الذي يجب علينا أن نسلكه لنكون موحّدين؛ وبالتالي فالتوسّل بالقرآن الناطق وبأسماء الله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وذرّيتهما، الذين هم أطهر عباد الله في الأرض ومرآة العمل الصالح، هو التوحيد الخالص بكلّ معنى الكلمة، وإنكار هذا التوسّل واعتباره باطلاً، هو عين الشرك ونقضٌ للتوحيد، بل إنّه انحرافٌ فكريٌّ وزللٌ عقائديٌ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ونكرّر ما ذكرناه سابقاً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معيار الشرك هو الاعتقاد بمخلوقٍ وتقديسه، باعتباره في مصافّ الله تعالى وموازاته، وإلّا فسوف لا نجد موحّداً على وجه الأرض البتّة، وحتّى الذين يدّعون أنّ الاعتقاد بكلّ واسطةٍ هو شركٌ، سوف يكونون مشركين قطعاً حينها؛ لأنّهم يعتقدون بالوسائط كما أشرنا إليه أعلاه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الجدير بالذكر أنّنا نلاحظ اليوم تيّاراً فكريّاً بين أهل السنّة، يتمثّل بأشخاصٍ يُخالفون سيرة العظام من أسلافهم وعلمائهم، حيث يقومون بنش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كُتبٍ يتعرّضون فيها للزيارة والتوسّل، بينما الحقيقة هي أنّ علماء أهل السنّة قد وقفوا بوجه أمثال هؤلاء، بل اعتبروا التوسّل أمراً جائزاً ولا ينافي الشرع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تتّضح الصورة لك عزيزي القارئ بشكلٍ أفضل، نوثّق المسألة ببعض أقوال علماء أهل السنّة، فيتبيّن حينها تضادّ آرائهم مع ما يدّعيه المشكّكون، ونترك الحكم لك، قال تعالى في كتابه الكريم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09_12692"/>
      <w:bookmarkStart w:id="29" w:name="pg2009_12692"/>
      <w:bookmarkEnd w:id="29"/>
    </w:p>
    <w:p>
      <w:pPr>
        <w:pStyle w:val="Heading2"/>
        <w:numPr>
          <w:ilvl w:val="1"/>
          <w:numId w:val="1"/>
        </w:numPr>
        <w:rPr/>
      </w:pPr>
      <w:bookmarkStart w:id="30" w:name="pg2009_12692"/>
      <w:bookmarkStart w:id="31" w:name="__RefHeading___Toc4041770_3650668749"/>
      <w:bookmarkStart w:id="32" w:name="_Toc9"/>
      <w:bookmarkEnd w:id="30"/>
      <w:bookmarkEnd w:id="31"/>
      <w:r>
        <w:rPr>
          <w:rtl w:val="true"/>
        </w:rPr>
        <w:t>التوسل من وجهة نظر مفكّري الشيعة والسنة</w:t>
      </w:r>
      <w:bookmarkEnd w:id="32"/>
    </w:p>
    <w:p>
      <w:pPr>
        <w:pStyle w:val="Heading3"/>
        <w:numPr>
          <w:ilvl w:val="2"/>
          <w:numId w:val="1"/>
        </w:numPr>
        <w:rPr/>
      </w:pPr>
      <w:bookmarkStart w:id="33" w:name="__RefHeading___Toc4041772_3650668749"/>
      <w:bookmarkStart w:id="34" w:name="_Toc10"/>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وجهة نظر علماء الشيعة بالنسبة للتوسّل واضحةٌ؛ إذ إنّهم يجوّزون ذلك دون خلافٍ، بشرط أن يكون التوحيد خالصاً من كلّ شائبةٍ، ولا ينسب فيه العبد للمُتوَسَّل به تأثيراً مستقلاً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إِخواننا السنّة على هذا الرأي أيضاً، بالرغم من أنّ صانعي الفِتن والمصفّقين للخلافات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جنّدوا كافّة طاقاتهم ليجعلوا ما اتّفق عليه الفريقان أمراً مُختَلَفاً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أن تتّضح هذه الحقائق، سوف نسلّط الضوء على مجموعةٍ من آراء علماء أهل السنّة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يلي</w:t>
      </w:r>
      <w:r>
        <w:rPr>
          <w:rFonts w:eastAsia="Amiri" w:cs="Amiri" w:ascii="Amiri" w:hAnsi="Amiri"/>
          <w:color w:val="111111"/>
          <w:sz w:val="28"/>
          <w:szCs w:val="28"/>
          <w:rtl w:val="true"/>
          <w:lang w:bidi="ar-SA"/>
        </w:rPr>
        <w:t xml:space="preserve">. </w:t>
      </w:r>
      <w:bookmarkStart w:id="35" w:name="pg2009_12693"/>
    </w:p>
    <w:p>
      <w:pPr>
        <w:pStyle w:val="Heading3"/>
        <w:numPr>
          <w:ilvl w:val="2"/>
          <w:numId w:val="1"/>
        </w:numPr>
        <w:rPr/>
      </w:pPr>
      <w:bookmarkStart w:id="36" w:name="__RefHeading___Toc4041774_3650668749"/>
      <w:bookmarkStart w:id="37" w:name="_Toc11"/>
      <w:bookmarkEnd w:id="35"/>
      <w:bookmarkEnd w:id="36"/>
      <w:r>
        <w:rPr>
          <w:rtl w:val="true"/>
        </w:rPr>
        <w:t>آراء علماء قريتي ديوبند وبريلة الهنديّتين</w:t>
      </w:r>
      <w:bookmarkEnd w:id="37"/>
    </w:p>
    <w:p>
      <w:pPr>
        <w:pStyle w:val="BookText"/>
        <w:rPr/>
      </w:pPr>
      <w:r>
        <w:rPr>
          <w:rFonts w:ascii="Amiri" w:hAnsi="Amiri" w:eastAsia="Amiri" w:cs="Amiri"/>
          <w:color w:val="111111"/>
          <w:sz w:val="28"/>
          <w:sz w:val="28"/>
          <w:szCs w:val="28"/>
          <w:rtl w:val="true"/>
          <w:lang w:bidi="ar-SA"/>
        </w:rPr>
        <w:t>ينقسم مسلمو شبه القارّة الهنديّة عقائديّاً إلى فرقتين أساسيّتين، وكلاهما من أتباع المذهب الحنفي،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الديوبنديّة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البريلويّة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الفرقة الثّانية بهذا الاسم نسبةً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وقد أسّسها وتزعّمها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رضا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وأُطلق على أتباعها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البريلويّين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الفرقة الأُولى فقد سُمّيت بهذا الاسم نسبةً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أيضاً، حيث تأسّست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وأُطلق على أتباعها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الديوبنديّين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كانت هاتان الفرقتان في بادئ الأمر متقاربتين إلى حدٍّ ما، ولكن بمرور الزمان نشأت بينهما اختلافاتٌ عقائديّةٌ عديدةٌ، وتفاقمت للحدّ الذي وصل فيه الحال اليوم إلى أنّ الديوبنديّين يعتبرون البريلويّين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والبريلويّون بدروهم يعتبرون الديوبنديّين وهّابيّين، إذ تدور بينهم نقاشات محتدمة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لانتشار الفرقة الديوبنديّة، فيجدر بنا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أغلب علماء أهل السنّة في باكستان والهند وإيران هم من أتباع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إلى بعض عقائد البريلويّين،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بعلم الغيب، 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مفتاح الغيب،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وشاهداً،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طلب الفيض من أولياء الله الصالحين، الطواف بقبور أولياء الله الصالحين،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انتشار الفكر الوهّابي في بلاد الحجاز، امتدّ نفوذ الوهّابيّين إلى بعض البلدان الإسلاميّة، ومن ضمنها شبه القارّة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أُسقط حكم الأشراف وأُخرجوا من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بمساندةٍ من العثمانيّين والوهّابيّين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رضا خان رسالةً إلى علماء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ليُطلعهم فيها على أنّ الديوبنديّين في الحقيقة وهّابيّون، حيث ذكر فيها سبعين مؤاخذةً عليهم، وأفتى بكفرهم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وردّاً على هذه الرسالة، بعث الديوبنديّون إلى علماء الحرمين رسالةً اعتبروا فيها كلام أحمد رضا خان افتراءً، وادّعَوا أنّهم من أتباع مذهب الشيخ الأعظم ومن مقلّديه، وليسوا بوهّابيّين، وأجابوا على ستة وعشرين سؤالاً عقائديّاً، فأيّد علماء الحرمين </w:t>
      </w:r>
      <w:bookmarkStart w:id="38" w:name="pg2009_12695"/>
    </w:p>
    <w:p>
      <w:pPr>
        <w:pStyle w:val="BookText"/>
        <w:rPr/>
      </w:pPr>
      <w:bookmarkEnd w:id="38"/>
      <w:r>
        <w:rPr>
          <w:rFonts w:ascii="Amiri" w:hAnsi="Amiri" w:eastAsia="Amiri" w:cs="Amiri"/>
          <w:color w:val="111111"/>
          <w:sz w:val="28"/>
          <w:sz w:val="28"/>
          <w:szCs w:val="28"/>
          <w:rtl w:val="true"/>
          <w:lang w:bidi="ar-SA"/>
        </w:rPr>
        <w:t>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هذه الرسالة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 على المفنِّد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 على المفنِّد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الكتابات العقائديّة عند أهل السنّة؛ إذ يُبيّن آراءهم ومعتقداتهم بشكلٍ واضحٍ وصريحٍ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فالجدل والنزاع الذي حصل بين هاتين الفرقتين، قد كان سبباً لأن يقوم كلٌّ منهما ببيان وجهات نظره العقائديّة والبراءة علناً من الفكر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الاطّلاع على تفاصيل آراء وعقائد هاتين الفرقتين في هذا الكتاب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المزيد، كما أنّ أحد علماء السنّة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هذا الكتاب إلى اللّغة الفارسيّة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041776_3650668749"/>
      <w:bookmarkStart w:id="40" w:name="_Toc12"/>
      <w:bookmarkEnd w:id="39"/>
      <w:r>
        <w:rPr>
          <w:rtl w:val="true"/>
        </w:rPr>
        <w:t>مُقتطفات من كتاب المهنَّد على المفنِّد</w:t>
      </w:r>
      <w:bookmarkEnd w:id="40"/>
    </w:p>
    <w:p>
      <w:pPr>
        <w:pStyle w:val="BookText"/>
        <w:rPr/>
      </w:pPr>
      <w:r>
        <w:rPr>
          <w:rFonts w:ascii="Amiri" w:hAnsi="Amiri" w:eastAsia="Amiri" w:cs="Amiri"/>
          <w:color w:val="111111"/>
          <w:sz w:val="28"/>
          <w:sz w:val="28"/>
          <w:szCs w:val="28"/>
          <w:rtl w:val="true"/>
          <w:lang w:bidi="ar-SA"/>
        </w:rPr>
        <w:t>جواباً على السؤال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التوسّل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عند الدّعاء؟ جاء في هذا الكتاب ما يلي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عندنا وعند مشايخنا، يجوز التوسّل في الدعوات بالأنبياء والصالحين من الأولياء والشهداء والصِّدّيقين، في حياتهم </w:t>
      </w:r>
    </w:p>
    <w:p>
      <w:pPr>
        <w:pStyle w:val="BookText"/>
        <w:rPr/>
      </w:pPr>
      <w:r>
        <w:rPr>
          <w:rFonts w:ascii="Amiri" w:hAnsi="Amiri" w:eastAsia="Amiri" w:cs="Amiri"/>
          <w:color w:val="111111"/>
          <w:sz w:val="28"/>
          <w:sz w:val="28"/>
          <w:szCs w:val="28"/>
          <w:rtl w:val="true"/>
          <w:lang w:bidi="ar-SA"/>
        </w:rPr>
        <w:t>وبعد وفاتهم، بأنْ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أتوسّل إليك بفلان أنْ تُجيب دعوَتي، وتقضي حاجتي،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شيخنا ومولانا الشاه محمّد إسحاق الدهلوي، وبيّنه في فتاواه شيخنا ومولانا رشيد أحمد الكنكوهي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وهذا الرأي قد ذُكر في بعض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نرى بأساً من أن نُشير إلى بعض عقائد أهل السنّة، التي تمّ بيانها بشكلٍ واضحٍ في هذا الكتاب، كما يلي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درجات التقرّب إلى الله تعالى، وأكثر الأعمال ثواباً، للدرجة التي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قريبة من الواجب؛ لذلك فإنّ مَن قصد المدينة المنوّرة لزيارة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أيّ دافعٍ آخر، يستحقّ 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ليس له حاجةٌ إلّا زيارتي، كان حقّاً عَلَيَّ أنْ أكونَ له شفيعاً يومَ القيامة</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التي تحتضن جسد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الأفضل على الإطلاق، حتّى أنّها أفضل من العرش والكرسي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للعبد أن يقف أمام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اشفع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أتوسّل بك لأموت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من السماء، ويؤدّي مناسك الحجّ، ويأتي قبري ويسلّم عليَّ وأنا أردّ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أنّه لا يمكن ردّ السلام إلّا عندما يسمعه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مُجيب، فيُجيب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الأنبياء أحياء في قبورهم بأجسادهم المادّية كما كانوا في عالم الدنيا، ويقومون بأداء عباداتهم كالصلاة والصيام؛ لذلك قال البعض بعدم جواز تقسيم تركاتهم، وبعدم صحّة الزواج من نسائهم بعد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علماء ومشايخ أهل السنّة أفضلية الوقوف أمام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عند الزيارة والدعاء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فطاحل علماء الديوبنديّة أنّ رسول الله</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حيٌّ في قبره، وهو يسمع السلام عن قربٍ وعن بُعدٍ، إذ تنقل له الملائكة سلام مَن كان بعيداً عنه، وكذلك فإنّ أعمال أُمّته تُعرض عليه </w:t>
      </w:r>
      <w:bookmarkStart w:id="41" w:name="pg2009_12698"/>
    </w:p>
    <w:p>
      <w:pPr>
        <w:pStyle w:val="BookText"/>
        <w:rPr/>
      </w:pPr>
      <w:bookmarkEnd w:id="41"/>
      <w:r>
        <w:rPr>
          <w:rFonts w:ascii="Amiri" w:hAnsi="Amiri" w:eastAsia="Amiri" w:cs="Amiri"/>
          <w:color w:val="111111"/>
          <w:sz w:val="28"/>
          <w:sz w:val="28"/>
          <w:szCs w:val="28"/>
          <w:rtl w:val="true"/>
          <w:lang w:bidi="ar-SA"/>
        </w:rPr>
        <w:t>بواسطة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نسمعه اليوم من كون السلام والصلاة على روح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إليه، هو خلاف إجماع الأُمّة</w:t>
      </w:r>
      <w:r>
        <w:rPr>
          <w:rFonts w:eastAsia="Amiri" w:cs="Amiri" w:ascii="Amiri" w:hAnsi="Amiri"/>
          <w:color w:val="111111"/>
          <w:sz w:val="28"/>
          <w:szCs w:val="28"/>
          <w:rtl w:val="true"/>
          <w:lang w:bidi="ar-SA"/>
        </w:rPr>
        <w:t xml:space="preserve">. </w:t>
      </w:r>
      <w:r>
        <w:rPr>
          <w:rStyle w:val="FootnoteAnchor"/>
          <w:rtl w:val="true"/>
        </w:rPr>
        <w:footnoteReference w:id="6"/>
      </w:r>
    </w:p>
    <w:p>
      <w:pPr>
        <w:pStyle w:val="Heading3"/>
        <w:numPr>
          <w:ilvl w:val="2"/>
          <w:numId w:val="1"/>
        </w:numPr>
        <w:rPr/>
      </w:pPr>
      <w:bookmarkStart w:id="42" w:name="__RefHeading___Toc4041778_3650668749"/>
      <w:bookmarkStart w:id="43" w:name="_Toc13"/>
      <w:bookmarkEnd w:id="42"/>
      <w:r>
        <w:rPr>
          <w:rtl w:val="true"/>
        </w:rPr>
        <w:t>أقوال بعض علماء السُنّة</w:t>
      </w:r>
      <w:bookmarkEnd w:id="43"/>
    </w:p>
    <w:p>
      <w:pPr>
        <w:pStyle w:val="BookText"/>
        <w:rPr/>
      </w:pPr>
      <w:r>
        <w:rPr>
          <w:rFonts w:ascii="Amiri" w:hAnsi="Amiri" w:eastAsia="Amiri" w:cs="Amiri"/>
          <w:color w:val="111111"/>
          <w:sz w:val="28"/>
          <w:sz w:val="28"/>
          <w:szCs w:val="28"/>
          <w:rtl w:val="true"/>
          <w:lang w:bidi="ar-SA"/>
        </w:rPr>
        <w:t>قال نور الدين السمهودي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طلب العون والشفاعة من النبيّ، أو التوسّل إلى الله بجاه النبيّ وشخصه جائزٌ، قبل أنْ يولد وبعد ولادته ووفاته، وفي عالم البرزخ وفي يوم القيامة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قال الدكتور عبد الملك السعدي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توسّلتُ إليكَ بجاهِ فلان، لنبيٍّ أو صالحٍ، فهذا أيضاً ممّا ينبغي أن لا يحصلَ بجوازه خلافٌ؛ لأنّ الجاهَ ليس له ذات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مُتوسَّل به، بل مكانتُه ومرتبتُه عند الله، وهي حصيلة الأعمال الصالحة؛ لأنّ الله تعالى قال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كانَ عِنْدَ اللَّهِ وَجِيهاً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 بزائر رسول الله أن يُكثر من الزيارة والدعاء والتض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 والاستغاثة، وطلب الشفاعة والتوسّل بذات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ويقول الزرقاني في شرح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التوسّل بالنبيّ؛ لأنّ التوسّل به يُزيل جبالاً من الذنوب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الحاج أبو عبيد الله العبدري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الميِّتُ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مِمَّن تُرجى بَركتُهُ، فَيُتوَسَّلُ إلى الله تعالى بهِ، وكَذلك يَتوسَّلُ الزَّائرُ بِمَنْ يَراهُ الميِّتُ مِمَّنْ تُرجى بَركتُهُ إلَى النبيِّ صلّى‌اللهُ عليهِ وسلَّمَ، بل يبدأ بالتَّوسُّلِ إلى الله تعالى بالنبيِّ صلّى اللهُ عليه وسلَّمَ، إذْ هو العُمدَة في التَّوسُّلِ</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قال الحسن بن عليّ السقّاف الشافعي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التوسّل والاستغاثة وطلب الشفاعة من سيّد الخلق محمّد النبيّ ونور الظلمات، من المستحبّات التي أُكّد عليها بشدّة، خاصّةً عند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سيرة العلماء العاملين والأولياء المتهجّدين وكبار المحدّثين وأئمة السلف على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النوويّ ذكر استحباب التوسّل في بعض كتبه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ودوّن الغماري في مقدّمة كتابه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استحباب التوسّل في المذهب الشافعي والمذاهب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الحنبليّة والحنفيّة والمالكيّة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مقبولٌ</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كما نقل ابن حجر المكّي بيتين من أشعار الشافعي التي يتوسّل فيها بأهل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آلُ النبيّ ذريعتي</w:t>
      </w:r>
    </w:p>
    <w:p>
      <w:pPr>
        <w:pStyle w:val="BookText"/>
        <w:rPr/>
      </w:pPr>
      <w:r>
        <w:rPr>
          <w:rFonts w:ascii="Amiri" w:hAnsi="Amiri" w:eastAsia="Amiri" w:cs="Amiri"/>
          <w:color w:val="111111"/>
          <w:sz w:val="28"/>
          <w:sz w:val="28"/>
          <w:szCs w:val="28"/>
          <w:rtl w:val="true"/>
          <w:lang w:bidi="ar-SA"/>
        </w:rPr>
        <w:t>وذكر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أذكار السلف وأدعيتهم وأورادهم، يجد فيها الكثير من التوسّل بالذوات المقدّسة، ولم يعترض عليهم أحدٌ، إلى أن جاء المنكرون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الوهّابيّون</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جمع نماذج من التوسّل، فيجب علينا أن نؤلّف </w:t>
      </w:r>
    </w:p>
    <w:p>
      <w:pPr>
        <w:pStyle w:val="BookText"/>
        <w:rPr/>
      </w:pPr>
      <w:r>
        <w:rPr>
          <w:rFonts w:ascii="Amiri" w:hAnsi="Amiri" w:eastAsia="Amiri" w:cs="Amiri"/>
          <w:color w:val="111111"/>
          <w:sz w:val="28"/>
          <w:sz w:val="28"/>
          <w:szCs w:val="28"/>
          <w:rtl w:val="true"/>
          <w:lang w:bidi="ar-SA"/>
        </w:rPr>
        <w:t>كتاباً عظيماً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وقال العلاّمة الأميني في التوسّل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الاستغاثة والنداء والانقطاع وما أشار إليها، فلا تعدو أن تكون توسّلاً بهم إلى المولى سبحانه، واتّخاذهم وسائل إلى نجاح طلباتهم عنده جلّت عظمتُه؛ لقربهم منه، وزلفتهم إليه، ومكانتهم عنده؛ لأنّهم عبادٌ مكرمون، لا لأنَّ لذواتهم القدسيّة دخلاً في إنجاح المقاصد أوّلاً وبالذّات، لكنّهم مجاري الفيض وحلقات الوصل، ووسائطٌ بين المولى وعبيده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الشأن في كلّ متقرّب من عظيمٍ يُتوسّل 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حكمٌ عامٌّ للأولياء والصالحين جميعاً، وإنْ كانوا متفاوتين في مراحل القرب، كلّ هذا مع العقيدة الثابتة بأنّه لا مؤثّر في الوجود إلّا الله سبحانه، ولا تقع في المشاهد المقدّسة كلّها من وفود الزائرين إلّا ما ذكرناه من التوسّل، فأين هذه من مضادة التوحيد؟ </w:t>
      </w:r>
      <w:r>
        <w:rPr>
          <w:rFonts w:eastAsia="Amiri" w:cs="Amiri" w:ascii="Amiri" w:hAnsi="Amiri"/>
          <w:color w:val="111111"/>
          <w:sz w:val="28"/>
          <w:szCs w:val="28"/>
          <w:rtl w:val="true"/>
          <w:lang w:bidi="ar-SA"/>
        </w:rPr>
        <w:t xml:space="preserve">! . </w:t>
      </w:r>
      <w:r>
        <w:rPr>
          <w:rStyle w:val="FootnoteAnchor"/>
          <w:rtl w:val="true"/>
        </w:rPr>
        <w:footnoteReference w:id="13"/>
      </w:r>
      <w:bookmarkStart w:id="44" w:name="pg2009_12702"/>
    </w:p>
    <w:p>
      <w:pPr>
        <w:pStyle w:val="Heading2"/>
        <w:numPr>
          <w:ilvl w:val="1"/>
          <w:numId w:val="1"/>
        </w:numPr>
        <w:rPr/>
      </w:pPr>
      <w:bookmarkStart w:id="45" w:name="__RefHeading___Toc4041780_3650668749"/>
      <w:bookmarkStart w:id="46" w:name="_Toc14"/>
      <w:bookmarkEnd w:id="44"/>
      <w:bookmarkEnd w:id="45"/>
      <w:r>
        <w:rPr>
          <w:rtl w:val="true"/>
        </w:rPr>
        <w:t xml:space="preserve">التوسل بالنبي </w:t>
      </w:r>
      <w:r>
        <w:rPr>
          <w:rtl w:val="true"/>
        </w:rPr>
        <w:t>(</w:t>
      </w:r>
      <w:r>
        <w:rPr>
          <w:rtl w:val="true"/>
        </w:rPr>
        <w:t>ص</w:t>
      </w:r>
      <w:r>
        <w:rPr>
          <w:rtl w:val="true"/>
        </w:rPr>
        <w:t xml:space="preserve">) </w:t>
      </w:r>
      <w:r>
        <w:rPr>
          <w:rtl w:val="true"/>
        </w:rPr>
        <w:t>في حياته البرزخية</w:t>
      </w:r>
      <w:bookmarkEnd w:id="46"/>
    </w:p>
    <w:p>
      <w:pPr>
        <w:pStyle w:val="BookText"/>
        <w:rPr/>
      </w:pPr>
      <w:r>
        <w:rPr>
          <w:rFonts w:ascii="Amiri" w:hAnsi="Amiri" w:eastAsia="Amiri" w:cs="Amiri"/>
          <w:color w:val="111111"/>
          <w:sz w:val="28"/>
          <w:sz w:val="28"/>
          <w:szCs w:val="28"/>
          <w:rtl w:val="true"/>
          <w:lang w:bidi="ar-SA"/>
        </w:rPr>
        <w:t>إنّ عقيدة المسلمين تجوّز بل ترجّح التوسّل بالنبيّ وهو في حياته البرزخيّة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الوهّابيّين يخالفون هذه العقيدة، ويدّعون حرمة وعدم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استند الوهّابيّون في رأيهم هذا، ومعظم آرائهم الأُخرى، على أفكار ابن تيميّة، الذي يُعتبر من أبرز المخالفين للتوسّل، فهو يقول في التوسّل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الدعاء من الغير، حياًّ كان أو ميّتاً،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دعا الله أجاب دعاءَه أعظم ممّا يجيبه إذا دعوته، فهذا هو القسم الثّاني، وهو أن لا تطلب منه الفعل ولا تدعوه، ولكن تطلب أن يدعو لك كما تقول للحيّ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وكما كان الصحابة </w:t>
      </w:r>
    </w:p>
    <w:p>
      <w:pPr>
        <w:pStyle w:val="BookText"/>
        <w:rPr/>
      </w:pPr>
      <w:r>
        <w:rPr>
          <w:rFonts w:ascii="Amiri" w:hAnsi="Amiri" w:eastAsia="Amiri" w:cs="Amiri"/>
          <w:color w:val="111111"/>
          <w:sz w:val="28"/>
          <w:sz w:val="28"/>
          <w:szCs w:val="28"/>
          <w:rtl w:val="true"/>
          <w:lang w:bidi="ar-SA"/>
        </w:rPr>
        <w:t xml:space="preserve">رضوان الله عليهم يطلبون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فهذا مشروع في الحيّ كما تقدّم، وأمّا الميّت من الأنبياء والصالحين وغيرهم، فلم يُشرَّع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لنا ربَّك، ولم يفعل هذا أحدٌ من الصّحابة والتّابعين، ولا أمر به أحدٌ من الأئمة، ولا ورد فيه حديثٍ</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في الحقيقة أنّ ما وضّحناه سابقاً يبيّن بطلان هذا الرأي وعدم صوابه؛ إذ إنّ الروايات وحتّى الآيات تشير إلى جواز التوسّل وصحّته بعد الموت، وكنّا قد ذكرنا بعض الأقوال في هذا المضمار، وسنشير هنا إلى بعض الآيات والروايات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 في كتابه الكريم كيف توسّل أبناء يعقوب بأبيهم لكي يستغفر لهم بسبب ما ارتكبوه من إثمٍ،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خاطب أُخوة يوسف أباهم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لذلك فإنّ رأي مَن يقول بعدم </w:t>
      </w:r>
    </w:p>
    <w:p>
      <w:pPr>
        <w:pStyle w:val="BookText"/>
        <w:rPr/>
      </w:pPr>
      <w:r>
        <w:rPr>
          <w:rFonts w:ascii="Amiri" w:hAnsi="Amiri" w:eastAsia="Amiri" w:cs="Amiri"/>
          <w:color w:val="111111"/>
          <w:sz w:val="28"/>
          <w:sz w:val="28"/>
          <w:szCs w:val="28"/>
          <w:rtl w:val="true"/>
          <w:lang w:bidi="ar-SA"/>
        </w:rPr>
        <w:t>جواز دعاء غير الله، هو كلامٌ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لذلك، فقد جعلوا أباهم واسطةً بينهم وبين الله عزّ وجلّ، ولو كان اتّخاذ الواسطة ممنوعاً، لتوجّب على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يردعهم عن فعل ذلك، وأن يطلب منهم دعاء الله وطلب المغفرة منه دون واسطة؛ كما يفعله اليوم بعض الوهّابيّين ومَن تأثّر بأفكارهم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يدّعي البعض أنّ هذه الآية تدلّ على جواز التوسّل في زمان رسولنا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زماننا، ولكنّ هذا الادّعاء عارٍ عن الصحّة؛ إذ لا دليل عليه؛ لأنّه يمكن أن يسري إلى جميع الآيات، حتّى تلك التي تشمل الأحكام والعقائد،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محتواها حسب هذا الرأي سيكون مرتبطاً بعهد الرسول فحسب، ولا يمكن تعميمه لسائر العهود، والحقيقة أنّه لا يمكن لأحدٍ ادّعاء هذا الأمر مطلقاً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ذلك، فما هو الدليل الذي يمكن الاعتماد عليه لإثبات هذا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مُدّعى؟ فيا تُرى، هل توجد لدينا آيات أو روايات تشير إلى جواز التوسّل بالحيّ وعدم جوازه بالميّت؟ وهل أنّ معيار الشرك والتوحيد يكمن في جواز التوسّل وعدمه؟ أو أنّ </w:t>
      </w:r>
    </w:p>
    <w:p>
      <w:pPr>
        <w:pStyle w:val="BookText"/>
        <w:rPr/>
      </w:pPr>
      <w:r>
        <w:rPr>
          <w:rFonts w:ascii="Amiri" w:hAnsi="Amiri" w:eastAsia="Amiri" w:cs="Amiri"/>
          <w:color w:val="111111"/>
          <w:sz w:val="28"/>
          <w:sz w:val="28"/>
          <w:szCs w:val="28"/>
          <w:rtl w:val="true"/>
          <w:lang w:bidi="ar-SA"/>
        </w:rPr>
        <w:t>معيارهما هو كون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مُتَوسَل به حيّاً أو ميّتاً؟ فإذا كان هذا هو المعيار الحقيقي، سيكون التوسّل بالحيّ في جميع الأحوال صحيحاً ولا شائبة فيه، حتّى إذا اعتُبِر هذا الحيّ مستقلاً وفي مصافّ الله تعالى، في الوقت الذي لا يؤمن أيّ مسلمٍ بهذه العقيدة الباطلة، بل يعتبرها جميع المسلمين أنّها شركٌ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هذا فبعد إتمام الاستدلال وبيان القصد، سوف يكون بالإمكان تعميم صحّة التوسّل حتّى بعد وفاة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مُتوَسَّل بهم؛ إذ إنّ الإنسان في كلّ زمانٍ وفي جميع الأحوال يمكن أن يرتكب المعاصي، لذا فهو يحتاج إلى وسيلةٍ يجعلها واسطةً لطلب المغفرة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مُنطَلق، فإنّ الصحابة كانوا يسألون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أن يستغفر الله لهم، تمسّكاً بفحوى 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من شأنه أن يُثبت لنا حقيقة الحياة البرزخيّة، والصلة الموجودة بينها وبين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البيهقي وابن أبي شيبة ما يلي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 الناسَ قحطٌ في زمن عمر، فجاء الصحابي بلال بن الحرث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استسقِ </w:t>
      </w:r>
    </w:p>
    <w:p>
      <w:pPr>
        <w:pStyle w:val="BookText"/>
        <w:rPr/>
      </w:pPr>
      <w:r>
        <w:rPr>
          <w:rFonts w:ascii="Amiri" w:hAnsi="Amiri" w:eastAsia="Amiri" w:cs="Amiri"/>
          <w:color w:val="111111"/>
          <w:sz w:val="28"/>
          <w:sz w:val="28"/>
          <w:szCs w:val="28"/>
          <w:rtl w:val="true"/>
          <w:lang w:bidi="ar-SA"/>
        </w:rPr>
        <w:t>لأُمّتك، فإنّهم قد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رسولُ الله الرجلَ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مسقيّون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رجلاً دخل المدينة بعد وفاة رسول الله</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بثلاثة أيّامٍ ورمى بنفسه على قبره ومسح بالتراب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قلت عن الله ونحن سمعنا قولك وأطعناه، ومن قولك الآية التي نزلت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ظلمت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وجئتك تستغفر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نداء من داخل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أدلّة على جواز التوسّل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لما ذكرنا من أدلّةٍ على صحّة التوسّل، فلا نرى بأساً من أن نذكر أدلّةً أُخرى تؤيّد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العلاّمة السمهودي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يُحيي ويُميت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اغفر لأُمّي فاطمة بنت أسد، ووسّع عليها مدخلها، بحقّ نبيّك والأنبياء الذين من قبلي</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فقد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السيّدة العفيفة لأنّها كانت رؤوفةً به في أيّام طفولته، فردّ لها الجميل باحترامٍ وتقديرٍ، ونزّلها منزلة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محدّثا أهل السنّة المعروفان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 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حُنيف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رجُلاً ضَرِيرَ البصَرِ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دَعَوتُ، وإنْ شِئتَ صَبَرتَ، فَهُوَ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فأمَرَهُ أنْ يتوضَّأ فيُحْسِنَ وضُوءَهُ، ويدعُوَ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محمَّدٍ نبيَّ الرَّحمةِ، إنِّي توجَّهتُ بكَ إلى ربِّي في حاجتي هذه لتُقض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لي، اللَّهُمَّ فَشَفِّعْهُ فِيَّ</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نستلهم من هذه الرواية أنّ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العون منه ليس مشروعاً فحسب، بل مستحبٌّ، ولا يختصّ في زمان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التوسّل غير جائزٍ، لما سمح به صلوات الله عليه، ولنهى عنه، ولرُبّما اعترض على هذا الرجل الضرير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وادعُ ربّك دون أن تجعلني واسطةً في دعائك؛ لأنّك إن طلبت من غير الله شيئاً، فأنت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الحقيقة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ينهر الرجل عن التوسّل به أبداً، بل علّمه كيفيّة التوسّل، ودون شكٍّ فإنّ هذا التوسّل الوارد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الغيب ومعلّم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بعد وفاته أيضاً؛ إذ لا دليل على عدم جوازه سوى التعصّب، والجهل بحقيقة التوحيد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في المعجم الكبير حديثاً صحيح السند عن عثمان بن حُنيف، وهو</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كان يختلفُ إلى عثمان بن عفّان في حاجةٍ له، فكان عثمان لا يلتفت إليه ولا ينظُر في حاجته، فلقيَ ابنَ حُنيف فشكا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الميضأة </w:t>
      </w:r>
    </w:p>
    <w:p>
      <w:pPr>
        <w:pStyle w:val="BookText"/>
        <w:rPr/>
      </w:pPr>
      <w:r>
        <w:rPr>
          <w:rFonts w:ascii="Amiri" w:hAnsi="Amiri" w:eastAsia="Amiri" w:cs="Amiri"/>
          <w:color w:val="111111"/>
          <w:sz w:val="28"/>
          <w:sz w:val="28"/>
          <w:szCs w:val="28"/>
          <w:rtl w:val="true"/>
          <w:lang w:bidi="ar-SA"/>
        </w:rPr>
        <w:t>فتوضّأ، ثُمّ ائت المسجد فصلِّ فيه ركعتين،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وأتوجّه إليك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نبيّ الرحمة، يا محمّد إنّي أتوجّه بك إلى ربّي فتقض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وتذكُر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 حتّى أروح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الرجل فصنع ما قال له، ثُمّ أتى باب عثمان بن عفّان، فجاء البوّاب حتّى أخذ بيده فأدخله على عثمان بن عفان، فأجلسه معه على الطنفسة،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فذكر حاجته، وقضاها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 ثُمَّ إنّ الرجل خرج من عنده، فلقي عثمان ابن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كان ينظر في حاجتي ولا يلتفت إليّ حتّى كلّمتَه فِيَّ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كلّمتُه، ولكنّي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وأتاه ضريرٌ فشكا إليه ذهاب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 لي قائدٌ وقد شُقَّ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 الميضأة فتوضأ، ثُمّ صلّ ركعتين، ثُمّ ادع 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تفرّقنا </w:t>
      </w:r>
    </w:p>
    <w:p>
      <w:pPr>
        <w:pStyle w:val="BookText"/>
        <w:rPr/>
      </w:pPr>
      <w:r>
        <w:rPr>
          <w:rFonts w:ascii="Amiri" w:hAnsi="Amiri" w:eastAsia="Amiri" w:cs="Amiri"/>
          <w:color w:val="111111"/>
          <w:sz w:val="28"/>
          <w:sz w:val="28"/>
          <w:szCs w:val="28"/>
          <w:rtl w:val="true"/>
          <w:lang w:bidi="ar-SA"/>
        </w:rPr>
        <w:t>وطال بنا الحديث، حتّى دخل علينا الرجل كأن لم يكن به ضرٌّ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هذا الحديث جمعٌ غفيرٌ من علماء أهل السنّة،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Style w:val="FootnoteAnchor"/>
          <w:rtl w:val="true"/>
        </w:rPr>
        <w:footnoteReference w:id="19"/>
      </w:r>
      <w:r>
        <w:rPr>
          <w:rFonts w:ascii="IRNazanin" w:hAnsi="IRNazanin" w:eastAsia="IRNazanin"/>
          <w:color w:val="111111"/>
          <w:sz w:val="28"/>
          <w:sz w:val="28"/>
          <w:szCs w:val="28"/>
          <w:rtl w:val="true"/>
          <w:lang w:bidi="fa-IR"/>
        </w:rPr>
        <w:t xml:space="preserve">، ابن عبد البرّ </w:t>
      </w:r>
      <w:r>
        <w:rPr>
          <w:rStyle w:val="FootnoteAnchor"/>
          <w:rtl w:val="true"/>
        </w:rPr>
        <w:footnoteReference w:id="20"/>
      </w:r>
      <w:r>
        <w:rPr>
          <w:rFonts w:ascii="Amiri" w:hAnsi="Amiri" w:eastAsia="Amiri" w:cs="Amiri"/>
          <w:color w:val="111111"/>
          <w:sz w:val="28"/>
          <w:sz w:val="28"/>
          <w:szCs w:val="28"/>
          <w:rtl w:val="true"/>
          <w:lang w:bidi="ar-SA"/>
        </w:rPr>
        <w:t xml:space="preserve">، أبو نعيم الاصفهاني </w:t>
      </w:r>
      <w:r>
        <w:rPr>
          <w:rStyle w:val="FootnoteAnchor"/>
          <w:rtl w:val="true"/>
        </w:rPr>
        <w:footnoteReference w:id="21"/>
      </w:r>
      <w:r>
        <w:rPr>
          <w:rFonts w:ascii="Amiri" w:hAnsi="Amiri" w:eastAsia="Amiri" w:cs="Amiri"/>
          <w:color w:val="111111"/>
          <w:sz w:val="28"/>
          <w:sz w:val="28"/>
          <w:szCs w:val="28"/>
          <w:rtl w:val="true"/>
          <w:lang w:bidi="ar-SA"/>
        </w:rPr>
        <w:t xml:space="preserve">، الذهبي </w:t>
      </w:r>
      <w:r>
        <w:rPr>
          <w:rStyle w:val="FootnoteAnchor"/>
          <w:rtl w:val="true"/>
        </w:rPr>
        <w:footnoteReference w:id="22"/>
      </w:r>
      <w:r>
        <w:rPr>
          <w:rFonts w:ascii="Amiri" w:hAnsi="Amiri" w:eastAsia="Amiri" w:cs="Amiri"/>
          <w:color w:val="111111"/>
          <w:sz w:val="28"/>
          <w:sz w:val="28"/>
          <w:szCs w:val="28"/>
          <w:rtl w:val="true"/>
          <w:lang w:bidi="ar-SA"/>
        </w:rPr>
        <w:t xml:space="preserve">، الحافظ الهيثمي </w:t>
      </w:r>
      <w:r>
        <w:rPr>
          <w:rStyle w:val="FootnoteAnchor"/>
          <w:rtl w:val="true"/>
        </w:rPr>
        <w:footnoteReference w:id="23"/>
      </w:r>
      <w:r>
        <w:rPr>
          <w:rFonts w:ascii="Amiri" w:hAnsi="Amiri" w:eastAsia="Amiri" w:cs="Amiri"/>
          <w:color w:val="111111"/>
          <w:sz w:val="28"/>
          <w:sz w:val="28"/>
          <w:szCs w:val="28"/>
          <w:rtl w:val="true"/>
          <w:lang w:bidi="ar-SA"/>
        </w:rPr>
        <w:t xml:space="preserve">، المتّقي الهندي </w:t>
      </w:r>
      <w:r>
        <w:rPr>
          <w:rStyle w:val="FootnoteAnchor"/>
          <w:rtl w:val="true"/>
        </w:rPr>
        <w:footnoteReference w:id="2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النيسابوري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لما غفرتَ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وكيف عرفتَ محمّداً ولم أخلقه؟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لأنّكَ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خلقتني بيدك، ونفخت فِيَّ مِن روحِك، رفعتُ رأسي، 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p>
    <w:p>
      <w:pPr>
        <w:pStyle w:val="BookText"/>
        <w:rPr/>
      </w:pPr>
      <w:r>
        <w:rPr>
          <w:rFonts w:ascii="Amiri" w:hAnsi="Amiri" w:eastAsia="Amiri" w:cs="Amiri"/>
          <w:color w:val="111111"/>
          <w:sz w:val="28"/>
          <w:sz w:val="28"/>
          <w:szCs w:val="28"/>
          <w:rtl w:val="true"/>
          <w:lang w:bidi="ar-SA"/>
        </w:rPr>
        <w:t>محمّدٌ رسولُ الله، فعلمتُ أنّك لم تضف إلى اسمك إلّا أحبّ الخلق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 إنّه لأحبّ الخلق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ادعني بحقّه، فقد غفرتُ لك، ولولا محمّد ما خلقتك</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أنّ مسروقاً قال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عليك بصاحب هذا القبر إلّا ما أخبرتني بما قاله رسول الله عن الخوارج،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شرّ الخلقِ والخليقةِ، يقتلُهم خيرُ الخلقِ والخليقةِ، وأقربُهم عندَ اللهِ وسيلةً</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الدارمي في سُنَنهِ عن أبي الجوزاء، أوس بن عبد الله، ما يلي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قُحِطَ أَهْلُ المَدينةِ قَحطاً شديداً، فَشَكَوا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فَاجْعَلُوا مِنْهُ كِوىً إلى السَّماءِ، حتَّى لا يكونَ بَيْنَهُ وبَيْنَ السَّمَاءِ سَقْفٌ،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فَمُطِرْنَا مَطَراً </w:t>
      </w:r>
    </w:p>
    <w:p>
      <w:pPr>
        <w:pStyle w:val="BookText"/>
        <w:rPr/>
      </w:pPr>
      <w:r>
        <w:rPr>
          <w:rFonts w:ascii="Amiri" w:hAnsi="Amiri" w:eastAsia="Amiri" w:cs="Amiri"/>
          <w:color w:val="111111"/>
          <w:sz w:val="28"/>
          <w:sz w:val="28"/>
          <w:szCs w:val="28"/>
          <w:rtl w:val="true"/>
          <w:lang w:bidi="ar-SA"/>
        </w:rPr>
        <w:t>حتَّى نَبَتَ العُشْبُ، وَسَمِنَتِ الإِبِلُ حتَّى تَفَتَّقَتْ مِنَ الشَّحْمِ، فَسُمِّيَ عَامَ الْفَتْقِ</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رجال هذا الحديث، فإنّه لا يتّفق مع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لذلك حاول تضعيفه، بينما نلاحظ أنّ سعيد هذا يُعتبر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الموثّقين، كما وثّقه يحيى بن معين، كذلك وثّقه البخاري وابن سعد والعجلي وأبو زرعة وأبو جعفر الدارمي، وعددٌ كبيرٌ من علماء أهل السنّة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القسطلاني أنّ رجلاً وقف قرب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قد أمرتنا بعتق العبيد، وهذا حبيبُك وأنا عبدُك، فأسألُك بحقّ نبيّك أن تعتقني من نار جهنّم، فجاءه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لماذا طلبت العتق من جهنّم لنفسك فقط ولم تطلبه لجميع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فقد عُتِقت</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2009_12714"/>
      <w:bookmarkStart w:id="48" w:name="pg2009_12714"/>
      <w:bookmarkEnd w:id="48"/>
    </w:p>
    <w:p>
      <w:pPr>
        <w:pStyle w:val="Heading2"/>
        <w:numPr>
          <w:ilvl w:val="1"/>
          <w:numId w:val="1"/>
        </w:numPr>
        <w:rPr/>
      </w:pPr>
      <w:bookmarkStart w:id="49" w:name="pg2009_12714"/>
      <w:bookmarkStart w:id="50" w:name="__RefHeading___Toc4041782_3650668749"/>
      <w:bookmarkStart w:id="51" w:name="_Toc15"/>
      <w:bookmarkEnd w:id="49"/>
      <w:bookmarkEnd w:id="50"/>
      <w:r>
        <w:rPr>
          <w:rtl w:val="true"/>
        </w:rPr>
        <w:t>المنع من التوسل، بدعةٌ أُموية</w:t>
      </w:r>
      <w:bookmarkEnd w:id="51"/>
    </w:p>
    <w:p>
      <w:pPr>
        <w:pStyle w:val="BookText"/>
        <w:rPr/>
      </w:pPr>
      <w:r>
        <w:rPr>
          <w:rFonts w:ascii="Amiri" w:hAnsi="Amiri" w:eastAsia="Amiri" w:cs="Amiri"/>
          <w:color w:val="111111"/>
          <w:sz w:val="28"/>
          <w:sz w:val="28"/>
          <w:szCs w:val="28"/>
          <w:rtl w:val="true"/>
          <w:lang w:bidi="ar-SA"/>
        </w:rPr>
        <w:t>نقل الحاكم النيسابوري بإسناده عن داود بن أبي صالح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مروان يوماً فوجد رجلاً واضعاً وجهه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تصنع؟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عليه، فإذا هو أبو أيّوب الأنصاري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آتِ الحجرَ،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إذا وليه أهلُه، ولكن ابكوا عليه إذا وليَهُ غيرُ أهلِه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إنّ ما ذُكر سابقاً، ليس سوى جانبٍ من الآيات والروايات، ومُقتضبٍ من أقوال بعض فطاحل علماء أهل السنّة فيما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إنّها حُججٌ على أتباع جميع المذاهب الإسلاميّة، وأدلّةٌ بيّنةٌ على جواز التوسّل، وإنْ تنصّل البعض من هذه الحقائق الدامغة ورفضوها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ريب فيه أنّ الشارع المقدّس لو كان قد صرّح بعدم جواز التوسّل بالميّت بنصٍّ شرعيٍّ، لالتزمنا بحكمه، ولم نتجرّأ على مخالفته، ولكنّ الواقع خلاف ذلك؛ إذ إنّ الشارع لم ينهَ عنه مطلقاً، بل إنّه قد جوّزه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تصوّرنا أنّ الذين أنكروا التوسّل بأرواح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واقفون أمام الله تعالى في يوم الحساب، وقد سألهم عن دليلهم الذي اعتمدوا عليه من الآيات والروايات فيما ادّعَوه، فهل باستطاعتهم الجواب؟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من الضروري أن نجعل القرآن الكريم والسنّة النبويّة وآراء فطاحل العلماء معايير نستند عليها، في معرفة صحّة أو سقم عقيدةٍ ما، وفي نفس الوقت، فإنّ الذين لا إلمام دقيق لديهم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الأُمور، لا يجدر بهم أن يخوضوا غمار هذه الأبحاث الدقيقة؛ لأنّ الانحراف فيها ذو نتائج سلبيّةٍ لا تُحمد عُقباها، ويتوجّب على الباحثين من أهل السنّة أن لا يخلطوا بين معتقدات بعض المذاهب، وبين معتقدات الآخرين وآرائهم الفقهيّة، كما يتوجّب على علماء أهل السنّة ومفكّريهم، المطّلعين على المباني الحقيقيّة لمذهبهم، أن لا يسمحوا للّذين لا اطّلاع لهم ولا معرفة دقيقة بمبادئ المذهب، أن يتدخّلوا في القضايا الدينيّة الهامّة، فقد قال الفقيه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عابدين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لعالمٍ مفكّرٍ أو مجتهدٍ أن يكفّر مسلماً</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2009_12718"/>
      <w:bookmarkStart w:id="53" w:name="pg2009_12718"/>
      <w:bookmarkEnd w:id="53"/>
    </w:p>
    <w:p>
      <w:pPr>
        <w:pStyle w:val="Heading2"/>
        <w:numPr>
          <w:ilvl w:val="1"/>
          <w:numId w:val="1"/>
        </w:numPr>
        <w:rPr/>
      </w:pPr>
      <w:bookmarkStart w:id="54" w:name="pg2009_12718"/>
      <w:bookmarkStart w:id="55" w:name="__RefHeading___Toc4041784_3650668749"/>
      <w:bookmarkStart w:id="56" w:name="_Toc16"/>
      <w:bookmarkEnd w:id="54"/>
      <w:bookmarkEnd w:id="55"/>
      <w:r>
        <w:rPr>
          <w:rtl w:val="true"/>
        </w:rPr>
        <w:t>أسئلة تنتظر الرد من منكري التوسل</w:t>
      </w:r>
      <w:bookmarkEnd w:id="56"/>
    </w:p>
    <w:p>
      <w:pPr>
        <w:pStyle w:val="Heading3"/>
        <w:numPr>
          <w:ilvl w:val="2"/>
          <w:numId w:val="1"/>
        </w:numPr>
        <w:rPr/>
      </w:pPr>
      <w:bookmarkStart w:id="57" w:name="__RefHeading___Toc4041786_3650668749"/>
      <w:bookmarkStart w:id="58" w:name="_Toc17"/>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إذا كنتم تعتقدون أنّ التوسّل فعلٌ غير شرعيٍّ، أو بدعةٌ أو شركٌ، فيجب عليكم حينها أن تُقرّوا بما يلي، وتجيبوا على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تعتبروا الكثير من الرعيل الأوّل لعلماء أهل السنّة، الذين أرسَوا دعائم المذهب، بأنّهم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كونهم جوّزوا التوسّل، فهل تُقرّون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تعتبروا الصحابة الذين كانوا يتوسّلون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يتوسّل أبو أيّوب الأنصاري بقبر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يتوسّل عمر بن الخطّاب بعمّ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شركاً، لماذا جاء في القرآن الكريم أنّ أبناء </w:t>
      </w:r>
    </w:p>
    <w:p>
      <w:pPr>
        <w:pStyle w:val="BookText"/>
        <w:rPr/>
      </w:pPr>
      <w:r>
        <w:rPr>
          <w:rFonts w:ascii="Amiri" w:hAnsi="Amiri" w:eastAsia="Amiri" w:cs="Amiri"/>
          <w:color w:val="111111"/>
          <w:sz w:val="28"/>
          <w:sz w:val="28"/>
          <w:szCs w:val="28"/>
          <w:rtl w:val="true"/>
          <w:lang w:bidi="ar-SA"/>
        </w:rPr>
        <w:t xml:space="preserve">يعقوب توسّلوا بأبيهم، وجعلوه واسطةً ليغفر الله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حسب رأيكم، فإنّ القرآن قد 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شركاً، لماذا لم ينهَر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المذنبين الذين كانوا يتوسّلون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لم يطلب منهم أن يتوسّلوا بالله تعالى مباشرةً دون اللجوء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شركاً، لماذا التجأَ الصحابي بلال بن الحرث إلى مرقد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الاستسقاء، ولم يدع الله دون الاعتماد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غير جائزٍ، لماذا أقسم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 العالمين بحقّ أنبيائه السابقين، وبحقّ نبوّته، أن يغفر لفاطمة بنت أسد عندما دفنها؟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بدعةً، لماذا سمح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ريرَ بالتوسّل به كي يُبصرَ؟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يردعه، بل علّمه دعاءً يتوسّل فيه بذاته الطاهرة، ويطلب شفاعته من الله تعالى، كما مرّ سابقاً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شركاً، لماذا توسّل أبو البشر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بنبيّنا الكريم قبل خلقته، طلباً لمغفرة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غير جائزٍ، لماذا طلبت عائشة من الناس أن يتوجّهوا لمرقد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ويتوسّلوا به، عندما جاؤوها يشكون من القحط الذي حلّ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شركاً، لماذا توسّل بعض عظماء علماء أهل السنّة بمرقد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حبّان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تنتابني مشكلة، أتوجّه إلى مرقد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وأدعو الله أن يرفعها عنّي، وكلّ ما فعلت ذلك، قُضيَت حاجتي</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شركاً، فكيف يجوّزه فطاحل علماء المذاهب الإسلاميّة ويوصون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 في هذا البحث</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مجرّد التوسّل وطلب العون من غير الله تعالى شركاً، فهل بإمكاننا أن نجد موحّداً على وجه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إنسانٍ في هذا العالَم له حاجات لا يستطيع نيلها بنفسه، إذ إنّه يحتاج إلى غيره للحصول عليها، وبالتأكيد فإنّ طلب العون من غير الله تعالى والتوسّل به في هذه الحالة لا يُعتبر شركاً؛ لكن حسب رأيكم هو شركٌ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التوسّل واتّخاذ واسطةٍ شركاً، فلا يوجد فيه فرقٌ بين الحيّ والميّت، لأنّ المعيار في التوحيد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هو الاعتقاد بكون المتوسَّل به ذا تأثيرٍ مستقلٍّ أو غير مستقلٍّ، بالنسبة لله تعالى، ولا عبرة بكونه حيّاً أو ميّتاً، فهل لديكم رأيٌ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وجهة نظر التوحيد الخالص، أنّ الإنسان لا يَفنى بعد الموت، بل على العكس من ذلك، فهو في الحياة البرزخيّة يكون أكثر إدراكاً للحقائق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يُقصد لطلب المدد في حياته، فبالإمكان طلب المدد منه بعد وفاته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تعتبرون إجلال وتقديس مراقد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والتعبير عن المحبّة لهم شركاً وعبادةً لغير الله تعالى، فحينها يكون إجلال وتقديس الوالدين، والأُستاذ، ومَن لهم حقٌّ في رقابنا، شركاً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ما يترتّب على رأيكم؟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يتّضح لنا أنّ الإجلال والتقديس للآخرين ليس بشركٍ، ولا يوجد مسلمٌ يؤمن بهذا الرأي؛ لأنّه لو كان شركاً، لمَا أمر به عزّ وجلّ</w:t>
      </w:r>
      <w:r>
        <w:rPr>
          <w:rFonts w:eastAsia="Amiri" w:cs="Amiri" w:ascii="Amiri" w:hAnsi="Amiri"/>
          <w:color w:val="111111"/>
          <w:sz w:val="28"/>
          <w:szCs w:val="28"/>
          <w:rtl w:val="true"/>
          <w:lang w:bidi="ar-SA"/>
        </w:rPr>
        <w:t xml:space="preserve">. </w:t>
      </w:r>
      <w:bookmarkStart w:id="59" w:name="pg2009_12722"/>
    </w:p>
    <w:p>
      <w:pPr>
        <w:pStyle w:val="BookText"/>
        <w:rPr/>
      </w:pPr>
      <w:bookmarkEnd w:id="59"/>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غير جائزٍ، لماذا توسّل الإمام الشافعي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شركاً، لماذا توسّل الإمام الشافعي بقبر 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حجر أنّ الإمام الشافعي عندما كان في بغداد، كان يقصد ضريح أبي حنيفة ويزوره، ثُمّ يتوسّل به لقضاء حوائجه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يا تُرى أنّ عدم العلم بكيفيّة التوسّل يكون وازعاً لإنكاره ونقضه جملةً وتفصيلاً؟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041788_3650668749"/>
      <w:bookmarkStart w:id="61" w:name="_Toc18"/>
      <w:bookmarkEnd w:id="60"/>
      <w:r>
        <w:rPr>
          <w:rtl w:val="true"/>
        </w:rPr>
        <w:t>فالتوسّل في الحقيقة على عدّة أقسامٍ</w:t>
      </w:r>
      <w:r>
        <w:rPr>
          <w:rtl w:val="true"/>
        </w:rPr>
        <w:t>:</w:t>
      </w:r>
      <w:bookmarkEnd w:id="6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نتوسّل بالله تعالى بحقّ أنبيائه وأوليائه الصالحين أن يُعيننا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نتوسّل بالأنبياء وبالأولياء الصالحين أن يُعينوننا بفضل مكانتهم وقُربهم من الله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نتوسّل بالأنبياء وبالأولياء الصالحين أن يحلّوا مشاكلنا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للفقرتين الأُولى والثّانية، فلا يوجد أدنى شكٍّ في مطابقتهما للتوحيد وعدم التعارض معه، ومَن يُنكرهما إمّا </w:t>
      </w:r>
    </w:p>
    <w:p>
      <w:pPr>
        <w:pStyle w:val="BookText"/>
        <w:rPr/>
      </w:pPr>
      <w:r>
        <w:rPr>
          <w:rFonts w:ascii="Amiri" w:hAnsi="Amiri" w:eastAsia="Amiri" w:cs="Amiri"/>
          <w:color w:val="111111"/>
          <w:sz w:val="28"/>
          <w:sz w:val="28"/>
          <w:szCs w:val="28"/>
          <w:rtl w:val="true"/>
          <w:lang w:bidi="ar-SA"/>
        </w:rPr>
        <w:t>مُغرضٌ، وإمّا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للفقرة الثّالثة، ففيها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اعتقد المتوسِّل أنّ الأنبياء والأولياء الصالحين مستقلّون بالتأثير إلى جانب الله تعالى، فهو قطعاً شركٌ ومنهيٌّ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اعتقد المتوسِّل أنّ الله تعالى قد كرّم أنبياءه وأولياءه الصالحين بمنزلةٍ رفيعةٍ، وأذِن لهم بالشفاعة وقضاء حوائج الناس، فلا يختلف هذا الأمر عن الفقرتين ألف وباء، ولا يتعارض مع التوحيد بوجهٍ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باطلاً في حالةٍ واحدةٍ، وهي الاعتقاد باستقلال المتوسَّل به بالتأثير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يا ترُى، هل من الصحيح أن ننفي كلّ أشكال التوسّل ونبطلها، من أجل بطلان قسمٍ واحدٍ، ونعتبره شركاً دون مبرّرٍ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 مجرّد عدم العلم بحقيقة التوسّل، يصحّ أن يكون سبباً لنقض أمرٍ روحيٍّ يحتلّ مكانةً مرموقةً بين عقائد المسلمين، وخاصّةً الشباب الذين هم بأمسّ الحاجة للأُمور الروحيّة والمعنويّة، التي من شأنها أن تصونهم من الانجرار وراء الانحرافات التي تُهدّد </w:t>
      </w:r>
    </w:p>
    <w:p>
      <w:pPr>
        <w:pStyle w:val="BookText"/>
        <w:rPr/>
      </w:pPr>
      <w:r>
        <w:rPr>
          <w:rFonts w:ascii="Amiri" w:hAnsi="Amiri" w:eastAsia="Amiri" w:cs="Amiri"/>
          <w:color w:val="111111"/>
          <w:sz w:val="28"/>
          <w:sz w:val="28"/>
          <w:szCs w:val="28"/>
          <w:rtl w:val="true"/>
          <w:lang w:bidi="ar-SA"/>
        </w:rPr>
        <w:t xml:space="preserve">مجتمعاتنا قاطبةً؟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يا تُرى باستطاعة شخص أن يحمل عمل مسلمٍ على الكفر لمجرّد عدم علمه بنيّته؟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يوصينا ديننا بحمل عمل المسلم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رأيكم خلاف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والاستعانة بغير الله تعالى شركاً أو بدعةً، لماذا لم يرفض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قومه عندما توسّلوا به وجعلوه واسطةً بينهم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التوسّل شركاً، لقال لهم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أشركتم في طلبكم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وَقَعَ عَلَيْهِمُ الرِّجْزُ قالُوا يا مُوسَى ادْعُ لَنا رَبَّكَ بِما عَهِدَ عِنْدَكَ لَئِنْ كَشَفْتَ عَنَّا الرِّجْزَ لَنُؤْمِنَنَّ لَكَ وَ لَنُرْسِلَنَّ مَعَكَ بَنِي إِسْرائِيلَ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يتّضح لنا أنّ طلبهم من نبيّ الله لا يتعارض مع التوحيد، ولا يُستَشمّ منه الشرك مطلقاً؛ لأنّ نبيّهم جاءهم بعهدٍ من ربّه القدير، مُتمثّلٍ برسالة التوحيد التي جعلته نبيّاً ووليّاً من </w:t>
      </w:r>
    </w:p>
    <w:p>
      <w:pPr>
        <w:pStyle w:val="BookText"/>
        <w:rPr/>
      </w:pPr>
      <w:r>
        <w:rPr>
          <w:rFonts w:ascii="Amiri" w:hAnsi="Amiri" w:eastAsia="Amiri" w:cs="Amiri"/>
          <w:color w:val="111111"/>
          <w:sz w:val="28"/>
          <w:sz w:val="28"/>
          <w:szCs w:val="28"/>
          <w:rtl w:val="true"/>
          <w:lang w:bidi="ar-SA"/>
        </w:rPr>
        <w:t>الصالحين، فتوسّلوا به لرفع الكَرب والبلاء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بالفعل ما طلبه بنو إسرائيل منه، إذ توسّلوا به، وجعلوه واسطةً بينهم وبين الله لكي يُستجاب دعاؤهم بفضله ومنزلته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إنْ حلّ بلاءٌ بشخصٍ ما، فلا يمكن لأحدٍ أن يُزيله عنه سوى الله تعالى، أو مَن عهد له بنبوّةٍ أو ولايةٍ خصّه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التوسّل والاستغاثة بغير الله تعالى شركاً، لماذا كان أتباع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يتوسّلون به دائماً عندما تحلّ بهم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بقدرةٍ عظيمةٍ وشجاعةٍ خصّه الله تعالى بها، لذلك عندما رأى رجلاً من أنصاره يتشاجر مع عدوّه، لم يتردّد في نصرته عندما استغاث به، وأعانه، حتّى أنّه قتل عدوّه، حيث ذُكرت هذه القصّة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الَّذِي مِنْ شِيعَتِهِ عَلَى الَّذِي مِنْ عَدُوِّهِ فَوَكَزَهُ مُوسى فَقَض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الوهّابيّون أنّ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كلامنا بعد وفاته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الحال حقّاً كما يدّعون، فلماذا تُسلّمون عليه بعد التشهّد في كلّ صلاة، وتقولون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الأموات لا يسمعون كلامنا، فما فائدة السلام عليهم، حسب ما ذكرت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عائشة أن تستغفر لأهل البقيع،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والمسلمينَ، ويرحمُ اللهُ المستقدمينَ منَّا والمستأخرينَ، وإنّا إن شاءَ اللهُ بكُم للاحقونَ</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عندما تُصرّون على أنّ الميّت لا يسمع شيئاً بعد الموت، ألا تُخالفون صريح الروايات التي جاءت في صحيح البخاري وغيره من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الروايات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يسمع خفقَ النعال</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الأموات لا يسمعون شيئاً، لماذا خاطب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قتلى المشركين في موقعة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وَجَدْتُمْ مَا وَعَدَكُمْ رَبُّكُمْ حَقًّا؟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رَسُولَ الله، تُنَادِي نَاساً 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أَنْتُمْ بِأَسْمَعَ لِمَا قُلْتُ مِنْهُمْ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فهل يا تُرى أنّ المشركين يسمعون كلام الأحياء بعد الموت، ورسول‌الله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كلام أُمّته؟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القبور والأضرحة والقبب بدعةٌ وحرامٌ؛ لذلك يجب تخريبها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لماذا لا يُخرّبون قبّة وضريح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بناء القبّة والضريح بدعةٌ وحرامٌ، لماذا شُيّدت أضرحةٌ وقببٌ لعلماء أهل السنّة، من أمثال أبي حنيفة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يا تُرى أنّ جميع علماء أهل السنّة، الذين تعاقبوا على مرّ التاريخ ولم يُخرّبوا هذه الأضرحة، هم من أهل البدعة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 شيّد تلك الأضرحة؟ أَليس أهل السنّة أنفسهم قاموا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دليلٍ استندوا عندما بنَوا تلك القبور؟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معيار الشرك هو مجرّد طلب العون من غير الله </w:t>
      </w:r>
    </w:p>
    <w:p>
      <w:pPr>
        <w:pStyle w:val="BookText"/>
        <w:rPr/>
      </w:pPr>
      <w:r>
        <w:rPr>
          <w:rFonts w:ascii="Amiri" w:hAnsi="Amiri" w:eastAsia="Amiri" w:cs="Amiri"/>
          <w:color w:val="111111"/>
          <w:sz w:val="28"/>
          <w:sz w:val="28"/>
          <w:szCs w:val="28"/>
          <w:rtl w:val="true"/>
          <w:lang w:bidi="ar-SA"/>
        </w:rPr>
        <w:t xml:space="preserve">تعالى، فهل حينها يتوجّب علينا أن نجتنب كافّة الأسباب الظاهريّة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رأيكم يكون الزارع هو الله عزّ وجلّ؛ لذلك يتوجّب على الناس أن لا يحرثوا الأرض، ولا يسقوها، ولا يُعيروها أيّة أهميّة؛ لأنّ الخالق قد سلب القدرة على الزراعة منهم واختصّها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الحقيقة هي أنّه تعالى منح خلقَه أسباباً ووسائل يعتمدون عليها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اتّخاذ الأسباب التي جعلها الله تعالى وسيلةً في الحياة الدنيا لنيل المقاصد، لا يخالف التوحيد ولا يتنافى معه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عباده الصالحين قد خصّهم عزّ شأنه بكرامةٍ، وجعلهم وسائط بينه وبين خلقه، ومكانتهم هذه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 يكونوا مقاصد لطلب المراد وطلب العون؛ لأنّ القدرة التي منحها لهم بارئهم، هي أعظم من قدرة الأسباب الظاهريّة في عالم الوجود، واستخدامهم لهذه القدرة لا يُنافي التوحيد بوجهٍ، بل مكمّل 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شخصاً قصد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مَن تدّعي مقام النبوّة، احيي هذا الميّت، أو اجعل من هذا الطين كائناً حيّاً، أو اجعل هذا الضرير مُبصراً، فهل أنّ هذا الشخص قد أشرك بربّه بسبب طلبه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قَدْ جِئْتُكُمْ بِآيَةٍ مِنْ رَبِّكُمْ أَنِّي أَخْلُقُ لَكُمْ مِنَ الطِّينِ كَهَيْئَةِ الطَّيْرِ فَأَنْفُخُ فِيهِ فَيَكُونُ طَيْراً بِإِذْنِ اللهِ وَ أُبْرِئُ الْأَكْمَهَ وَ الْأَبْرَصَ وَ أُحْيِ الْمَوْتى بِإِذْنِ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فالحقيقة أنّ أنبياء الله تعالى وأولياءه الصالحين يتمتّعون بقدرةٍ أفاضها ربّ العرش العظيم عليهم، حيث يفتقر لها سائر عباد الله؛ لذلك فإنّهم بلا ريب مصدر الفيض القدسي، وحُجَج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التوسّل بالأسباب الظاهريّة التي سخّرها تعالى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شركاً، كذلك فإنّ التوسّل وطلب المدد والعون من مصادر فيض قدرته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أنبيائه وأوليائه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بشركٍ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ذكرنا من استفساراتٍ وأسئلةٍ ليست سوى غيضٍ من فيضٍ، وهناك الكثير من الأسئلة التي يمكن أن نستوحيها من الروايات والتاريخ، ونطرحها على منكري التوسّل، إلّا أنّنا نكتفي بهذا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معظم الأسئلة التي طرحناها مستوحاة من الروايات والمصادر الأساسيّة التي يعتمد عليها الوهّابيّون، وقد ذكرنا الكثير منها في متن هذا الكتيّب، وأشرنا إلى مصادرها في الهامش</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نرجو من الله الهادي أن يلتفت منكرو التوسّل إلى ما غفلوا عنه، بعد أن يطالعوا هذا الكُتيّب بدقّة وحياديّة، وأن يجعلوا الإنصاف نُصب أعينهم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 دار الكتب العلمية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علي سعيد بن عثمان بن السكن البغدادي، المتوفى بمصر سنة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هفي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الصلات والبشر،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المهنَّد على المفنِّد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في مفهومها الإسلامي،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الإيضاح على المناسك،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شرح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الأذكار، باب أذكار الحجّ،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 مقدّمة إرغام المبتدع الغبيّ بجواز التوسّل بالنبيّ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زيني دحلان، الدرر السنيّة،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الدّرر السنية،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المواهب اللدنيّة،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صالح الأخوان،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مشارق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الدعوات،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سنن ابن ماجة، كتاب إقامة الصلاة والسنّة،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القسطلاني،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شفاء السقام،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حيدر آباد، مؤسسة الكتب الثقافية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باب ما يقال عند دخول القبور والدعاء لأهلها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الجنائز، باب الميّت يسمع خفق النعال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المغازي، باب قتل أبي جهل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8320</Words>
  <Characters>36566</Characters>
  <CharactersWithSpaces>44556</CharactersWithSpaces>
  <Paragraphs>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2026-08-16T20:19:42Z</dcterms:created>
  <dc:creator>ghaemiyeh.com</dc:creator>
  <dc:description/>
  <dc:language>en-US</dc:language>
  <cp:lastModifiedBy/>
  <dcterms:modified xsi:type="dcterms:W3CDTF">2026-08-16T23:49:43Z</dcterms:modified>
  <cp:revision>1</cp:revision>
  <dc:subject/>
  <dc:title>التوسل وصلته بالتوحید</dc:title>
</cp:coreProperties>
</file>

<file path=docProps/custom.xml><?xml version="1.0" encoding="utf-8"?>
<Properties xmlns="http://schemas.openxmlformats.org/officeDocument/2006/custom-properties" xmlns:vt="http://schemas.openxmlformats.org/officeDocument/2006/docPropsVTypes"/>
</file>