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الحج فی حوار بین الامام زین العابدین علیه السلام و الشبلی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819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7819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78198_3650668749">
            <w:r>
              <w:rPr>
                <w:webHidden/>
                <w:rStyle w:val="IndexLink"/>
                <w:rtl w:val="true"/>
              </w:rPr>
              <w:t>المقدمة</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2_19315"/>
      <w:bookmarkStart w:id="1" w:name="pg1942_19315"/>
      <w:bookmarkEnd w:id="1"/>
    </w:p>
    <w:p>
      <w:pPr>
        <w:pStyle w:val="Heading2"/>
        <w:numPr>
          <w:ilvl w:val="1"/>
          <w:numId w:val="1"/>
        </w:numPr>
        <w:rPr/>
      </w:pPr>
      <w:bookmarkStart w:id="2" w:name="pg1942_19315"/>
      <w:bookmarkStart w:id="3" w:name="__RefHeading___Toc337819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الحج في حوار بين الإمام زين العابدين عليه السلام و الشِبلي</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العسكري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8196_3650668749"/>
      <w:bookmarkStart w:id="6" w:name="_Toc2"/>
      <w:bookmarkEnd w:id="5"/>
      <w:r>
        <w:rPr>
          <w:rtl w:val="true"/>
        </w:rPr>
        <w:t>اشارة</w:t>
      </w:r>
      <w:bookmarkStart w:id="7" w:name="pg1942_19317"/>
      <w:bookmarkEnd w:id="6"/>
    </w:p>
    <w:p>
      <w:pPr>
        <w:pStyle w:val="Heading2"/>
        <w:numPr>
          <w:ilvl w:val="1"/>
          <w:numId w:val="1"/>
        </w:numPr>
        <w:rPr/>
      </w:pPr>
      <w:bookmarkStart w:id="8" w:name="__RefHeading___Toc3378198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لأهل بيت النبوّة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ومواقف مملوءة بالمعارف الجليلة تخصُّ فريضة الحجّ ومناسكه، التي هي ركن من أركان الدين الإسلامي الحنيف، كما هو في الخبر الصحيح عن عليّ بن إبراهيم، عن أبيه وعبد اللَّه بن الصلت جميعاً، عن حمّاد بن عيسى، عن حريز بن عبد اللَّه،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والحجِّ، والصوم، والولاية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 هذا الخبر في صحاح أهل السنّة وكتبهم عن</w:t>
      </w:r>
    </w:p>
    <w:p>
      <w:pPr>
        <w:pStyle w:val="BookText"/>
        <w:rPr/>
      </w:pPr>
      <w:r>
        <w:rPr>
          <w:rFonts w:ascii="Amiri" w:hAnsi="Amiri" w:eastAsia="Amiri" w:cs="Amiri"/>
          <w:color w:val="111111"/>
          <w:sz w:val="28"/>
          <w:sz w:val="28"/>
          <w:szCs w:val="28"/>
          <w:rtl w:val="true"/>
          <w:lang w:bidi="ar-SA"/>
        </w:rPr>
        <w:t>رسول اللَّه صلى الله عليه و آله وبألفاظ مختلفة، منها ما قاله الرسول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محمداً عبده ورسوله، وإقام الصلاة، وإيتاء الزكاة، وحجّ البيت، وصوم رمضان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وبغيره فإنّ ركنية الحج ثابتةٌ عند جميع المذاهب الإسلامية وبالتالي فقد حظي هذا الركن بأهمية بالغة وعظيمة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أحكامه ومناسكه أم في معارفه ومعنوياته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النفوس المؤمنة، ولذا فإنّ من أراد الحجّ والعمرة لابدّ له من أن لا يكتفي بمعرفة أحكامه ومناسكه ومواقفه وكيفية أدائه فحسب، بل ينبغي له التعرّف على ما يترتّب على تلك المناسك من التزامات روحية وأخلاقية لنفسه وللآخرين وعندئذٍ سيكون الحج مظهراً يجسّد الإيمان عبادةً وعملًا وقولًا، وصورةً رائعةً من صور الجمال الروحي ترافق الحاج منذ اللحظات الأُولى لهذه الفريضة المباركة وعند عودته إلى وطنه وأهله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هي عبادة جميلة تلك التي تترك آثارها على الإنسان؛ على إيمانه باللَّه تعالى، وعلى سلوكه وتعامله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 فريضة الحج ولادةٌ جديدة للإنسان، إذا استطاع أن يعيش آثارها ومعانيها، وإذا فتح قلبه لاستقبال أنوارها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زين العابدين عليه السلام بيّن للشبلي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وكل ما وجدته في خلال تتبعي هو شخص آخر يُدعى أبو بكر الشبلي البغدادي واسمه دُلَفْ بن جحدر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يونس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دُلف الذي توفي ببغداد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نيّف وثمانين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نكتفي بذكر هذه الرواية هنا لعلوّ مضامينها ولما فيها من دروس نافعة وعبر وهي تبيّن لنا جانباً كبيراً من أسرار هذه الفريضة المقدّسة والرحلة المباركة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مفاهيم الحج العالية؛ والآن نحن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الشبلي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جاى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عكس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 بيشتر نشود</w:t>
      </w:r>
    </w:p>
    <w:p>
      <w:pPr>
        <w:pStyle w:val="BookText"/>
        <w:rPr/>
      </w:pPr>
      <w:r>
        <w:rPr>
          <w:rFonts w:ascii="Amiri" w:hAnsi="Amiri" w:eastAsia="Amiri" w:cs="Amiri"/>
          <w:color w:val="111111"/>
          <w:sz w:val="28"/>
          <w:sz w:val="28"/>
          <w:szCs w:val="28"/>
          <w:rtl w:val="true"/>
          <w:lang w:bidi="ar-SA"/>
        </w:rPr>
        <w:t>لمّا رجع مولانا زين‌العابدين عليه السلام من الحجّ استقبله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يا 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الميقات وتجرّدت عن مخيط الثياب واغتسلت؟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نزلت الميقات نويت أنك خلعت ثوب المعصية، ولبست ثوب الطاعة؟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في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اغتسلت نويت أنّك اغتسلت من الخطايا والذنوب؟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تنظّفت، وأحرمت وعقدت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تنظّفت وأحرمت وعقدت الحج، نويت أنّك تنظّفت بنورة </w:t>
      </w:r>
      <w:r>
        <w:rPr>
          <w:rStyle w:val="FootnoteAnchor"/>
          <w:rtl w:val="true"/>
        </w:rPr>
        <w:footnoteReference w:id="6"/>
      </w:r>
      <w:r>
        <w:rPr>
          <w:rFonts w:ascii="Amiri" w:hAnsi="Amiri" w:eastAsia="Amiri" w:cs="Amiri"/>
          <w:color w:val="111111"/>
          <w:sz w:val="28"/>
          <w:sz w:val="28"/>
          <w:szCs w:val="28"/>
          <w:rtl w:val="true"/>
          <w:lang w:bidi="ar-SA"/>
        </w:rPr>
        <w:t>التوبة الخالصة للَّه‌تعالى؟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أحرمت نويت أنّك حرّمت على نفسك كلّ محرّم حرّمه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عقدت الحجّ نويت أنّك قد حللت كلّ</w:t>
      </w:r>
    </w:p>
    <w:p>
      <w:pPr>
        <w:pStyle w:val="BookText"/>
        <w:rPr/>
      </w:pPr>
      <w:r>
        <w:rPr>
          <w:rFonts w:ascii="Amiri" w:hAnsi="Amiri" w:eastAsia="Amiri" w:cs="Amiri"/>
          <w:color w:val="111111"/>
          <w:sz w:val="28"/>
          <w:sz w:val="28"/>
          <w:szCs w:val="28"/>
          <w:rtl w:val="true"/>
          <w:lang w:bidi="ar-SA"/>
        </w:rPr>
        <w:t>عقد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الميقات وصلّيت ركعتي الإِحرام ولبّيت؟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دخلت الميقات، نويت أنك بنيّة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وأكبر حسنات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لبّيت، نويت أنك نطقت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طاعة، وصمت عن كلّ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الحرم ورأيت الكعبة وصلّيت؟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دخلت الحرم، نويت أنّك حرّمت على</w:t>
      </w:r>
    </w:p>
    <w:p>
      <w:pPr>
        <w:pStyle w:val="BookText"/>
        <w:rPr/>
      </w:pPr>
      <w:r>
        <w:rPr>
          <w:rFonts w:ascii="Amiri" w:hAnsi="Amiri" w:eastAsia="Amiri" w:cs="Amiri"/>
          <w:color w:val="111111"/>
          <w:sz w:val="28"/>
          <w:sz w:val="28"/>
          <w:szCs w:val="28"/>
          <w:rtl w:val="true"/>
          <w:lang w:bidi="ar-SA"/>
        </w:rPr>
        <w:t>نفسك كلّ غيبة تستغيبها المسلمين من أهل ملّة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وصلت مكّة، نويت بقلبك أنّك قصدت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طفت بالبيت، ومسست الأركان، وسعيت؟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سعيت نويت أنّك هربت إلى اللَّه، وعرف منك ذلك علّام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صافحت الحجر، ووقفت بمقام إبراهيم عليه السلام، وصلّيت به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عليه السلام صيحة كاد يفارق الدنيا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الحجر الأسود، فقد صافح اللَّه</w:t>
      </w:r>
    </w:p>
    <w:p>
      <w:pPr>
        <w:pStyle w:val="BookText"/>
        <w:rPr/>
      </w:pPr>
      <w:r>
        <w:rPr>
          <w:rFonts w:ascii="Amiri" w:hAnsi="Amiri" w:eastAsia="Amiri" w:cs="Amiri"/>
          <w:color w:val="111111"/>
          <w:sz w:val="28"/>
          <w:sz w:val="28"/>
          <w:szCs w:val="28"/>
          <w:rtl w:val="true"/>
          <w:lang w:bidi="ar-SA"/>
        </w:rPr>
        <w:t>تعالى، فانظر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حين وقفت عند مقام إبراهيم عليه السلام، أنك وقفت على كلّ طاعة، وتخلّفت عن كلّ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فيه ركعتين، نويت أنك صلّيت بصلاة إبراهيم عليه السلام، وأرغمت بصلاتك أنف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أَشْرَفْتَ على بئر زمزم، وشربت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نويت </w:t>
      </w:r>
      <w:r>
        <w:rPr>
          <w:rStyle w:val="FootnoteAnchor"/>
          <w:rtl w:val="true"/>
        </w:rPr>
        <w:footnoteReference w:id="7"/>
      </w:r>
      <w:r>
        <w:rPr>
          <w:rFonts w:ascii="Amiri" w:hAnsi="Amiri" w:eastAsia="Amiri" w:cs="Amiri"/>
          <w:color w:val="111111"/>
          <w:sz w:val="28"/>
          <w:sz w:val="28"/>
          <w:szCs w:val="28"/>
          <w:rtl w:val="true"/>
          <w:lang w:bidi="ar-SA"/>
        </w:rPr>
        <w:t>أنّك أشرفت على الطاعة، وغضضت طرفك عن المعصية؟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أسعيت بين الصفا والمروة، ومشيت وتردّدت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أنّك بين الرجاء والخوف؟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إلى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أنك آمنت الناس من لسانك وقلبك ويدك؟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 الوقفة بعرفة، وطلعت جبل الرحمة، وعرفت وادي نمرة، ودعوت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الميل والجمرات؟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هل‌عرفت بموقفك بعرفة معرفةاللَّه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المعارف والعلوم، وعرفت قبض اللَّه على صحيفتك واطّلاعه على سريرتك وقلبك؟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بطلوعك جبل الرحمة، أن اللَّه يرحم كلّ مؤمن ومؤمنة، ويتولى كلّ مسلم ومسلمة؟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فنويت عند نمرة أنّك لا تأمر حتى تأتمر، ولا تزجر حتى تنزجر؟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وقفت عند العَلَم والنمرات، نويت أنها شاهدة لك على الطاعات، حافظة لك مع الحفظة بأمر ربّ السموات؟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ركعتين، نويت أنّها صلاة شكر في ليلة عشر، تنفي كلّ عسر، وتيسر كلّ 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مشيت بين العلمين ولم تعدل عنهما يميناً وشمالًا، نويت أن لا تعدل عن دين الحقّ يميناً وشمالًا لا بقلبك، ولا بلسانك، ولا بجوارحك؟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مشيت بمزدلفة، ولقطت منها الحصى، نويت أنّك رفعت عنك كلّ معصية وجهل، وثبّت كلّ علم وعمل؟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مررت بالمشعر الحرام، نويت أنّك أشعرت قلبك إشعار أهل التقوى والخوف للَّه‌عزّوجلّ؟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منى ورميت الجمرة، وحلقت رأسك، وذبحت هديك، وصلّيت في مسجد الخيف،</w:t>
      </w:r>
    </w:p>
    <w:p>
      <w:pPr>
        <w:pStyle w:val="BookText"/>
        <w:rPr/>
      </w:pPr>
      <w:r>
        <w:rPr>
          <w:rFonts w:ascii="Amiri" w:hAnsi="Amiri" w:eastAsia="Amiri" w:cs="Amiri"/>
          <w:color w:val="111111"/>
          <w:sz w:val="28"/>
          <w:sz w:val="28"/>
          <w:szCs w:val="28"/>
          <w:rtl w:val="true"/>
          <w:lang w:bidi="ar-SA"/>
        </w:rPr>
        <w:t>ورجعت إلى مكّة، وطفت طواف الإِفاضة؟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فنويت عندما وصلت منى، ورميت الجمار، أنّك بلغت إلى مطلبك، وقد قضى ربّك لك كلّ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رميت الجمار، نويت أنّك رميت عدوّك إبليس وغضبته بتمام حجّك النفيس؟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حلقت رأسك، نويت أنك تطهّرت من الأدناس ومن تبعة بني آدم، وخرجت من الذنوب كما ولدتك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صلّيت في مسجد الخيف، نويت أنك لا تخاف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وذنبك، ولا ترجو إلّارحمة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ذبحت هديك، نويت أنّك ذبحت حنجرة الطمع بما تمسكت به من حقيقة الورع، وأنك اتّبعت سنّة إبراهيم عليه السلام بذبح ولده وثمرة فؤاده وريحان قلبه،</w:t>
      </w:r>
    </w:p>
    <w:p>
      <w:pPr>
        <w:pStyle w:val="BookText"/>
        <w:rPr/>
      </w:pPr>
      <w:r>
        <w:rPr>
          <w:rFonts w:ascii="IRNazanin" w:hAnsi="IRNazanin" w:eastAsia="IRNazanin"/>
          <w:color w:val="111111"/>
          <w:sz w:val="28"/>
          <w:sz w:val="28"/>
          <w:szCs w:val="28"/>
          <w:rtl w:val="true"/>
          <w:lang w:bidi="fa-IR"/>
        </w:rPr>
        <w:t xml:space="preserve">وحاجه </w:t>
      </w:r>
      <w:r>
        <w:rPr>
          <w:rStyle w:val="FootnoteAnchor"/>
          <w:rtl w:val="true"/>
        </w:rPr>
        <w:footnoteReference w:id="8"/>
      </w:r>
      <w:r>
        <w:rPr>
          <w:rFonts w:ascii="IRNazanin" w:hAnsi="IRNazanin" w:eastAsia="IRNazanin"/>
          <w:color w:val="111111"/>
          <w:sz w:val="28"/>
          <w:sz w:val="28"/>
          <w:szCs w:val="28"/>
          <w:rtl w:val="true"/>
          <w:lang w:bidi="fa-IR"/>
        </w:rPr>
        <w:t>سنّته لمن بعده، وقرّبه إلى اللَّه تعالى لمن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رجعت إلى مكّة وطفت طواف الإِفاضة، نويت أنّك أفضت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طاعته، وتمسّكت بودّه، وأدّيت فرائضه، وتقرّبت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وصلت منى، ولا رميت الجمار، ولا حلقت رأسك، ولا أدّيت </w:t>
      </w:r>
      <w:r>
        <w:rPr>
          <w:rStyle w:val="FootnoteAnchor"/>
          <w:rtl w:val="true"/>
        </w:rPr>
        <w:footnoteReference w:id="9"/>
      </w:r>
      <w:r>
        <w:rPr>
          <w:rFonts w:ascii="Amiri" w:hAnsi="Amiri" w:eastAsia="Amiri" w:cs="Amiri"/>
          <w:color w:val="111111"/>
          <w:sz w:val="28"/>
          <w:sz w:val="28"/>
          <w:szCs w:val="28"/>
          <w:rtl w:val="true"/>
          <w:lang w:bidi="ar-SA"/>
        </w:rPr>
        <w:t>نسكك، ولا صلّيت في مسجد الخيف، ولا طفت طواف الإِفاضة، ولا تقرّبت، ارجع فإنك لم تحجّ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فطفق الشبلي يبكي على ما فرّطه في حجّه، وما زال يتعلّم حتى حجّ من قابل بمعرفة ويقين، انتهى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دارالكتب الإسلامية، طهران؛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آل البيت عليهم السلام لإحياء التراث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الإمام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دار الفكر؛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مؤسسة الرسالة، بيروت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رواية نقلها العلّامة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على الحاج نور الحج ما لم يذنب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مؤسسة الوفاء،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أني بذلتُ جهدي فيما تيسر لي من مصادر، لم أعثر فيها على ترجمةمناسبة للشبلي هذا، وعلى ذلك فأعتقد أنه من المجاهيل، لم يذكر في كتب رجال الحديث وتراجمهم عند الفريقين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أنويت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والظاهر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وأحييت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شرح النخبة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1613</Words>
  <Characters>7309</Characters>
  <CharactersWithSpaces>8764</CharactersWithSpaces>
  <Paragraphs>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2026-08-16T19:44:06Z</dcterms:created>
  <dc:creator>ghaemiyeh.com</dc:creator>
  <dc:description/>
  <dc:language>en-US</dc:language>
  <cp:lastModifiedBy/>
  <dcterms:modified xsi:type="dcterms:W3CDTF">2026-08-16T23:14:07Z</dcterms:modified>
  <cp:revision>1</cp:revision>
  <dc:subject/>
  <dc:title>اسرار الحج فی حوار بین الامام زین العابدین علیه السلام و الشبلی</dc:title>
</cp:coreProperties>
</file>

<file path=docProps/custom.xml><?xml version="1.0" encoding="utf-8"?>
<Properties xmlns="http://schemas.openxmlformats.org/officeDocument/2006/custom-properties" xmlns:vt="http://schemas.openxmlformats.org/officeDocument/2006/docPropsVTypes"/>
</file>