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2.xml" ContentType="application/vnd.openxmlformats-officedocument.wordprocessingml.footer+xml"/>
  <Override PartName="/word/footer34.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قاعده لاضرر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04211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304213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304215_3650668749">
            <w:r>
              <w:rPr>
                <w:webHidden/>
                <w:rStyle w:val="IndexLink"/>
                <w:rtl w:val="true"/>
              </w:rPr>
              <w:t>[</w:t>
            </w:r>
            <w:r>
              <w:rPr>
                <w:rStyle w:val="IndexLink"/>
                <w:rtl w:val="true"/>
              </w:rPr>
              <w:t>مقدمة التحقيق</w:t>
            </w:r>
            <w:r>
              <w:rPr>
                <w:rStyle w:val="IndexLink"/>
                <w:rtl w:val="true"/>
              </w:rPr>
              <w:t>]</w:t>
              <w:tab/>
            </w:r>
            <w:r>
              <w:rPr>
                <w:rStyle w:val="IndexLink"/>
              </w:rPr>
              <w:t>5</w:t>
            </w:r>
          </w:hyperlink>
        </w:p>
        <w:p>
          <w:pPr>
            <w:pStyle w:val="Contents2"/>
            <w:tabs>
              <w:tab w:val="clear" w:pos="8743"/>
              <w:tab w:val="right" w:pos="9026" w:leader="dot"/>
            </w:tabs>
            <w:rPr/>
          </w:pPr>
          <w:hyperlink w:anchor="__RefHeading___Toc3304217_3650668749">
            <w:r>
              <w:rPr>
                <w:webHidden/>
                <w:rStyle w:val="IndexLink"/>
                <w:rtl w:val="true"/>
              </w:rPr>
              <w:t xml:space="preserve">الفصل الأول </w:t>
            </w:r>
            <w:r>
              <w:rPr>
                <w:rStyle w:val="IndexLink"/>
                <w:rtl w:val="true"/>
              </w:rPr>
              <w:t>[</w:t>
            </w:r>
            <w:r>
              <w:rPr>
                <w:rStyle w:val="IndexLink"/>
                <w:rtl w:val="true"/>
              </w:rPr>
              <w:t>في بيان مأخذ القاعدة</w:t>
            </w:r>
            <w:r>
              <w:rPr>
                <w:rStyle w:val="IndexLink"/>
                <w:rtl w:val="true"/>
              </w:rPr>
              <w:t>]</w:t>
              <w:tab/>
            </w:r>
            <w:r>
              <w:rPr>
                <w:rStyle w:val="IndexLink"/>
              </w:rPr>
              <w:t>9</w:t>
            </w:r>
          </w:hyperlink>
        </w:p>
        <w:p>
          <w:pPr>
            <w:pStyle w:val="Contents2"/>
            <w:tabs>
              <w:tab w:val="clear" w:pos="8743"/>
              <w:tab w:val="right" w:pos="9026" w:leader="dot"/>
            </w:tabs>
            <w:rPr/>
          </w:pPr>
          <w:hyperlink w:anchor="__RefHeading___Toc3304219_3650668749">
            <w:r>
              <w:rPr>
                <w:webHidden/>
                <w:rStyle w:val="IndexLink"/>
                <w:rtl w:val="true"/>
              </w:rPr>
              <w:t xml:space="preserve">- </w:t>
            </w:r>
            <w:r>
              <w:rPr>
                <w:rStyle w:val="IndexLink"/>
                <w:rtl w:val="true"/>
              </w:rPr>
              <w:t>الثاني</w:t>
            </w:r>
            <w:r>
              <w:rPr>
                <w:rStyle w:val="IndexLink"/>
                <w:rtl w:val="true"/>
              </w:rPr>
              <w:t>- [</w:t>
            </w:r>
            <w:r>
              <w:rPr>
                <w:rStyle w:val="IndexLink"/>
                <w:rtl w:val="true"/>
              </w:rPr>
              <w:t xml:space="preserve">أنّ قضية </w:t>
            </w:r>
            <w:r>
              <w:rPr>
                <w:rStyle w:val="IndexLink"/>
                <w:rtl w:val="true"/>
              </w:rPr>
              <w:t>«</w:t>
            </w:r>
            <w:r>
              <w:rPr>
                <w:rStyle w:val="IndexLink"/>
                <w:rtl w:val="true"/>
              </w:rPr>
              <w:t>سمرة</w:t>
            </w:r>
            <w:r>
              <w:rPr>
                <w:rStyle w:val="IndexLink"/>
                <w:rtl w:val="true"/>
              </w:rPr>
              <w:t xml:space="preserve">» </w:t>
            </w:r>
            <w:r>
              <w:rPr>
                <w:rStyle w:val="IndexLink"/>
                <w:rtl w:val="true"/>
              </w:rPr>
              <w:t>قضية واحدة</w:t>
            </w:r>
            <w:r>
              <w:rPr>
                <w:rStyle w:val="IndexLink"/>
                <w:rtl w:val="true"/>
              </w:rPr>
              <w:t>]</w:t>
              <w:tab/>
            </w:r>
            <w:r>
              <w:rPr>
                <w:rStyle w:val="IndexLink"/>
              </w:rPr>
              <w:t>10</w:t>
            </w:r>
          </w:hyperlink>
        </w:p>
        <w:p>
          <w:pPr>
            <w:pStyle w:val="Contents2"/>
            <w:tabs>
              <w:tab w:val="clear" w:pos="8743"/>
              <w:tab w:val="right" w:pos="9026" w:leader="dot"/>
            </w:tabs>
            <w:rPr/>
          </w:pPr>
          <w:hyperlink w:anchor="__RefHeading___Toc3304221_3650668749">
            <w:r>
              <w:rPr>
                <w:webHidden/>
                <w:rStyle w:val="IndexLink"/>
                <w:rtl w:val="true"/>
              </w:rPr>
              <w:t xml:space="preserve">- </w:t>
            </w:r>
            <w:r>
              <w:rPr>
                <w:rStyle w:val="IndexLink"/>
                <w:rtl w:val="true"/>
              </w:rPr>
              <w:t>الثالث</w:t>
            </w:r>
            <w:r>
              <w:rPr>
                <w:rStyle w:val="IndexLink"/>
                <w:rtl w:val="true"/>
              </w:rPr>
              <w:t xml:space="preserve">- </w:t>
            </w:r>
            <w:r>
              <w:rPr>
                <w:rStyle w:val="IndexLink"/>
                <w:rtl w:val="true"/>
              </w:rPr>
              <w:t>إنّ الثابت في روايات العامّة هو قوله</w:t>
            </w:r>
            <w:r>
              <w:rPr>
                <w:rStyle w:val="IndexLink"/>
                <w:rtl w:val="true"/>
              </w:rPr>
              <w:t>: «</w:t>
            </w:r>
            <w:r>
              <w:rPr>
                <w:rStyle w:val="IndexLink"/>
                <w:rtl w:val="true"/>
              </w:rPr>
              <w:t>لا ضرر و لا ضرار</w:t>
            </w:r>
            <w:r>
              <w:rPr>
                <w:rStyle w:val="IndexLink"/>
                <w:rtl w:val="true"/>
              </w:rPr>
              <w:t>»</w:t>
              <w:tab/>
            </w:r>
            <w:r>
              <w:rPr>
                <w:rStyle w:val="IndexLink"/>
              </w:rPr>
              <w:t>11</w:t>
            </w:r>
          </w:hyperlink>
        </w:p>
        <w:p>
          <w:pPr>
            <w:pStyle w:val="Contents2"/>
            <w:tabs>
              <w:tab w:val="clear" w:pos="8743"/>
              <w:tab w:val="right" w:pos="9026" w:leader="dot"/>
            </w:tabs>
            <w:rPr/>
          </w:pPr>
          <w:hyperlink w:anchor="__RefHeading___Toc3304223_3650668749">
            <w:r>
              <w:rPr>
                <w:webHidden/>
                <w:rStyle w:val="IndexLink"/>
                <w:rtl w:val="true"/>
              </w:rPr>
              <w:t xml:space="preserve">- </w:t>
            </w:r>
            <w:r>
              <w:rPr>
                <w:rStyle w:val="IndexLink"/>
                <w:rtl w:val="true"/>
              </w:rPr>
              <w:t>الرابع</w:t>
            </w:r>
            <w:r>
              <w:rPr>
                <w:rStyle w:val="IndexLink"/>
                <w:rtl w:val="true"/>
              </w:rPr>
              <w:t xml:space="preserve">- </w:t>
            </w:r>
            <w:r>
              <w:rPr>
                <w:rStyle w:val="IndexLink"/>
                <w:rtl w:val="true"/>
              </w:rPr>
              <w:t>إنّ الرواية الناهية عن منع فضل الماء من الروايات المشهورة</w:t>
            </w:r>
            <w:r>
              <w:rPr>
                <w:rStyle w:val="IndexLink"/>
                <w:rtl w:val="true"/>
              </w:rPr>
              <w:tab/>
            </w:r>
            <w:r>
              <w:rPr>
                <w:rStyle w:val="IndexLink"/>
              </w:rPr>
              <w:t>12</w:t>
            </w:r>
          </w:hyperlink>
        </w:p>
        <w:p>
          <w:pPr>
            <w:pStyle w:val="Contents3"/>
            <w:tabs>
              <w:tab w:val="clear" w:pos="8459"/>
              <w:tab w:val="right" w:pos="9026" w:leader="dot"/>
            </w:tabs>
            <w:rPr/>
          </w:pPr>
          <w:hyperlink w:anchor="__RefHeading___Toc3304225_3650668749">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3304227_3650668749">
            <w:r>
              <w:rPr>
                <w:webHidden/>
                <w:rStyle w:val="IndexLink"/>
                <w:rtl w:val="true"/>
              </w:rPr>
              <w:t>فمن طرقنا</w:t>
            </w:r>
            <w:r>
              <w:rPr>
                <w:rStyle w:val="IndexLink"/>
                <w:rtl w:val="true"/>
              </w:rPr>
              <w:t>:</w:t>
              <w:tab/>
            </w:r>
            <w:r>
              <w:rPr>
                <w:rStyle w:val="IndexLink"/>
              </w:rPr>
              <w:t>13</w:t>
            </w:r>
          </w:hyperlink>
        </w:p>
        <w:p>
          <w:pPr>
            <w:pStyle w:val="Contents3"/>
            <w:tabs>
              <w:tab w:val="clear" w:pos="8459"/>
              <w:tab w:val="right" w:pos="9026" w:leader="dot"/>
            </w:tabs>
            <w:rPr/>
          </w:pPr>
          <w:hyperlink w:anchor="__RefHeading___Toc3304229_3650668749">
            <w:r>
              <w:rPr>
                <w:webHidden/>
                <w:rStyle w:val="IndexLink"/>
                <w:rtl w:val="true"/>
              </w:rPr>
              <w:t>و أما الحديث من طرق العامة</w:t>
            </w:r>
            <w:r>
              <w:rPr>
                <w:rStyle w:val="IndexLink"/>
                <w:rtl w:val="true"/>
              </w:rPr>
              <w:t>:</w:t>
              <w:tab/>
            </w:r>
            <w:r>
              <w:rPr>
                <w:rStyle w:val="IndexLink"/>
              </w:rPr>
              <w:t>14</w:t>
            </w:r>
          </w:hyperlink>
        </w:p>
        <w:p>
          <w:pPr>
            <w:pStyle w:val="Contents2"/>
            <w:tabs>
              <w:tab w:val="clear" w:pos="8743"/>
              <w:tab w:val="right" w:pos="9026" w:leader="dot"/>
            </w:tabs>
            <w:rPr/>
          </w:pPr>
          <w:hyperlink w:anchor="__RefHeading___Toc3304231_3650668749">
            <w:r>
              <w:rPr>
                <w:webHidden/>
                <w:rStyle w:val="IndexLink"/>
                <w:rtl w:val="true"/>
              </w:rPr>
              <w:t xml:space="preserve">- </w:t>
            </w:r>
            <w:r>
              <w:rPr>
                <w:rStyle w:val="IndexLink"/>
                <w:rtl w:val="true"/>
              </w:rPr>
              <w:t>الخامس</w:t>
            </w:r>
            <w:r>
              <w:rPr>
                <w:rStyle w:val="IndexLink"/>
                <w:rtl w:val="true"/>
              </w:rPr>
              <w:t>- [</w:t>
            </w:r>
            <w:r>
              <w:rPr>
                <w:rStyle w:val="IndexLink"/>
                <w:rtl w:val="true"/>
              </w:rPr>
              <w:t>ان الضرر المترقب في الشفعة لا ينشأ من نفس المعاملة</w:t>
            </w:r>
            <w:r>
              <w:rPr>
                <w:rStyle w:val="IndexLink"/>
                <w:rtl w:val="true"/>
              </w:rPr>
              <w:t>]</w:t>
              <w:tab/>
            </w:r>
            <w:r>
              <w:rPr>
                <w:rStyle w:val="IndexLink"/>
              </w:rPr>
              <w:t>15</w:t>
            </w:r>
          </w:hyperlink>
        </w:p>
        <w:p>
          <w:pPr>
            <w:pStyle w:val="Contents2"/>
            <w:tabs>
              <w:tab w:val="clear" w:pos="8743"/>
              <w:tab w:val="right" w:pos="9026" w:leader="dot"/>
            </w:tabs>
            <w:rPr/>
          </w:pPr>
          <w:hyperlink w:anchor="__RefHeading___Toc3304233_3650668749">
            <w:r>
              <w:rPr>
                <w:webHidden/>
                <w:rStyle w:val="IndexLink"/>
                <w:rtl w:val="true"/>
              </w:rPr>
              <w:t xml:space="preserve">- </w:t>
            </w:r>
            <w:r>
              <w:rPr>
                <w:rStyle w:val="IndexLink"/>
                <w:rtl w:val="true"/>
              </w:rPr>
              <w:t>السادس</w:t>
            </w:r>
            <w:r>
              <w:rPr>
                <w:rStyle w:val="IndexLink"/>
                <w:rtl w:val="true"/>
              </w:rPr>
              <w:t xml:space="preserve">- </w:t>
            </w:r>
            <w:r>
              <w:rPr>
                <w:rStyle w:val="IndexLink"/>
                <w:rtl w:val="true"/>
              </w:rPr>
              <w:t>من الذائع الشائع الدائر على الألسن</w:t>
            </w:r>
            <w:r>
              <w:rPr>
                <w:rStyle w:val="IndexLink"/>
                <w:rtl w:val="true"/>
              </w:rPr>
              <w:tab/>
            </w:r>
            <w:r>
              <w:rPr>
                <w:rStyle w:val="IndexLink"/>
              </w:rPr>
              <w:t>16</w:t>
            </w:r>
          </w:hyperlink>
        </w:p>
        <w:p>
          <w:pPr>
            <w:pStyle w:val="Contents2"/>
            <w:tabs>
              <w:tab w:val="clear" w:pos="8743"/>
              <w:tab w:val="right" w:pos="9026" w:leader="dot"/>
            </w:tabs>
            <w:rPr/>
          </w:pPr>
          <w:hyperlink w:anchor="__RefHeading___Toc3304235_3650668749">
            <w:r>
              <w:rPr>
                <w:webHidden/>
                <w:rStyle w:val="IndexLink"/>
                <w:rtl w:val="true"/>
              </w:rPr>
              <w:t xml:space="preserve">- </w:t>
            </w:r>
            <w:r>
              <w:rPr>
                <w:rStyle w:val="IndexLink"/>
                <w:rtl w:val="true"/>
              </w:rPr>
              <w:t>السابع</w:t>
            </w:r>
            <w:r>
              <w:rPr>
                <w:rStyle w:val="IndexLink"/>
                <w:rtl w:val="true"/>
              </w:rPr>
              <w:t>- [</w:t>
            </w:r>
            <w:r>
              <w:rPr>
                <w:rStyle w:val="IndexLink"/>
                <w:rtl w:val="true"/>
              </w:rPr>
              <w:t xml:space="preserve">إرادة النهي التكليفي من </w:t>
            </w:r>
            <w:r>
              <w:rPr>
                <w:rStyle w:val="IndexLink"/>
                <w:rtl w:val="true"/>
              </w:rPr>
              <w:t>«</w:t>
            </w:r>
            <w:r>
              <w:rPr>
                <w:rStyle w:val="IndexLink"/>
                <w:rtl w:val="true"/>
              </w:rPr>
              <w:t>حديث الضرر</w:t>
            </w:r>
            <w:r>
              <w:rPr>
                <w:rStyle w:val="IndexLink"/>
                <w:rtl w:val="true"/>
              </w:rPr>
              <w:t>»]</w:t>
              <w:tab/>
            </w:r>
            <w:r>
              <w:rPr>
                <w:rStyle w:val="IndexLink"/>
              </w:rPr>
              <w:t>17</w:t>
            </w:r>
          </w:hyperlink>
        </w:p>
        <w:p>
          <w:pPr>
            <w:pStyle w:val="Contents2"/>
            <w:tabs>
              <w:tab w:val="clear" w:pos="8743"/>
              <w:tab w:val="right" w:pos="9026" w:leader="dot"/>
            </w:tabs>
            <w:rPr/>
          </w:pPr>
          <w:hyperlink w:anchor="__RefHeading___Toc3304237_3650668749">
            <w:r>
              <w:rPr>
                <w:webHidden/>
                <w:rStyle w:val="IndexLink"/>
                <w:rtl w:val="true"/>
              </w:rPr>
              <w:t xml:space="preserve">- </w:t>
            </w:r>
            <w:r>
              <w:rPr>
                <w:rStyle w:val="IndexLink"/>
                <w:rtl w:val="true"/>
              </w:rPr>
              <w:t>الثامن</w:t>
            </w:r>
            <w:r>
              <w:rPr>
                <w:rStyle w:val="IndexLink"/>
                <w:rtl w:val="true"/>
              </w:rPr>
              <w:t xml:space="preserve">- </w:t>
            </w:r>
            <w:r>
              <w:rPr>
                <w:rStyle w:val="IndexLink"/>
                <w:rtl w:val="true"/>
              </w:rPr>
              <w:t xml:space="preserve">إنّ </w:t>
            </w:r>
            <w:r>
              <w:rPr>
                <w:rStyle w:val="IndexLink"/>
                <w:rtl w:val="true"/>
              </w:rPr>
              <w:t>«</w:t>
            </w:r>
            <w:r>
              <w:rPr>
                <w:rStyle w:val="IndexLink"/>
                <w:rtl w:val="true"/>
              </w:rPr>
              <w:t>حديث الضرر</w:t>
            </w:r>
            <w:r>
              <w:rPr>
                <w:rStyle w:val="IndexLink"/>
                <w:rtl w:val="true"/>
              </w:rPr>
              <w:t xml:space="preserve">» </w:t>
            </w:r>
            <w:r>
              <w:rPr>
                <w:rStyle w:val="IndexLink"/>
                <w:rtl w:val="true"/>
              </w:rPr>
              <w:t>محتمل عند القوم لمعان</w:t>
            </w:r>
            <w:r>
              <w:rPr>
                <w:rStyle w:val="IndexLink"/>
                <w:rtl w:val="true"/>
              </w:rPr>
              <w:t>:</w:t>
              <w:tab/>
            </w:r>
            <w:r>
              <w:rPr>
                <w:rStyle w:val="IndexLink"/>
              </w:rPr>
              <w:t>23</w:t>
            </w:r>
          </w:hyperlink>
        </w:p>
        <w:p>
          <w:pPr>
            <w:pStyle w:val="Contents3"/>
            <w:tabs>
              <w:tab w:val="clear" w:pos="8459"/>
              <w:tab w:val="right" w:pos="9026" w:leader="dot"/>
            </w:tabs>
            <w:rPr/>
          </w:pPr>
          <w:hyperlink w:anchor="__RefHeading___Toc3304239_3650668749">
            <w:r>
              <w:rPr>
                <w:webHidden/>
                <w:rStyle w:val="IndexLink"/>
                <w:rtl w:val="true"/>
              </w:rPr>
              <w:t>أحدها</w:t>
            </w:r>
            <w:r>
              <w:rPr>
                <w:rStyle w:val="IndexLink"/>
                <w:rtl w:val="true"/>
              </w:rPr>
              <w:t xml:space="preserve">: </w:t>
            </w:r>
            <w:r>
              <w:rPr>
                <w:rStyle w:val="IndexLink"/>
                <w:rtl w:val="true"/>
              </w:rPr>
              <w:t>أن يراد به النهي عن الضرر،</w:t>
            </w:r>
            <w:r>
              <w:rPr>
                <w:rStyle w:val="IndexLink"/>
                <w:rtl w:val="true"/>
              </w:rPr>
              <w:tab/>
            </w:r>
            <w:r>
              <w:rPr>
                <w:rStyle w:val="IndexLink"/>
              </w:rPr>
              <w:t>23</w:t>
            </w:r>
          </w:hyperlink>
        </w:p>
        <w:p>
          <w:pPr>
            <w:pStyle w:val="Contents3"/>
            <w:tabs>
              <w:tab w:val="clear" w:pos="8459"/>
              <w:tab w:val="right" w:pos="9026" w:leader="dot"/>
            </w:tabs>
            <w:rPr/>
          </w:pPr>
          <w:hyperlink w:anchor="__RefHeading___Toc3304241_3650668749">
            <w:r>
              <w:rPr>
                <w:webHidden/>
                <w:rStyle w:val="IndexLink"/>
                <w:rtl w:val="true"/>
              </w:rPr>
              <w:t>ثانيها</w:t>
            </w:r>
            <w:r>
              <w:rPr>
                <w:rStyle w:val="IndexLink"/>
                <w:rtl w:val="true"/>
              </w:rPr>
              <w:t xml:space="preserve">: </w:t>
            </w:r>
            <w:r>
              <w:rPr>
                <w:rStyle w:val="IndexLink"/>
                <w:rtl w:val="true"/>
              </w:rPr>
              <w:t>أنّ المنفيّ هو الضرر الغير المتدارك الغير المجبور،</w:t>
            </w:r>
            <w:r>
              <w:rPr>
                <w:rStyle w:val="IndexLink"/>
                <w:rtl w:val="true"/>
              </w:rPr>
              <w:tab/>
            </w:r>
            <w:r>
              <w:rPr>
                <w:rStyle w:val="IndexLink"/>
              </w:rPr>
              <w:t>23</w:t>
            </w:r>
          </w:hyperlink>
        </w:p>
        <w:p>
          <w:pPr>
            <w:pStyle w:val="Contents3"/>
            <w:tabs>
              <w:tab w:val="clear" w:pos="8459"/>
              <w:tab w:val="right" w:pos="9026" w:leader="dot"/>
            </w:tabs>
            <w:rPr/>
          </w:pPr>
          <w:hyperlink w:anchor="__RefHeading___Toc3304243_3650668749">
            <w:r>
              <w:rPr>
                <w:webHidden/>
                <w:rStyle w:val="IndexLink"/>
                <w:rtl w:val="true"/>
              </w:rPr>
              <w:t>ثالثها</w:t>
            </w:r>
            <w:r>
              <w:rPr>
                <w:rStyle w:val="IndexLink"/>
                <w:rtl w:val="true"/>
              </w:rPr>
              <w:t xml:space="preserve">: </w:t>
            </w:r>
            <w:r>
              <w:rPr>
                <w:rStyle w:val="IndexLink"/>
                <w:rtl w:val="true"/>
              </w:rPr>
              <w:t>أنّ المراد من الحديث نفي الحكم الضرري</w:t>
            </w:r>
            <w:r>
              <w:rPr>
                <w:rStyle w:val="IndexLink"/>
                <w:rtl w:val="true"/>
              </w:rPr>
              <w:tab/>
            </w:r>
            <w:r>
              <w:rPr>
                <w:rStyle w:val="IndexLink"/>
              </w:rPr>
              <w:t>25</w:t>
            </w:r>
          </w:hyperlink>
        </w:p>
        <w:p>
          <w:pPr>
            <w:pStyle w:val="Contents3"/>
            <w:tabs>
              <w:tab w:val="clear" w:pos="8459"/>
              <w:tab w:val="right" w:pos="9026" w:leader="dot"/>
            </w:tabs>
            <w:rPr/>
          </w:pPr>
          <w:hyperlink w:anchor="__RefHeading___Toc3304245_3650668749">
            <w:r>
              <w:rPr>
                <w:webHidden/>
                <w:rStyle w:val="IndexLink"/>
                <w:rtl w:val="true"/>
              </w:rPr>
              <w:t>رابعها</w:t>
            </w:r>
            <w:r>
              <w:rPr>
                <w:rStyle w:val="IndexLink"/>
                <w:rtl w:val="true"/>
              </w:rPr>
              <w:t xml:space="preserve">: </w:t>
            </w:r>
            <w:r>
              <w:rPr>
                <w:rStyle w:val="IndexLink"/>
                <w:rtl w:val="true"/>
              </w:rPr>
              <w:t>ما كنت وجّهت في بعض أبحاثي من أن يكون وزانه وزان رفع الخطأ و النسيان،</w:t>
            </w:r>
            <w:r>
              <w:rPr>
                <w:rStyle w:val="IndexLink"/>
                <w:rtl w:val="true"/>
              </w:rPr>
              <w:tab/>
            </w:r>
            <w:r>
              <w:rPr>
                <w:rStyle w:val="IndexLink"/>
              </w:rPr>
              <w:t>25</w:t>
            </w:r>
          </w:hyperlink>
        </w:p>
        <w:p>
          <w:pPr>
            <w:pStyle w:val="Contents2"/>
            <w:tabs>
              <w:tab w:val="clear" w:pos="8743"/>
              <w:tab w:val="right" w:pos="9026" w:leader="dot"/>
            </w:tabs>
            <w:rPr/>
          </w:pPr>
          <w:hyperlink w:anchor="__RefHeading___Toc3304247_3650668749">
            <w:r>
              <w:rPr>
                <w:webHidden/>
                <w:rStyle w:val="IndexLink"/>
                <w:rtl w:val="true"/>
              </w:rPr>
              <w:t xml:space="preserve">- </w:t>
            </w:r>
            <w:r>
              <w:rPr>
                <w:rStyle w:val="IndexLink"/>
                <w:rtl w:val="true"/>
              </w:rPr>
              <w:t>التاسع</w:t>
            </w:r>
            <w:r>
              <w:rPr>
                <w:rStyle w:val="IndexLink"/>
                <w:rtl w:val="true"/>
              </w:rPr>
              <w:t>- [</w:t>
            </w:r>
            <w:r>
              <w:rPr>
                <w:rStyle w:val="IndexLink"/>
                <w:rtl w:val="true"/>
              </w:rPr>
              <w:t>أمور ننبّه على جملة منها</w:t>
            </w:r>
            <w:r>
              <w:rPr>
                <w:rStyle w:val="IndexLink"/>
                <w:rtl w:val="true"/>
              </w:rPr>
              <w:t>]</w:t>
              <w:tab/>
            </w:r>
            <w:r>
              <w:rPr>
                <w:rStyle w:val="IndexLink"/>
              </w:rPr>
              <w:t>28</w:t>
            </w:r>
          </w:hyperlink>
        </w:p>
        <w:p>
          <w:pPr>
            <w:pStyle w:val="Contents3"/>
            <w:tabs>
              <w:tab w:val="clear" w:pos="8459"/>
              <w:tab w:val="right" w:pos="9026" w:leader="dot"/>
            </w:tabs>
            <w:rPr/>
          </w:pPr>
          <w:hyperlink w:anchor="__RefHeading___Toc3304249_3650668749">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3304251_3650668749">
            <w:r>
              <w:rPr>
                <w:webHidden/>
                <w:rStyle w:val="IndexLink"/>
                <w:rtl w:val="true"/>
              </w:rPr>
              <w:t>أحدها</w:t>
            </w:r>
            <w:r>
              <w:rPr>
                <w:rStyle w:val="IndexLink"/>
                <w:rtl w:val="true"/>
              </w:rPr>
              <w:t xml:space="preserve">: </w:t>
            </w:r>
            <w:r>
              <w:rPr>
                <w:rStyle w:val="IndexLink"/>
                <w:rtl w:val="true"/>
              </w:rPr>
              <w:t xml:space="preserve">عدم كون </w:t>
            </w:r>
            <w:r>
              <w:rPr>
                <w:rStyle w:val="IndexLink"/>
                <w:rtl w:val="true"/>
              </w:rPr>
              <w:t>«</w:t>
            </w:r>
            <w:r>
              <w:rPr>
                <w:rStyle w:val="IndexLink"/>
                <w:rtl w:val="true"/>
              </w:rPr>
              <w:t>حديث الضرر</w:t>
            </w:r>
            <w:r>
              <w:rPr>
                <w:rStyle w:val="IndexLink"/>
                <w:rtl w:val="true"/>
              </w:rPr>
              <w:t xml:space="preserve">» </w:t>
            </w:r>
            <w:r>
              <w:rPr>
                <w:rStyle w:val="IndexLink"/>
                <w:rtl w:val="true"/>
              </w:rPr>
              <w:t>مدركا لشي‌ء من الخيارات</w:t>
            </w:r>
            <w:r>
              <w:rPr>
                <w:rStyle w:val="IndexLink"/>
                <w:rtl w:val="true"/>
              </w:rPr>
              <w:tab/>
            </w:r>
            <w:r>
              <w:rPr>
                <w:rStyle w:val="IndexLink"/>
              </w:rPr>
              <w:t>29</w:t>
            </w:r>
          </w:hyperlink>
        </w:p>
        <w:p>
          <w:pPr>
            <w:pStyle w:val="Contents3"/>
            <w:tabs>
              <w:tab w:val="clear" w:pos="8459"/>
              <w:tab w:val="right" w:pos="9026" w:leader="dot"/>
            </w:tabs>
            <w:rPr/>
          </w:pPr>
          <w:hyperlink w:anchor="__RefHeading___Toc3304253_3650668749">
            <w:r>
              <w:rPr>
                <w:webHidden/>
                <w:rStyle w:val="IndexLink"/>
                <w:rtl w:val="true"/>
              </w:rPr>
              <w:t>الثاني</w:t>
            </w:r>
            <w:r>
              <w:rPr>
                <w:rStyle w:val="IndexLink"/>
                <w:rtl w:val="true"/>
              </w:rPr>
              <w:t xml:space="preserve">: </w:t>
            </w:r>
            <w:r>
              <w:rPr>
                <w:rStyle w:val="IndexLink"/>
                <w:rtl w:val="true"/>
              </w:rPr>
              <w:t>أنّ الضرر الخارجي الذي ربّما يتعقّبه المعاملة ليس موجبا للخيار</w:t>
            </w:r>
            <w:r>
              <w:rPr>
                <w:rStyle w:val="IndexLink"/>
                <w:rtl w:val="true"/>
              </w:rPr>
              <w:tab/>
            </w:r>
            <w:r>
              <w:rPr>
                <w:rStyle w:val="IndexLink"/>
              </w:rPr>
              <w:t>29</w:t>
            </w:r>
          </w:hyperlink>
        </w:p>
        <w:p>
          <w:pPr>
            <w:pStyle w:val="Contents3"/>
            <w:tabs>
              <w:tab w:val="clear" w:pos="8459"/>
              <w:tab w:val="right" w:pos="9026" w:leader="dot"/>
            </w:tabs>
            <w:rPr/>
          </w:pPr>
          <w:hyperlink w:anchor="__RefHeading___Toc3304255_3650668749">
            <w:r>
              <w:rPr>
                <w:webHidden/>
                <w:rStyle w:val="IndexLink"/>
                <w:rtl w:val="true"/>
              </w:rPr>
              <w:t>الثالث</w:t>
            </w:r>
            <w:r>
              <w:rPr>
                <w:rStyle w:val="IndexLink"/>
                <w:rtl w:val="true"/>
              </w:rPr>
              <w:t xml:space="preserve">: </w:t>
            </w:r>
            <w:r>
              <w:rPr>
                <w:rStyle w:val="IndexLink"/>
                <w:rtl w:val="true"/>
              </w:rPr>
              <w:t>أنّ التخصيصات الكثيرة التي يدّعون ورودها على القاعدة ليست كما يقولون،</w:t>
            </w:r>
            <w:r>
              <w:rPr>
                <w:rStyle w:val="IndexLink"/>
                <w:rtl w:val="true"/>
              </w:rPr>
              <w:tab/>
            </w:r>
            <w:r>
              <w:rPr>
                <w:rStyle w:val="IndexLink"/>
              </w:rPr>
              <w:t>29</w:t>
            </w:r>
          </w:hyperlink>
        </w:p>
        <w:p>
          <w:pPr>
            <w:pStyle w:val="Contents3"/>
            <w:tabs>
              <w:tab w:val="clear" w:pos="8459"/>
              <w:tab w:val="right" w:pos="9026" w:leader="dot"/>
            </w:tabs>
            <w:rPr/>
          </w:pPr>
          <w:hyperlink w:anchor="__RefHeading___Toc3304257_3650668749">
            <w:r>
              <w:rPr>
                <w:webHidden/>
                <w:rStyle w:val="IndexLink"/>
                <w:rtl w:val="true"/>
              </w:rPr>
              <w:t>الرابع</w:t>
            </w:r>
            <w:r>
              <w:rPr>
                <w:rStyle w:val="IndexLink"/>
                <w:rtl w:val="true"/>
              </w:rPr>
              <w:t xml:space="preserve">: </w:t>
            </w:r>
            <w:r>
              <w:rPr>
                <w:rStyle w:val="IndexLink"/>
                <w:rtl w:val="true"/>
              </w:rPr>
              <w:t>أنّ الضرر يراد به ما هو ظاهر من الضرر الشخصي،</w:t>
            </w:r>
            <w:r>
              <w:rPr>
                <w:rStyle w:val="IndexLink"/>
                <w:rtl w:val="true"/>
              </w:rPr>
              <w:tab/>
            </w:r>
            <w:r>
              <w:rPr>
                <w:rStyle w:val="IndexLink"/>
              </w:rPr>
              <w:t>29</w:t>
            </w:r>
          </w:hyperlink>
        </w:p>
        <w:p>
          <w:pPr>
            <w:pStyle w:val="Contents3"/>
            <w:tabs>
              <w:tab w:val="clear" w:pos="8459"/>
              <w:tab w:val="right" w:pos="9026" w:leader="dot"/>
            </w:tabs>
            <w:rPr/>
          </w:pPr>
          <w:hyperlink w:anchor="__RefHeading___Toc3304259_3650668749">
            <w:r>
              <w:rPr>
                <w:webHidden/>
                <w:rStyle w:val="IndexLink"/>
                <w:rtl w:val="true"/>
              </w:rPr>
              <w:t>الخامس</w:t>
            </w:r>
            <w:r>
              <w:rPr>
                <w:rStyle w:val="IndexLink"/>
                <w:rtl w:val="true"/>
              </w:rPr>
              <w:t xml:space="preserve">: </w:t>
            </w:r>
            <w:r>
              <w:rPr>
                <w:rStyle w:val="IndexLink"/>
                <w:rtl w:val="true"/>
              </w:rPr>
              <w:t>أنّه لا يلزم القول بأنّ النهي للتنزيه أو للقدر المشترك لإرادة الكراهة منه</w:t>
            </w:r>
            <w:r>
              <w:rPr>
                <w:rStyle w:val="IndexLink"/>
                <w:rtl w:val="true"/>
              </w:rPr>
              <w:tab/>
            </w:r>
            <w:r>
              <w:rPr>
                <w:rStyle w:val="IndexLink"/>
              </w:rPr>
              <w:t>29</w:t>
            </w:r>
          </w:hyperlink>
        </w:p>
        <w:p>
          <w:pPr>
            <w:pStyle w:val="Contents2"/>
            <w:tabs>
              <w:tab w:val="clear" w:pos="8743"/>
              <w:tab w:val="right" w:pos="9026" w:leader="dot"/>
            </w:tabs>
            <w:rPr/>
          </w:pPr>
          <w:hyperlink w:anchor="__RefHeading___Toc3304261_3650668749">
            <w:r>
              <w:rPr>
                <w:webHidden/>
                <w:rStyle w:val="IndexLink"/>
                <w:rtl w:val="true"/>
              </w:rPr>
              <w:t xml:space="preserve">- </w:t>
            </w:r>
            <w:r>
              <w:rPr>
                <w:rStyle w:val="IndexLink"/>
                <w:rtl w:val="true"/>
              </w:rPr>
              <w:t>العاشر</w:t>
            </w:r>
            <w:r>
              <w:rPr>
                <w:rStyle w:val="IndexLink"/>
                <w:rtl w:val="true"/>
              </w:rPr>
              <w:t>- [</w:t>
            </w:r>
            <w:r>
              <w:rPr>
                <w:rStyle w:val="IndexLink"/>
                <w:rtl w:val="true"/>
              </w:rPr>
              <w:t>في دفع التوهم</w:t>
            </w:r>
            <w:r>
              <w:rPr>
                <w:rStyle w:val="IndexLink"/>
                <w:rtl w:val="true"/>
              </w:rPr>
              <w:t>]</w:t>
              <w:tab/>
            </w:r>
            <w:r>
              <w:rPr>
                <w:rStyle w:val="IndexLink"/>
              </w:rPr>
              <w:t>29</w:t>
            </w:r>
          </w:hyperlink>
        </w:p>
        <w:p>
          <w:pPr>
            <w:pStyle w:val="Contents3"/>
            <w:tabs>
              <w:tab w:val="clear" w:pos="8459"/>
              <w:tab w:val="right" w:pos="9026" w:leader="dot"/>
            </w:tabs>
            <w:rPr/>
          </w:pPr>
          <w:hyperlink w:anchor="__RefHeading___Toc3304263_3650668749">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3304265_3650668749">
            <w:r>
              <w:rPr>
                <w:webHidden/>
                <w:rStyle w:val="IndexLink"/>
                <w:rtl w:val="true"/>
              </w:rPr>
              <w:t>أمّا العبادات المضرّة</w:t>
            </w:r>
            <w:r>
              <w:rPr>
                <w:rStyle w:val="IndexLink"/>
                <w:rtl w:val="true"/>
              </w:rPr>
              <w:t>:</w:t>
              <w:tab/>
            </w:r>
            <w:r>
              <w:rPr>
                <w:rStyle w:val="IndexLink"/>
              </w:rPr>
              <w:t>30</w:t>
            </w:r>
          </w:hyperlink>
        </w:p>
        <w:p>
          <w:pPr>
            <w:pStyle w:val="Contents3"/>
            <w:tabs>
              <w:tab w:val="clear" w:pos="8459"/>
              <w:tab w:val="right" w:pos="9026" w:leader="dot"/>
            </w:tabs>
            <w:rPr/>
          </w:pPr>
          <w:hyperlink w:anchor="__RefHeading___Toc3304267_3650668749">
            <w:r>
              <w:rPr>
                <w:webHidden/>
                <w:rStyle w:val="IndexLink"/>
                <w:rtl w:val="true"/>
              </w:rPr>
              <w:t>و اما الخيارات</w:t>
            </w:r>
            <w:r>
              <w:rPr>
                <w:rStyle w:val="IndexLink"/>
                <w:rtl w:val="true"/>
              </w:rPr>
              <w:t>:</w:t>
              <w:tab/>
            </w:r>
            <w:r>
              <w:rPr>
                <w:rStyle w:val="IndexLink"/>
              </w:rPr>
              <w:t>30</w:t>
            </w:r>
          </w:hyperlink>
        </w:p>
        <w:p>
          <w:pPr>
            <w:pStyle w:val="Contents2"/>
            <w:tabs>
              <w:tab w:val="clear" w:pos="8743"/>
              <w:tab w:val="right" w:pos="9026" w:leader="dot"/>
            </w:tabs>
            <w:rPr/>
          </w:pPr>
          <w:hyperlink w:anchor="__RefHeading___Toc3304269_3650668749">
            <w:r>
              <w:rPr>
                <w:webHidden/>
                <w:rStyle w:val="IndexLink"/>
                <w:rtl w:val="true"/>
              </w:rPr>
              <w:t xml:space="preserve">- </w:t>
            </w:r>
            <w:r>
              <w:rPr>
                <w:rStyle w:val="IndexLink"/>
                <w:rtl w:val="true"/>
              </w:rPr>
              <w:t>الحادي عشر</w:t>
            </w:r>
            <w:r>
              <w:rPr>
                <w:rStyle w:val="IndexLink"/>
                <w:rtl w:val="true"/>
              </w:rPr>
              <w:t>- [</w:t>
            </w:r>
            <w:r>
              <w:rPr>
                <w:rStyle w:val="IndexLink"/>
                <w:rtl w:val="true"/>
              </w:rPr>
              <w:t>حول سند الرواية</w:t>
            </w:r>
            <w:r>
              <w:rPr>
                <w:rStyle w:val="IndexLink"/>
                <w:rtl w:val="true"/>
              </w:rPr>
              <w:t>]</w:t>
              <w:tab/>
            </w:r>
            <w:r>
              <w:rPr>
                <w:rStyle w:val="IndexLink"/>
              </w:rPr>
              <w:t>32</w:t>
            </w:r>
          </w:hyperlink>
        </w:p>
        <w:p>
          <w:pPr>
            <w:pStyle w:val="Contents3"/>
            <w:tabs>
              <w:tab w:val="clear" w:pos="8459"/>
              <w:tab w:val="right" w:pos="9026" w:leader="dot"/>
            </w:tabs>
            <w:rPr/>
          </w:pPr>
          <w:hyperlink w:anchor="__RefHeading___Toc3304271_3650668749">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3304273_3650668749">
            <w:r>
              <w:rPr>
                <w:webHidden/>
                <w:rStyle w:val="IndexLink"/>
                <w:rtl w:val="true"/>
              </w:rPr>
              <w:t>أما السعدآبادي</w:t>
            </w:r>
            <w:r>
              <w:rPr>
                <w:rStyle w:val="IndexLink"/>
                <w:rtl w:val="true"/>
              </w:rPr>
              <w:t xml:space="preserve">: </w:t>
            </w:r>
            <w:r>
              <w:rPr>
                <w:rStyle w:val="IndexLink"/>
                <w:rtl w:val="true"/>
              </w:rPr>
              <w:t>فلوجوه</w:t>
            </w:r>
            <w:r>
              <w:rPr>
                <w:rStyle w:val="IndexLink"/>
                <w:rtl w:val="true"/>
              </w:rPr>
              <w:t>:</w:t>
              <w:tab/>
            </w:r>
            <w:r>
              <w:rPr>
                <w:rStyle w:val="IndexLink"/>
              </w:rPr>
              <w:t>32</w:t>
            </w:r>
          </w:hyperlink>
        </w:p>
        <w:p>
          <w:pPr>
            <w:pStyle w:val="Contents3"/>
            <w:tabs>
              <w:tab w:val="clear" w:pos="8459"/>
              <w:tab w:val="right" w:pos="9026" w:leader="dot"/>
            </w:tabs>
            <w:rPr/>
          </w:pPr>
          <w:hyperlink w:anchor="__RefHeading___Toc3304275_3650668749">
            <w:r>
              <w:rPr>
                <w:webHidden/>
                <w:rStyle w:val="IndexLink"/>
                <w:rtl w:val="true"/>
              </w:rPr>
              <w:t>و أما الحسن بن زياد الصيقل</w:t>
            </w:r>
            <w:r>
              <w:rPr>
                <w:rStyle w:val="IndexLink"/>
                <w:rtl w:val="true"/>
              </w:rPr>
              <w:t>:</w:t>
              <w:tab/>
            </w:r>
            <w:r>
              <w:rPr>
                <w:rStyle w:val="IndexLink"/>
              </w:rPr>
              <w:t>34</w:t>
            </w:r>
          </w:hyperlink>
        </w:p>
        <w:p>
          <w:pPr>
            <w:pStyle w:val="Contents2"/>
            <w:tabs>
              <w:tab w:val="clear" w:pos="8743"/>
              <w:tab w:val="right" w:pos="9026" w:leader="dot"/>
            </w:tabs>
            <w:rPr/>
          </w:pPr>
          <w:hyperlink w:anchor="__RefHeading___Toc3304277_3650668749">
            <w:r>
              <w:rPr>
                <w:webHidden/>
                <w:rStyle w:val="IndexLink"/>
                <w:rtl w:val="true"/>
              </w:rPr>
              <w:t xml:space="preserve">الفصل الثاني عشر </w:t>
            </w:r>
            <w:r>
              <w:rPr>
                <w:rStyle w:val="IndexLink"/>
                <w:rtl w:val="true"/>
              </w:rPr>
              <w:t>[</w:t>
            </w:r>
            <w:r>
              <w:rPr>
                <w:rStyle w:val="IndexLink"/>
                <w:rtl w:val="true"/>
              </w:rPr>
              <w:t>في أن الرواية النبويّة المعروفة</w:t>
            </w:r>
            <w:r>
              <w:rPr>
                <w:rStyle w:val="IndexLink"/>
                <w:rtl w:val="true"/>
              </w:rPr>
              <w:t>: «</w:t>
            </w:r>
            <w:r>
              <w:rPr>
                <w:rStyle w:val="IndexLink"/>
                <w:rtl w:val="true"/>
              </w:rPr>
              <w:t>على اليد ما أخذت حتّى تؤدّي</w:t>
            </w:r>
            <w:r>
              <w:rPr>
                <w:rStyle w:val="IndexLink"/>
                <w:rtl w:val="true"/>
              </w:rPr>
              <w:t xml:space="preserve">» </w:t>
            </w:r>
            <w:r>
              <w:rPr>
                <w:rStyle w:val="IndexLink"/>
                <w:rtl w:val="true"/>
              </w:rPr>
              <w:t>لم يروها أحد من أصحابنا</w:t>
            </w:r>
            <w:r>
              <w:rPr>
                <w:rStyle w:val="IndexLink"/>
                <w:rtl w:val="true"/>
              </w:rPr>
              <w:t>]</w:t>
              <w:tab/>
            </w:r>
            <w:r>
              <w:rPr>
                <w:rStyle w:val="IndexLink"/>
              </w:rPr>
              <w:t>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5_24575"/>
      <w:bookmarkStart w:id="1" w:name="pg1915_24575"/>
      <w:bookmarkEnd w:id="1"/>
    </w:p>
    <w:p>
      <w:pPr>
        <w:pStyle w:val="Heading2"/>
        <w:numPr>
          <w:ilvl w:val="1"/>
          <w:numId w:val="1"/>
        </w:numPr>
        <w:rPr/>
      </w:pPr>
      <w:bookmarkStart w:id="2" w:name="pg1915_24575"/>
      <w:bookmarkStart w:id="3" w:name="__RefHeading___Toc3304211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فقهى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اصفهانى، شيخ الشريعة، فتح اللّٰه بن محمد جواد نمازى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وابسته به جامعه مدرسين حوزه علميه قم تاريخ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ابوطالبى عراقى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همراه با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إفاضة القدير في أحكام العصير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04213_3650668749"/>
      <w:bookmarkStart w:id="6" w:name="_Toc2"/>
      <w:bookmarkEnd w:id="5"/>
      <w:r>
        <w:rPr>
          <w:rtl w:val="true"/>
        </w:rPr>
        <w:t>اشارة</w:t>
      </w:r>
      <w:bookmarkStart w:id="7" w:name="pg1915_24583"/>
      <w:bookmarkEnd w:id="6"/>
    </w:p>
    <w:p>
      <w:pPr>
        <w:pStyle w:val="Heading2"/>
        <w:numPr>
          <w:ilvl w:val="1"/>
          <w:numId w:val="1"/>
        </w:numPr>
        <w:rPr/>
      </w:pPr>
      <w:bookmarkStart w:id="8" w:name="__RefHeading___Toc3304215_3650668749"/>
      <w:bookmarkStart w:id="9" w:name="_Toc3"/>
      <w:bookmarkEnd w:id="7"/>
      <w:bookmarkEnd w:id="8"/>
      <w:r>
        <w:rPr>
          <w:rtl w:val="true"/>
        </w:rPr>
        <w:t>[</w:t>
      </w:r>
      <w:r>
        <w:rPr>
          <w:rtl w:val="true"/>
        </w:rPr>
        <w:t>مقدمة التحقيق</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سابغ النعماء، و واهب الآلاء، و مفضل مداد العلماء على دماء الشهداء، و المتجلى على أخص عباده بالعظمة و الكبرياء، و الصلاة و السلام على أفضل السفراء، و أصفى المصطفين و خاتم الأنبياء محمد و آله البررة الأزكياء، و بعد فيقول العبد القاصر الفاني المفتاق الى عفو ربه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محمد صالح الأبوطالبي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يا طلاب الحقيقة، و يا أيها الإخوان بالطريقة الى هذا السفر الجليل الشريف و دونكم بالمصنف النفيس المنيف، الذي طلع كالبدر الباهر عن أفق المطابع، و ظهر كالقمر المنير، لا بل كالشمس المضيئة عن خفاء أستار المطالع، و أخذ في الاضائة و الإشراق على صفحات القلوب بنوره الساطع اللامع، اعنى الكتاب المستطاب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إفاضة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اسم طابق المسمى، و لفظ حاك عن حقيقة المعنى، فإنها من إفاضات الرب القدير، على عبده المخلص الصفي المستنير، من أنوار فيوضات خالقه اللطيف الخبير، فقد كان الدهر الخوان على حسب عادته قد ضن من ظهور هذا الأثر الشريف منذ تألف الى هذا الحين ككثير من آثار سلفنا الصالحين، من علمائنا الماضين، قدس اللّه أسرارهم، حتى شملت العناية الأزلية و التوفيقات الربانية، للرجلين الخيرين زبدتى الأخيار و عمدتى الاشراف و التجار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محمود الأحمدي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الأرباب حسين آغا الأشعري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المطبعة الأشعرية، بقم المحمية، صانها اللّه عن الحوادث الدهرية فبذل أول المشار إليهما نفقة القراطيس اللازمة، و ثانيهما نفقة الطبع و سائر المصارف و أوكل أمر التصحيح و تنظيم مهام الطبع على عهدة هذا القاصر الخاسر، فوضعت أيدي الإجابة للمسئول على عين القبول، و عددته لنفسي غاية المأمول، فأخذنا في الطبع من النسخة المخطوطة التي كتبها بخطّ يده، سيدنا الأجل، و الحبر الملي المبجل،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الإسلام و المسلمين، و آية رب العالمين حضرة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السيد أحمد الزنجاني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 اللّه بوجوده الشريف الأعالي و الادانى، فإنه دام ظله و أمثاله من الحجج و الايات هم الذين عرفوا للنسخة قدرها و لم يرخصوا مهرها، و كانوا يتداولونها بأيديهم، و يتسابقون الى اعارتهم لها منه و تمتعهم منها، على ما حكاه هو دام ظله، نعم 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قدر اللؤلؤة الغالية لا يعرف الا الحزيت الخبير، و الجوهرة النفيسة لا تقوم الا بالناقد البصير، ثم انه دام مجده و علاه هو الذي استبق الى ذلك الخير فحض و نبه اهله باكتساب هذه الفضيلة، و دعاهم بالاهتداء لهاتيك الوسيلة، و إخراج النسخة من الوحدة و الانحصار، و تحليتها بالانطباع و الانتشار، لتصير فائدتها لأهل العلم أتم، و عائدتها للطالبين أعم، فصانها بذلك عن أيدي خيانة الحوادث و التلف، و حاز به الفضيلة و الشرف فلبى دعوته هذه الخيران المشار إليهما، و اكتسبا بذلك ذخرا لمآليهما، و بينما كنا في طبع الكتاب، و كان ثاني الرجلين في محافل الأحباب كالنجم المضي المشرق للاتراب، فإذا نعى به الغراب و سموم الأجل المحتوم قد هبته على نحو عجاب، فصير قلوب الأحبة في احزان و كئاب، نعم لكل أجل كتاب، تغمده اللّه برحمته، و جاوز عن عثراته و خطيئته، ثم قام على تتميم الأمر اخوه الخير الوفي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على الأصغر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فقه اللّه لمراضيه و جعل مستقبل أيامه خيرا من ماضيه، فاوفى بميثاق أخيه المرحوم المغفور، و صيّر روحه منه في بهجة و سرور، حتى انه بذل بقية ما نفدهن القرطاس فتم انطباع النسخة بحمد اللّه على أحسن انطباع، و صارت مطبوعة لدى عوالي الطباع، فنقدم التشكر و التقدير منه و من المدير المحترم الداخلي للمطبعة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القاسم العارفى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لسائر عمالها المكرمين، في تشريكهم لبذل المساعى لتنظيم هذا الدر الثمين، أيدهم اللّه تعالى للخدمة بالدين و وفقهم للعمل بوظائف الشرع المبين، ثم ان أصل هذه النسخة حيث قد استنسخت من النسخة المخطوطة المغلوطة الردية الخط، الغير المأمونة من الاسقاط و التبديل و الخلط، فأصلحها حسب ما يسعه العبارة و يرتبط بعضها ببعض، سيدنا الناسخ المعظم له في جملة منها، و بقي في زوايا الستر و الخفاء جملة</w:t>
      </w:r>
    </w:p>
    <w:p>
      <w:pPr>
        <w:pStyle w:val="BookText"/>
        <w:rPr/>
      </w:pPr>
      <w:r>
        <w:rPr>
          <w:rFonts w:ascii="Amiri" w:hAnsi="Amiri" w:eastAsia="Amiri" w:cs="Amiri"/>
          <w:color w:val="111111"/>
          <w:sz w:val="28"/>
          <w:sz w:val="28"/>
          <w:szCs w:val="28"/>
          <w:rtl w:val="true"/>
          <w:lang w:bidi="ar-SA"/>
        </w:rPr>
        <w:t xml:space="preserve">يسيرة اخرى، فأشرنا إلى الأولى منهما بضبطها بين الهلالين معقبا لها بعلامة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السطور المربوطة أو في ذيل الصفحات و الى ثانيتهما بقولنا في الذيل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ازديادا في الأولى على الناظرين من البصيرة، و إخراجا لهم في الثانية من التردد و الحيرة، و إعلاما بعلامة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الظاهر ان يكون العبارة كذلك، مع احتمال ان يكون الساقط أو المبدل هو غير ذلك، و نسأل اللّه تعالى ان ينفعنا بها و جميع المشتغلين و المراجعين و يجعل سعينا في هذا الأمر ذخرا لنا و لجميع من أعاننا فيه من المؤمنين ليوم الدين انه خير موفق و معين و صلى اللّه على محمد و آله الطاهرين أجمعين و ليعلم انى لم آل جهدا و لم اذر سعيا في تصحيح الصفحات المترتبة حين الطبع و مقابلتها مع الأصل و مراجعتها مرة بعد اخرى و كرة بعد اولى بل ثالثة بعد ثنتا حسب ما وسعته الطاقة البشرية كما لم يكن على الناظرين يخفى و لكن بعد اللتيا و التي قد اتفقت أغلاط يسيرة زاغت عنها البصر أو وقعت في أثناء الطبع بعد وقوعها صحيحة قبله فأشرنا إليها في الصفحة التالية ليصلحها أرباب النسخ و هي هذه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الاحقر يحيى بن محمد</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أفضل صلواته و تسليماته على أفضل أنبيائه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فقد كثر في الأواخر الخوض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مدركها، و الفروع المتفرعة عليها، و الفوائد المستنبطة منها، و ترجيح بعض وجوه الاحتمالات و تعيين ما يصلح منها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منّي البحث عنها في أوقات مختلفة و أزمنة متباعدة و ربّما يتأخّر بعضها عن بعض بمدة مديدة و سنين عديدة، و بحثت عمّا عنه بحثوا و خضت فيما فيه خاضوا، و نبّهت على ما اتّجه عندي من النظر و التأمّل فيما قالوا، و ما سنح لي من النقض و الإبرام و الهدم و الاحكام فيما إليه أو عنه مالوا، و تنبّهت على أمور غير ما أفادوا و أجادوا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أحببت إيرادها في هذا المختصر رجاء أن ينفع غيري فينفعني في قبري و يوم حشري، فإن كانت حقّا فمن فضل اللّه تعالى و مننه الغير المتناهية عليّ، و إلّا فمن قصور نفسي و خطاء حدسي</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أريد التعرض في هذه العجالة لما تداول البحث عنه من حكومة القاعدة على القواعد الأخر و عدمها، و عن شرح حكومتها، و أنّ الضرر يعمّ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القوم في أبواب المعاملات و 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يخصّ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يقولون في أبواب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مقدّمة على قاعدة التسليط أم لا؟ و أنّه ماذا ينبغي في تعارض الفردين؟ و أشباه هذه المباحث، فإنّ كثرة شواغلي و انحراف مزاجي</w:t>
      </w:r>
      <w:bookmarkStart w:id="10" w:name="pg1915_24592"/>
    </w:p>
    <w:p>
      <w:pPr>
        <w:pStyle w:val="BookText"/>
        <w:rPr/>
      </w:pPr>
      <w:bookmarkEnd w:id="10"/>
      <w:r>
        <w:rPr>
          <w:rFonts w:ascii="Amiri" w:hAnsi="Amiri" w:eastAsia="Amiri" w:cs="Amiri"/>
          <w:color w:val="111111"/>
          <w:sz w:val="28"/>
          <w:sz w:val="28"/>
          <w:szCs w:val="28"/>
          <w:rtl w:val="true"/>
          <w:lang w:bidi="ar-SA"/>
        </w:rPr>
        <w:t>يعوقني عن البسط في أمثالها و إن أتيت في بعض أبحاثي بها أو بأضعافها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كفاني مئونة الخوض في جملة منها من سبقني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جزاهم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المقصود التنبيه على فوائد مخصوصة مهمّة في نظري، كعدم وجود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اللفظين في شي‌ء من طرق الخاصّة و العامّة و عدم ثبوت صدور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حديث الشفعة و ما تضمّن النهي عن فضل الماء لم يكونا حال صدورهما مذيّلين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الجمع بينهما و بين هذا الذيل إنّما هو من الراوي، فقد جمع بين شيئين صادرين في وقتين و موردين، و أنّ المدرك في جملة من 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كالغبن و العيب و تبعّض الصفقة و التدليس و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اشتهر،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تخصيص كثير فكيف بالأكثر و أشباهها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نذكر هذه الفوائد في ضمن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أرجو من الإخوان الإغماض و الانصاف، فإنّهما من أشرف الأوصاف و أوصاف الأشراف</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3304217_3650668749"/>
      <w:bookmarkStart w:id="12" w:name="_Toc4"/>
      <w:bookmarkEnd w:id="11"/>
      <w:r>
        <w:rPr>
          <w:rtl w:val="true"/>
        </w:rPr>
        <w:t xml:space="preserve">الفصل الأول </w:t>
      </w:r>
      <w:r>
        <w:rPr>
          <w:rtl w:val="true"/>
        </w:rPr>
        <w:t>[</w:t>
      </w:r>
      <w:r>
        <w:rPr>
          <w:rtl w:val="true"/>
        </w:rPr>
        <w:t>في بيان مأخذ القاعدة</w:t>
      </w:r>
      <w:r>
        <w:rPr>
          <w:rtl w:val="true"/>
        </w:rPr>
        <w:t>]</w:t>
      </w:r>
      <w:bookmarkEnd w:id="12"/>
    </w:p>
    <w:p>
      <w:pPr>
        <w:pStyle w:val="BookText"/>
        <w:rPr/>
      </w:pPr>
      <w:r>
        <w:rPr>
          <w:rFonts w:ascii="Amiri" w:hAnsi="Amiri" w:eastAsia="Amiri" w:cs="Amiri"/>
          <w:color w:val="111111"/>
          <w:sz w:val="28"/>
          <w:sz w:val="28"/>
          <w:szCs w:val="28"/>
          <w:rtl w:val="true"/>
          <w:lang w:bidi="ar-SA"/>
        </w:rPr>
        <w:t>هذه القاعدة و إن كان قد يستقل بحكمها العقل القاطع في بعض صورها، إلّا أنّ الأصل فيها عند القوم هو الحديث النبويّ المشهور بين محدّثي الشيعة و السنّة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في طرقنا صدوره عنه صلّى اللّه عليه و آله بحسب ظاهر ما وصل إلينا من الروايات في ثلاثة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 فضل الماء ليمنع فضل الكلاء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وجدت في رواياتنا نقله عنه صلّى اللّه عليه و آله في خبرين آخرين غير هذه الثلاثة المعروفة المرويّة في الكتب الأربعة، كلاهما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دعائهم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يظهر منهما و لو بأدنى ظهور صدوره عنه في غير المواضع الثلاثة المتقدمة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أبي عبد اللّه عليه السّلام أنّه سئل عن جدار الرجل و هو سترة</w:t>
      </w:r>
      <w:bookmarkStart w:id="13" w:name="pg1915_24594"/>
    </w:p>
    <w:p>
      <w:pPr>
        <w:pStyle w:val="BookText"/>
        <w:rPr/>
      </w:pPr>
      <w:bookmarkEnd w:id="13"/>
      <w:r>
        <w:rPr>
          <w:rFonts w:ascii="Amiri" w:hAnsi="Amiri" w:eastAsia="Amiri" w:cs="Amiri"/>
          <w:color w:val="111111"/>
          <w:sz w:val="28"/>
          <w:sz w:val="28"/>
          <w:szCs w:val="28"/>
          <w:rtl w:val="true"/>
          <w:lang w:bidi="ar-SA"/>
        </w:rPr>
        <w:t>بينه و بين جاره سقط عنه فامتنع من بنائه؟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يجبر على ذلك، إلّا أن يكون وجب ذلك لصاحب الدار الأخرى بحقّ أو بشرط في أصل الملك، و لكن يقال لصاحب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 على نفسك في حقّك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الجدار لم يسقط و لكنّه هدمه أو أراد هدمه إضرارا بجاره لغير حاجة منه إلى هدمه؟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يترك، و ذلك انّ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هدمه كلّف أن يبنيه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أبي عبد اللّه عليه السّلام عن أبيه، عن آبائه، عن أمير المؤمنين عليه السّلام 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إنّه و إن كان من المحتمل فيهما نقل ما صدر عنه ابتداء من غير سبق قضيّة، لكن يحتمل احتمالا مساويا نقل ما صدر عنه صلّى اللّه عليه و آله في ضمن قضيّة سابقه أو لاحقة، كما هو الشائع الذائع في الجملة في نقل الأئمّة عليهم السّلام عنه صلّى اللّه عليه و آله ما صدر عنه في ضمن قضية أو جوابا عن سؤال على وجه الاستقلال من غير نقل القضية و السؤال كما لا يخفى على من له خبرة بالروايات و الإلمام بها</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3304219_3650668749"/>
      <w:bookmarkStart w:id="15" w:name="_Toc5"/>
      <w:bookmarkEnd w:id="14"/>
      <w:r>
        <w:rPr>
          <w:rtl w:val="true"/>
        </w:rPr>
        <w:t xml:space="preserve">- </w:t>
      </w:r>
      <w:r>
        <w:rPr>
          <w:rtl w:val="true"/>
        </w:rPr>
        <w:t>الثاني</w:t>
      </w:r>
      <w:r>
        <w:rPr>
          <w:rtl w:val="true"/>
        </w:rPr>
        <w:t>- [</w:t>
      </w:r>
      <w:r>
        <w:rPr>
          <w:rtl w:val="true"/>
        </w:rPr>
        <w:t xml:space="preserve">أنّ قضية </w:t>
      </w:r>
      <w:r>
        <w:rPr>
          <w:rtl w:val="true"/>
        </w:rPr>
        <w:t>«</w:t>
      </w:r>
      <w:r>
        <w:rPr>
          <w:rtl w:val="true"/>
        </w:rPr>
        <w:t>سمرة</w:t>
      </w:r>
      <w:r>
        <w:rPr>
          <w:rtl w:val="true"/>
        </w:rPr>
        <w:t xml:space="preserve">» </w:t>
      </w:r>
      <w:r>
        <w:rPr>
          <w:rtl w:val="true"/>
        </w:rPr>
        <w:t>قضية واحدة</w:t>
      </w:r>
      <w:r>
        <w:rPr>
          <w:rtl w:val="true"/>
        </w:rPr>
        <w:t>]</w:t>
      </w:r>
      <w:bookmarkEnd w:id="15"/>
    </w:p>
    <w:p>
      <w:pPr>
        <w:pStyle w:val="BookText"/>
        <w:rPr/>
      </w:pPr>
      <w:r>
        <w:rPr>
          <w:rFonts w:ascii="Amiri" w:hAnsi="Amiri" w:eastAsia="Amiri" w:cs="Amiri"/>
          <w:color w:val="111111"/>
          <w:sz w:val="28"/>
          <w:sz w:val="28"/>
          <w:szCs w:val="28"/>
          <w:rtl w:val="true"/>
          <w:lang w:bidi="ar-SA"/>
        </w:rPr>
        <w:t>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اتفق منه فيها و ما وقع له من السؤال و الجواب مع النبيّ صلّى اللّه عليه و آله قضية واحدة، و إن اختلف نقلها في رواياتنا، حيث إنّها وصلت إلينا بتوسّط الكافي و الفقيه و التهذيب بثلاثة أسانيد و ثلاثة متون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الصيقل عن الحذاء من غير ذكر هذين اللفظين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أصلا و الاقتصار على قول الرسول صلّى اللّه عليه و آله لسمرة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يا سمرة إلّا مضارّا، اذهب يا فلان فاقلعها و اضرب بها وجهه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الكافي و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بكير، عن زرارة، مع تضمّن اللفظين فقط و أنّه قال رسول اللّه صلّى اللّه عليه و آله للأنصاري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فاقلعها و ارم بها إليه فإنّه</w:t>
      </w:r>
      <w:bookmarkStart w:id="16" w:name="pg1915_24596"/>
    </w:p>
    <w:p>
      <w:pPr>
        <w:pStyle w:val="BookText"/>
        <w:rPr/>
      </w:pPr>
      <w:bookmarkEnd w:id="16"/>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مسكان، عن زرارة، انّ رسول اللّه صلّى اللّه عليه و آله قال لسمرة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مضارّ و لا ضرر و لا ضرار على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القاعدة المطّردة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الزيادة إذا ثبتت في طريق قدمت على النقيصة و حكم بوجودها في الواقع و سقوطها عن رواية من روى بدونها و أنّ السقوط إنّما وقع نسيانا أو اختصارا أو توهّما أنّه لا فرق بين وجودها و عدمها إلّا التأكيد، أو غير ذلك من وجوه ما يعتذر للنقص في قضية شخصية ثبت في طريق آخر مع الزيادة، فينتج ما ذكر أنّ الثابت 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 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هما مجرّدين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جهة هذه القاعدة المطّردة حكم الكلّ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رواية الفقيه بسنده الذي هو صحيح أو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ستعرف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الصيقل عن الحذاء خالية عن نقل هذين اللفظين بالمرّة كما عرفت، فليكن على ذكر منك</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3304221_3650668749"/>
      <w:bookmarkStart w:id="18" w:name="_Toc6"/>
      <w:bookmarkEnd w:id="17"/>
      <w:r>
        <w:rPr>
          <w:rtl w:val="true"/>
        </w:rPr>
        <w:t xml:space="preserve">- </w:t>
      </w:r>
      <w:r>
        <w:rPr>
          <w:rtl w:val="true"/>
        </w:rPr>
        <w:t>الثالث</w:t>
      </w:r>
      <w:r>
        <w:rPr>
          <w:rtl w:val="true"/>
        </w:rPr>
        <w:t xml:space="preserve">- </w:t>
      </w:r>
      <w:r>
        <w:rPr>
          <w:rtl w:val="true"/>
        </w:rPr>
        <w:t>إنّ الثابت في روايات العامّة هو قوله</w:t>
      </w:r>
      <w:r>
        <w:rPr>
          <w:rtl w:val="true"/>
        </w:rPr>
        <w:t>: «</w:t>
      </w:r>
      <w:r>
        <w:rPr>
          <w:rtl w:val="true"/>
        </w:rPr>
        <w:t>لا ضرر و لا ضرار</w:t>
      </w:r>
      <w:r>
        <w:rPr>
          <w:rtl w:val="true"/>
        </w:rPr>
        <w:t>»</w:t>
      </w:r>
      <w:bookmarkEnd w:id="18"/>
    </w:p>
    <w:p>
      <w:pPr>
        <w:pStyle w:val="BookText"/>
        <w:rPr/>
      </w:pPr>
      <w:r>
        <w:rPr>
          <w:rFonts w:ascii="Amiri" w:hAnsi="Amiri" w:eastAsia="Amiri" w:cs="Amiri"/>
          <w:color w:val="111111"/>
          <w:sz w:val="28"/>
          <w:sz w:val="28"/>
          <w:szCs w:val="28"/>
          <w:rtl w:val="true"/>
          <w:lang w:bidi="ar-SA"/>
        </w:rPr>
        <w:t>من غير تعقيب قوله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تفحّصت في كتبهم و تتبّعت في صحاحهم و مسانيدهم و معاجمهم و غيرها فحصا أكيدا فلم أجد روايته في طرقهم، إلّا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رويا من غير هذه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أدري من أين جاء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المقام من مصاديق القاعدة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تقدم الزيادة على النقيصة و الحكم بوجودها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فيما إذا ثبتت الزيادة بطريق معتبر، لا في غيره مما لم يثبت أو ثبت خلافها أو أرسلها واحد أو اثنان، فلا يمكن الاحتجاج بمثل هذه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لو لم يدّع الجزم بخطائها فغاية ما فيه الإرسال ممّن لا يعلم حال مراسيله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حكم ديني و فرع فقهي، و ناهيك في المقام أنّ علّامتهم</w:t>
      </w:r>
      <w:bookmarkStart w:id="19" w:name="pg1915_24598"/>
    </w:p>
    <w:p>
      <w:pPr>
        <w:pStyle w:val="BookText"/>
        <w:rPr/>
      </w:pPr>
      <w:bookmarkEnd w:id="19"/>
      <w:r>
        <w:rPr>
          <w:rFonts w:ascii="Amiri" w:hAnsi="Amiri" w:eastAsia="Amiri" w:cs="Amiri"/>
          <w:color w:val="111111"/>
          <w:sz w:val="28"/>
          <w:sz w:val="28"/>
          <w:szCs w:val="28"/>
          <w:rtl w:val="true"/>
          <w:lang w:bidi="ar-SA"/>
        </w:rPr>
        <w:t xml:space="preserve">المتبحّر الماهر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تجاوزت تصانيفه عن خمسمائة و يعدّونه مجدّد المأة التاسعة،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بلغ أحد درجة الاجتهاد بعد الأئمّة الأربعة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و جمع فيه جميع كتب الحديث من الصحاح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كصحيحي البخاري و مسلم و صحيح الترمذي، و سنن أبي داود، و سنن النسائي، و صحيح ابن ماجة القزويني، و موطّإ مالك، و مسند أحمد بن حنبل، و صحيح ابن خزيمة، و صحيح ابن عوانة، و مستدرك الحاكم، و منتقى ابن الجارود، و صحيح ابن ميان، و صحيح الطبراني، و سنن سعيد بن منصور و ابن أبي شيبة، و جامع عبد الرزاق، و مسند أبي يعلى، و سنن الدار قطني، و المختارة للضياء المقدسي، و شعب الإيمان البيهقي، و الكامل لابن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كتب كثيرة لا نطيل بنقلها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ينقل في هذا الكتاب إلّا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 ذكر رواية أحمد في مسنده و ابن ماجة 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كتب أحاديث أهل السنّة تريها خالية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هذه الزيادة حتى نقدّمها على النقيصة و نستشهد بها على معنى الحديث و نستعين بها في بعض المقاصد و الفروع؟ فما اشتهر في الكتب و تداولوه في الاستشهاد بها ليس على ما ينبغي</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أعجب من الكلّ ما رأيته في كلام بعض المعاصرين من دعوى الاستفاضة مع هذا القيد و إسناده إلى المحقّقين دعوى تواتر هذا الحديث مع هذه الزيادة</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3304223_3650668749"/>
      <w:bookmarkStart w:id="21" w:name="_Toc7"/>
      <w:bookmarkEnd w:id="20"/>
      <w:r>
        <w:rPr>
          <w:rtl w:val="true"/>
        </w:rPr>
        <w:t xml:space="preserve">- </w:t>
      </w:r>
      <w:r>
        <w:rPr>
          <w:rtl w:val="true"/>
        </w:rPr>
        <w:t>الرابع</w:t>
      </w:r>
      <w:r>
        <w:rPr>
          <w:rtl w:val="true"/>
        </w:rPr>
        <w:t xml:space="preserve">- </w:t>
      </w:r>
      <w:r>
        <w:rPr>
          <w:rtl w:val="true"/>
        </w:rPr>
        <w:t>إنّ الرواية الناهية عن منع فضل الماء من الروايات المشهورة</w:t>
      </w:r>
      <w:bookmarkEnd w:id="21"/>
    </w:p>
    <w:p>
      <w:pPr>
        <w:pStyle w:val="Heading3"/>
        <w:numPr>
          <w:ilvl w:val="2"/>
          <w:numId w:val="1"/>
        </w:numPr>
        <w:rPr/>
      </w:pPr>
      <w:bookmarkStart w:id="22" w:name="__RefHeading___Toc3304225_3650668749"/>
      <w:bookmarkStart w:id="23" w:name="_Toc8"/>
      <w:bookmarkEnd w:id="22"/>
      <w:r>
        <w:rPr>
          <w:rtl w:val="true"/>
        </w:rPr>
        <w:t>اشارة</w:t>
      </w:r>
      <w:bookmarkEnd w:id="23"/>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رواها الفريقان في كتب الحديث و الفقه و تكلّموا فيها و في معناها و الفروع المستنبطة منها</w:t>
      </w:r>
      <w:r>
        <w:rPr>
          <w:rFonts w:eastAsia="Amiri" w:cs="Amiri" w:ascii="Amiri" w:hAnsi="Amiri"/>
          <w:color w:val="111111"/>
          <w:sz w:val="28"/>
          <w:szCs w:val="28"/>
          <w:rtl w:val="true"/>
          <w:lang w:bidi="ar-SA"/>
        </w:rPr>
        <w:t>.</w:t>
      </w:r>
      <w:bookmarkStart w:id="24" w:name="pg1915_24600"/>
    </w:p>
    <w:p>
      <w:pPr>
        <w:pStyle w:val="Heading3"/>
        <w:numPr>
          <w:ilvl w:val="2"/>
          <w:numId w:val="1"/>
        </w:numPr>
        <w:rPr/>
      </w:pPr>
      <w:bookmarkStart w:id="25" w:name="__RefHeading___Toc3304227_3650668749"/>
      <w:bookmarkStart w:id="26" w:name="_Toc9"/>
      <w:bookmarkEnd w:id="24"/>
      <w:bookmarkEnd w:id="25"/>
      <w:r>
        <w:rPr>
          <w:rtl w:val="true"/>
        </w:rPr>
        <w:t>فمن طرقنا</w:t>
      </w:r>
      <w:r>
        <w:rPr>
          <w:rtl w:val="true"/>
        </w:rPr>
        <w:t>:</w:t>
      </w:r>
      <w:bookmarkEnd w:id="26"/>
    </w:p>
    <w:p>
      <w:pPr>
        <w:pStyle w:val="BookText"/>
        <w:rPr/>
      </w:pPr>
      <w:r>
        <w:rPr>
          <w:rFonts w:ascii="Amiri" w:hAnsi="Amiri" w:eastAsia="Amiri" w:cs="Amiri"/>
          <w:color w:val="111111"/>
          <w:sz w:val="28"/>
          <w:sz w:val="28"/>
          <w:szCs w:val="28"/>
          <w:rtl w:val="true"/>
          <w:lang w:bidi="ar-SA"/>
        </w:rPr>
        <w:t>ما في الكافي عن محمّد بن يحيى، عن محمّد بن الحسين، عن محمّد بن عبد اللّه بن هلال، عن عقبة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رسول اللّه صلّى اللّه عليه و آله بين أهل المدينة في مشارب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يمنع نقع البئر، و قضى بين أهل البادية أنّه لا يمنع فضل ماء ليمنع فضل كلاء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 قضى رسول اللّه صلّى اللّه عليه و آله في أهل البوادي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يمنعوا فضل ماء كي لا يمنعوا فضل كلاء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نهاية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يمنع نقع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فضل مائها، لانّه ينقع به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يروى، و شرب حتى 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النقع الماء الناقع، و هو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يباع نقع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مشرب بالشين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أهل المدينة يشربون نخيلهم بالآبار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النبات رطبه و يابسه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في تفسير الحديث بين الفقهاء و المحدّثين من الفريقين أنّه يراد به ما إذا كان حول البئر كلاء و ليس عنده ماء غيره و لا يمكن أصحاب المواشي رعيه إلّا إذا تمكّنوا من سقي بهائمهم من تلك البئر لئلّا يتضرروا بالعطش بعد الرعي، فيستلزم منعهم من الماء منعهم من الرعي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البذل و عدم المنع يختصّ بمن له ماشية و ليتحقّق </w:t>
      </w:r>
      <w:r>
        <w:rPr>
          <w:rStyle w:val="FootnoteAnchor"/>
          <w:rtl w:val="true"/>
        </w:rPr>
        <w:footnoteReference w:id="3"/>
      </w:r>
      <w:r>
        <w:rPr>
          <w:rFonts w:ascii="Amiri" w:hAnsi="Amiri" w:eastAsia="Amiri" w:cs="Amiri"/>
          <w:color w:val="111111"/>
          <w:sz w:val="28"/>
          <w:sz w:val="28"/>
          <w:szCs w:val="28"/>
          <w:rtl w:val="true"/>
          <w:lang w:bidi="ar-SA"/>
        </w:rPr>
        <w:t>به الرعاة إذا احتاجوا إلى الشرب، لأنّهم إذا امتنعوا عن الشرب امتنعوا عن الرعي هناك</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 الفريقين خلاف عظيم في فروع المسألة عند تعرّضهم لها في كتاب إحياء 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النهي عن المنع للتحريم أو التنزيه؟ و أنّ النهي يختصّ بالماشية أو يعمّ مثل سقي الزرع؟ و أنّه في الماء المملوك و المباح و ما كان الحافر أولى به جميعا أو يختصّ بالماء الغير المملوك؟ و أنّه يجب البذل مجّانا أو بعوض؟ كالطعام في المخمصة</w:t>
      </w:r>
      <w:r>
        <w:rPr>
          <w:rFonts w:eastAsia="Amiri" w:cs="Amiri" w:ascii="Amiri" w:hAnsi="Amiri"/>
          <w:color w:val="111111"/>
          <w:sz w:val="28"/>
          <w:szCs w:val="28"/>
          <w:rtl w:val="true"/>
          <w:lang w:bidi="ar-SA"/>
        </w:rPr>
        <w:t>.</w:t>
      </w:r>
      <w:bookmarkStart w:id="27" w:name="pg1915_24602"/>
    </w:p>
    <w:p>
      <w:pPr>
        <w:pStyle w:val="BookText"/>
        <w:rPr/>
      </w:pPr>
      <w:bookmarkEnd w:id="27"/>
      <w:r>
        <w:rPr>
          <w:rFonts w:ascii="Amiri" w:hAnsi="Amiri" w:eastAsia="Amiri" w:cs="Amiri"/>
          <w:color w:val="111111"/>
          <w:sz w:val="28"/>
          <w:sz w:val="28"/>
          <w:szCs w:val="28"/>
          <w:rtl w:val="true"/>
          <w:lang w:bidi="ar-SA"/>
        </w:rPr>
        <w:t>قال شيخ الطائفة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موضع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يملك البئر، فإنّه أحقّ بمائها بقدر حاجته لشربه و شرب ماشيته و سقي زرعه، فإذا فضل بعد ذلك شي‌ء وجب عليه بذله بلا عوض لمن احتاج إليه لشربه و شرب ماشيته من السابلة و غيرهم، و ليس له منع الماء الفاضل من حاجته حتى لا يتمكن غيره من رعي الكلاء الذي يقرب ذلك الماء، و إنّما يجب عليه ذلك لشرب المحتاج إليه و شرب ماشيته، فأمّا لسقي زرعه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عليه ذلك، لكنّه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ذلك لشرب ماشيته و سقي زرعه و 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بذله بلا عوض لشرب الماشية و لسقي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بالعوض، فأمّا بلا عوض فلا، و في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الماء المباح يملك بالحيازة، سواء حازه في إناء أو ساقه إلى ملكه في نهر أو قناة أو غلب عليه الزيادة فدخل إلى أرضه، و هو أحقّ بماء البئر التي ملك المتصرف فيها بالاحياء، و إذا كانت البئر في البادية فعليه بذل الفاضل لغيره لنفسه و ماشيته، ليتمكّن من رعي ما جاور البئر من كلاء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عليه بذله لزرعه و لا بذل آلة الاستسقاء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حفر البئر و لم يقصد التملّك و لا غيره، فالأقوى اختصاصه به، لأنّه قصد بالحفر أخذ الماء، و هنا ليس له منع المحتاج عن الفاضل عنه لا في شرب الماشية و لا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الكلمات</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3304229_3650668749"/>
      <w:bookmarkStart w:id="29" w:name="_Toc10"/>
      <w:bookmarkEnd w:id="28"/>
      <w:r>
        <w:rPr>
          <w:rtl w:val="true"/>
        </w:rPr>
        <w:t>و أما الحديث من طرق العامة</w:t>
      </w:r>
      <w:r>
        <w:rPr>
          <w:rtl w:val="true"/>
        </w:rPr>
        <w:t>:</w:t>
      </w:r>
      <w:bookmarkEnd w:id="29"/>
    </w:p>
    <w:p>
      <w:pPr>
        <w:pStyle w:val="BookText"/>
        <w:rPr/>
      </w:pPr>
      <w:r>
        <w:rPr>
          <w:rFonts w:ascii="Amiri" w:hAnsi="Amiri" w:eastAsia="Amiri" w:cs="Amiri"/>
          <w:color w:val="111111"/>
          <w:sz w:val="28"/>
          <w:sz w:val="28"/>
          <w:szCs w:val="28"/>
          <w:rtl w:val="true"/>
          <w:lang w:bidi="ar-SA"/>
        </w:rPr>
        <w:t>فقد روى كثير من محدّثيهم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 مسلم،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فضل الماء ليمنع به الكلاء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 آخر عنه صلّى اللّه عليه و آله لا تمنعوا من فضل الماء لتمنعوا به الكلاء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 عند مسلم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يباع فضل الماء ليباع به الكلاء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 عند البخاري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تمنعوا فضل الماء لتمنعوا به فضل الكلاء</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 عند مسلم و غيره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w:t>
      </w:r>
      <w:bookmarkStart w:id="30" w:name="pg1915_24604"/>
    </w:p>
    <w:p>
      <w:pPr>
        <w:pStyle w:val="BookText"/>
        <w:rPr/>
      </w:pPr>
      <w:bookmarkEnd w:id="30"/>
      <w:r>
        <w:rPr>
          <w:rFonts w:ascii="Amiri" w:hAnsi="Amiri" w:eastAsia="Amiri" w:cs="Amiri"/>
          <w:color w:val="111111"/>
          <w:sz w:val="28"/>
          <w:sz w:val="28"/>
          <w:szCs w:val="28"/>
          <w:rtl w:val="true"/>
          <w:lang w:bidi="ar-SA"/>
        </w:rPr>
        <w:t>بيع فضل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البخاري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 ثلاثة لا يكلّمهم اللّه يوم القيامة و لا ينظر إليهم، و عدّ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منع فضل ماء،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أمنعك فضلي كما منعت فضل ما لم تعمل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عندهم حمل النواهي على الكراهة دون التحريم، و هو خلاف صريح بعضها و ظاهر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المعروف عندهم و عند من عمل منّا بها تخصيص النهي بالمنع عن الماشية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 كلام المبسوط و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شرح العسقلاني على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نقل عن الجمهور التخصيص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عن مالك بن أنس إلحاقه الزرع بالماشية، عملا بمثل ما في صحيح مسلم من النهي عن بيع فضل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مطلق فيحمل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لو لم يكن هناك كلاء يرعى فلا منع من المنع، لانتفاء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فينقدح إشكال في المقام بأنه إمّا أن يراد من الماء في هذه الأحاديث خصوص الماء المباح الذي لم يملكه المتولّي عليه، أو للأعمّ منه و من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لهذا التقييد المعروف عند الفريقين من اختصاص النهي بالمنع عن شرب الماشية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لتعليله بالضرر و 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طريقنا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منع الإنسان ماله و ملكه ليس إضرارا به قطعا، غايته أنّه تفويت نفع عنه أ ترى أنّه لو لم يبذل دابّته أو حبله أو حزامه أو منجله لغيره فلم يتمكّن من الاحتطاب و الاحتشاش أنّه أضرّ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فتحقيق فقه الحديث يحتاج إلى تنقيح أزيد، و حيث إنّ المقام تطفّلي لم نتعرّض لأزيد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في بعض النسخ من عطف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تصحيف قطعا، و النسخ الصحيحة المعتمدة من الكافي متفقة على الواو، فليكن على ذكر</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3304231_3650668749"/>
      <w:bookmarkStart w:id="32" w:name="_Toc11"/>
      <w:bookmarkEnd w:id="31"/>
      <w:r>
        <w:rPr>
          <w:rtl w:val="true"/>
        </w:rPr>
        <w:t xml:space="preserve">- </w:t>
      </w:r>
      <w:r>
        <w:rPr>
          <w:rtl w:val="true"/>
        </w:rPr>
        <w:t>الخامس</w:t>
      </w:r>
      <w:r>
        <w:rPr>
          <w:rtl w:val="true"/>
        </w:rPr>
        <w:t>- [</w:t>
      </w:r>
      <w:r>
        <w:rPr>
          <w:rtl w:val="true"/>
        </w:rPr>
        <w:t>ان الضرر المترقب في الشفعة لا ينشأ من نفس المعاملة</w:t>
      </w:r>
      <w:r>
        <w:rPr>
          <w:rtl w:val="true"/>
        </w:rPr>
        <w:t>]</w:t>
      </w:r>
      <w:bookmarkEnd w:id="3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الضرر المترتّب على المعاملة ينشأ تارة من بعض أركانها، أو الشروط</w:t>
      </w:r>
      <w:bookmarkStart w:id="33" w:name="pg1915_24606"/>
    </w:p>
    <w:p>
      <w:pPr>
        <w:pStyle w:val="BookText"/>
        <w:rPr/>
      </w:pPr>
      <w:bookmarkEnd w:id="33"/>
      <w:r>
        <w:rPr>
          <w:rFonts w:ascii="Amiri" w:hAnsi="Amiri" w:eastAsia="Amiri" w:cs="Amiri"/>
          <w:color w:val="111111"/>
          <w:sz w:val="28"/>
          <w:sz w:val="28"/>
          <w:szCs w:val="28"/>
          <w:rtl w:val="true"/>
          <w:lang w:bidi="ar-SA"/>
        </w:rPr>
        <w:t>المأخوذة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كالمعاملة الغبنيّة و المدلّس فيها و التي تبعّضت الصفقة فيها و أشباهها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تارة ينشأ من أمر خارج ربّما يتعقّب المعاملة و يترتّب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باع داره المحبوبة عند أولاده فأدّى إلى مرضهم أو مشاجرتهم أو عقوقهم أو إيذائهم له، أو باع داره لشرير يؤذي الجار اللصيق و العابرين في الطريق، أو اشترى ما لا حاجة له إليه بزعم الحاجة و قد كان عنده أو سبقه ولده أو غلامه باشترائه له، أو باع ما يستلزم عادة فقره أو تعرّض أعدائه له بأنواع الهتك و الإيذاء، أو زوّج ابنته التي يريدها ابن عمّها من أجنبيّ يستلزم عادة مرض ابن العمّ أو إضراره أو قتله لواحد أو مشاجرة عظيمة بين العشيرة، أو وقفه أملاكه التي يؤدّي إلى إضرار أولاده أو أقاربه أو تسلّط أعدائه عليه، و أشباهها و أمثالها ممّا لا حصر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يترتّب عليها لا نفي الصحة و لا نفي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الضرر الحاصل المترقّب في الشفعة من قبيل هذه الأمثلة، فإنّ نفس بيع الشريك لأجنبيّ بقيمة معتدلة لا ضرر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الضرر المترقّب فيه أنّه ربّما يكون المشتري ممّن يضرّ الشريك الآخر و يؤذيه، و هو ليس أمرا دائميا، بل و لا غالبيا، فربّما كان الأجنبيّ المشتري ممّا يفيد الآخر فوائد عظيمة و منافع جسيمة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هذا المعنى المترقّب كما يتفق بين الشريكين فكذلك في الشركاء، و كما يترقّب في الشريك فهو مترقب في الجار مع عدم ثبوت الشفعة في زيادة الشركاء على الاثنين و في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بقرينة تذييل حديث الشفعة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يتبيّن أنّ مثل هذا الضرر مشمول للحديث مراد منه، فإنّ الموارد الخارجة عن عموم الضرر التي أشرنا إلى بعضها ليس خروجها مستندا إلى نصّ توقيفيّ يقتصر عليه و يتمسّك به فيما عداه، و من هنا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 الضرر لا يعمل به في غير موارد عمل الأصحاب و يأتي الكلام فيه آنفا</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3304233_3650668749"/>
      <w:bookmarkStart w:id="35" w:name="_Toc12"/>
      <w:bookmarkEnd w:id="34"/>
      <w:r>
        <w:rPr>
          <w:rtl w:val="true"/>
        </w:rPr>
        <w:t xml:space="preserve">- </w:t>
      </w:r>
      <w:r>
        <w:rPr>
          <w:rtl w:val="true"/>
        </w:rPr>
        <w:t>السادس</w:t>
      </w:r>
      <w:r>
        <w:rPr>
          <w:rtl w:val="true"/>
        </w:rPr>
        <w:t xml:space="preserve">- </w:t>
      </w:r>
      <w:r>
        <w:rPr>
          <w:rtl w:val="true"/>
        </w:rPr>
        <w:t>من الذائع الشائع الدائر على الألسن</w:t>
      </w:r>
      <w:bookmarkEnd w:id="3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جملة من العمومات لا يعمل بها في</w:t>
      </w:r>
      <w:bookmarkStart w:id="36" w:name="pg1915_24608"/>
    </w:p>
    <w:p>
      <w:pPr>
        <w:pStyle w:val="BookText"/>
        <w:rPr/>
      </w:pPr>
      <w:bookmarkEnd w:id="36"/>
      <w:r>
        <w:rPr>
          <w:rFonts w:ascii="Amiri" w:hAnsi="Amiri" w:eastAsia="Amiri" w:cs="Amiri"/>
          <w:color w:val="111111"/>
          <w:sz w:val="28"/>
          <w:sz w:val="28"/>
          <w:szCs w:val="28"/>
          <w:rtl w:val="true"/>
          <w:lang w:bidi="ar-SA"/>
        </w:rPr>
        <w:t>غير مورد عمل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كعموم الضرر و الحرج، و عموم المؤمنون عند شروطهم و عموم القرعة، و قاعدة عدم سقوط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 تخصيصات كثيرة عليها، فيقتصر في التمسّك بها على مورد عمل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 من أنّا نعلم أنّ حديث الضرر مثلا كغيره وصل إليهم كما وصل إلينا و لم يكن في زمانهم مقترنا بقرينة ظهرت لهم و خفيت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كثرة التخصيص بهذا الحدّ مستبشعة مستهجنة غير متعارفة في العمومات، فيكشف من أنّ المراد منها معنى لا يؤدّي إليها، فيوجب الإجمال في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التخصيصات ممّا يحتمل كون جميعها بعنوان واحد فلا يستلزم استهجانا، يندفع بأنّ هذا لو تمّ فإنّما يتمّ فيما لو كان أفراد العامّ هي العناوين و خرج عنوان واحد كثير الأفراد منها، لا ما إذا كانت هي المصاديق للعامّ، كما في مقامنا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بخروج كثير من الأفراد يمنع من التمسّك بها، للعلم الإجمالي و عدم تعيين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كثرة التخصيص و إن قيل بجوازه، إلّا أنّه يوجب وهنا في ظهور العامّ في العموم و إرادة جميع الأفراد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يتّجه على الجميع أنّ عمل جماعة بمثل هذا العامّ ما لم يبلغ حدّ الحجّية لا يوجب رفع الاجمال و لا تعيين المورد و لا الظهور الفعلي في مثل ما عملوا، مضافا إلى أنّ الوهن الشخصي في الظهور لا يمنع من العمل عند المشهور، و لذا يعملون من غير نكير بعمومات الكتاب و السنّة، و إن فرض وجود ظنّ غير معتبر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الوهن الناشئ من كثرة التخصيص و ما نشأ من غيرها تحكّم لا يرجع إلى وجه متين</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3304235_3650668749"/>
      <w:bookmarkStart w:id="38" w:name="_Toc13"/>
      <w:bookmarkEnd w:id="37"/>
      <w:r>
        <w:rPr>
          <w:rtl w:val="true"/>
        </w:rPr>
        <w:t xml:space="preserve">- </w:t>
      </w:r>
      <w:r>
        <w:rPr>
          <w:rtl w:val="true"/>
        </w:rPr>
        <w:t>السابع</w:t>
      </w:r>
      <w:r>
        <w:rPr>
          <w:rtl w:val="true"/>
        </w:rPr>
        <w:t>- [</w:t>
      </w:r>
      <w:r>
        <w:rPr>
          <w:rtl w:val="true"/>
        </w:rPr>
        <w:t xml:space="preserve">إرادة النهي التكليفي من </w:t>
      </w:r>
      <w:r>
        <w:rPr>
          <w:rtl w:val="true"/>
        </w:rPr>
        <w:t>«</w:t>
      </w:r>
      <w:r>
        <w:rPr>
          <w:rtl w:val="true"/>
        </w:rPr>
        <w:t>حديث الضرر</w:t>
      </w:r>
      <w:r>
        <w:rPr>
          <w:rtl w:val="true"/>
        </w:rPr>
        <w:t>»]</w:t>
      </w:r>
      <w:bookmarkEnd w:id="3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الراجح في نظري القاصر إرادة النهي التكليفي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استظهر منه عند البحث عنه في أوقات مختلفة إرادة التحريم التكليفي فقط، إلّا أنّه يثبّطنى من الجزم به حديث الشفعة و حديث النهي عن منع فضل الماء، حيث إنّ اللفظ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لإرادة ما عدا الحكم الوضعي في حديث الشفعة و لا التحريم في النهي عن منع فضل الماء، بناء على ما اشتهر عند الفريقين من حمل النهي على التنزيه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أتشبّث ببعض الأمور في دفع الإشكال إلى أن استرحت في هذه الأواخر، و تبيّن عندي أنّ حديث الشفعة و الناهي، عن منع الفضل لم يكونا حال صدورهما من النبي صلّى اللّه عليه و آله مذيّلين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الجمع بينهما و بينه جمع من الراوي بين روايتين صادرتين عنه صلّى اللّه عليه و آله في وقتين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و إن كان دعوى عظيمة و أمرا يثقل تحمّله على كثير بن و يأبى عن تصديقه كثير من الناظرين، إلّا أنّه مجزوم به عندي، و إنّما أثبته في هذه الأوراق رجاء تصويب بعض الباحثين و ترك الاحتجاج به في المواضع المعروفة عند المتأخّرين و اندفاع جملة من الإشكالات التي نبّهنا عليها و لم 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التروّي و التأمّل التامّ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الجامع لأقضية رسول اللّه صلّى اللّه عليه و آله و ما قضى به في مواضع مختلفة و موارد متشتتة كان معروفا عند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طرقنا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فبرواية عقبة بن خالد عن الصادق عليه السّلام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طرق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عبادة بن صامت، فقد روى أحمد بن حنبل في في مسنده الكبير الجامع ثلاثين ألف عن عبادة بن 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قضاء رسول اللّه أنّ المعدن جبار، و البئر جبار، و العجماء جرحها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البهيمة من الأنعام و غيرها، و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الهدر الذي لا يغرم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قضى في الركاز الخمس، و قضى أنّ تمر النخل لمن أبّرها إلّا أن يشترط المبتاع، و قضى أنّ مال المملوك لمن باعه إلّا أن يشترط المبتاع، و قضى أنّ الولد للفراش و للعاهر الحجر، و قضى بالشفعة بين الشركاء في الأرضين و الدور، و قضى 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مالك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بميراثه عن امرأته التي قتلتها الأخرى، و قضى في الجنين المقتول بغرّة عبد أو 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فورثها بعلها و بنوها،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من امرأتيه كلتيهما ولد،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القاتلة المقضي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كيف أغرم من لا صاح و لا استهل و لا شرب و لا أكل فمثل ذلك يطل،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الكهان،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في الرحبة تكون بين الطريقين ثم يريد أهلها البنيان فيها فقضى أن يترك للطريق فيها سبع أذرع،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تلك الطريق تر البناء </w:t>
      </w:r>
      <w:r>
        <w:rPr>
          <w:rStyle w:val="FootnoteAnchor"/>
          <w:rtl w:val="true"/>
        </w:rPr>
        <w:footnoteReference w:id="4"/>
      </w:r>
      <w:r>
        <w:rPr>
          <w:rFonts w:ascii="Amiri" w:hAnsi="Amiri" w:eastAsia="Amiri" w:cs="Amiri"/>
          <w:color w:val="111111"/>
          <w:sz w:val="28"/>
          <w:sz w:val="28"/>
          <w:szCs w:val="28"/>
          <w:rtl w:val="true"/>
          <w:lang w:bidi="ar-SA"/>
        </w:rPr>
        <w:t xml:space="preserve">و قضى في النخلة أو النخلتين أو الثلاث فيختلفون في حقوق ذلك فقضى أنّ لكلّ نخلة من أولئك مبلغ جريدتها حيّز لها، و قضى في شرب النخل من السيل أنّ الأعلى يشرب قبل الأسفل و يترك الماء إلى الكعبين ثمّ يرسل الماء الأسفل الذي يليه فكذلك ينقضي حوائط أو يفنى الماء، و قضى أنّ المرأة لا تعطي من مالها شيئا إلّا بإذن زوجها، و قضى للجدّتين من الميراث بالسدس بينهما بالسواء، و قضى من أعتق شركا في مملوك فعليه جواز عتقه إن كان له مال، و قضى أن لا ضرر و لا ضرار و قضى أنّه ليس لعرق ظالم حق، و قضى بين أهل المدينة في النخل لا يمنع نقع بئر، و قضى بين أهل البادية </w:t>
      </w:r>
      <w:r>
        <w:rPr>
          <w:rStyle w:val="FootnoteAnchor"/>
          <w:rtl w:val="true"/>
        </w:rPr>
        <w:footnoteReference w:id="5"/>
      </w:r>
      <w:r>
        <w:rPr>
          <w:rFonts w:ascii="Amiri" w:hAnsi="Amiri" w:eastAsia="Amiri" w:cs="Amiri"/>
          <w:color w:val="111111"/>
          <w:sz w:val="28"/>
          <w:sz w:val="28"/>
          <w:szCs w:val="28"/>
          <w:rtl w:val="true"/>
          <w:lang w:bidi="ar-SA"/>
        </w:rPr>
        <w:t>أنّه لا يمنع فضل ماء ليمنع فضل الكلاء، و قضى في دية الكبرى المغلظة ثلاثين ابنة لبون و ثلاثين حقة و أربعين خلفة، و قضى في دية الصغرى ثلاثين ابنة لبون و ثلاثين حقة و عشرين ابنة مخاض و عشرين بني مخاض 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الفقرات كلّها أو جلّها مروية في طرقنا موزّعة على الأبواب، و غالبها 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بعضها برواية غيره، و جملة منها 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أعتقده أنّها كانت مجتمعة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كما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بن 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أئمّة الحديث فرّقوها على الأبواب</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عبد اللّه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عقبة بن خالد، عن</w:t>
      </w:r>
    </w:p>
    <w:p>
      <w:pPr>
        <w:pStyle w:val="BookText"/>
        <w:rPr/>
      </w:pPr>
      <w:r>
        <w:rPr>
          <w:rFonts w:ascii="Amiri" w:hAnsi="Amiri" w:eastAsia="Amiri" w:cs="Amiri"/>
          <w:color w:val="111111"/>
          <w:sz w:val="28"/>
          <w:sz w:val="28"/>
          <w:szCs w:val="28"/>
          <w:rtl w:val="true"/>
          <w:lang w:bidi="ar-SA"/>
        </w:rPr>
        <w:t>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قضاء رسول اللّه صلّى اللّه عليه و آله أنّ المعدن جبار، و البئر جبار، و العجماء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بهيمة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الهدر الذي لا يغرم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و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جبار، و العجماء جبار، و المعدن 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العجماء جبار، و البئر جبار، و المعدن جبار، و في الركاز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الجبار الذي لا دية فيه و لا 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و التهذيب، عن محمّد بن عبد اللّه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عقبة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رسول اللّه صلّى اللّه عليه و آله أنّ ثمر النخل للذي أبّرها، إلّا أن يشترط المبتاع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عبدا و له مال فالمال للبائع، إلّا أن يشترط المبتاع، أمر رسول اللّه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كثير من الروايات عن أبي عبد اللّه عليه السّلام أنّ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قال قضى رسول اللّه صلّى اللّه عليه و آله في جنين الهلالية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رميت بالحجر فألقت ما في بطنها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عليه غرّة عبد أو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فاستعدت على أعرابي قد أفزعها فألقت جنينا،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 و لم يصح و مثله يطل،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سجّاعة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غرّة و صيف عبد أو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أنّ رجلا جاء النبيّ و قد ضرب امرأة حبلى فأسقطت سقطا ميتا فأتى زوج المرأة فاستعدى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ما أكل و لا شرب و لا استهلّ و لا صاح و لا استبش،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سجّاعة، فقضى فيه رقبة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يتشاح عليه أهله فحدّه سبع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و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بن هلال، عن عقبة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قضى في هوائر النخل أن تكون النخل و النخيلات للرجل في حائط الآخر فيختلفون في حقوق ذلك، فقضى فيها أنّ لكلّ نخلة من أولئك من الأرض مبلغ جريدة من جرائدها حين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بن هلال، عن عقبة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رسول اللّه صلّى اللّه عليه و آله في شرب النخل بالسيل أنّ الأعلى يشرب قبل الأسفل و يترك من الماء إلى الكعبين ثم يسرّح الماء إلى الأسفل الذي يليه كذلك حتى تنقضي الحوائط و يفنى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عبد اللّه بن هلال، عن عقبة بن خالد، عن أبي عبد اللّه عليه السّلام قال قضى رسول اللّه صلّى اللّه عليه و آله بالشفعة بين الشركاء في الأرضين و المساكين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عبد اللّه بن هلال، عن عقبة بن خالد،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رسول اللّه صلّى اللّه عليه و آله بين أهل 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يمنع فضل ماء ليمنع به فضل كلاء،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أنّ ما في بعض النسخ من عطف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تصحيف، فإذا تبيّن هذه الجملة، فنقول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بما نقلنا مطابقة ما روي في طرقنا لما روي في طرق القوم من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زيادة و لا نقيصة، بل بعنوان تلك الألفاظ غالبا، إلّا الحديثين الأخيرين المرويّين عندنا من زيادة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المطابقة بين الفقرات ممّا يؤكّد الوثوق بأنّ الأخيرين أيضا كانا مطابقين لما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التذييل بحديث الضرر، و أنّ غرض الراوي أنّه صلّى اللّه عليه و آله قال كذا و قال كذا، لا أنّه كان متّصلا به و في ذيله ممّا يرجع إلى أنّه كان حديث الشفعة مذيّلا بحديث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الناهي عن منع فضل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أسقطهما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بن</w:t>
      </w:r>
    </w:p>
    <w:p>
      <w:pPr>
        <w:pStyle w:val="BookText"/>
        <w:rPr/>
      </w:pPr>
      <w:r>
        <w:rPr>
          <w:rFonts w:ascii="Amiri" w:hAnsi="Amiri" w:eastAsia="Amiri" w:cs="Amiri"/>
          <w:color w:val="111111"/>
          <w:sz w:val="28"/>
          <w:sz w:val="28"/>
          <w:szCs w:val="28"/>
          <w:rtl w:val="true"/>
          <w:lang w:bidi="ar-SA"/>
        </w:rPr>
        <w:t>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نقله و أنّه روى جميع الفقرات مطابقة للواقع إلّا الفقرتين من غير خصوصيّة فيهما و لا تصوّر نفع له أو ضرر عليه في النقل للذيل و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كلّه، فظهور كون هذا الذيل متّصلا بحديث الشفعة حال صدوره ليس ظهور لفظيّا وضعيّا لا يرفع اليد عنه إلّا بداع قويّ و ظهور أقوى، بل هو ظهور ضعيف يرتفع بالتأمّل فيما نقلناه، سيّما ما علم من استقراء رواياته من إتقانه و ضبطه و ما صرّحوا به أنّه كان من أجلّاء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الكشّي، عن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السابقين الذين رجعوا إلى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كحذيفة، و خزيمة بن ثابت، و ابن التيهان، و جابر بن عبد اللّه، و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ممن شهد العقبة الاولى و الثانية و شهد بدرا و أحدا و الخندق و المشاهد كلّها مع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فلا أشكّ في أن حديث الشفعة و الناهي عن منع الفضل لم يكونا مذيّلين بحديث الضرر، و أنّ الذي ثبت صدوره عنه منحصر 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غيري فهو بالخيار بعد مراعاة التأمّل و الانصاف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أريتك يا أخي ما ينزل و يعلو، فاختر لنفسك ما يجلو، و سيتّضح الثمرات و الفوائد المرتّبة على وجود هذا الذيل و عدمه إن شاء اللّه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طرقنا في قضية من حكم على </w:t>
      </w:r>
      <w:r>
        <w:rPr>
          <w:rStyle w:val="FootnoteAnchor"/>
          <w:rtl w:val="true"/>
        </w:rPr>
        <w:footnoteReference w:id="6"/>
      </w:r>
      <w:r>
        <w:rPr>
          <w:rFonts w:ascii="Amiri" w:hAnsi="Amiri" w:eastAsia="Amiri" w:cs="Amiri"/>
          <w:color w:val="111111"/>
          <w:sz w:val="28"/>
          <w:sz w:val="28"/>
          <w:szCs w:val="28"/>
          <w:rtl w:val="true"/>
          <w:lang w:bidi="ar-SA"/>
        </w:rPr>
        <w:t>النبيّ صلّى اللّه عليه و آله بغرة عبد أو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يهلّ و لم يصح و مثله يطل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داود بن فرقد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 و لا شرب و لا استهلّ و لا صاح و لا استبش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سلمان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Style w:val="FootnoteAnchor"/>
          <w:rtl w:val="true"/>
        </w:rPr>
        <w:footnoteReference w:id="7"/>
      </w:r>
      <w:r>
        <w:rPr>
          <w:rFonts w:ascii="Amiri" w:hAnsi="Amiri" w:eastAsia="Amiri" w:cs="Amiri"/>
          <w:color w:val="111111"/>
          <w:sz w:val="28"/>
          <w:sz w:val="28"/>
          <w:szCs w:val="28"/>
          <w:rtl w:val="true"/>
          <w:lang w:bidi="ar-SA"/>
        </w:rPr>
        <w:t>أنّ النبيّ صلّى اللّه عليه و آله قال له أنّه سجّاعة مع أنّه لم يصدر منه سجع حتّى يقول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سجّاعة، و الصحيح ما سمعته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كيف أغرم من</w:t>
      </w:r>
      <w:bookmarkStart w:id="39" w:name="pg1915_24620"/>
    </w:p>
    <w:p>
      <w:pPr>
        <w:pStyle w:val="BookText"/>
        <w:rPr/>
      </w:pPr>
      <w:bookmarkEnd w:id="39"/>
      <w:r>
        <w:rPr>
          <w:rFonts w:ascii="Amiri" w:hAnsi="Amiri" w:eastAsia="Amiri" w:cs="Amiri"/>
          <w:color w:val="111111"/>
          <w:sz w:val="28"/>
          <w:sz w:val="28"/>
          <w:szCs w:val="28"/>
          <w:rtl w:val="true"/>
          <w:lang w:bidi="ar-SA"/>
        </w:rPr>
        <w:t>لا شرب و لا أكل و لا صاح و لا استهلّ فمثل هذا يطل،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الكهّان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الكهّان من شأنه التسجيع، أو أنّه سجّاعة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طرقنا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الراوي من طريقنا نقل بالمعنى في موضع يجب نقله باللفظ حتّى يناسب جواب النبي صلّى اللّه عليه و آله و من هذا و أشباهه يعرف ضبط الراوي و إتقانه في النقل</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3304237_3650668749"/>
      <w:bookmarkStart w:id="41" w:name="_Toc14"/>
      <w:bookmarkEnd w:id="40"/>
      <w:r>
        <w:rPr>
          <w:rtl w:val="true"/>
        </w:rPr>
        <w:t xml:space="preserve">- </w:t>
      </w:r>
      <w:r>
        <w:rPr>
          <w:rtl w:val="true"/>
        </w:rPr>
        <w:t>الثامن</w:t>
      </w:r>
      <w:r>
        <w:rPr>
          <w:rtl w:val="true"/>
        </w:rPr>
        <w:t xml:space="preserve">- </w:t>
      </w:r>
      <w:r>
        <w:rPr>
          <w:rtl w:val="true"/>
        </w:rPr>
        <w:t xml:space="preserve">إنّ </w:t>
      </w:r>
      <w:r>
        <w:rPr>
          <w:rtl w:val="true"/>
        </w:rPr>
        <w:t>«</w:t>
      </w:r>
      <w:r>
        <w:rPr>
          <w:rtl w:val="true"/>
        </w:rPr>
        <w:t>حديث الضرر</w:t>
      </w:r>
      <w:r>
        <w:rPr>
          <w:rtl w:val="true"/>
        </w:rPr>
        <w:t xml:space="preserve">» </w:t>
      </w:r>
      <w:r>
        <w:rPr>
          <w:rtl w:val="true"/>
        </w:rPr>
        <w:t>محتمل عند القوم لمعان</w:t>
      </w:r>
      <w:r>
        <w:rPr>
          <w:rtl w:val="true"/>
        </w:rPr>
        <w:t>:</w:t>
      </w:r>
      <w:bookmarkEnd w:id="41"/>
    </w:p>
    <w:p>
      <w:pPr>
        <w:pStyle w:val="Heading3"/>
        <w:numPr>
          <w:ilvl w:val="2"/>
          <w:numId w:val="1"/>
        </w:numPr>
        <w:rPr/>
      </w:pPr>
      <w:bookmarkStart w:id="42" w:name="__RefHeading___Toc3304239_3650668749"/>
      <w:bookmarkStart w:id="43" w:name="_Toc15"/>
      <w:bookmarkEnd w:id="42"/>
      <w:r>
        <w:rPr>
          <w:rtl w:val="true"/>
        </w:rPr>
        <w:t>أحدها</w:t>
      </w:r>
      <w:r>
        <w:rPr>
          <w:rtl w:val="true"/>
        </w:rPr>
        <w:t xml:space="preserve">: </w:t>
      </w:r>
      <w:r>
        <w:rPr>
          <w:rtl w:val="true"/>
        </w:rPr>
        <w:t>أن يراد به النهي عن الضرر،</w:t>
      </w:r>
      <w:bookmarkEnd w:id="43"/>
    </w:p>
    <w:p>
      <w:pPr>
        <w:pStyle w:val="BookText"/>
        <w:rPr/>
      </w:pPr>
      <w:r>
        <w:rPr>
          <w:rFonts w:ascii="Amiri" w:hAnsi="Amiri" w:eastAsia="Amiri" w:cs="Amiri"/>
          <w:color w:val="111111"/>
          <w:sz w:val="28"/>
          <w:sz w:val="28"/>
          <w:szCs w:val="28"/>
          <w:rtl w:val="true"/>
          <w:lang w:bidi="ar-SA"/>
        </w:rPr>
        <w:t xml:space="preserve">فيكون نظير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رَفَثَ وَ لٰا فُسُوقَ وَ 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لَكَ فِي الْحَيٰاةِ أَنْ تَقُولَ لٰا مِسٰاسَ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لا مساس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يمسّ بعض بعضا،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يهيم في البريّة مع الوحش و السباع لا يمسّ أحدا و لا يمسّه أحد، عاقبة اللّه تعالى بذلك، و كان إذا لقي أحدا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تقربني و لا تمسّني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جلب و لا جنب و لا شغار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جلب و لا جنب و لا اعتراض 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إخصاء في الإسلام و لا بنيان كنيسة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حمى في الإسلام و لا مناجشة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حمى في الأراك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حمى إلّا ما حمى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سبق إلّا في 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حافر أو 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صمات يوم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صرورة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هجر بين المسلمين فوق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غشّ بين المسلمين هذا كلّه ممّا في الكتاب و السنّة النبويّة، و لو ذهبنا لنستقصي ما وقع من نظائرها في الروايات و استعمالات الفصحاء نظما و نثرا، لطال المقال و أدّى الملال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ذكرنا كفاية في إثبات شيوع هذا المعنى في هذا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لنفي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ردّ من قال في إبطال احتمال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النفي بمعنى النهي و إن كان ليس بعزيز، إلّا أنّه لم يعهد من مثل هذا التركيب</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3304241_3650668749"/>
      <w:bookmarkStart w:id="45" w:name="_Toc16"/>
      <w:bookmarkEnd w:id="44"/>
      <w:r>
        <w:rPr>
          <w:rtl w:val="true"/>
        </w:rPr>
        <w:t>ثانيها</w:t>
      </w:r>
      <w:r>
        <w:rPr>
          <w:rtl w:val="true"/>
        </w:rPr>
        <w:t xml:space="preserve">: </w:t>
      </w:r>
      <w:r>
        <w:rPr>
          <w:rtl w:val="true"/>
        </w:rPr>
        <w:t>أنّ المنفيّ هو الضرر الغير المتدارك الغير المجبور،</w:t>
      </w:r>
      <w:bookmarkEnd w:id="4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فالضرر و إن كان واقعا</w:t>
      </w:r>
      <w:bookmarkStart w:id="46" w:name="pg1915_24622"/>
    </w:p>
    <w:p>
      <w:pPr>
        <w:pStyle w:val="BookText"/>
        <w:rPr/>
      </w:pPr>
      <w:bookmarkEnd w:id="46"/>
      <w:r>
        <w:rPr>
          <w:rFonts w:ascii="Amiri" w:hAnsi="Amiri" w:eastAsia="Amiri" w:cs="Amiri"/>
          <w:color w:val="111111"/>
          <w:sz w:val="28"/>
          <w:sz w:val="28"/>
          <w:szCs w:val="28"/>
          <w:rtl w:val="true"/>
          <w:lang w:bidi="ar-SA"/>
        </w:rPr>
        <w:t>كثيرا، إلّا أنّه محكوم بوجوب التدارك شرعا، و كما أنّ ما يحصل به بإزائه نفع لا يسمّى ضررا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كدفع مال بإزاء عوض مساو له أو أزيد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الضرر المحكوم بوجوب تداركه ينزّل منزلة عدم الضرر عرفا، فغصب المال من غير وجوب دفع المثل أو القيمة ضرر، و تمليك المعيب بقيمة الصحيح من غير خيار ضرر</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3304243_3650668749"/>
      <w:bookmarkStart w:id="48" w:name="_Toc17"/>
      <w:bookmarkEnd w:id="47"/>
      <w:r>
        <w:rPr>
          <w:rtl w:val="true"/>
        </w:rPr>
        <w:t>ثالثها</w:t>
      </w:r>
      <w:r>
        <w:rPr>
          <w:rtl w:val="true"/>
        </w:rPr>
        <w:t xml:space="preserve">: </w:t>
      </w:r>
      <w:r>
        <w:rPr>
          <w:rtl w:val="true"/>
        </w:rPr>
        <w:t>أنّ المراد من الحديث نفي الحكم الضرري</w:t>
      </w:r>
      <w:bookmarkEnd w:id="48"/>
    </w:p>
    <w:p>
      <w:pPr>
        <w:pStyle w:val="BookText"/>
        <w:rPr/>
      </w:pPr>
      <w:r>
        <w:rPr>
          <w:rFonts w:ascii="Amiri" w:hAnsi="Amiri" w:eastAsia="Amiri" w:cs="Amiri"/>
          <w:color w:val="111111"/>
          <w:sz w:val="28"/>
          <w:sz w:val="28"/>
          <w:szCs w:val="28"/>
          <w:rtl w:val="true"/>
          <w:lang w:bidi="ar-SA"/>
        </w:rPr>
        <w:t xml:space="preserve">و ما يستلزم تشريعه ضررا في التكليفيات و الوضعيّات، فكلّ حكم يؤدّي إلى الضرر و يصير سببا و علّة له ليس من شرع الإسلام، فوجوب الوضوء و الصوم و الحجّ الموجبة للضرر، و لزوم البيع الموجب لضرر المغبون، و سلطنة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الدخول إلى عذقه من غير استيذان، و حرمة الترافع إلى حكّام الجور مع توقّف أخذ الحقّ عليه، كلّها من الأحكام الضررية منفية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الوجوه الثلاثة هي المتعارف ذكرها و التكلّم في ترجيحها في الكتب و الأبحاث</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3304245_3650668749"/>
      <w:bookmarkStart w:id="50" w:name="_Toc18"/>
      <w:bookmarkEnd w:id="49"/>
      <w:r>
        <w:rPr>
          <w:rtl w:val="true"/>
        </w:rPr>
        <w:t>رابعها</w:t>
      </w:r>
      <w:r>
        <w:rPr>
          <w:rtl w:val="true"/>
        </w:rPr>
        <w:t xml:space="preserve">: </w:t>
      </w:r>
      <w:r>
        <w:rPr>
          <w:rtl w:val="true"/>
        </w:rPr>
        <w:t>ما كنت وجّهت في بعض أبحاثي من أن يكون وزانه وزان رفع الخطأ و النسيان،</w:t>
      </w:r>
      <w:bookmarkEnd w:id="50"/>
    </w:p>
    <w:p>
      <w:pPr>
        <w:pStyle w:val="BookText"/>
        <w:rPr/>
      </w:pPr>
      <w:r>
        <w:rPr>
          <w:rFonts w:ascii="Amiri" w:hAnsi="Amiri" w:eastAsia="Amiri" w:cs="Amiri"/>
          <w:color w:val="111111"/>
          <w:sz w:val="28"/>
          <w:sz w:val="28"/>
          <w:szCs w:val="28"/>
          <w:rtl w:val="true"/>
          <w:lang w:bidi="ar-SA"/>
        </w:rPr>
        <w:t>بأن يراد أنّ الأحكام المجعولة للعناوين العامّة منتفية في حصول الضرر، كما أنّه يقع نفى الأحكام عن بعض أصناف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لا سهو في سهو، و لا سهو للإمام مع حفظ المأموم، و لا شكّ لكثير الشكّ، و لا شك في الثنائية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يقع نفيها من بعض الموضوعات العامّة، مثل رفع عن أمّتي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 النسيان و ما استكرهوا عليه، فالوجوب المجعول للوضوء و القيام و الصيام و الحجّ مرفوع و منفيّ في صورة التضرّر بها، و اللزوم المجعول للبيع و الصلح و السلطنة على الدخول في ملكه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الراجح عندي بين المعاني الأربعة هو الأوّل، و هو الّذي لا تسبق الأذهان الفارغة عن الشبهات العلميّة إلّا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الثاني أنّ مجرّد الحكم بوجوب تدارك الضرر لا يصحّ نفيه، و المصحّح هو نفس التدارك</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المعنى الثالث من نفي المسبّب و إرادة السبب لم يعهد في مثل هذا التركيب أبدا، و إنّما المعهود النهي أو نفي الكمال في لا صلاة لجار المسجد إلّا في المسجد</w:t>
      </w:r>
    </w:p>
    <w:p>
      <w:pPr>
        <w:pStyle w:val="BookText"/>
        <w:rPr/>
      </w:pPr>
      <w:r>
        <w:rPr>
          <w:rFonts w:ascii="Amiri" w:hAnsi="Amiri" w:eastAsia="Amiri" w:cs="Amiri"/>
          <w:color w:val="111111"/>
          <w:sz w:val="28"/>
          <w:sz w:val="28"/>
          <w:szCs w:val="28"/>
          <w:rtl w:val="true"/>
          <w:lang w:bidi="ar-SA"/>
        </w:rPr>
        <w:t>و لا علم إلّا ما نفع، و لا سفر إلّا برفيق، و لا كلام إلّا ما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أمكن إرجاع الثلاثة إلى جهة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الرابع و إن كان معهودا في هذا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فيما إذا ثبت حكم لموضوع عامّ و أريد نفيه عن بعض أصنافه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الأمثلة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يجعل لنفس الضرر حكم يراد به نفيه عن بعض أصنافه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نفي حكم موضوع آخر عنه فإرادته يحتاج إلى قرينة واضحة، و هي منتفية في مقامنا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اشتهر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للحكم بلسان نفي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أمر ذائع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مغالطة، إذ لو سلّم الشيوع فإنّما هو في نفي حكم الموضوع عن بعض أصنافه بلسان نفي الموضوع، لا نفي السبب بلسان نفي المسبّب و لا نفي حكم موضوع آخر بلسان نفي موضوع آخر مغاير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أنّ المتبادر إلى الأذهان الخالية من أهل المحاورات قبل أن يورد عليها شبهة التمسّك بالحديث في نفي الحكم الوضعي ليس إلّا النهي التكليفي، مضافا إلى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الثابت من صدور هذا الحديث الشريف إنّما هو 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ثبت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 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 اللفظ بهذه الزيادة ظاهر في النهي، على أنّ قوله لسمرة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مضارّ و لا ضرر و لا ضرار 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ابن مسكان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بمنزلة صغرى و كبرى، فلو أريد التحريم كان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مضارّ و المضارّة حرام، و هو المناسب لتلك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أريد غيره ممّا يقولون صار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مضارّ و الحكم الموجب للضرر منفيّ، أو الحكم المجعول منفيّ في صورة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أظنّ بالأذهان المستقيمة ارتضاءه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اختار شيخنا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بملاحظة نفس الفقرة و نظائرها و موارد ذكرها في الروايات و فهم العلماء هو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ذكرناه ثالث المعاني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الشواهد الأربعة كلّها منظورة فيها ممنوعة على مدّعيها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نفس</w:t>
      </w:r>
    </w:p>
    <w:p>
      <w:pPr>
        <w:pStyle w:val="BookText"/>
        <w:rPr/>
      </w:pPr>
      <w:r>
        <w:rPr>
          <w:rFonts w:ascii="Amiri" w:hAnsi="Amiri" w:eastAsia="Amiri" w:cs="Amiri"/>
          <w:color w:val="111111"/>
          <w:sz w:val="28"/>
          <w:sz w:val="28"/>
          <w:szCs w:val="28"/>
          <w:rtl w:val="true"/>
          <w:lang w:bidi="ar-SA"/>
        </w:rPr>
        <w:t>الفقرة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ظهورها في الحكم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قدّمنا عدم النظير لهذا المعنى في هذا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موارد ذكرها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أنّه قد اتضح عدم ذكرها في شي‌ء من الروايات، إلّا 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للتحريم وجدانا،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الناهي عن منع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مساغ لها فيها إلّا النهي التكليفيّ تحريما أو تنزيها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فهم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ممنوع، و لم نجد للمتقدّمين و المتأخّرين ما يعيّن أنّهم فهموا هذا المعنى إلّا عن قليل نادر، و لا يكفي فهمهم في تعيين المعنى، فتبصّر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تعليلا لحرمة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لنذكر بعض كلمات أئمّة اللغة و مهرة أهل اللسان تريهم متّفقين على إرادة النهي لا يرتابون فيه و لا يحتملون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النهاية الأثيرية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يضرّ الرجل أخاه فينقصه شيئا من حقّه، و 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من الضرّ أي لا يجازيه على إضراره بإدخال الضرر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جليل في اللغة في عشرين مجلّدا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يضرّ الرجل أخاه، و هو ضدّ النفع،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يضارّ كلّ منهما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 المنثور للسيوطي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يضرّ الرجل أخاه فينقصه شيئا من حقّه،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يجازيه على إضراره بإدخال الضرر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تاج العروس، مثل هذا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الطريحي في المجمع</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وقفت بعد هذا على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بنقله،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أنّ سياق الروايات يرشد إلى إرادة النهي من ذلك، و أنّ المراد تحريم الضرر و الضرار و المنع عنهما، و ذلك إمّا 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النهي، و إمّا بتقدير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 و مجوّز، و 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خبره مع بقائه على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المنع و التحريم، و هذا هو الأنسب، بملاحظة كون الشارع في مقام الحكم من حيث هو كذلك، لا في مقام ما يوجد في دين و لا يوجد، و إن كان كلّ من المعنيين مستلزما للآخر، إذ عدم كونه من الدين أيضا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فيه، و منعه فيه مستلزم لخروجه</w:t>
      </w:r>
      <w:bookmarkStart w:id="51" w:name="pg1915_24628"/>
    </w:p>
    <w:p>
      <w:pPr>
        <w:pStyle w:val="BookText"/>
        <w:rPr/>
      </w:pPr>
      <w:bookmarkEnd w:id="51"/>
      <w:r>
        <w:rPr>
          <w:rFonts w:ascii="Amiri" w:hAnsi="Amiri" w:eastAsia="Amiri" w:cs="Amiri"/>
          <w:color w:val="111111"/>
          <w:sz w:val="28"/>
          <w:sz w:val="28"/>
          <w:szCs w:val="28"/>
          <w:rtl w:val="true"/>
          <w:lang w:bidi="ar-SA"/>
        </w:rPr>
        <w:t xml:space="preserve">عنه، مضافا إلى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 و الضرار غير موجود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يحتاج تنقيحه إلى تكلّفات، فانّ الضرر مثلا نقص المال أو ما يوجب نقصه، و ذلك ليس من الدين بديهة، إذ الدين عبارة عن الأحكام، لا الموضوعات، فيحتاج حينئذ إلى جعل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الذي فيه ضرر أو ضرار ليس من الدين، و هذا غير متبادر، و إن بالغ فيه بعض المعاصرين،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المدّعى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إفادة النهي عنه، سواء كان هذا باستعمال التركيب في النهي ابتداء، أو أنّه استعمال في معناه الحقيقي و هو النفي و لكن لينتقل منه إلى إرادة الغير،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استعماله في الاخبار عن نفي الطبيعة حقيقة أو نفي صحّتها أو نفي كمالها أو إرادة النهي منها في جميع المواضع المذكورة يستعمل في معنى واحد و هو نفي الطبيعة، إمّا حقيقة أو ادّعاء، فانّ ما لا يصحّ بمنزلة المعدوم في عدم حصول الأثر المطلوب منه، و كذا الناقص غير الكامل بمنزلة المعدوم من بعض الجهات، و المنهيّ عنه أيضا يراد من جهة شدّة التنفّر عنه و المبالغة في عدم إيجاده بأنّه غير موجود، كما أنّ المأمور به إذا أريد المبالغة في طلبه يعبّر عنه بما يدلّ على وقوعه،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تركب كذا و تذهب إلى زيد و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اشتهر بين أئمّة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الخبريّة التي أريد منها الأمر أبلغ في إفادة الطلب من التصريح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فالمدّعى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إفادة النهي لا نفي الحكم الضرري و لا نفي الحكم المجعول للموضوعات عنه، و لا يتفاوت في هذا المدّعى أنّ استعمال النفي في النهي بأيّ وجه، و ربّما كانت دعوى الاستعمال في معنى النفي مقدمة للانتقال إلى طلب الترك أدخل في إثبات المدّعى، حيث لا يتّجه عليه ما يستشكل في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تجوّز لا يصار إليه</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3304247_3650668749"/>
      <w:bookmarkStart w:id="53" w:name="_Toc19"/>
      <w:bookmarkEnd w:id="52"/>
      <w:r>
        <w:rPr>
          <w:rtl w:val="true"/>
        </w:rPr>
        <w:t xml:space="preserve">- </w:t>
      </w:r>
      <w:r>
        <w:rPr>
          <w:rtl w:val="true"/>
        </w:rPr>
        <w:t>التاسع</w:t>
      </w:r>
      <w:r>
        <w:rPr>
          <w:rtl w:val="true"/>
        </w:rPr>
        <w:t>- [</w:t>
      </w:r>
      <w:r>
        <w:rPr>
          <w:rtl w:val="true"/>
        </w:rPr>
        <w:t>أمور ننبّه على جملة منها</w:t>
      </w:r>
      <w:r>
        <w:rPr>
          <w:rtl w:val="true"/>
        </w:rPr>
        <w:t>]</w:t>
      </w:r>
      <w:bookmarkEnd w:id="53"/>
    </w:p>
    <w:p>
      <w:pPr>
        <w:pStyle w:val="Heading3"/>
        <w:numPr>
          <w:ilvl w:val="2"/>
          <w:numId w:val="1"/>
        </w:numPr>
        <w:rPr/>
      </w:pPr>
      <w:bookmarkStart w:id="54" w:name="__RefHeading___Toc3304249_3650668749"/>
      <w:bookmarkStart w:id="55" w:name="_Toc20"/>
      <w:bookmarkEnd w:id="54"/>
      <w:r>
        <w:rPr>
          <w:rtl w:val="true"/>
        </w:rPr>
        <w:t>اشارة</w:t>
      </w:r>
      <w:bookmarkEnd w:id="5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اتضحت مما تقدّم أمور ننبّه على جملة منها</w:t>
      </w:r>
      <w:bookmarkStart w:id="56" w:name="pg1915_24630"/>
    </w:p>
    <w:p>
      <w:pPr>
        <w:pStyle w:val="Heading3"/>
        <w:numPr>
          <w:ilvl w:val="2"/>
          <w:numId w:val="1"/>
        </w:numPr>
        <w:rPr/>
      </w:pPr>
      <w:bookmarkStart w:id="57" w:name="__RefHeading___Toc3304251_3650668749"/>
      <w:bookmarkStart w:id="58" w:name="_Toc21"/>
      <w:bookmarkEnd w:id="56"/>
      <w:bookmarkEnd w:id="57"/>
      <w:r>
        <w:rPr>
          <w:rtl w:val="true"/>
        </w:rPr>
        <w:t>أحدها</w:t>
      </w:r>
      <w:r>
        <w:rPr>
          <w:rtl w:val="true"/>
        </w:rPr>
        <w:t xml:space="preserve">: </w:t>
      </w:r>
      <w:r>
        <w:rPr>
          <w:rtl w:val="true"/>
        </w:rPr>
        <w:t xml:space="preserve">عدم كون </w:t>
      </w:r>
      <w:r>
        <w:rPr>
          <w:rtl w:val="true"/>
        </w:rPr>
        <w:t>«</w:t>
      </w:r>
      <w:r>
        <w:rPr>
          <w:rtl w:val="true"/>
        </w:rPr>
        <w:t>حديث الضرر</w:t>
      </w:r>
      <w:r>
        <w:rPr>
          <w:rtl w:val="true"/>
        </w:rPr>
        <w:t xml:space="preserve">» </w:t>
      </w:r>
      <w:r>
        <w:rPr>
          <w:rtl w:val="true"/>
        </w:rPr>
        <w:t>مدركا لشي‌ء من الخيارات</w:t>
      </w:r>
      <w:bookmarkEnd w:id="58"/>
    </w:p>
    <w:p>
      <w:pPr>
        <w:pStyle w:val="BookText"/>
        <w:rPr/>
      </w:pPr>
      <w:r>
        <w:rPr>
          <w:rFonts w:ascii="Amiri" w:hAnsi="Amiri" w:eastAsia="Amiri" w:cs="Amiri"/>
          <w:color w:val="111111"/>
          <w:sz w:val="28"/>
          <w:sz w:val="28"/>
          <w:szCs w:val="28"/>
          <w:rtl w:val="true"/>
          <w:lang w:bidi="ar-SA"/>
        </w:rPr>
        <w:t>و عدم صحّة التمسّك به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أظنّ بمن تأمّل فيما سلف و تروّى و أنصف أنّ يجعله حجّة عليها بعد ذلك، بل جماعة ممّن عمّموه لنفي الحكم التكليفي و الوضعي استشكلوا به في صحّة الاحتجاج به في مثل خيار الغبن مع شيوعه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في الأواخر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نفى دلالته على الخيار في صورة بذلك الغابن التفاوت</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3304253_3650668749"/>
      <w:bookmarkStart w:id="60" w:name="_Toc22"/>
      <w:bookmarkEnd w:id="59"/>
      <w:r>
        <w:rPr>
          <w:rtl w:val="true"/>
        </w:rPr>
        <w:t>الثاني</w:t>
      </w:r>
      <w:r>
        <w:rPr>
          <w:rtl w:val="true"/>
        </w:rPr>
        <w:t xml:space="preserve">: </w:t>
      </w:r>
      <w:r>
        <w:rPr>
          <w:rtl w:val="true"/>
        </w:rPr>
        <w:t>أنّ الضرر الخارجي الذي ربّما يتعقّبه المعاملة ليس موجبا للخيار</w:t>
      </w:r>
      <w:bookmarkEnd w:id="60"/>
    </w:p>
    <w:p>
      <w:pPr>
        <w:pStyle w:val="BookText"/>
        <w:rPr/>
      </w:pPr>
      <w:r>
        <w:rPr>
          <w:rFonts w:ascii="Amiri" w:hAnsi="Amiri" w:eastAsia="Amiri" w:cs="Amiri"/>
          <w:color w:val="111111"/>
          <w:sz w:val="28"/>
          <w:sz w:val="28"/>
          <w:szCs w:val="28"/>
          <w:rtl w:val="true"/>
          <w:lang w:bidi="ar-SA"/>
        </w:rPr>
        <w:t xml:space="preserve">و لا متيقّن الدخول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مبنيّ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مذيّلا به، و قد عرفت خلافه</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3304255_3650668749"/>
      <w:bookmarkStart w:id="62" w:name="_Toc23"/>
      <w:bookmarkEnd w:id="61"/>
      <w:r>
        <w:rPr>
          <w:rtl w:val="true"/>
        </w:rPr>
        <w:t>الثالث</w:t>
      </w:r>
      <w:r>
        <w:rPr>
          <w:rtl w:val="true"/>
        </w:rPr>
        <w:t xml:space="preserve">: </w:t>
      </w:r>
      <w:r>
        <w:rPr>
          <w:rtl w:val="true"/>
        </w:rPr>
        <w:t>أنّ التخصيصات الكثيرة التي يدّعون ورودها على القاعدة ليست كما يقولون،</w:t>
      </w:r>
      <w:bookmarkEnd w:id="62"/>
    </w:p>
    <w:p>
      <w:pPr>
        <w:pStyle w:val="BookText"/>
        <w:rPr/>
      </w:pPr>
      <w:r>
        <w:rPr>
          <w:rFonts w:ascii="Amiri" w:hAnsi="Amiri" w:eastAsia="Amiri" w:cs="Amiri"/>
          <w:color w:val="111111"/>
          <w:sz w:val="28"/>
          <w:sz w:val="28"/>
          <w:szCs w:val="28"/>
          <w:rtl w:val="true"/>
          <w:lang w:bidi="ar-SA"/>
        </w:rPr>
        <w:t>و أنّها مبتنية على إرادة المعنى الذي رجّحوه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التعميم للتكليفي و الوضعي و للضرر الناشئ من أركان المعاملة و شروطها و ما يترتّب عليها ممّا هو خارج عنها</w:t>
      </w:r>
    </w:p>
    <w:p>
      <w:pPr>
        <w:pStyle w:val="Heading3"/>
        <w:numPr>
          <w:ilvl w:val="2"/>
          <w:numId w:val="1"/>
        </w:numPr>
        <w:rPr/>
      </w:pPr>
      <w:bookmarkStart w:id="63" w:name="__RefHeading___Toc3304257_3650668749"/>
      <w:bookmarkStart w:id="64" w:name="_Toc24"/>
      <w:bookmarkEnd w:id="63"/>
      <w:r>
        <w:rPr>
          <w:rtl w:val="true"/>
        </w:rPr>
        <w:t>الرابع</w:t>
      </w:r>
      <w:r>
        <w:rPr>
          <w:rtl w:val="true"/>
        </w:rPr>
        <w:t xml:space="preserve">: </w:t>
      </w:r>
      <w:r>
        <w:rPr>
          <w:rtl w:val="true"/>
        </w:rPr>
        <w:t>أنّ الضرر يراد به ما هو ظاهر من الضرر الشخصي،</w:t>
      </w:r>
      <w:bookmarkEnd w:id="64"/>
    </w:p>
    <w:p>
      <w:pPr>
        <w:pStyle w:val="BookText"/>
        <w:rPr/>
      </w:pPr>
      <w:r>
        <w:rPr>
          <w:rFonts w:ascii="Amiri" w:hAnsi="Amiri" w:eastAsia="Amiri" w:cs="Amiri"/>
          <w:color w:val="111111"/>
          <w:sz w:val="28"/>
          <w:sz w:val="28"/>
          <w:szCs w:val="28"/>
          <w:rtl w:val="true"/>
          <w:lang w:bidi="ar-SA"/>
        </w:rPr>
        <w:t>كما اقتصروا عليه في أبواب العبادات و لم يقل أحد بسقوط الوضوء أو الصوم أو القيام أو الحجّ عمّن لا يتضرر به أصلا لخصوصية في شخصه أو طبعه و مزاجه بمجرّد تضرّر الغالب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الاشكال على القوم بأنّهم يكتفون بالضرر النوعي في أبواب المعاملات و يحكمون بالخيار لمن لا يتضرّر بالعيب أو الغبن أو تبعّض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اللّفظ واحد و الدليل واحد</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3304259_3650668749"/>
      <w:bookmarkStart w:id="66" w:name="_Toc25"/>
      <w:bookmarkEnd w:id="65"/>
      <w:r>
        <w:rPr>
          <w:rtl w:val="true"/>
        </w:rPr>
        <w:t>الخامس</w:t>
      </w:r>
      <w:r>
        <w:rPr>
          <w:rtl w:val="true"/>
        </w:rPr>
        <w:t xml:space="preserve">: </w:t>
      </w:r>
      <w:r>
        <w:rPr>
          <w:rtl w:val="true"/>
        </w:rPr>
        <w:t>أنّه لا يلزم القول بأنّ النهي للتنزيه أو للقدر المشترك لإرادة الكراهة منه</w:t>
      </w:r>
      <w:bookmarkEnd w:id="66"/>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منع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واحد، و إن ذهبنا إلى كراهة المنع و حملناه على الماء المملوك أو إلى القدر المشترك، فيقال بالتحريم في الماء المباح و بالكراهة في المملوك إلى غير ذلك ممّا استفيد ممّا أسلفناه</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3304261_3650668749"/>
      <w:bookmarkStart w:id="68" w:name="_Toc26"/>
      <w:bookmarkEnd w:id="67"/>
      <w:r>
        <w:rPr>
          <w:rtl w:val="true"/>
        </w:rPr>
        <w:t xml:space="preserve">- </w:t>
      </w:r>
      <w:r>
        <w:rPr>
          <w:rtl w:val="true"/>
        </w:rPr>
        <w:t>العاشر</w:t>
      </w:r>
      <w:r>
        <w:rPr>
          <w:rtl w:val="true"/>
        </w:rPr>
        <w:t>- [</w:t>
      </w:r>
      <w:r>
        <w:rPr>
          <w:rtl w:val="true"/>
        </w:rPr>
        <w:t>في دفع التوهم</w:t>
      </w:r>
      <w:r>
        <w:rPr>
          <w:rtl w:val="true"/>
        </w:rPr>
        <w:t>]</w:t>
      </w:r>
      <w:bookmarkEnd w:id="68"/>
    </w:p>
    <w:p>
      <w:pPr>
        <w:pStyle w:val="Heading3"/>
        <w:numPr>
          <w:ilvl w:val="2"/>
          <w:numId w:val="1"/>
        </w:numPr>
        <w:rPr/>
      </w:pPr>
      <w:bookmarkStart w:id="69" w:name="__RefHeading___Toc3304263_3650668749"/>
      <w:bookmarkStart w:id="70" w:name="_Toc27"/>
      <w:bookmarkEnd w:id="69"/>
      <w:r>
        <w:rPr>
          <w:rtl w:val="true"/>
        </w:rPr>
        <w:t>اشارة</w:t>
      </w:r>
      <w:bookmarkEnd w:id="7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كثيرا ما يختلج ببال من نظر فيما تقدّم أنّه يبقى كثير من الفروع المسلّمة في أبواب العبادات و المعاملات بلا مدرك قويّ و لا مستند جليّ، فإنّه بناء</w:t>
      </w:r>
      <w:bookmarkStart w:id="71" w:name="pg1915_24632"/>
    </w:p>
    <w:p>
      <w:pPr>
        <w:pStyle w:val="BookText"/>
        <w:rPr/>
      </w:pPr>
      <w:bookmarkEnd w:id="71"/>
      <w:r>
        <w:rPr>
          <w:rFonts w:ascii="Amiri" w:hAnsi="Amiri" w:eastAsia="Amiri" w:cs="Amiri"/>
          <w:color w:val="111111"/>
          <w:sz w:val="28"/>
          <w:sz w:val="28"/>
          <w:szCs w:val="28"/>
          <w:rtl w:val="true"/>
          <w:lang w:bidi="ar-SA"/>
        </w:rPr>
        <w:t xml:space="preserve">على عدم صحّة الاستدلال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الأبواب ينسدّ السبيل و ينعدم الدليل في فروع كثيرة لا مجال لإنكارها و لا للحكم بثبوتها من غير حجّة، فلا بأس بأن نأتي بكلام إجمالي يرتفع به هذا التوهّم و يندفع به هذا الاستبعاد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التفصيل في كلّ فرع ممّا تمسّك به بعض أو جماعة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فخروج عن وضع الرسالة و يحتاج إفراد مجلّد في هذا الباب، فنقول</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3304265_3650668749"/>
      <w:bookmarkStart w:id="73" w:name="_Toc28"/>
      <w:bookmarkEnd w:id="72"/>
      <w:r>
        <w:rPr>
          <w:rtl w:val="true"/>
        </w:rPr>
        <w:t>أمّا العبادات المضرّة</w:t>
      </w:r>
      <w:r>
        <w:rPr>
          <w:rtl w:val="true"/>
        </w:rPr>
        <w:t>:</w:t>
      </w:r>
      <w:bookmarkEnd w:id="73"/>
    </w:p>
    <w:p>
      <w:pPr>
        <w:pStyle w:val="BookText"/>
        <w:rPr/>
      </w:pPr>
      <w:r>
        <w:rPr>
          <w:rFonts w:ascii="Amiri" w:hAnsi="Amiri" w:eastAsia="Amiri" w:cs="Amiri"/>
          <w:color w:val="111111"/>
          <w:sz w:val="28"/>
          <w:sz w:val="28"/>
          <w:szCs w:val="28"/>
          <w:rtl w:val="true"/>
          <w:lang w:bidi="ar-SA"/>
        </w:rPr>
        <w:t>فحرمتها كافية في استبعادها عند القوم، لعدم التقرّب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نازع منازع في هذا المعنى، فالقوم متسالمون عليه، و الغرض الاحتجاج بما هو تمام عندهم</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3304267_3650668749"/>
      <w:bookmarkStart w:id="75" w:name="_Toc29"/>
      <w:bookmarkEnd w:id="74"/>
      <w:r>
        <w:rPr>
          <w:rtl w:val="true"/>
        </w:rPr>
        <w:t>و اما الخيارات</w:t>
      </w:r>
      <w:r>
        <w:rPr>
          <w:rtl w:val="true"/>
        </w:rPr>
        <w:t>:</w:t>
      </w:r>
      <w:bookmarkEnd w:id="75"/>
    </w:p>
    <w:p>
      <w:pPr>
        <w:pStyle w:val="BookText"/>
        <w:rPr/>
      </w:pPr>
      <w:r>
        <w:rPr>
          <w:rFonts w:ascii="Amiri" w:hAnsi="Amiri" w:eastAsia="Amiri" w:cs="Amiri"/>
          <w:color w:val="111111"/>
          <w:sz w:val="28"/>
          <w:sz w:val="28"/>
          <w:szCs w:val="28"/>
          <w:rtl w:val="true"/>
          <w:lang w:bidi="ar-SA"/>
        </w:rPr>
        <w:t>فجملة منها منصوصة عن أئمّتنا عليه السلام مسطورة في محالها و جملة منها يستند إلى فوات الشرط الضمني الذي يقضي به العرف في المعاملات، فإنّ بناء المتعاملين على البيع و الاشتراء بالقيمة المعتدلة و ما يقرب منها، و على التمليك و التملّك للمجموع لا للبعض منفردا عن الآخر، و علي سلامة المبيع عن العيب، و على وجود الوصف المشاهد ذاتا لا بالعرض و التدليس، كتحمير الوجه و التصرية، و لذا ذكر كثيرون أنّ الخيار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كالمجلس 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خيار نقيصة و هو فوات أمر مقصود مظنون في المعاملة، نشأ الظنّ فيه من التزام شرطيّ أو تقرير فعليّ أو قضاء 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من الأوّل اشتراط كون العبد كاتبا أو الدابة حاملا أو ذات لبن فأخلف، و من الثاني التصرية و تحمير الوجه و تسويد الشعر، و من الثالث ظهور العيب الموجب لنقص العين أو القيمة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العقد و اشتراط السلامة يقتضيان السلامة على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القضاء العرفي يقتضي أنّ المشتري إنّما بذل ماله بناء على أصالة السلامة فكأنّها مشترطة في نفس العقد، فإذا اشترى عبدا مطلقا اقتضى سلامته عن الخصاء و الجبّ، فإن ظهر به أحدهما له الردّ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الغرض قد يتعلّق بالفحوليّة غالبا، و الفحل يصلح لما لا يصلح له الخصيّ من</w:t>
      </w:r>
    </w:p>
    <w:p>
      <w:pPr>
        <w:pStyle w:val="BookText"/>
        <w:rPr/>
      </w:pPr>
      <w:r>
        <w:rPr>
          <w:rFonts w:ascii="Amiri" w:hAnsi="Amiri" w:eastAsia="Amiri" w:cs="Amiri"/>
          <w:color w:val="111111"/>
          <w:sz w:val="28"/>
          <w:sz w:val="28"/>
          <w:szCs w:val="28"/>
          <w:rtl w:val="true"/>
          <w:lang w:bidi="ar-SA"/>
        </w:rPr>
        <w:t>الاستيلاد و غيره، و قد دخل المشتري في العقد على ظنّ الفحوليّة، لأنّ الغالب سلامة الأعضاء، فإذا فات ما هو متعلّق الغرض وجب ثبوت الردّ، و إن زادت قيمته باعتبار آخر،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العرف في مورد بأنّ بناء جميع أهل المعاملات على أنّهم لا يقدمون على البيع فيه مثلا إلّا بعد اعتقادهم إحراز ذلك المورد وجدانه بجزء كذا أو صفة كذا أو كونه على قيمة كذا أو كان رضاهم مقيّدا مشروطا بذلك الإحراز لكن على وجه تعدّد المطلوب، فإذا تخلّف كان لهم الخيار بمقتضى فقد الشرط المقضيّ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الشروط المأخوذة في البيع و أشباهه لا يراد بها التعليق في أصل العقد و لا في صحّته، بل يراد بها تعليق اللزوم، فقول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هذا العبد بشرط أن يكون كاتبا مثلا،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التزامي بهذا العقد و لزومه عليّ مشروط بكونه كاتبا، فإن لم يكن كاتبا فلا التزام،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أمسكته و إن شئت رددته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أوضحت هذا المطلب في محلّه بما لا مزيد عليه، و هو الحقّ الذي لا محيص عنه و لا يساعد الدليل و عرف المتعاملين إلّا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فالشرط التزام في التزام، بحيث يكون الملتزم أيضا قيدا، و لذا ترى العرف مع قطع النظر عن الشرع يحكمون بالخيار في هذه الموارد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أن تردّه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الشارع أمضى ما بيد العرف من المعاملات في غير ما نهى</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ردعا لهم عن الحكم بالخيار في أمثال المقامات المعهودة، فإنّ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دلالتها على أصالة اللزوم، و صحّة الاحتجاج بها عليها، و غمض النظر عن المناقشات الكثيرة المتّجهة على الاحتجاج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تدلّ على وجوب الوفاء بالعقد على ما هو عليه من الخصوصيّات المكتنفة به،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تقيّد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فوات ما كان بناء المتعاملين على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أن تعدّ هذا التقريب وجها مستقلّا للحكم بالخيار في الموارد المعروفة عند الفقهاء و إثبات أنّه على طبق القاعدة، من غير أن يكون تعبّديا</w:t>
      </w:r>
      <w:bookmarkStart w:id="76" w:name="pg1915_24636"/>
    </w:p>
    <w:p>
      <w:pPr>
        <w:pStyle w:val="BookText"/>
        <w:rPr/>
      </w:pPr>
      <w:bookmarkEnd w:id="76"/>
      <w:r>
        <w:rPr>
          <w:rFonts w:ascii="Amiri" w:hAnsi="Amiri" w:eastAsia="Amiri" w:cs="Amiri"/>
          <w:color w:val="111111"/>
          <w:sz w:val="28"/>
          <w:sz w:val="28"/>
          <w:szCs w:val="28"/>
          <w:rtl w:val="true"/>
          <w:lang w:bidi="ar-SA"/>
        </w:rPr>
        <w:t>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كلام طويل و أبحاث جيّدة مفيدة، إلّا أنّ التعرّض لها خروج عن وضع الرسالة</w:t>
      </w:r>
      <w:r>
        <w:rPr>
          <w:rFonts w:eastAsia="Amiri" w:cs="Amiri" w:ascii="Amiri" w:hAnsi="Amiri"/>
          <w:color w:val="111111"/>
          <w:sz w:val="28"/>
          <w:szCs w:val="28"/>
          <w:rtl w:val="true"/>
          <w:lang w:bidi="ar-SA"/>
        </w:rPr>
        <w:t>.</w:t>
      </w:r>
    </w:p>
    <w:p>
      <w:pPr>
        <w:pStyle w:val="Heading2"/>
        <w:numPr>
          <w:ilvl w:val="1"/>
          <w:numId w:val="1"/>
        </w:numPr>
        <w:rPr/>
      </w:pPr>
      <w:bookmarkStart w:id="77" w:name="__RefHeading___Toc3304269_3650668749"/>
      <w:bookmarkStart w:id="78" w:name="_Toc30"/>
      <w:bookmarkEnd w:id="77"/>
      <w:r>
        <w:rPr>
          <w:rtl w:val="true"/>
        </w:rPr>
        <w:t xml:space="preserve">- </w:t>
      </w:r>
      <w:r>
        <w:rPr>
          <w:rtl w:val="true"/>
        </w:rPr>
        <w:t>الحادي عشر</w:t>
      </w:r>
      <w:r>
        <w:rPr>
          <w:rtl w:val="true"/>
        </w:rPr>
        <w:t>- [</w:t>
      </w:r>
      <w:r>
        <w:rPr>
          <w:rtl w:val="true"/>
        </w:rPr>
        <w:t>حول سند الرواية</w:t>
      </w:r>
      <w:r>
        <w:rPr>
          <w:rtl w:val="true"/>
        </w:rPr>
        <w:t>]</w:t>
      </w:r>
      <w:bookmarkEnd w:id="78"/>
    </w:p>
    <w:p>
      <w:pPr>
        <w:pStyle w:val="Heading3"/>
        <w:numPr>
          <w:ilvl w:val="2"/>
          <w:numId w:val="1"/>
        </w:numPr>
        <w:rPr/>
      </w:pPr>
      <w:bookmarkStart w:id="79" w:name="__RefHeading___Toc3304271_3650668749"/>
      <w:bookmarkStart w:id="80" w:name="_Toc31"/>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إنّه عرّفناك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قضية واحدة، إلّا أنّها رويت في طرقنا بثلاث أسانيد و ثلاثة متون متقاربة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المصرّح به في كلام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من الطرق الثلاثة ليس صحيحا بالاصطلاح المتأخّر، بل أحدها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رواه محمّد بن خالد عن بعض أصحابنا عن ابن مسكان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موثق، لوجود عبد اللّه بن بكير الفطحي 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الثالث ضعيف، لجهالة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ينبغي أن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الأوّل مرسلا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الموثّق المذكور بمنزلة الصحيح أو أعلى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المرميّ بالضعف صحيح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رجال السند كلّهم عدول ثقات إماميّون بالاتّفاق، 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الّذين أجمعت الصحابة على تصحيح ما يصحّ عنهم، فهو بمنزلة الصحيح أو أعلى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كون المرميّ بالضعف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رواه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موسى المتوكّل، عن عليّ بن الحسين السعدآبادي، عن أحمد بن محمّد بن خالد، عن أبيه، عن الحسن بن زياد الصيقل، عن أبي عبيدة الحذّاء،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 السند من يتوقّف فيه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فرميا بالجهالة و ضعف الحديث من أجلها، و الحقّ خلافه</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3304273_3650668749"/>
      <w:bookmarkStart w:id="82" w:name="_Toc32"/>
      <w:bookmarkEnd w:id="81"/>
      <w:r>
        <w:rPr>
          <w:rtl w:val="true"/>
        </w:rPr>
        <w:t>أما السعدآبادي</w:t>
      </w:r>
      <w:r>
        <w:rPr>
          <w:rtl w:val="true"/>
        </w:rPr>
        <w:t xml:space="preserve">: </w:t>
      </w:r>
      <w:r>
        <w:rPr>
          <w:rtl w:val="true"/>
        </w:rPr>
        <w:t>فلوجوه</w:t>
      </w:r>
      <w:r>
        <w:rPr>
          <w:rtl w:val="true"/>
        </w:rPr>
        <w:t>:</w:t>
      </w:r>
      <w:bookmarkEnd w:id="8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شيخ إجازة بالنسبة إلى كتب البرقي المتواترة في ذلك الزمان عند الصدوق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شيوخ الإجازة على ما ثبت في محلّه و صرّح به كثير من محقّقي فنّي الحديث و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يحتاجون إلى التنصيص على عدالتهم و وثاقتهم، مضافا</w:t>
      </w:r>
    </w:p>
    <w:p>
      <w:pPr>
        <w:pStyle w:val="BookText"/>
        <w:rPr/>
      </w:pPr>
      <w:r>
        <w:rPr>
          <w:rFonts w:ascii="Amiri" w:hAnsi="Amiri" w:eastAsia="Amiri" w:cs="Amiri"/>
          <w:color w:val="111111"/>
          <w:sz w:val="28"/>
          <w:sz w:val="28"/>
          <w:szCs w:val="28"/>
          <w:rtl w:val="true"/>
          <w:lang w:bidi="ar-SA"/>
        </w:rPr>
        <w:t>إلى أنّه لا يضرّ ضعفهم بعد تواتر الكتاب الّذي أجازوا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المحدّث الجليل جعفر بن قولويه، يروي عنه كثيرا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يروي فيه إلّا عن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مشايخ إجازة الكلينيّ، و هو أحد العدّة الذين يروي عنهم عن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الكليني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في كتابي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بن خالد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عليّ ابن إبراهيم، و عليّ بن محمّد بن محمّد بن عبد اللّه أميّة، و عليّ بن محمّد بن عبد اللّه بن أذينة، و عليّ بن الحسين السعدآبادي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الأجلّاء عنه، كعليّ بن إبراهيم، و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غالب الرازي، و محمّد بن موسى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يجتمع مثل هؤلاء الأجلّاء و المشايخ على الرواية أو الاستجازة من ضعيف أو مجهول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يدعو مثل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طرق عديدة و مشايخ جمّة له إلى البرقي أن يستجيز من السعدآبادي لولا جلالته وثاقته و اشتهاره بين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أجاد السيّد المحقّق المقدّس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العلماء و حملة الأخبار لا سيّما الأجلّاء و من يتحاشى في الرواية من غير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الاستجازة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ليطلبوا الإجازة في روايتها إلّا من شيخ الطائفة و فقيهها و محدّثها و ثقتها و من يسكنون إليه و يعتمدون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فلشيخ الإجازة مقام ليس للراوي، و من هنا قال المحقّق البحراني إنّ مشايخ الإجازة في أعلى درجات الوثاقة و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صاحب 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أن يرتاب في عدالتهم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مشايخ الإجازة لا يحتاجون إلى التنصيص على تذكيتهم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صحّح العلّامة و غيره كثيرا من الأخبار مع وقوع من لم يوثّقه أهل الرجال من مشايخ الإجازة في السند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للصدوق طريقا آخر إلى البرقي صحيحا بالاتفاق، فإنّه</w:t>
      </w:r>
      <w:bookmarkStart w:id="83" w:name="pg1915_24640"/>
    </w:p>
    <w:p>
      <w:pPr>
        <w:pStyle w:val="BookText"/>
        <w:rPr/>
      </w:pPr>
      <w:bookmarkEnd w:id="83"/>
      <w:r>
        <w:rPr>
          <w:rFonts w:ascii="Amiri" w:hAnsi="Amiri" w:eastAsia="Amiri" w:cs="Amiri"/>
          <w:color w:val="111111"/>
          <w:sz w:val="28"/>
          <w:sz w:val="28"/>
          <w:szCs w:val="28"/>
          <w:rtl w:val="true"/>
          <w:lang w:bidi="ar-SA"/>
        </w:rPr>
        <w:t>يروي عنه أيضا بتوسط أبيه و محمّد بن الحسن بن الوليد، عن سعد بن عبد اللّه، عن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السند صحيح اتّفاقا، فلو أغمضنا النظر عن كلّ ما سبق كان طريقا إليه صحيحا أيضا، فلا يضرّ ضعف طريق آخر لو سلّم</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3304275_3650668749"/>
      <w:bookmarkStart w:id="85" w:name="_Toc33"/>
      <w:bookmarkEnd w:id="84"/>
      <w:r>
        <w:rPr>
          <w:rtl w:val="true"/>
        </w:rPr>
        <w:t>و أما الحسن بن زياد الصيقل</w:t>
      </w:r>
      <w:r>
        <w:rPr>
          <w:rtl w:val="true"/>
        </w:rPr>
        <w:t>:</w:t>
      </w:r>
      <w:bookmarkEnd w:id="85"/>
    </w:p>
    <w:p>
      <w:pPr>
        <w:pStyle w:val="BookText"/>
        <w:rPr/>
      </w:pPr>
      <w:r>
        <w:rPr>
          <w:rFonts w:ascii="Amiri" w:hAnsi="Amiri" w:eastAsia="Amiri" w:cs="Amiri"/>
          <w:color w:val="111111"/>
          <w:sz w:val="28"/>
          <w:sz w:val="28"/>
          <w:szCs w:val="28"/>
          <w:rtl w:val="true"/>
          <w:lang w:bidi="ar-SA"/>
        </w:rPr>
        <w:t>فيدلّ على وثاقته رواية خمسة من أصحاب الإجماع و من أجمعت العصابة على تصحيح ما يصحّ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الرحمن، كما في السند المبحوث عنه في جميع ما رواه في الفقيه عن الصيقل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حمّاد بن عثمان، كما في الكافي في باب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فضالة بن أيّوب، كما في الكافي في باب الورع و في باب ما فرض اللّه عزّ و جلّ من الكون مع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أبان بن عثمان، كما في الكافي في باب التفكر، و في التهذيب في باب لحوق الأولاد بالآباء و في باب كيفية الصلاة من أبواب الزيادات، و في الفقيه في باب أحكام المماليك و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الخمسة من أصحاب الإجماع المستدلّ برواية أحدهم عن شخص على وثاقته، بناء على ما هو المشهور من معنى هذه العبارة و أنّ مفادها وثاقة هؤلاء المجمع عليهم و وثاقة من بعدهم، بل لو لم نقل بما هو المشهور أيضا، لظهور رواية كثير من الأجلّاء و الأعاظم عن واحد في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انضمّ إلى ما سبق رواية جعفر بن بشير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روى عن الثقات عن الصيقل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العظيم الجليل الحلبي و محمّد بن سنان و مثنى ابن الوليد الحنّاط و عليّ بن الحكم و حسين بن عثمان و عبد الكريم بن عمرو عنه، تأكّدت الدلالة على الوثاقة و صحّ السند من جهته،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أحدا أخلد إلى لزوم التصريح بالوثاقة و لم يوجد عنده هذه الأمارات الكثيرة، فلا أقلّ من أن يعدّه ممدوحا و يعدّ حديثه حسنا، لا أن يصرّح بجهالته و ضعف حديثه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صدر عن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مشتركاته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الزياد الصيقل المجهول الراوي عنه إبراهيم بن حيّان، قصور عظيم، من حيث عدّه مجهولا و من حصر الراوي عنه في إبراهيم بن حيّان، مع ما عرفت من رواية كثير من الأجلّاء</w:t>
      </w:r>
      <w:bookmarkStart w:id="86" w:name="pg1915_24642"/>
    </w:p>
    <w:p>
      <w:pPr>
        <w:pStyle w:val="BookText"/>
        <w:rPr/>
      </w:pPr>
      <w:bookmarkEnd w:id="86"/>
      <w:r>
        <w:rPr>
          <w:rFonts w:ascii="Amiri" w:hAnsi="Amiri" w:eastAsia="Amiri" w:cs="Amiri"/>
          <w:color w:val="111111"/>
          <w:sz w:val="28"/>
          <w:sz w:val="28"/>
          <w:szCs w:val="28"/>
          <w:rtl w:val="true"/>
          <w:lang w:bidi="ar-SA"/>
        </w:rPr>
        <w:t>و الأعاظم عنه، و فيهم خمسة من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ما مرّ تبيّن التسامح فيما ذكره 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التعرّض لقاعدة الضرر و نقل 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ما في الباب سندا و أوضحه دلالة ما رواه غير واحد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المتن الذي رواه ابن مسكان عن زرارة،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موثّقة ابن بكير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التسامح فيه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هذه الطرق صحيح اصطلاحيّ حتّى يكون ما ذكره أصحّ، و إن كان و لا بدّ فينبغي عدّ رواية ابن بكير أو رواية الحذّاء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و جعله أصحّ قد عرفت أنّه أضعف الطرق الثلاثة بحسب السند، لا رسالة و عدم كون المرسل مثل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المتن لم يروه غير ابن مسكان عن زرارة، فكيف نسب الرواية إلى غير واحد عن زرارة، و قد ذكر موثّقة ابن بكير عن زرارة قسيما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هذه القضيّة عن زرارة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مسكان و ابن بكير، و هو نقل رواية ابن بكير مستقلّة، فلم يبق إلّا رواية ابن مسكان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كتب الحديث و الجوامع الموجودة لم يذكر هذا المتن الذي نسبه إلى غير واحد، إلّا برواية ابن مسكان</w:t>
      </w:r>
      <w:r>
        <w:rPr>
          <w:rFonts w:eastAsia="Amiri" w:cs="Amiri" w:ascii="Amiri" w:hAnsi="Amiri"/>
          <w:color w:val="111111"/>
          <w:sz w:val="28"/>
          <w:szCs w:val="28"/>
          <w:rtl w:val="true"/>
          <w:lang w:bidi="ar-SA"/>
        </w:rPr>
        <w:t>.</w:t>
      </w:r>
    </w:p>
    <w:p>
      <w:pPr>
        <w:pStyle w:val="Heading2"/>
        <w:numPr>
          <w:ilvl w:val="1"/>
          <w:numId w:val="1"/>
        </w:numPr>
        <w:rPr/>
      </w:pPr>
      <w:bookmarkStart w:id="87" w:name="__RefHeading___Toc3304277_3650668749"/>
      <w:bookmarkStart w:id="88" w:name="_Toc34"/>
      <w:bookmarkEnd w:id="87"/>
      <w:r>
        <w:rPr>
          <w:rtl w:val="true"/>
        </w:rPr>
        <w:t xml:space="preserve">الفصل الثاني عشر </w:t>
      </w:r>
      <w:r>
        <w:rPr>
          <w:rtl w:val="true"/>
        </w:rPr>
        <w:t>[</w:t>
      </w:r>
      <w:r>
        <w:rPr>
          <w:rtl w:val="true"/>
        </w:rPr>
        <w:t>في أن الرواية النبويّة المعروفة</w:t>
      </w:r>
      <w:r>
        <w:rPr>
          <w:rtl w:val="true"/>
        </w:rPr>
        <w:t>: «</w:t>
      </w:r>
      <w:r>
        <w:rPr>
          <w:rtl w:val="true"/>
        </w:rPr>
        <w:t>على اليد ما أخذت حتّى تؤدّي</w:t>
      </w:r>
      <w:r>
        <w:rPr>
          <w:rtl w:val="true"/>
        </w:rPr>
        <w:t xml:space="preserve">» </w:t>
      </w:r>
      <w:r>
        <w:rPr>
          <w:rtl w:val="true"/>
        </w:rPr>
        <w:t>لم يروها أحد من أصحابنا</w:t>
      </w:r>
      <w:r>
        <w:rPr>
          <w:rtl w:val="true"/>
        </w:rPr>
        <w:t>]</w:t>
      </w:r>
      <w:bookmarkEnd w:id="8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النبويّة المعروفة في كتب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يروها أحد من أصحابنا، و ليس مرويّا في طرقنا، و لا مرويّا في شي‌ء من جوامع حديثنا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تفحّصت كثيرا عن سنده، فإذا هي ممّا تفرّدت بها العامّة بسند ينتهي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الشقيّ المذكور في حديث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ردّ على رسول اللّه صلّى اللّه عليه و آله في هذه القضيّة أحد عشر مرّة حتّى أغاظ الحليم الذي لا توازن السماوات و الأرض حلمه، و شنايع هذا الشقيّ تظهر من كتبنا و كتب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خليفة زياد بن أبيه في الكوفة إذا كان زياد في البصرة، و خليفته في البصرة إذا كان زياد في الكوفة، فيكون غالبا ستّة أشهر في إحداهما و ستّة في الأخرى، و استخلفه على البصرة و أتى الكوفة، فجاء و قد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آلاف من الناس،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تخاف أن تكون قتلت أحدا بريئا؟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قتلت مثلهم ما خشيت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من شرطة ابن زياد و كان أيّام مسير أبي عبد اللّه الحسين عليه السّلام إلى العراق يحرّض الناس على الخروج إلى قتاله، كما في شرح نهج البلاغة لابن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أعطاه معاوية مأة ألف درهم على أن يروي ما يأتي فلم يقبل، فأعطاه مأتي ألف فلم يقبل، ثم ثلاثمائة ألف فلم يقبل، فأعطاه أربعمائة ألف درهم فقبل و روى خطيبا في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نزلت هذه الآية في حق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يعجبك قوله في الحياة الدنيا و يشهد اللّه على ما في قلبه و هو ألدّ الخصام و إذا تولّى سعى في الأرض ليفسد فيها و يهلك الحرث و النسل و اللّه لا يحبّ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الآية التالية لها نزلت في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شجّ رأس ناقة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روضة الكافي عن أبي عبد اللّه عليه السّلام أنّه كانت ناقة رسول اللّه صلّى اللّه عليه و آله القصوى إذا نزل عنها علّق زمامها، فتخرج فتأتي المسلمين فيناولها الرجل بشي‌ء و يناولها هذا بشي‌ء فلا تلبث أن تشبع، فأدخلت رأسها في خباء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 عنزة، فضرب بها على رأسها فشجّها، فخرجت إلى النبيّ صلّى اللّه عليه و آله فشكته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ممّا نقل عن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أسوء عنده من معاوية و عمرو بن العاص و أشباههما، حيث نقل في روضة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للزند و بستي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اتبرّك </w:t>
      </w:r>
      <w:r>
        <w:rPr>
          <w:rStyle w:val="FootnoteAnchor"/>
          <w:rtl w:val="true"/>
        </w:rPr>
        <w:footnoteReference w:id="8"/>
      </w:r>
      <w:r>
        <w:rPr>
          <w:rFonts w:ascii="Amiri" w:hAnsi="Amiri" w:eastAsia="Amiri" w:cs="Amiri"/>
          <w:color w:val="111111"/>
          <w:sz w:val="28"/>
          <w:sz w:val="28"/>
          <w:szCs w:val="28"/>
          <w:rtl w:val="true"/>
          <w:lang w:bidi="ar-SA"/>
        </w:rPr>
        <w:t>قول الصحابة، إلّا بقول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أبو هريرة،</w:t>
      </w:r>
    </w:p>
    <w:p>
      <w:pPr>
        <w:pStyle w:val="BookText"/>
        <w:rPr/>
      </w:pPr>
      <w:r>
        <w:rPr>
          <w:rFonts w:ascii="Amiri" w:hAnsi="Amiri" w:eastAsia="Amiri" w:cs="Amiri"/>
          <w:color w:val="111111"/>
          <w:sz w:val="28"/>
          <w:sz w:val="28"/>
          <w:szCs w:val="28"/>
          <w:rtl w:val="true"/>
          <w:lang w:bidi="ar-SA"/>
        </w:rPr>
        <w:t>و أنس بن مالك، و سمرة بن 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هذا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رواية الحسن عن سمرة حديث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خللا من جهة أخرى، و هي أنّ المحقّقين من محدّثي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سماع الحسن من سمرة، و لا لقائه له، ففي الحديث إرسال و الواسطة 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عن الحسن أنّه كثيرا ما يسند الحديث إلى غير ما سمعه منه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فلان، يريد أنّه نقل عن فلان و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استعمال هذه اللّفظة فيمن لم يسمع عنه غير صحيح، و لذا لا يعتبر المحدّثون المدقّقون الحديث المعنعن في درجة ما صرّح فيها بالسماع و التحديث، و يلتزمون بإعادة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راو راو، إلّا أنّ الحسن كان يدلّس حتّى مع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كتب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الحسن البصري و اسم أبيه يسار بالتحتانية و المهملة،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فقيه، فاضل، مشهور، و كان يرسل كثيرا و يدلّس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يروي عن جماعة لم يسمع منهم فيتجوّز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 خطبنا، يعني قومه الذين حدّثوا و خطبوا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غيره أيضا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بمثل هذا الحديث الذي رواه المدلّس عن مجهول عن ملحد ممّا يعيّن القول بأنّ المدار في حجيّة الخبر و وجوب العمل كون الخبر موثوقا بصدوره محفوفا بما يفيد الاطمئنان بصدقه، و ليس مقصورا على خصوص المرويّ عن الإمامي العدل الثقة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يعجبني التنبيه على قاعدة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فيها تجرّي الجماعة المخالفين لنا في دينهم و أحاديثهم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بالغ القوم في الثناء على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شدّة احتياطه و تورّعه و أنّ كتابه أصحّ الكتب بعد كتاب اللّه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هذا المحتاط المتورّع في صحيحه عن هذا الشقيّ المخذول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أشباهه من الفسقة الفجرة من الصحابة بالكلّية المدّعاة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الثابتة بطلانها</w:t>
      </w:r>
    </w:p>
    <w:p>
      <w:pPr>
        <w:pStyle w:val="BookText"/>
        <w:rPr/>
      </w:pPr>
      <w:r>
        <w:rPr>
          <w:rFonts w:ascii="Amiri" w:hAnsi="Amiri" w:eastAsia="Amiri" w:cs="Amiri"/>
          <w:color w:val="111111"/>
          <w:sz w:val="28"/>
          <w:sz w:val="28"/>
          <w:szCs w:val="28"/>
          <w:rtl w:val="true"/>
          <w:lang w:bidi="ar-SA"/>
        </w:rPr>
        <w:t>و كذبها برواياتهم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الصحابة كلّهم 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نقل البخاري عن غير الصحابي من المشهورين بأنواع الفسوق عن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مادح ابن ملجم و المثنى عليه فيما ارتكبه في الأبيات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أشباههم، إلّا أنّه تورّع و احتاط من النقل عن سيّدنا و مولانا الصادق عليه السّلام لتوقّفه و شكّه في وثاقته و صدق لهجته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بلغه عن يحيى ابن سعيد القطّان أنّه قال في حقّه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نفسي منه عليه السّلام شي‌ء و مجالد أحبّ إليّ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يعجبني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قضية أشبه بالمرزئة هذا البخاري إمام الفئة</w:t>
      </w:r>
    </w:p>
    <w:p>
      <w:pPr>
        <w:pStyle w:val="BookText"/>
        <w:rPr/>
      </w:pPr>
      <w:r>
        <w:rPr>
          <w:rFonts w:ascii="Amiri" w:hAnsi="Amiri" w:eastAsia="Amiri" w:cs="Amiri"/>
          <w:color w:val="111111"/>
          <w:sz w:val="28"/>
          <w:sz w:val="28"/>
          <w:szCs w:val="28"/>
          <w:rtl w:val="true"/>
          <w:lang w:bidi="ar-SA"/>
        </w:rPr>
        <w:t>بالصادق الصديق ما احتجّ في صحيحه و احتجّ بالمرجئة</w:t>
      </w:r>
    </w:p>
    <w:p>
      <w:pPr>
        <w:pStyle w:val="BookText"/>
        <w:rPr/>
      </w:pPr>
      <w:r>
        <w:rPr>
          <w:rFonts w:ascii="Amiri" w:hAnsi="Amiri" w:eastAsia="Amiri" w:cs="Amiri"/>
          <w:color w:val="111111"/>
          <w:sz w:val="28"/>
          <w:sz w:val="28"/>
          <w:szCs w:val="28"/>
          <w:rtl w:val="true"/>
          <w:lang w:bidi="ar-SA"/>
        </w:rPr>
        <w:t>و مثل عمران بن حطّان أو مروان و ابن المرأة المخطئة</w:t>
      </w:r>
    </w:p>
    <w:p>
      <w:pPr>
        <w:pStyle w:val="BookText"/>
        <w:rPr/>
      </w:pPr>
      <w:r>
        <w:rPr>
          <w:rFonts w:ascii="Amiri" w:hAnsi="Amiri" w:eastAsia="Amiri" w:cs="Amiri"/>
          <w:color w:val="111111"/>
          <w:sz w:val="28"/>
          <w:sz w:val="28"/>
          <w:szCs w:val="28"/>
          <w:rtl w:val="true"/>
          <w:lang w:bidi="ar-SA"/>
        </w:rPr>
        <w:t>مثكلة ذات عوار إلى حيرة أرباب النهي ملجئة</w:t>
      </w:r>
    </w:p>
    <w:p>
      <w:pPr>
        <w:pStyle w:val="BookText"/>
        <w:rPr/>
      </w:pPr>
      <w:r>
        <w:rPr>
          <w:rFonts w:ascii="Amiri" w:hAnsi="Amiri" w:eastAsia="Amiri" w:cs="Amiri"/>
          <w:color w:val="111111"/>
          <w:sz w:val="28"/>
          <w:sz w:val="28"/>
          <w:szCs w:val="28"/>
          <w:rtl w:val="true"/>
          <w:lang w:bidi="ar-SA"/>
        </w:rPr>
        <w:t>و حقّ بيت يمّمته الورى مغذّة في السير أو مبطئه</w:t>
      </w:r>
    </w:p>
    <w:p>
      <w:pPr>
        <w:pStyle w:val="BookText"/>
        <w:rPr/>
      </w:pPr>
      <w:r>
        <w:rPr>
          <w:rFonts w:ascii="Amiri" w:hAnsi="Amiri" w:eastAsia="Amiri" w:cs="Amiri"/>
          <w:color w:val="111111"/>
          <w:sz w:val="28"/>
          <w:sz w:val="28"/>
          <w:szCs w:val="28"/>
          <w:rtl w:val="true"/>
          <w:lang w:bidi="ar-SA"/>
        </w:rPr>
        <w:t>إنّ الامام الصادق المجتبى بفضله الآي أتت منبئه</w:t>
      </w:r>
    </w:p>
    <w:p>
      <w:pPr>
        <w:pStyle w:val="BookText"/>
        <w:rPr/>
      </w:pPr>
      <w:r>
        <w:rPr>
          <w:rFonts w:ascii="Amiri" w:hAnsi="Amiri" w:eastAsia="Amiri" w:cs="Amiri"/>
          <w:color w:val="111111"/>
          <w:sz w:val="28"/>
          <w:sz w:val="28"/>
          <w:szCs w:val="28"/>
          <w:rtl w:val="true"/>
          <w:lang w:bidi="ar-SA"/>
        </w:rPr>
        <w:t>أجلّ من في عصره رتبة لم يقترف في عمره سيّئة</w:t>
      </w:r>
    </w:p>
    <w:p>
      <w:pPr>
        <w:pStyle w:val="BookText"/>
        <w:rPr/>
      </w:pPr>
      <w:r>
        <w:rPr>
          <w:rFonts w:ascii="Amiri" w:hAnsi="Amiri" w:eastAsia="Amiri" w:cs="Amiri"/>
          <w:color w:val="111111"/>
          <w:sz w:val="28"/>
          <w:sz w:val="28"/>
          <w:szCs w:val="28"/>
          <w:rtl w:val="true"/>
          <w:lang w:bidi="ar-SA"/>
        </w:rPr>
        <w:t>قلامة من ظفر إبهامه تعدل من مثل البخاري مائة</w:t>
      </w:r>
    </w:p>
    <w:p>
      <w:pPr>
        <w:pStyle w:val="BookText"/>
        <w:rPr/>
      </w:pPr>
      <w:r>
        <w:rPr>
          <w:rFonts w:ascii="Amiri" w:hAnsi="Amiri" w:eastAsia="Amiri" w:cs="Amiri"/>
          <w:color w:val="111111"/>
          <w:sz w:val="28"/>
          <w:sz w:val="28"/>
          <w:szCs w:val="28"/>
          <w:rtl w:val="true"/>
          <w:lang w:bidi="ar-SA"/>
        </w:rPr>
        <w:t>و مجالد هذا الذي فضّله القطّان عليه عليه السّلام ضعيف عند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حنبل أنّه ليس بشي‌ء، يرفع كثيرا ممّا لا يرفع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بالقوي و عن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بن سعيد يضعّفه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فلينظر العاقل إلى هذا التعصّب الفاحش من ترجيح القطّان مجالدا الذي كان ضعيفا عنده على مثل الامام الصادق عليه السّلام فيا لها من كلمة تكاد السماوات أن يتفطّرن لها و تنشقّ الأرض و تخرّ الجبال 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العلّة في اختيار القطّان مجالدا عند ملاحظة النسبة أنّه كان مجالدا يرمى بالتشيّع، و هو القادح العظيم فيه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موجودة في كتاب من لا يحضره الفقيه و قد ذكر الشيخ 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في أول كتاب الإرث عن الفقيه مرسلا عن رسول اللّه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 و لا ضرار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علي القاضي الطباطبائي</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سمى الميتاء</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عليه النبي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image" Target="media/image2.jpeg"/><Relationship Id="rId41" Type="http://schemas.openxmlformats.org/officeDocument/2006/relationships/image" Target="media/image2.jpeg"/><Relationship Id="rId42" Type="http://schemas.openxmlformats.org/officeDocument/2006/relationships/footer" Target="footer35.xml"/><Relationship Id="rId43" Type="http://schemas.openxmlformats.org/officeDocument/2006/relationships/footnotes" Target="footnotes.xml"/><Relationship Id="rId44" Type="http://schemas.openxmlformats.org/officeDocument/2006/relationships/numbering" Target="numbering.xml"/><Relationship Id="rId45" Type="http://schemas.openxmlformats.org/officeDocument/2006/relationships/fontTable" Target="fontTable.xml"/><Relationship Id="rId46" Type="http://schemas.openxmlformats.org/officeDocument/2006/relationships/settings" Target="settings.xml"/><Relationship Id="rId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Pages>
  <Words>10615</Words>
  <Characters>41734</Characters>
  <CharactersWithSpaces>52082</CharactersWithSpaces>
  <Paragraphs>311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2026-08-16T19:39:40Z</dcterms:created>
  <dc:creator>ghaemiyeh.com</dc:creator>
  <dc:description/>
  <dc:language>en-US</dc:language>
  <cp:lastModifiedBy/>
  <dcterms:modified xsi:type="dcterms:W3CDTF">2026-08-16T23:09:41Z</dcterms:modified>
  <cp:revision>1</cp:revision>
  <dc:subject/>
  <dc:title>قاعده لاضرر</dc:title>
</cp:coreProperties>
</file>

<file path=docProps/custom.xml><?xml version="1.0" encoding="utf-8"?>
<Properties xmlns="http://schemas.openxmlformats.org/officeDocument/2006/custom-properties" xmlns:vt="http://schemas.openxmlformats.org/officeDocument/2006/docPropsVTypes"/>
</file>