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التعلیقه علی ریاض المسائل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8727_3650668749">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26872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68731_3650668749">
            <w:r>
              <w:rPr>
                <w:webHidden/>
                <w:rStyle w:val="IndexLink"/>
                <w:rtl w:val="true"/>
              </w:rPr>
              <w:t>مقدمة التحقیق</w:t>
            </w:r>
            <w:r>
              <w:rPr>
                <w:rStyle w:val="IndexLink"/>
                <w:rtl w:val="true"/>
              </w:rPr>
              <w:tab/>
            </w:r>
            <w:r>
              <w:rPr>
                <w:rStyle w:val="IndexLink"/>
              </w:rPr>
              <w:t>13</w:t>
            </w:r>
          </w:hyperlink>
        </w:p>
        <w:p>
          <w:pPr>
            <w:pStyle w:val="Contents3"/>
            <w:tabs>
              <w:tab w:val="clear" w:pos="8459"/>
              <w:tab w:val="right" w:pos="9026" w:leader="dot"/>
            </w:tabs>
            <w:rPr/>
          </w:pPr>
          <w:hyperlink w:anchor="__RefHeading___Toc3268733_365066874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268735_3650668749">
            <w:r>
              <w:rPr>
                <w:webHidden/>
                <w:rStyle w:val="IndexLink"/>
                <w:rtl w:val="true"/>
              </w:rPr>
              <w:t>النسخ المعتمدة</w:t>
            </w:r>
            <w:r>
              <w:rPr>
                <w:rStyle w:val="IndexLink"/>
                <w:rtl w:val="true"/>
              </w:rPr>
              <w:tab/>
            </w:r>
            <w:r>
              <w:rPr>
                <w:rStyle w:val="IndexLink"/>
              </w:rPr>
              <w:t>14</w:t>
            </w:r>
          </w:hyperlink>
        </w:p>
        <w:p>
          <w:pPr>
            <w:pStyle w:val="Contents3"/>
            <w:tabs>
              <w:tab w:val="clear" w:pos="8459"/>
              <w:tab w:val="right" w:pos="9026" w:leader="dot"/>
            </w:tabs>
            <w:rPr/>
          </w:pPr>
          <w:hyperlink w:anchor="__RefHeading___Toc3268737_3650668749">
            <w:r>
              <w:rPr>
                <w:webHidden/>
                <w:rStyle w:val="IndexLink"/>
                <w:rtl w:val="true"/>
              </w:rPr>
              <w:t xml:space="preserve">شکر وتقدیر </w:t>
            </w:r>
            <w:r>
              <w:rPr>
                <w:rStyle w:val="IndexLink"/>
                <w:rtl w:val="true"/>
              </w:rPr>
              <w:t>:</w:t>
              <w:tab/>
            </w:r>
            <w:r>
              <w:rPr>
                <w:rStyle w:val="IndexLink"/>
              </w:rPr>
              <w:t>16</w:t>
            </w:r>
          </w:hyperlink>
        </w:p>
        <w:p>
          <w:pPr>
            <w:pStyle w:val="Contents2"/>
            <w:tabs>
              <w:tab w:val="clear" w:pos="8743"/>
              <w:tab w:val="right" w:pos="9026" w:leader="dot"/>
            </w:tabs>
            <w:rPr/>
          </w:pPr>
          <w:hyperlink w:anchor="__RefHeading___Toc3268739_3650668749">
            <w:r>
              <w:rPr>
                <w:webHidden/>
                <w:rStyle w:val="IndexLink"/>
                <w:rtl w:val="true"/>
              </w:rPr>
              <w:t>لمحة من حیاة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3268741_3650668749">
            <w:r>
              <w:rPr>
                <w:webHidden/>
                <w:rStyle w:val="IndexLink"/>
                <w:rtl w:val="true"/>
              </w:rPr>
              <w:t xml:space="preserve">النسب الطاهر </w:t>
            </w:r>
            <w:r>
              <w:rPr>
                <w:rStyle w:val="IndexLink"/>
                <w:rtl w:val="true"/>
              </w:rPr>
              <w:t>:</w:t>
              <w:tab/>
            </w:r>
            <w:r>
              <w:rPr>
                <w:rStyle w:val="IndexLink"/>
              </w:rPr>
              <w:t>17</w:t>
            </w:r>
          </w:hyperlink>
        </w:p>
        <w:p>
          <w:pPr>
            <w:pStyle w:val="Contents3"/>
            <w:tabs>
              <w:tab w:val="clear" w:pos="8459"/>
              <w:tab w:val="right" w:pos="9026" w:leader="dot"/>
            </w:tabs>
            <w:rPr/>
          </w:pPr>
          <w:hyperlink w:anchor="__RefHeading___Toc3268743_3650668749">
            <w:r>
              <w:rPr>
                <w:webHidden/>
                <w:rStyle w:val="IndexLink"/>
                <w:rtl w:val="true"/>
              </w:rPr>
              <w:t xml:space="preserve">مولده ونشأته </w:t>
            </w:r>
            <w:r>
              <w:rPr>
                <w:rStyle w:val="IndexLink"/>
                <w:rtl w:val="true"/>
              </w:rPr>
              <w:t>:</w:t>
              <w:tab/>
            </w:r>
            <w:r>
              <w:rPr>
                <w:rStyle w:val="IndexLink"/>
              </w:rPr>
              <w:t>17</w:t>
            </w:r>
          </w:hyperlink>
        </w:p>
        <w:p>
          <w:pPr>
            <w:pStyle w:val="Contents3"/>
            <w:tabs>
              <w:tab w:val="clear" w:pos="8459"/>
              <w:tab w:val="right" w:pos="9026" w:leader="dot"/>
            </w:tabs>
            <w:rPr/>
          </w:pPr>
          <w:hyperlink w:anchor="__RefHeading___Toc3268745_3650668749">
            <w:r>
              <w:rPr>
                <w:webHidden/>
                <w:rStyle w:val="IndexLink"/>
                <w:rtl w:val="true"/>
              </w:rPr>
              <w:t xml:space="preserve">مشائخه وأساتذته </w:t>
            </w:r>
            <w:r>
              <w:rPr>
                <w:rStyle w:val="IndexLink"/>
                <w:rtl w:val="true"/>
              </w:rPr>
              <w:t>:</w:t>
              <w:tab/>
            </w:r>
            <w:r>
              <w:rPr>
                <w:rStyle w:val="IndexLink"/>
              </w:rPr>
              <w:t>17</w:t>
            </w:r>
          </w:hyperlink>
        </w:p>
        <w:p>
          <w:pPr>
            <w:pStyle w:val="Contents3"/>
            <w:tabs>
              <w:tab w:val="clear" w:pos="8459"/>
              <w:tab w:val="right" w:pos="9026" w:leader="dot"/>
            </w:tabs>
            <w:rPr/>
          </w:pPr>
          <w:hyperlink w:anchor="__RefHeading___Toc3268747_3650668749">
            <w:r>
              <w:rPr>
                <w:webHidden/>
                <w:rStyle w:val="IndexLink"/>
                <w:rtl w:val="true"/>
              </w:rPr>
              <w:t xml:space="preserve">تلامذته </w:t>
            </w:r>
            <w:r>
              <w:rPr>
                <w:rStyle w:val="IndexLink"/>
                <w:rtl w:val="true"/>
              </w:rPr>
              <w:t>:</w:t>
              <w:tab/>
            </w:r>
            <w:r>
              <w:rPr>
                <w:rStyle w:val="IndexLink"/>
              </w:rPr>
              <w:t>18</w:t>
            </w:r>
          </w:hyperlink>
        </w:p>
        <w:p>
          <w:pPr>
            <w:pStyle w:val="Contents3"/>
            <w:tabs>
              <w:tab w:val="clear" w:pos="8459"/>
              <w:tab w:val="right" w:pos="9026" w:leader="dot"/>
            </w:tabs>
            <w:rPr/>
          </w:pPr>
          <w:hyperlink w:anchor="__RefHeading___Toc3268749_3650668749">
            <w:r>
              <w:rPr>
                <w:webHidden/>
                <w:rStyle w:val="IndexLink"/>
                <w:rtl w:val="true"/>
              </w:rPr>
              <w:t xml:space="preserve">مؤلفاته ومصنفاته </w:t>
            </w:r>
            <w:r>
              <w:rPr>
                <w:rStyle w:val="IndexLink"/>
                <w:rtl w:val="true"/>
              </w:rPr>
              <w:t>:</w:t>
              <w:tab/>
            </w:r>
            <w:r>
              <w:rPr>
                <w:rStyle w:val="IndexLink"/>
              </w:rPr>
              <w:t>19</w:t>
            </w:r>
          </w:hyperlink>
        </w:p>
        <w:p>
          <w:pPr>
            <w:pStyle w:val="Contents3"/>
            <w:tabs>
              <w:tab w:val="clear" w:pos="8459"/>
              <w:tab w:val="right" w:pos="9026" w:leader="dot"/>
            </w:tabs>
            <w:rPr/>
          </w:pPr>
          <w:hyperlink w:anchor="__RefHeading___Toc3268751_3650668749">
            <w:r>
              <w:rPr>
                <w:webHidden/>
                <w:rStyle w:val="IndexLink"/>
                <w:rtl w:val="true"/>
              </w:rPr>
              <w:t xml:space="preserve">لارستان دار الهجرة </w:t>
            </w:r>
            <w:r>
              <w:rPr>
                <w:rStyle w:val="IndexLink"/>
                <w:rtl w:val="true"/>
              </w:rPr>
              <w:t>:</w:t>
              <w:tab/>
            </w:r>
            <w:r>
              <w:rPr>
                <w:rStyle w:val="IndexLink"/>
              </w:rPr>
              <w:t>19</w:t>
            </w:r>
          </w:hyperlink>
        </w:p>
        <w:p>
          <w:pPr>
            <w:pStyle w:val="Contents3"/>
            <w:tabs>
              <w:tab w:val="clear" w:pos="8459"/>
              <w:tab w:val="right" w:pos="9026" w:leader="dot"/>
            </w:tabs>
            <w:rPr/>
          </w:pPr>
          <w:hyperlink w:anchor="__RefHeading___Toc3268753_3650668749">
            <w:r>
              <w:rPr>
                <w:webHidden/>
                <w:rStyle w:val="IndexLink"/>
                <w:rtl w:val="true"/>
              </w:rPr>
              <w:t xml:space="preserve">میادین جهاده </w:t>
            </w:r>
            <w:r>
              <w:rPr>
                <w:rStyle w:val="IndexLink"/>
                <w:rtl w:val="true"/>
              </w:rPr>
              <w:t>:</w:t>
              <w:tab/>
            </w:r>
            <w:r>
              <w:rPr>
                <w:rStyle w:val="IndexLink"/>
              </w:rPr>
              <w:t>19</w:t>
            </w:r>
          </w:hyperlink>
        </w:p>
        <w:p>
          <w:pPr>
            <w:pStyle w:val="Contents3"/>
            <w:tabs>
              <w:tab w:val="clear" w:pos="8459"/>
              <w:tab w:val="right" w:pos="9026" w:leader="dot"/>
            </w:tabs>
            <w:rPr/>
          </w:pPr>
          <w:hyperlink w:anchor="__RefHeading___Toc3268755_3650668749">
            <w:r>
              <w:rPr>
                <w:webHidden/>
                <w:rStyle w:val="IndexLink"/>
                <w:rtl w:val="true"/>
              </w:rPr>
              <w:t xml:space="preserve">جهرم دار هجرة ومدفن </w:t>
            </w:r>
            <w:r>
              <w:rPr>
                <w:rStyle w:val="IndexLink"/>
                <w:rtl w:val="true"/>
              </w:rPr>
              <w:t>:</w:t>
              <w:tab/>
            </w:r>
            <w:r>
              <w:rPr>
                <w:rStyle w:val="IndexLink"/>
              </w:rPr>
              <w:t>21</w:t>
            </w:r>
          </w:hyperlink>
        </w:p>
        <w:p>
          <w:pPr>
            <w:pStyle w:val="Contents2"/>
            <w:tabs>
              <w:tab w:val="clear" w:pos="8743"/>
              <w:tab w:val="right" w:pos="9026" w:leader="dot"/>
            </w:tabs>
            <w:rPr/>
          </w:pPr>
          <w:hyperlink w:anchor="__RefHeading___Toc3268757_3650668749">
            <w:r>
              <w:rPr>
                <w:webHidden/>
                <w:rStyle w:val="IndexLink"/>
                <w:rtl w:val="true"/>
              </w:rPr>
              <w:t>کتاب الطهارة</w:t>
            </w:r>
            <w:r>
              <w:rPr>
                <w:rStyle w:val="IndexLink"/>
                <w:rtl w:val="true"/>
              </w:rPr>
              <w:tab/>
            </w:r>
            <w:r>
              <w:rPr>
                <w:rStyle w:val="IndexLink"/>
              </w:rPr>
              <w:t>24</w:t>
            </w:r>
          </w:hyperlink>
        </w:p>
        <w:p>
          <w:pPr>
            <w:pStyle w:val="Contents3"/>
            <w:tabs>
              <w:tab w:val="clear" w:pos="8459"/>
              <w:tab w:val="right" w:pos="9026" w:leader="dot"/>
            </w:tabs>
            <w:rPr/>
          </w:pPr>
          <w:hyperlink w:anchor="__RefHeading___Toc3268759_365066874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268761_3650668749">
            <w:r>
              <w:rPr>
                <w:webHidden/>
                <w:rStyle w:val="IndexLink"/>
                <w:rtl w:val="true"/>
              </w:rPr>
              <w:t xml:space="preserve">الرکن الأول </w:t>
            </w:r>
            <w:r>
              <w:rPr>
                <w:rStyle w:val="IndexLink"/>
                <w:rtl w:val="true"/>
              </w:rPr>
              <w:t xml:space="preserve">: </w:t>
            </w:r>
            <w:r>
              <w:rPr>
                <w:rStyle w:val="IndexLink"/>
                <w:rtl w:val="true"/>
              </w:rPr>
              <w:t>فی المیاه</w:t>
            </w:r>
            <w:r>
              <w:rPr>
                <w:rStyle w:val="IndexLink"/>
                <w:rtl w:val="true"/>
              </w:rPr>
              <w:tab/>
            </w:r>
            <w:r>
              <w:rPr>
                <w:rStyle w:val="IndexLink"/>
              </w:rPr>
              <w:t>26</w:t>
            </w:r>
          </w:hyperlink>
        </w:p>
        <w:p>
          <w:pPr>
            <w:pStyle w:val="Contents4"/>
            <w:tabs>
              <w:tab w:val="clear" w:pos="8176"/>
              <w:tab w:val="right" w:pos="9026" w:leader="dot"/>
            </w:tabs>
            <w:rPr/>
          </w:pPr>
          <w:hyperlink w:anchor="__RefHeading___Toc3268763_365066874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268765_3650668749">
            <w:r>
              <w:rPr>
                <w:webHidden/>
                <w:rStyle w:val="IndexLink"/>
                <w:rtl w:val="true"/>
              </w:rPr>
              <w:t>فی بعض ما یستح فی الخاطر القاصر من التعلیق علی الریاض</w:t>
            </w:r>
            <w:r>
              <w:rPr>
                <w:rStyle w:val="IndexLink"/>
                <w:rtl w:val="true"/>
              </w:rPr>
              <w:tab/>
            </w:r>
            <w:r>
              <w:rPr>
                <w:rStyle w:val="IndexLink"/>
              </w:rPr>
              <w:t>26</w:t>
            </w:r>
          </w:hyperlink>
        </w:p>
        <w:p>
          <w:pPr>
            <w:pStyle w:val="Contents3"/>
            <w:tabs>
              <w:tab w:val="clear" w:pos="8459"/>
              <w:tab w:val="right" w:pos="9026" w:leader="dot"/>
            </w:tabs>
            <w:rPr/>
          </w:pPr>
          <w:hyperlink w:anchor="__RefHeading___Toc3268767_3650668749">
            <w:r>
              <w:rPr>
                <w:webHidden/>
                <w:rStyle w:val="IndexLink"/>
                <w:rtl w:val="true"/>
              </w:rPr>
              <w:t>الرکن الثانی</w:t>
            </w:r>
            <w:r>
              <w:rPr>
                <w:rStyle w:val="IndexLink"/>
                <w:rtl w:val="true"/>
              </w:rPr>
              <w:t xml:space="preserve">: </w:t>
            </w:r>
            <w:r>
              <w:rPr>
                <w:rStyle w:val="IndexLink"/>
                <w:rtl w:val="true"/>
              </w:rPr>
              <w:t>فی الطهارة المائیة</w:t>
            </w:r>
            <w:r>
              <w:rPr>
                <w:rStyle w:val="IndexLink"/>
                <w:rtl w:val="true"/>
              </w:rPr>
              <w:tab/>
            </w:r>
            <w:r>
              <w:rPr>
                <w:rStyle w:val="IndexLink"/>
              </w:rPr>
              <w:t>64</w:t>
            </w:r>
          </w:hyperlink>
        </w:p>
        <w:p>
          <w:pPr>
            <w:pStyle w:val="Contents3"/>
            <w:tabs>
              <w:tab w:val="clear" w:pos="8459"/>
              <w:tab w:val="right" w:pos="9026" w:leader="dot"/>
            </w:tabs>
            <w:rPr/>
          </w:pPr>
          <w:hyperlink w:anchor="__RefHeading___Toc3268769_3650668749">
            <w:r>
              <w:rPr>
                <w:webHidden/>
                <w:rStyle w:val="IndexLink"/>
                <w:rtl w:val="true"/>
              </w:rPr>
              <w:t xml:space="preserve">الأول </w:t>
            </w:r>
            <w:r>
              <w:rPr>
                <w:rStyle w:val="IndexLink"/>
                <w:rtl w:val="true"/>
              </w:rPr>
              <w:t xml:space="preserve">: </w:t>
            </w:r>
            <w:r>
              <w:rPr>
                <w:rStyle w:val="IndexLink"/>
                <w:rtl w:val="true"/>
              </w:rPr>
              <w:t>غسل الجنابة</w:t>
            </w:r>
            <w:r>
              <w:rPr>
                <w:rStyle w:val="IndexLink"/>
                <w:rtl w:val="true"/>
              </w:rPr>
              <w:tab/>
            </w:r>
            <w:r>
              <w:rPr>
                <w:rStyle w:val="IndexLink"/>
              </w:rPr>
              <w:t>107</w:t>
            </w:r>
          </w:hyperlink>
        </w:p>
        <w:p>
          <w:pPr>
            <w:pStyle w:val="Contents3"/>
            <w:tabs>
              <w:tab w:val="clear" w:pos="8459"/>
              <w:tab w:val="right" w:pos="9026" w:leader="dot"/>
            </w:tabs>
            <w:rPr/>
          </w:pPr>
          <w:hyperlink w:anchor="__RefHeading___Toc3268771_3650668749">
            <w:r>
              <w:rPr>
                <w:webHidden/>
                <w:rStyle w:val="IndexLink"/>
                <w:rtl w:val="true"/>
              </w:rPr>
              <w:t xml:space="preserve">الثانی </w:t>
            </w:r>
            <w:r>
              <w:rPr>
                <w:rStyle w:val="IndexLink"/>
                <w:rtl w:val="true"/>
              </w:rPr>
              <w:t xml:space="preserve">: </w:t>
            </w:r>
            <w:r>
              <w:rPr>
                <w:rStyle w:val="IndexLink"/>
                <w:rtl w:val="true"/>
              </w:rPr>
              <w:t>غسل الحیض</w:t>
            </w:r>
            <w:r>
              <w:rPr>
                <w:rStyle w:val="IndexLink"/>
                <w:rtl w:val="true"/>
              </w:rPr>
              <w:tab/>
            </w:r>
            <w:r>
              <w:rPr>
                <w:rStyle w:val="IndexLink"/>
              </w:rPr>
              <w:t>128</w:t>
            </w:r>
          </w:hyperlink>
        </w:p>
        <w:p>
          <w:pPr>
            <w:pStyle w:val="Contents3"/>
            <w:tabs>
              <w:tab w:val="clear" w:pos="8459"/>
              <w:tab w:val="right" w:pos="9026" w:leader="dot"/>
            </w:tabs>
            <w:rPr/>
          </w:pPr>
          <w:hyperlink w:anchor="__RefHeading___Toc3268773_3650668749">
            <w:r>
              <w:rPr>
                <w:webHidden/>
                <w:rStyle w:val="IndexLink"/>
                <w:rtl w:val="true"/>
              </w:rPr>
              <w:t xml:space="preserve">الثالث </w:t>
            </w:r>
            <w:r>
              <w:rPr>
                <w:rStyle w:val="IndexLink"/>
                <w:rtl w:val="true"/>
              </w:rPr>
              <w:t xml:space="preserve">: </w:t>
            </w:r>
            <w:r>
              <w:rPr>
                <w:rStyle w:val="IndexLink"/>
                <w:rtl w:val="true"/>
              </w:rPr>
              <w:t>غسل الاستحاضة</w:t>
            </w:r>
            <w:r>
              <w:rPr>
                <w:rStyle w:val="IndexLink"/>
                <w:rtl w:val="true"/>
              </w:rPr>
              <w:tab/>
            </w:r>
            <w:r>
              <w:rPr>
                <w:rStyle w:val="IndexLink"/>
              </w:rPr>
              <w:t>211</w:t>
            </w:r>
          </w:hyperlink>
        </w:p>
        <w:p>
          <w:pPr>
            <w:pStyle w:val="Contents3"/>
            <w:tabs>
              <w:tab w:val="clear" w:pos="8459"/>
              <w:tab w:val="right" w:pos="9026" w:leader="dot"/>
            </w:tabs>
            <w:rPr/>
          </w:pPr>
          <w:hyperlink w:anchor="__RefHeading___Toc3268775_3650668749">
            <w:r>
              <w:rPr>
                <w:webHidden/>
                <w:rStyle w:val="IndexLink"/>
                <w:rtl w:val="true"/>
              </w:rPr>
              <w:t xml:space="preserve">الرابع </w:t>
            </w:r>
            <w:r>
              <w:rPr>
                <w:rStyle w:val="IndexLink"/>
                <w:rtl w:val="true"/>
              </w:rPr>
              <w:t xml:space="preserve">: </w:t>
            </w:r>
            <w:r>
              <w:rPr>
                <w:rStyle w:val="IndexLink"/>
                <w:rtl w:val="true"/>
              </w:rPr>
              <w:t>غسل النفاس</w:t>
            </w:r>
            <w:r>
              <w:rPr>
                <w:rStyle w:val="IndexLink"/>
                <w:rtl w:val="true"/>
              </w:rPr>
              <w:tab/>
            </w:r>
            <w:r>
              <w:rPr>
                <w:rStyle w:val="IndexLink"/>
              </w:rPr>
              <w:t>222</w:t>
            </w:r>
          </w:hyperlink>
        </w:p>
        <w:p>
          <w:pPr>
            <w:pStyle w:val="Contents3"/>
            <w:tabs>
              <w:tab w:val="clear" w:pos="8459"/>
              <w:tab w:val="right" w:pos="9026" w:leader="dot"/>
            </w:tabs>
            <w:rPr/>
          </w:pPr>
          <w:hyperlink w:anchor="__RefHeading___Toc3268777_3650668749">
            <w:r>
              <w:rPr>
                <w:webHidden/>
                <w:rStyle w:val="IndexLink"/>
                <w:rtl w:val="true"/>
              </w:rPr>
              <w:t xml:space="preserve">الخامس </w:t>
            </w:r>
            <w:r>
              <w:rPr>
                <w:rStyle w:val="IndexLink"/>
                <w:rtl w:val="true"/>
              </w:rPr>
              <w:t xml:space="preserve">: </w:t>
            </w:r>
            <w:r>
              <w:rPr>
                <w:rStyle w:val="IndexLink"/>
                <w:rtl w:val="true"/>
              </w:rPr>
              <w:t>غسل الأموات</w:t>
            </w:r>
            <w:r>
              <w:rPr>
                <w:rStyle w:val="IndexLink"/>
                <w:rtl w:val="true"/>
              </w:rPr>
              <w:tab/>
            </w:r>
            <w:r>
              <w:rPr>
                <w:rStyle w:val="IndexLink"/>
              </w:rPr>
              <w:t>233</w:t>
            </w:r>
          </w:hyperlink>
        </w:p>
        <w:p>
          <w:pPr>
            <w:pStyle w:val="Contents3"/>
            <w:tabs>
              <w:tab w:val="clear" w:pos="8459"/>
              <w:tab w:val="right" w:pos="9026" w:leader="dot"/>
            </w:tabs>
            <w:rPr/>
          </w:pPr>
          <w:hyperlink w:anchor="__RefHeading___Toc3268779_3650668749">
            <w:r>
              <w:rPr>
                <w:webHidden/>
                <w:rStyle w:val="IndexLink"/>
                <w:rtl w:val="true"/>
              </w:rPr>
              <w:t xml:space="preserve">السادس </w:t>
            </w:r>
            <w:r>
              <w:rPr>
                <w:rStyle w:val="IndexLink"/>
                <w:rtl w:val="true"/>
              </w:rPr>
              <w:t xml:space="preserve">: </w:t>
            </w:r>
            <w:r>
              <w:rPr>
                <w:rStyle w:val="IndexLink"/>
                <w:rtl w:val="true"/>
              </w:rPr>
              <w:t>غسل مس المیت</w:t>
            </w:r>
            <w:r>
              <w:rPr>
                <w:rStyle w:val="IndexLink"/>
                <w:rtl w:val="true"/>
              </w:rPr>
              <w:tab/>
            </w:r>
            <w:r>
              <w:rPr>
                <w:rStyle w:val="IndexLink"/>
              </w:rPr>
              <w:t>328</w:t>
            </w:r>
          </w:hyperlink>
        </w:p>
        <w:p>
          <w:pPr>
            <w:pStyle w:val="Contents3"/>
            <w:tabs>
              <w:tab w:val="clear" w:pos="8459"/>
              <w:tab w:val="right" w:pos="9026" w:leader="dot"/>
            </w:tabs>
            <w:rPr/>
          </w:pPr>
          <w:hyperlink w:anchor="__RefHeading___Toc3268781_3650668749">
            <w:r>
              <w:rPr>
                <w:webHidden/>
                <w:rStyle w:val="IndexLink"/>
                <w:rtl w:val="true"/>
              </w:rPr>
              <w:t>الأغسال المندوبة</w:t>
            </w:r>
            <w:r>
              <w:rPr>
                <w:rStyle w:val="IndexLink"/>
                <w:rtl w:val="true"/>
              </w:rPr>
              <w:tab/>
            </w:r>
            <w:r>
              <w:rPr>
                <w:rStyle w:val="IndexLink"/>
              </w:rPr>
              <w:t>333</w:t>
            </w:r>
          </w:hyperlink>
        </w:p>
        <w:p>
          <w:pPr>
            <w:pStyle w:val="Contents3"/>
            <w:tabs>
              <w:tab w:val="clear" w:pos="8459"/>
              <w:tab w:val="right" w:pos="9026" w:leader="dot"/>
            </w:tabs>
            <w:rPr/>
          </w:pPr>
          <w:hyperlink w:anchor="__RefHeading___Toc3268783_3650668749">
            <w:r>
              <w:rPr>
                <w:webHidden/>
                <w:rStyle w:val="IndexLink"/>
                <w:rtl w:val="true"/>
              </w:rPr>
              <w:t>الرکن الثالث</w:t>
            </w:r>
            <w:r>
              <w:rPr>
                <w:rStyle w:val="IndexLink"/>
                <w:rtl w:val="true"/>
              </w:rPr>
              <w:t>:</w:t>
            </w:r>
            <w:r>
              <w:rPr>
                <w:rStyle w:val="IndexLink"/>
                <w:rtl w:val="true"/>
              </w:rPr>
              <w:t xml:space="preserve">فی الطهارة الترابیة </w:t>
            </w:r>
            <w:r>
              <w:rPr>
                <w:rStyle w:val="IndexLink"/>
                <w:rtl w:val="true"/>
              </w:rPr>
              <w:t>[</w:t>
            </w:r>
            <w:r>
              <w:rPr>
                <w:rStyle w:val="IndexLink"/>
                <w:rtl w:val="true"/>
              </w:rPr>
              <w:t xml:space="preserve">التیمم </w:t>
            </w:r>
            <w:r>
              <w:rPr>
                <w:rStyle w:val="IndexLink"/>
                <w:rtl w:val="true"/>
              </w:rPr>
              <w:t>]</w:t>
              <w:tab/>
            </w:r>
            <w:r>
              <w:rPr>
                <w:rStyle w:val="IndexLink"/>
              </w:rPr>
              <w:t>336</w:t>
            </w:r>
          </w:hyperlink>
        </w:p>
        <w:p>
          <w:pPr>
            <w:pStyle w:val="Contents3"/>
            <w:tabs>
              <w:tab w:val="clear" w:pos="8459"/>
              <w:tab w:val="right" w:pos="9026" w:leader="dot"/>
            </w:tabs>
            <w:rPr/>
          </w:pPr>
          <w:hyperlink w:anchor="__RefHeading___Toc3268785_3650668749">
            <w:r>
              <w:rPr>
                <w:webHidden/>
                <w:rStyle w:val="IndexLink"/>
                <w:rtl w:val="true"/>
              </w:rPr>
              <w:t xml:space="preserve">الرکن الرابع </w:t>
            </w:r>
            <w:r>
              <w:rPr>
                <w:rStyle w:val="IndexLink"/>
                <w:rtl w:val="true"/>
              </w:rPr>
              <w:t xml:space="preserve">: </w:t>
            </w:r>
            <w:r>
              <w:rPr>
                <w:rStyle w:val="IndexLink"/>
                <w:rtl w:val="true"/>
              </w:rPr>
              <w:t>فی النجاسات</w:t>
            </w:r>
            <w:r>
              <w:rPr>
                <w:rStyle w:val="IndexLink"/>
                <w:rtl w:val="true"/>
              </w:rPr>
              <w:tab/>
            </w:r>
            <w:r>
              <w:rPr>
                <w:rStyle w:val="IndexLink"/>
              </w:rPr>
              <w:t>341</w:t>
            </w:r>
          </w:hyperlink>
        </w:p>
        <w:p>
          <w:pPr>
            <w:pStyle w:val="Contents2"/>
            <w:tabs>
              <w:tab w:val="clear" w:pos="8743"/>
              <w:tab w:val="right" w:pos="9026" w:leader="dot"/>
            </w:tabs>
            <w:rPr/>
          </w:pPr>
          <w:hyperlink w:anchor="__RefHeading___Toc3268787_3650668749">
            <w:r>
              <w:rPr>
                <w:webHidden/>
                <w:rStyle w:val="IndexLink"/>
                <w:rtl w:val="true"/>
              </w:rPr>
              <w:t>کتاب الصلاة</w:t>
            </w:r>
            <w:r>
              <w:rPr>
                <w:rStyle w:val="IndexLink"/>
                <w:rtl w:val="true"/>
              </w:rPr>
              <w:tab/>
            </w:r>
            <w:r>
              <w:rPr>
                <w:rStyle w:val="IndexLink"/>
              </w:rPr>
              <w:t>358</w:t>
            </w:r>
          </w:hyperlink>
        </w:p>
        <w:p>
          <w:pPr>
            <w:pStyle w:val="Contents2"/>
            <w:tabs>
              <w:tab w:val="clear" w:pos="8743"/>
              <w:tab w:val="right" w:pos="9026" w:leader="dot"/>
            </w:tabs>
            <w:rPr/>
          </w:pPr>
          <w:hyperlink w:anchor="__RefHeading___Toc3268789_3650668749">
            <w:r>
              <w:rPr>
                <w:webHidden/>
                <w:rStyle w:val="IndexLink"/>
                <w:rtl w:val="true"/>
              </w:rPr>
              <w:t>کتاب التجارة</w:t>
            </w:r>
            <w:r>
              <w:rPr>
                <w:rStyle w:val="IndexLink"/>
                <w:rtl w:val="true"/>
              </w:rPr>
              <w:tab/>
            </w:r>
            <w:r>
              <w:rPr>
                <w:rStyle w:val="IndexLink"/>
              </w:rPr>
              <w:t>450</w:t>
            </w:r>
          </w:hyperlink>
        </w:p>
        <w:p>
          <w:pPr>
            <w:pStyle w:val="Contents2"/>
            <w:tabs>
              <w:tab w:val="clear" w:pos="8743"/>
              <w:tab w:val="right" w:pos="9026" w:leader="dot"/>
            </w:tabs>
            <w:rPr/>
          </w:pPr>
          <w:hyperlink w:anchor="__RefHeading___Toc3268791_3650668749">
            <w:r>
              <w:rPr>
                <w:webHidden/>
                <w:rStyle w:val="IndexLink"/>
                <w:rtl w:val="true"/>
              </w:rPr>
              <w:t>کتاب المواریث</w:t>
            </w:r>
            <w:r>
              <w:rPr>
                <w:rStyle w:val="IndexLink"/>
                <w:rtl w:val="true"/>
              </w:rPr>
              <w:tab/>
            </w:r>
            <w:r>
              <w:rPr>
                <w:rStyle w:val="IndexLink"/>
              </w:rPr>
              <w:t>454</w:t>
            </w:r>
          </w:hyperlink>
        </w:p>
        <w:p>
          <w:pPr>
            <w:pStyle w:val="Contents2"/>
            <w:tabs>
              <w:tab w:val="clear" w:pos="8743"/>
              <w:tab w:val="right" w:pos="9026" w:leader="dot"/>
            </w:tabs>
            <w:rPr/>
          </w:pPr>
          <w:hyperlink w:anchor="__RefHeading___Toc3268793_3650668749">
            <w:r>
              <w:rPr>
                <w:webHidden/>
                <w:rStyle w:val="IndexLink"/>
                <w:rtl w:val="true"/>
              </w:rPr>
              <w:t>کتاب القضاء</w:t>
            </w:r>
            <w:r>
              <w:rPr>
                <w:rStyle w:val="IndexLink"/>
                <w:rtl w:val="true"/>
              </w:rPr>
              <w:tab/>
            </w:r>
            <w:r>
              <w:rPr>
                <w:rStyle w:val="IndexLink"/>
              </w:rPr>
              <w:t>466</w:t>
            </w:r>
          </w:hyperlink>
        </w:p>
        <w:p>
          <w:pPr>
            <w:pStyle w:val="Contents2"/>
            <w:tabs>
              <w:tab w:val="clear" w:pos="8743"/>
              <w:tab w:val="right" w:pos="9026" w:leader="dot"/>
            </w:tabs>
            <w:rPr/>
          </w:pPr>
          <w:hyperlink w:anchor="__RefHeading___Toc3268795_3650668749">
            <w:r>
              <w:rPr>
                <w:webHidden/>
                <w:rStyle w:val="IndexLink"/>
                <w:rtl w:val="true"/>
              </w:rPr>
              <w:t>کتاب الشهادات</w:t>
            </w:r>
            <w:r>
              <w:rPr>
                <w:rStyle w:val="IndexLink"/>
                <w:rtl w:val="true"/>
              </w:rPr>
              <w:tab/>
            </w:r>
            <w:r>
              <w:rPr>
                <w:rStyle w:val="IndexLink"/>
              </w:rPr>
              <w:t>474</w:t>
            </w:r>
          </w:hyperlink>
        </w:p>
        <w:p>
          <w:pPr>
            <w:pStyle w:val="Contents2"/>
            <w:tabs>
              <w:tab w:val="clear" w:pos="8743"/>
              <w:tab w:val="right" w:pos="9026" w:leader="dot"/>
            </w:tabs>
            <w:rPr/>
          </w:pPr>
          <w:hyperlink w:anchor="__RefHeading___Toc3268797_3650668749">
            <w:r>
              <w:rPr>
                <w:webHidden/>
                <w:rStyle w:val="IndexLink"/>
                <w:rtl w:val="true"/>
              </w:rPr>
              <w:t>کتاب الحدودوالتعزیرات</w:t>
            </w:r>
            <w:r>
              <w:rPr>
                <w:rStyle w:val="IndexLink"/>
                <w:rtl w:val="true"/>
              </w:rPr>
              <w:tab/>
            </w:r>
            <w:r>
              <w:rPr>
                <w:rStyle w:val="IndexLink"/>
              </w:rPr>
              <w:t>486</w:t>
            </w:r>
          </w:hyperlink>
        </w:p>
        <w:p>
          <w:pPr>
            <w:pStyle w:val="Contents2"/>
            <w:tabs>
              <w:tab w:val="clear" w:pos="8743"/>
              <w:tab w:val="right" w:pos="9026" w:leader="dot"/>
            </w:tabs>
            <w:rPr/>
          </w:pPr>
          <w:hyperlink w:anchor="__RefHeading___Toc3268799_3650668749">
            <w:r>
              <w:rPr>
                <w:webHidden/>
                <w:rStyle w:val="IndexLink"/>
                <w:rtl w:val="true"/>
              </w:rPr>
              <w:t>کتاب القصاص</w:t>
            </w:r>
            <w:r>
              <w:rPr>
                <w:rStyle w:val="IndexLink"/>
                <w:rtl w:val="true"/>
              </w:rPr>
              <w:tab/>
            </w:r>
            <w:r>
              <w:rPr>
                <w:rStyle w:val="IndexLink"/>
              </w:rPr>
              <w:t>504</w:t>
            </w:r>
          </w:hyperlink>
        </w:p>
        <w:p>
          <w:pPr>
            <w:pStyle w:val="Contents2"/>
            <w:tabs>
              <w:tab w:val="clear" w:pos="8743"/>
              <w:tab w:val="right" w:pos="9026" w:leader="dot"/>
            </w:tabs>
            <w:rPr/>
          </w:pPr>
          <w:hyperlink w:anchor="__RefHeading___Toc3268801_3650668749">
            <w:r>
              <w:rPr>
                <w:webHidden/>
                <w:rStyle w:val="IndexLink"/>
                <w:rtl w:val="true"/>
              </w:rPr>
              <w:t>کتاب الدیات</w:t>
            </w:r>
            <w:r>
              <w:rPr>
                <w:rStyle w:val="IndexLink"/>
                <w:rtl w:val="true"/>
              </w:rPr>
              <w:tab/>
            </w:r>
            <w:r>
              <w:rPr>
                <w:rStyle w:val="IndexLink"/>
              </w:rPr>
              <w:t>518</w:t>
            </w:r>
          </w:hyperlink>
        </w:p>
        <w:p>
          <w:pPr>
            <w:pStyle w:val="Contents2"/>
            <w:tabs>
              <w:tab w:val="clear" w:pos="8743"/>
              <w:tab w:val="right" w:pos="9026" w:leader="dot"/>
            </w:tabs>
            <w:rPr/>
          </w:pPr>
          <w:hyperlink w:anchor="__RefHeading___Toc3268803_3650668749">
            <w:r>
              <w:rPr>
                <w:webHidden/>
                <w:rStyle w:val="IndexLink"/>
                <w:rtl w:val="true"/>
              </w:rPr>
              <w:t>فهارس الموضوعات</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3_24374"/>
      <w:bookmarkStart w:id="1" w:name="pg1903_24374"/>
      <w:bookmarkEnd w:id="1"/>
    </w:p>
    <w:p>
      <w:pPr>
        <w:pStyle w:val="Heading2"/>
        <w:numPr>
          <w:ilvl w:val="1"/>
          <w:numId w:val="1"/>
        </w:numPr>
        <w:rPr/>
      </w:pPr>
      <w:bookmarkStart w:id="2" w:name="pg1903_24374"/>
      <w:bookmarkStart w:id="3" w:name="__RefHeading___Toc3268727_3650668749"/>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التعلیقه علی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موتمر احیاآ ذکری آیه‌الله المجاهد السید عبدالحسین اللاری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ریاض المسائل و حیاض الدلائل طباطبایی کربلایی که خود شرحی است بر المختصر النافع محقق حلی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به‌مناسبت کنگره برزگداشت آیت‌الله سید عبدالحسین لاری،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و حیاض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طباطبایی کربلایی، علی‌بن محمد 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و حیاض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کربلایی، علی‌بن محمد 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و حیاض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آیت‌الله عبدالحسین لاری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30218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5894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8729_365066874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التعلیقه علی ریاض المسائل</w:t>
      </w:r>
    </w:p>
    <w:p>
      <w:pPr>
        <w:pStyle w:val="BookText"/>
        <w:rPr/>
      </w:pPr>
      <w:r>
        <w:rPr>
          <w:rFonts w:ascii="IRNazanin" w:hAnsi="IRNazanin" w:eastAsia="IRNazanin"/>
          <w:color w:val="111111"/>
          <w:sz w:val="28"/>
          <w:sz w:val="28"/>
          <w:szCs w:val="28"/>
          <w:rtl w:val="true"/>
          <w:lang w:bidi="fa-IR"/>
        </w:rPr>
        <w:t>تالیف آیة الله المجاهد السیّد عبدالحسین اللاری قدس سره</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اللجنة العلميّة للمؤتمر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المعارف 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تکریم العلماء والفقهاء الذین حرسوا الثقافة الدینیة فی عصر الغیبة الکبری بجهادهم العلمی والعملی یعدّ من الأنشطة القیّمة التی نشاهدها أبان انتصار الثورة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تکریم العلماء الأوحدین لیس تجلیلاً للعلم والعالم فقط ، بل انّه کاشف عن حقیقة مهمة ، وهی أنّ حیاة الثقافة الاسلامیّة علی مرّ العصور والقرون کانت مدینة إلی جهود ومساعی أولئک العلماء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اطّلاع جیلنا علی هذه الحقیقة سوف یکون سبباً لکی یشدّ رجال الغدّ أحزمة عزیمتهم لحفظ الثقافة الاسلامیة والوطنیة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العلماء الذین خاضوا ساحات العلم والثقافة الدینیّة ، وحملوا رایات مقارعة الاستعمار الأجنبی ، هو آیة الله المجاهد السید عبد الحسین اللاری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شخصیة السید السیاسیة والجهادیة معروفة لدی الجمیع ، وأمّا منزلته العلمیة والاجتهادیة لا یعرفها سوی بعض الخواص ، ومن هنا بادرت وزارة الثقافة والارشاد الاسلامی إلی تشکیل مؤتمراً تکریمیّاً لذکری السید اللاری تلبیة النداء قائد الثورة الاسلامیة آیة الله العظمی السیّد علی الخامنئی وعملاً بأوامره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بین یدیک هو نتیجة جهود بذلتها الهیئة العلمیة للمؤتمر ، خاصّة الجنة قم ، ومسؤولی مؤسسة المعارف الاسلامیة فی قم الّذین مدّوا الهیئة بعونهم الفائق ، والهدف من هذه الجهود هو تعریف مصنفات السید اللاری ومؤلّفاته ، </w:t>
      </w:r>
    </w:p>
    <w:p>
      <w:pPr>
        <w:pStyle w:val="BookText"/>
        <w:rPr/>
      </w:pPr>
      <w:r>
        <w:rPr>
          <w:rFonts w:ascii="IRNazanin" w:hAnsi="IRNazanin" w:eastAsia="IRNazanin"/>
          <w:color w:val="111111"/>
          <w:sz w:val="28"/>
          <w:sz w:val="28"/>
          <w:szCs w:val="28"/>
          <w:rtl w:val="true"/>
          <w:lang w:bidi="fa-IR"/>
        </w:rPr>
        <w:t xml:space="preserve">و تشیید مقامه العلمی والاجتهادی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ساعدنا علی إقامة هذا المؤتمر وبهذا النحو الممتاز خاصّة النتاج العلمی فیه ، هو التوجّه الخاص وامداد قائد الثورة الاسلامیة آیة الله العظمی السید علی الخامنئی اتیانا ، ومن ثمّ عنایة السیّد رئیس الجمهوریة بنا، ومساعدة وزیر الثقافة والارشاد الاسلامی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أتحفنا بعنایته ومساعدته أحفاد السیّد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سماحة آیة الله السیّد عبد العلی آیة اللهی ، سماحة حجة الاسلام والمسلمین السیّد مجتبی الموسوی اللاری ، سماحة حجّة الاسلام والمسلمین السیّد حسین النسابة وسماحة حجة الاسلام والمسلمین السیّد عبد الحسین آیة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سماحة حجّة الاسلام والمسلمین السیّد حسین آیة اللهی حفظهم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إلاّ بالله</w:t>
      </w:r>
    </w:p>
    <w:p>
      <w:pPr>
        <w:pStyle w:val="BookText"/>
        <w:rPr/>
      </w:pPr>
      <w:r>
        <w:rPr>
          <w:rFonts w:ascii="IRNazanin" w:hAnsi="IRNazanin" w:eastAsia="IRNazanin"/>
          <w:color w:val="111111"/>
          <w:sz w:val="28"/>
          <w:sz w:val="28"/>
          <w:szCs w:val="28"/>
          <w:rtl w:val="true"/>
          <w:lang w:bidi="fa-IR"/>
        </w:rPr>
        <w:t>الأمین العام للمؤتمر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إبراهیم الأنصاری اللاری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وسیّد المرسلین، سیّدنا محمد، رسول الله المصطفی ، وعلی آله الطیبیّن الأئمة الهداة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لقد بزغ عبر التاریخ رجال وعظماء غیّروا بنتاجهم وجهادهم مسیرة التاریخ حیث انهم لم یعبؤوا بشیء ولم یهابوا طغیان الظالمین فی سبیل إعلاء کلمة الاسلام وإجراء أحکامه المثالیّة و تطبیقها، وبذلک أناروا درب الهدایة والرشاد لشعوبهم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هؤلاء العظماء الذین قادوا الحرکات والثورات التحرّریة الجهادیة لأمتّهم ، کانوا یمتازون بخصال وصفات فریدة مثل التقی والورع والشجاعة والاستقامة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هذه المیزات والخصال الحمیدة، وبسالتهم الفائقة فی تبیین وإراءة السبیل الوحید لهدایّة المجتمعات ، تتجلّی أکثر وضوحاً لمّا تقترن هذه القیادات و تتّصف بالقیم العلمیّة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واحداً من أولئک العظماء والقادة الذی تربّع سدرة الجهاد والاجتهاد ، و تسنّم قمم المبارزة والفقاهة هو آیة الله العظمی المجاهد السیّد عبد الحسین النجفی اللاری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المؤسف انّنا نری عند الحدیث عن السیّد یشار فقط إلی الجنبة الجهادیة والنضالیة من حیاته ، ولم تلاحظ الجنبة الاجتهادیة والفقاهتیة ومعطیاته العلمیة ، وان السیّد فی هذه الجهة بقی منسیّاً حتی أنّ من الله عزّ وجلّ علینا بإقامة هذا المؤتمر تخلیداً لذکراه المجیدة ، وذلک حسب توجیهات قائد الثورة الاسلامیة سماحة آیة الله السیّد علی الخامنئی دام ظله ، فاستخرجت نتاجات السیّد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المخطوطة والمطبوعة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مکامنها فی المکتبات العامّة وزوایا </w:t>
      </w:r>
    </w:p>
    <w:p>
      <w:pPr>
        <w:pStyle w:val="BookText"/>
        <w:rPr/>
      </w:pPr>
      <w:r>
        <w:rPr>
          <w:rFonts w:ascii="IRNazanin" w:hAnsi="IRNazanin" w:eastAsia="IRNazanin"/>
          <w:color w:val="111111"/>
          <w:sz w:val="28"/>
          <w:sz w:val="28"/>
          <w:szCs w:val="28"/>
          <w:rtl w:val="true"/>
          <w:lang w:bidi="fa-IR"/>
        </w:rPr>
        <w:t>البیوتات ، واهتم السادة المحقّقون والعلماء ذوو الفضل بتحقیقها ، وبذلک عُلِم بأنّ السیّد اللاری لم یکن بطلاً شجاعاً و مجاهداً ذا باع فی المیدان العملی والجهادی فحسب ، بل انّه کان فقیهاً نحریراً و مجتهداً قدیرة فی میادین العلم والاجتهاد و الفقاهة ، وصاحب قلم ورأی سدید فی مجالات التحقیق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 جهابذة العلم والفضل الذین اطّلعوا علی مؤلفات السیّد و تقریراته الفقهیّة والأصولیة والذین أخذوا منه العلم شهدوا وأذعنوا بانّ السیّد کان صاحب آراء سدیدة وعمیقة و مستحدثة یمکن أن تکون باباً لتطبیق أحکام الاسلام فی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المنطلق لمّا أبدی سماحة الأمین العام للمؤتمر الأخ محمّد إبراهیم الأنصاری اللاری اقتراحاً بتأسیس مکتب خاص لهذا المؤتمر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بإحیاء کتب السید ورسائله ، لم نکن نتوقّع أن نلمّ المتشتّت من مصنّفات السیّد وننهی هذا العمل الضخم خلال هذه المدّة القصیرة، خصوصاً وان أکثر ما حصلنا علیه من تلک المصنّفات کان إمّا نسخ خطّیة أو صور فتوغرافیة أخذت علی بعض النسخ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شملتنا عنایة الربّ الجلیل ولطفه ، وعزیمة العلماء الأفاضل، والمحقّقین الأماجد ومساعدتهم الدؤوبة لنا ، وخاصّة مساعدة مؤسسة المعارف الاسلامیة بقم والتی أسسها المرحوم آیة الله السیّد عباس المهری ، وبالأخص مدیرها سماحة حجة الاسلام والمسلمین السیّد إسماعیل المُهری حیث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نقدّم ما أنتجته الأمانة العامة للمؤتمر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تخلیداً لذکری آیة الله المجاهد السیّد عبدالحسین اللاری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للسادة الأفاضل والعلماء الکرام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ریاض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علی فرائد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فی أصول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 السلمانی بمراتب الخلفاء الرحمانی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السلمانی بحقائق الایمانی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تشریع الخیرة والتکلان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المحکم </w:t>
      </w:r>
    </w:p>
    <w:p>
      <w:pPr>
        <w:pStyle w:val="BookText"/>
        <w:rPr/>
      </w:pPr>
      <w:r>
        <w:rPr>
          <w:rFonts w:ascii="IRNazanin" w:hAnsi="IRNazanin" w:eastAsia="IRNazanin"/>
          <w:color w:val="111111"/>
          <w:sz w:val="28"/>
          <w:sz w:val="28"/>
          <w:szCs w:val="28"/>
          <w:rtl w:val="true"/>
          <w:lang w:bidi="fa-IR"/>
        </w:rPr>
        <w:t xml:space="preserve">والمتشابه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تقدیر المد والصاع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التعلیقة علی کتاب الصوم من مدارک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القصائد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أکسیر السعادة فی أسرار 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سؤال وجواب حول الأجناس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المشروطة المشروعة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القانون فی وحدة الدولة والأمة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بنا ذکره ان هذه المؤلّفات المدوّنة ما هی إلّا العدد القلیل ممّا کتبه سیّدنا اللاری من الرسائل والکتب والتعلیقات والحواشی التی ذکرت أسماؤها بالتفصیل فی الکتاب الذی دون خصیّصاً فی ترجمة حیاة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نقدم فائق شکرنا الی جمیع أصحاب السماحة والفضیلة الذین مدّوا ید العون الی الأمانة العامّة بقم المقدّسة وأتحفونا بمساعدتهم لنا، ونبتهل الی الله المنّان أن یمنّ علیهم بحسن التوفیق ودوامه، ورحمته الواسعة، ونخصّ بالذکر أصحاب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عبد العلی آیة اللهی إمام جمعة لار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السیّد عبدالحسین آیة اللهی،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السیّد مجتبی الموسوی اللاری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والمسلمین السیّد حسین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والمسلمین السیّد عبد الرسول الشریعتمداری الجهرمی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تجدر الاشارة إلیه أنّ هؤلاء السادة جمیعهم من أحفاد السیّد اللاری؛ بنوة ومصاهرة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الشیخ علی الکریمی الجهرمی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الشیخ حسین شب زنده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اللجنة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حبیب الله الموسوی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رحیمی نژاد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7" w:name="pg1905_24383"/>
    </w:p>
    <w:p>
      <w:pPr>
        <w:pStyle w:val="Heading2"/>
        <w:numPr>
          <w:ilvl w:val="1"/>
          <w:numId w:val="1"/>
        </w:numPr>
        <w:rPr/>
      </w:pPr>
      <w:bookmarkStart w:id="8" w:name="__RefHeading___Toc3268731_3650668749"/>
      <w:bookmarkStart w:id="9" w:name="_Toc3"/>
      <w:bookmarkEnd w:id="7"/>
      <w:bookmarkEnd w:id="8"/>
      <w:r>
        <w:rPr>
          <w:rtl w:val="true"/>
        </w:rPr>
        <w:t>مقدمة التحقیق</w:t>
      </w:r>
      <w:bookmarkEnd w:id="9"/>
    </w:p>
    <w:p>
      <w:pPr>
        <w:pStyle w:val="Heading3"/>
        <w:numPr>
          <w:ilvl w:val="2"/>
          <w:numId w:val="1"/>
        </w:numPr>
        <w:rPr/>
      </w:pPr>
      <w:bookmarkStart w:id="10" w:name="__RefHeading___Toc3268733_365066874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الاجتهاد بمفهومه الخاصّ عند أهل البیت علیهم السلام وشیعتهم لم یکن حصراً علی فئة خاصّة دون أخری ، کما علیه بعض الفرق الاسلامیة حیث سدّوا باب الاجتهاد وغلّقوه علی أتباعهم ، وبذلک انحصر عندهم الاجتهاد فی رجال معدودین ، فالاجتهاد کان متداولاً عند الإمامیة حتی فی عصر الأئمّة علیهم السلام حیث أمروا أصحابهم باستخراج الفروع من أصولها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بدایة الغیبة الکبری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تصاعدت حرکة الاجتهاد و تزاید نشاط العلماء والفقهاء باستخراج الأحکام الشرعیة والقوانین الاسلامیة من منابعها الرئیسیة، وقد ظهر فی تلک الفترة الزمنیة فحول وجهابذة متضلّعین فی الفقه والفقاهة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ظهر نجمهم فی سماء الفقه والاجتهاد فی القرن الحادی والثانی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التقی الورع العلامة المیر السید علی الطباطبائی ،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یعدّ السیّد علی الطباطبائی من النوابغ والفطاحل الّذین أحاطوا بالفقه وأصوله إحاطة تامّة بلغ منتهاها وغایتها ، حیث إنه ترک لمن یلیه من الفقهاء والمجتهدین ذخیرة عظیمة وروضة ثمینة وأسماها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وحیاض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بحق ریاض یتمّ فیها المتنقمون ، وحیاض یغوص فیها الغوّاصون لاستخراج روائحها الطیبة ، ولالاتها الجملیة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ساح وغاص سیّدنا المجاهد آیة الله السید عبد الحسین اللاری قدس سره فی قصور الریاض وبحور الحیاض ، فاستخرج در رها ، وقطف ثمارها ، وشیّد خیارها ، فهو بذلک أحکم 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علیها بتعلیقات علمیة شیّقة ، فقهیّة </w:t>
      </w:r>
      <w:bookmarkStart w:id="12" w:name="pg1905_24384"/>
    </w:p>
    <w:p>
      <w:pPr>
        <w:pStyle w:val="BookText"/>
        <w:rPr/>
      </w:pPr>
      <w:bookmarkEnd w:id="12"/>
      <w:r>
        <w:rPr>
          <w:rFonts w:ascii="IRNazanin" w:hAnsi="IRNazanin" w:eastAsia="IRNazanin"/>
          <w:color w:val="111111"/>
          <w:sz w:val="28"/>
          <w:sz w:val="28"/>
          <w:szCs w:val="28"/>
          <w:rtl w:val="true"/>
          <w:lang w:bidi="fa-IR"/>
        </w:rPr>
        <w:t xml:space="preserve">محکمة ، ثابتة أصولها بمیاه النقلین کتاب الله والعترة الطاهرة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السفر الخالد الذی بین یدیک هو تلک التعلیقات المشار إلیها ، والتی حضت بالصدار والوجاهة من بین سائر مؤلّفات سیّدنا اللاری ، ومنها تعرف سمو مقام مصتفها ، وعلو درجته ، وفخامة مجده ، وکرامة جدّه ، وقد باتت هذه التعلیقة کأخواتها من معطیات السیّد اللاری العلمیة ثلثا قرن منسیّة حتی أن قیّض الله عزّ وجلّ بعد هذه المدّة رجال و فضلاء اعتقدوا بضرورة إحیائها ، وإخراجها إلی حیّز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مطالعة هذا الکتاب یعرف القاریء الکریم مرتبة مؤلّفه العلمیة و درجته الاجتهادیة ، وعندما یدرس القاریء حیاة المؤلّف یذعن وکلّه عقیدة وإیمان بأن انتخابه من قبل المجّدد الشیرازی المیرزا محمد حسن لقیادة الشعب فی منطقة فارس لم یکن اعتباطاً ، وأنّ تأسف المجدّد علی خلوّ الحوزة العلمیة منه کان حاکیاً عن واقع ، وکاشفاً عن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یقع فی مجلدین کما ذکره العلّامة فرید دهره آغا بزرگ الطهرانی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القرن الرابع عشر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عداد مؤلّفات آیة الله المجاهد السیّد عبد الحسین اللاری قدس سره ، وکذا أشار تلمیذه الفاضل الحجّة الشیخ عبد الحمید مهاجری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 حسینی 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Heading3"/>
        <w:numPr>
          <w:ilvl w:val="2"/>
          <w:numId w:val="1"/>
        </w:numPr>
        <w:rPr/>
      </w:pPr>
      <w:bookmarkStart w:id="13" w:name="__RefHeading___Toc3268735_3650668749"/>
      <w:bookmarkStart w:id="14" w:name="_Toc5"/>
      <w:bookmarkEnd w:id="13"/>
      <w:r>
        <w:rPr>
          <w:rtl w:val="true"/>
        </w:rPr>
        <w:t>النسخ المعتمدة</w:t>
      </w:r>
      <w:bookmarkEnd w:id="14"/>
    </w:p>
    <w:p>
      <w:pPr>
        <w:pStyle w:val="BookText"/>
        <w:rPr/>
      </w:pPr>
      <w:r>
        <w:rPr>
          <w:rFonts w:ascii="IRNazanin" w:hAnsi="IRNazanin" w:eastAsia="IRNazanin"/>
          <w:color w:val="111111"/>
          <w:sz w:val="28"/>
          <w:sz w:val="28"/>
          <w:szCs w:val="28"/>
          <w:rtl w:val="true"/>
          <w:lang w:bidi="fa-IR"/>
        </w:rPr>
        <w:t xml:space="preserve">وقد اعتمدنا فی تحقیقنا لهذا السفر الخالد علی نسختین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نسخة ثمینة کتبت بخطّ المؤلف، تبدأ من کتاب الطهارة إلی آخر کتاب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توجد تعلیقة واحدة فقط فی کتاب التجارة، وکتب فی آخر صفحة عبارة تؤکّد عدم تمام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یبلغ مجموع صفحاتها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وهی محفوظة عند سماحة حجّة الاسلام والمسلمین السیّد عبد </w:t>
      </w:r>
    </w:p>
    <w:p>
      <w:pPr>
        <w:pStyle w:val="BookText"/>
        <w:rPr/>
      </w:pPr>
      <w:r>
        <w:rPr>
          <w:rFonts w:ascii="IRNazanin" w:hAnsi="IRNazanin" w:eastAsia="IRNazanin"/>
          <w:color w:val="111111"/>
          <w:sz w:val="28"/>
          <w:sz w:val="28"/>
          <w:szCs w:val="28"/>
          <w:rtl w:val="true"/>
          <w:lang w:bidi="fa-IR"/>
        </w:rPr>
        <w:t xml:space="preserve">الحسین آیة اللهی بن السیّد علی أکبر بن السید عبد الحسین ، والمعروف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والمقیم فی جهرم، حیث وضع سماحته هذه النسخة تحت اختیار المؤتمر ، فجزاه الله خیر جزاء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نسخة من کتاب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عند آیة الله السیّد عبد العلی آیة اللهی إمام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المحترم ، حیث تکرم علینا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منها، حیث کتب المؤلّف تعلیقاته علی هذه النسخة ، وهی تبدأ من کتاب النکاح إلی آخر کتاب الدیات ، وقد کتبت هذه التعلیقات بخطّ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عملنا فی هذه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الاستنساخ والمقابلة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قمنا فی هذه المرحلة باستنساخ النسخة الخطّیة ومقابلتها بالنسخة المصوّرة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قمنا بحذف بعض التعلیقات المکررة ، وقد أشرنا إلی ذلک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أنّ التعلیقات التی کتبها المرحوم اللاری فی النسخة الأولی لم تکن مرتّبة طبق عبارات الریاض ، لذا فقد قمنا بترتیبها وتبویبها وفق عبارات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أضفناه من الریاض أو من عندنا لأجل الحفاظ علی سیاق الکلام جعلناه بین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أشرنا لبعض موارد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النسخ والریاض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المهمّة منها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قمنا بمراجعة الآیات القرآنیة الواردة فی الکتاب ومطابقتها مع القرآن الکریم وأثبتناها کما ذکرت فی القرآن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الأحادیث والروایات الواردة فی الکتاب قمنا باستخراجها من المصادر الحدیثیة ، معتمدین فی ذلک علی کتاب الوسائل ، وما لم نجده فیه استخرجناه من المصادر الحدیثیة الأخری </w:t>
      </w:r>
      <w:r>
        <w:rPr>
          <w:rFonts w:eastAsia="IRNazanin" w:cs="IRNazanin"/>
          <w:color w:val="111111"/>
          <w:sz w:val="28"/>
          <w:szCs w:val="28"/>
          <w:rtl w:val="true"/>
          <w:lang w:bidi="fa-IR"/>
        </w:rPr>
        <w:t xml:space="preserve">. </w:t>
      </w:r>
      <w:bookmarkStart w:id="15" w:name="pg1905_24386"/>
    </w:p>
    <w:p>
      <w:pPr>
        <w:pStyle w:val="BookText"/>
        <w:rPr/>
      </w:pPr>
      <w:bookmarkEnd w:id="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النص علی قدر الوسع والإمکان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ندّعی اننا قد أدّینا ما علینا تجاه المؤلّف آیة الله المجاهد السید عبد الحسین اللاری، وکذلک تجاه الحوزات العلمیة والعلماء والفضلاء بأحسن صورة و علی أحسن شاکلة </w:t>
      </w:r>
      <w:r>
        <w:rPr>
          <w:rFonts w:eastAsia="IRNazanin" w:cs="IRNazanin"/>
          <w:color w:val="111111"/>
          <w:sz w:val="28"/>
          <w:szCs w:val="28"/>
          <w:rtl w:val="true"/>
          <w:lang w:bidi="fa-IR"/>
        </w:rPr>
        <w:t>.</w:t>
      </w:r>
    </w:p>
    <w:p>
      <w:pPr>
        <w:pStyle w:val="Heading3"/>
        <w:numPr>
          <w:ilvl w:val="2"/>
          <w:numId w:val="1"/>
        </w:numPr>
        <w:rPr/>
      </w:pPr>
      <w:bookmarkStart w:id="16" w:name="__RefHeading___Toc3268737_3650668749"/>
      <w:bookmarkStart w:id="17" w:name="_Toc6"/>
      <w:bookmarkEnd w:id="16"/>
      <w:r>
        <w:rPr>
          <w:rtl w:val="true"/>
        </w:rPr>
        <w:t xml:space="preserve">شکر وتقدیر </w:t>
      </w:r>
      <w:r>
        <w:rPr>
          <w:rtl w:val="true"/>
        </w:rPr>
        <w:t>:</w:t>
      </w:r>
      <w:bookmarkEnd w:id="17"/>
    </w:p>
    <w:p>
      <w:pPr>
        <w:pStyle w:val="BookText"/>
        <w:rPr/>
      </w:pPr>
      <w:r>
        <w:rPr>
          <w:rFonts w:ascii="IRNazanin" w:hAnsi="IRNazanin" w:eastAsia="IRNazanin"/>
          <w:color w:val="111111"/>
          <w:sz w:val="28"/>
          <w:sz w:val="28"/>
          <w:szCs w:val="28"/>
          <w:rtl w:val="true"/>
          <w:lang w:bidi="fa-IR"/>
        </w:rPr>
        <w:t xml:space="preserve">و تقدیراً للخدمات الجلیلة التی قام بها السادة المحقّقون فی تحقیق هذا السفر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لزاماً علینا أن نذکر اسماءهم وعمل کل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آغا اُوغلو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آغا اُوغلو ، أبو علی الحکّاک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استخراج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أبو أحمد آغا أوغلو ، أبو حیاة النعمانی ، أبو رعد ، السید طالب الموسوی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النص والاشراف علی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محمود الزنجانی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تنضید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التصحیح النهائی والاخراج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البدری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r>
        <w:rPr>
          <w:rFonts w:eastAsia="IRNazanin" w:cs="IRNazanin"/>
          <w:color w:val="111111"/>
          <w:sz w:val="28"/>
          <w:szCs w:val="28"/>
          <w:rtl w:val="true"/>
          <w:lang w:bidi="fa-IR"/>
        </w:rPr>
        <w:t xml:space="preserve">. </w:t>
      </w:r>
      <w:bookmarkStart w:id="18" w:name="pg1905_24387"/>
    </w:p>
    <w:p>
      <w:pPr>
        <w:pStyle w:val="Heading2"/>
        <w:numPr>
          <w:ilvl w:val="1"/>
          <w:numId w:val="1"/>
        </w:numPr>
        <w:rPr/>
      </w:pPr>
      <w:bookmarkStart w:id="19" w:name="__RefHeading___Toc3268739_3650668749"/>
      <w:bookmarkStart w:id="20" w:name="_Toc7"/>
      <w:bookmarkEnd w:id="18"/>
      <w:bookmarkEnd w:id="19"/>
      <w:r>
        <w:rPr>
          <w:rtl w:val="true"/>
        </w:rPr>
        <w:t>لمحة من حیاة المؤلف</w:t>
      </w:r>
      <w:bookmarkEnd w:id="20"/>
    </w:p>
    <w:p>
      <w:pPr>
        <w:pStyle w:val="Heading3"/>
        <w:numPr>
          <w:ilvl w:val="2"/>
          <w:numId w:val="1"/>
        </w:numPr>
        <w:rPr/>
      </w:pPr>
      <w:bookmarkStart w:id="21" w:name="__RefHeading___Toc3268741_3650668749"/>
      <w:bookmarkStart w:id="22" w:name="_Toc8"/>
      <w:bookmarkEnd w:id="21"/>
      <w:r>
        <w:rPr>
          <w:rtl w:val="true"/>
        </w:rPr>
        <w:t xml:space="preserve">النسب الطاهر </w:t>
      </w:r>
      <w:r>
        <w:rPr>
          <w:rtl w:val="true"/>
        </w:rPr>
        <w:t>:</w:t>
      </w:r>
      <w:bookmarkEnd w:id="22"/>
    </w:p>
    <w:p>
      <w:pPr>
        <w:pStyle w:val="BookText"/>
        <w:rPr/>
      </w:pPr>
      <w:r>
        <w:rPr>
          <w:rFonts w:ascii="IRNazanin" w:hAnsi="IRNazanin" w:eastAsia="IRNazanin"/>
          <w:color w:val="111111"/>
          <w:sz w:val="28"/>
          <w:sz w:val="28"/>
          <w:szCs w:val="28"/>
          <w:rtl w:val="true"/>
          <w:lang w:bidi="fa-IR"/>
        </w:rPr>
        <w:t xml:space="preserve">هو آیة الله العظمی المجاهد السیّد عبد الحسین بن السیّد عبدالله بن السید عبد الرحیم، ویصل نسبه إلی الشاه رکن الدین السیّد علی المدفون بدزفول و ثمّ إلی السید حمزة بن الإمام موسی بن جعفر الکاظم علیه السلام </w:t>
      </w:r>
      <w:r>
        <w:rPr>
          <w:rFonts w:eastAsia="IRNazanin" w:cs="IRNazanin"/>
          <w:color w:val="111111"/>
          <w:sz w:val="28"/>
          <w:szCs w:val="28"/>
          <w:rtl w:val="true"/>
          <w:lang w:bidi="fa-IR"/>
        </w:rPr>
        <w:t>.</w:t>
      </w:r>
    </w:p>
    <w:p>
      <w:pPr>
        <w:pStyle w:val="Heading3"/>
        <w:numPr>
          <w:ilvl w:val="2"/>
          <w:numId w:val="1"/>
        </w:numPr>
        <w:rPr/>
      </w:pPr>
      <w:bookmarkStart w:id="23" w:name="__RefHeading___Toc3268743_3650668749"/>
      <w:bookmarkStart w:id="24" w:name="_Toc9"/>
      <w:bookmarkEnd w:id="23"/>
      <w:r>
        <w:rPr>
          <w:rtl w:val="true"/>
        </w:rPr>
        <w:t xml:space="preserve">مولده ونشأته </w:t>
      </w:r>
      <w:r>
        <w:rPr>
          <w:rtl w:val="true"/>
        </w:rPr>
        <w:t>:</w:t>
      </w:r>
      <w:bookmarkEnd w:id="24"/>
    </w:p>
    <w:p>
      <w:pPr>
        <w:pStyle w:val="BookText"/>
        <w:rPr/>
      </w:pPr>
      <w:r>
        <w:rPr>
          <w:rFonts w:ascii="IRNazanin" w:hAnsi="IRNazanin" w:eastAsia="IRNazanin"/>
          <w:color w:val="111111"/>
          <w:sz w:val="28"/>
          <w:sz w:val="28"/>
          <w:szCs w:val="28"/>
          <w:rtl w:val="true"/>
          <w:lang w:bidi="fa-IR"/>
        </w:rPr>
        <w:t>ولد السیّد فی الثالث من صفر سنة</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النجف الأشرف ، وتربّی فی أحضان أبوین کریمین عالمین ، وترعرع فی بیت عرف بالسیادة والعلم والفضل والشجاعة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بلغ السابعة من عمره حتّی ارسله أبوه إلی المکتب التعلّم مبادیء القراءة والکتابة و تلاوة القرآن ، ولنبوغه الفائق أنهی هذه المرحلة التعلیمیة فی فترة قصیرة ، ثمّ التحق بالدراسة فی الحوزة العلمیة ، وأخذ العلم من أکابر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تقدّم سیّدنا اللاری علی أقرانه و شاع اسمه وصیته فی الأوساط العلمیة وعرف بهمتّه العالیة وانکبابه علی الدرس والبحث والتحقّیق والمناظرة ، وهذه الصفات کانت السبب فی أن یشار إلیه بالبنان، ویشتهر بقوة النظر وسرعة الاستنباط حتی أجیز بالاجتهاد وهو لم یزل فی العقد الثانی من عمره</w:t>
      </w:r>
      <w:r>
        <w:rPr>
          <w:rFonts w:eastAsia="IRNazanin" w:cs="IRNazanin"/>
          <w:color w:val="111111"/>
          <w:sz w:val="28"/>
          <w:szCs w:val="28"/>
          <w:rtl w:val="true"/>
          <w:lang w:bidi="fa-IR"/>
        </w:rPr>
        <w:t>.</w:t>
      </w:r>
    </w:p>
    <w:p>
      <w:pPr>
        <w:pStyle w:val="Heading3"/>
        <w:numPr>
          <w:ilvl w:val="2"/>
          <w:numId w:val="1"/>
        </w:numPr>
        <w:rPr/>
      </w:pPr>
      <w:bookmarkStart w:id="25" w:name="__RefHeading___Toc3268745_3650668749"/>
      <w:bookmarkStart w:id="26" w:name="_Toc10"/>
      <w:bookmarkEnd w:id="25"/>
      <w:r>
        <w:rPr>
          <w:rtl w:val="true"/>
        </w:rPr>
        <w:t xml:space="preserve">مشائخه وأساتذته </w:t>
      </w:r>
      <w:r>
        <w:rPr>
          <w:rtl w:val="true"/>
        </w:rPr>
        <w:t>:</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المجدد المیرزا محمد حسن الشیرازی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الفتوی المعروفة بتحریم التنباکو ، وهو ممّن صرّح باجتهاد سیّدنا اللاری </w:t>
      </w:r>
      <w:r>
        <w:rPr>
          <w:rFonts w:eastAsia="IRNazanin" w:cs="IRNazanin"/>
          <w:color w:val="111111"/>
          <w:sz w:val="28"/>
          <w:szCs w:val="28"/>
          <w:rtl w:val="true"/>
          <w:lang w:bidi="fa-IR"/>
        </w:rPr>
        <w:t xml:space="preserve">. </w:t>
      </w:r>
      <w:bookmarkStart w:id="27" w:name="pg1905_24388"/>
    </w:p>
    <w:p>
      <w:pPr>
        <w:pStyle w:val="BookText"/>
        <w:rPr/>
      </w:pPr>
      <w:bookmarkEnd w:id="2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الشیخ محمد حسین الکاظمینی المعاصر للشیخ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الشیخ محمد الایروانی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أجاز للسید اللاری بالاجتهاد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الشیخ لطف الله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أجاز للسید اللاری بالاجتهاد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الحکیم المتأله آیة الله الشیخ حسین قلی الهمدانی المعروف بسلوکه وزهده </w:t>
      </w:r>
      <w:r>
        <w:rPr>
          <w:rFonts w:eastAsia="IRNazanin" w:cs="IRNazanin"/>
          <w:color w:val="111111"/>
          <w:sz w:val="28"/>
          <w:szCs w:val="28"/>
          <w:rtl w:val="true"/>
          <w:lang w:bidi="fa-IR"/>
        </w:rPr>
        <w:t>.</w:t>
      </w:r>
    </w:p>
    <w:p>
      <w:pPr>
        <w:pStyle w:val="Heading3"/>
        <w:numPr>
          <w:ilvl w:val="2"/>
          <w:numId w:val="1"/>
        </w:numPr>
        <w:rPr/>
      </w:pPr>
      <w:bookmarkStart w:id="28" w:name="__RefHeading___Toc3268747_3650668749"/>
      <w:bookmarkStart w:id="29" w:name="_Toc11"/>
      <w:bookmarkEnd w:id="28"/>
      <w:r>
        <w:rPr>
          <w:rtl w:val="true"/>
        </w:rPr>
        <w:t xml:space="preserve">تلامذته </w:t>
      </w:r>
      <w:r>
        <w:rPr>
          <w:rtl w:val="true"/>
        </w:rPr>
        <w:t>:</w:t>
      </w:r>
      <w:bookmarkEnd w:id="29"/>
    </w:p>
    <w:p>
      <w:pPr>
        <w:pStyle w:val="BookText"/>
        <w:rPr/>
      </w:pPr>
      <w:r>
        <w:rPr>
          <w:rFonts w:ascii="IRNazanin" w:hAnsi="IRNazanin" w:eastAsia="IRNazanin"/>
          <w:color w:val="111111"/>
          <w:sz w:val="28"/>
          <w:sz w:val="28"/>
          <w:szCs w:val="28"/>
          <w:rtl w:val="true"/>
          <w:lang w:bidi="fa-IR"/>
        </w:rPr>
        <w:t xml:space="preserve">لم یذکر لنا التاریخ والتراجم أسماء طلابه الذین أخذوا منه العلم فی النجف الأشرف ولکن المعروفین فی دار هجرته لارستان کثیرون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الأکبر آیة الله العظمی السید عبد المحمد الذی تتلمذ علی الآخوند الخراسانی، کذلک وتقلد المرجعیة فی منطقة فارس بعد عوده ثانیة إلیها وعند وفاة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الأوسط آیة الله السید علی أکبر وقد استقر به المقام فی مدینة جهرم حتی وفاته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السید عبد الباقی الشیرازی وهو من بنی خؤولة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حجّه الاسلام السیّد محمد حسین المجتهد اللاری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السیّد أحمد المجتهد الفال الاسیری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السیّد عبد المحسن المُهری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السیّد أسد الله الأصفهانی الذی لازم السید فی أسفاره ورحلاته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السیّد محمد علی الشریعتمداری وهو ثالث أصهار سیّدنا </w:t>
      </w:r>
      <w:bookmarkStart w:id="30" w:name="pg1905_24389"/>
    </w:p>
    <w:p>
      <w:pPr>
        <w:pStyle w:val="BookText"/>
        <w:rPr/>
      </w:pPr>
      <w:bookmarkEnd w:id="30"/>
      <w:r>
        <w:rPr>
          <w:rFonts w:ascii="IRNazanin" w:hAnsi="IRNazanin" w:eastAsia="IRNazanin"/>
          <w:color w:val="111111"/>
          <w:sz w:val="28"/>
          <w:sz w:val="28"/>
          <w:szCs w:val="28"/>
          <w:rtl w:val="true"/>
          <w:lang w:bidi="fa-IR"/>
        </w:rPr>
        <w:t xml:space="preserve">اللاری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السیّد محمد وهو الصهر الرابع للسید ووکیله فی منطقة بندر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الفاضل الشیخ محمد حسین اللاری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الفاضل الشیخ عبد الحمید المهاجری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 الأحمدیة فی أحوال السید اللاری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هذین الکتابین بالاشتراک مع ابن السیّد اللاری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أکبر</w:t>
      </w:r>
      <w:r>
        <w:rPr>
          <w:rFonts w:eastAsia="IRNazanin" w:cs="IRNazanin"/>
          <w:color w:val="111111"/>
          <w:sz w:val="28"/>
          <w:szCs w:val="28"/>
          <w:rtl w:val="true"/>
          <w:lang w:bidi="fa-IR"/>
        </w:rPr>
        <w:t>».</w:t>
      </w:r>
    </w:p>
    <w:p>
      <w:pPr>
        <w:pStyle w:val="Heading3"/>
        <w:numPr>
          <w:ilvl w:val="2"/>
          <w:numId w:val="1"/>
        </w:numPr>
        <w:rPr/>
      </w:pPr>
      <w:bookmarkStart w:id="31" w:name="__RefHeading___Toc3268749_3650668749"/>
      <w:bookmarkStart w:id="32" w:name="_Toc12"/>
      <w:bookmarkEnd w:id="31"/>
      <w:r>
        <w:rPr>
          <w:rtl w:val="true"/>
        </w:rPr>
        <w:t xml:space="preserve">مؤلفاته ومصنفاته </w:t>
      </w:r>
      <w:r>
        <w:rPr>
          <w:rtl w:val="true"/>
        </w:rPr>
        <w:t>:</w:t>
      </w:r>
      <w:bookmarkEnd w:id="32"/>
    </w:p>
    <w:p>
      <w:pPr>
        <w:pStyle w:val="BookText"/>
        <w:rPr/>
      </w:pPr>
      <w:r>
        <w:rPr>
          <w:rFonts w:ascii="IRNazanin" w:hAnsi="IRNazanin" w:eastAsia="IRNazanin"/>
          <w:color w:val="111111"/>
          <w:sz w:val="28"/>
          <w:sz w:val="28"/>
          <w:szCs w:val="28"/>
          <w:rtl w:val="true"/>
          <w:lang w:bidi="fa-IR"/>
        </w:rPr>
        <w:t xml:space="preserve">من أجل الاطلاع علی مؤلّفات ومصنّفات السیّد اللاری 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یتناول ترجمة حیاة السیّد اللاری قدس سره </w:t>
      </w:r>
      <w:r>
        <w:rPr>
          <w:rFonts w:eastAsia="IRNazanin" w:cs="IRNazanin"/>
          <w:color w:val="111111"/>
          <w:sz w:val="28"/>
          <w:szCs w:val="28"/>
          <w:rtl w:val="true"/>
          <w:lang w:bidi="fa-IR"/>
        </w:rPr>
        <w:t>.</w:t>
      </w:r>
    </w:p>
    <w:p>
      <w:pPr>
        <w:pStyle w:val="Heading3"/>
        <w:numPr>
          <w:ilvl w:val="2"/>
          <w:numId w:val="1"/>
        </w:numPr>
        <w:rPr/>
      </w:pPr>
      <w:bookmarkStart w:id="33" w:name="__RefHeading___Toc3268751_3650668749"/>
      <w:bookmarkStart w:id="34" w:name="_Toc13"/>
      <w:bookmarkEnd w:id="33"/>
      <w:r>
        <w:rPr>
          <w:rtl w:val="true"/>
        </w:rPr>
        <w:t xml:space="preserve">لارستان دار الهجرة </w:t>
      </w:r>
      <w:r>
        <w:rPr>
          <w:rtl w:val="true"/>
        </w:rPr>
        <w:t>:</w:t>
      </w:r>
      <w:bookmarkEnd w:id="34"/>
    </w:p>
    <w:p>
      <w:pPr>
        <w:pStyle w:val="BookText"/>
        <w:rPr/>
      </w:pPr>
      <w:r>
        <w:rPr>
          <w:rFonts w:ascii="IRNazanin" w:hAnsi="IRNazanin" w:eastAsia="IRNazanin"/>
          <w:color w:val="111111"/>
          <w:sz w:val="28"/>
          <w:sz w:val="28"/>
          <w:szCs w:val="28"/>
          <w:rtl w:val="true"/>
          <w:lang w:bidi="fa-IR"/>
        </w:rPr>
        <w:t xml:space="preserve">ینقل أن رجلاً متشخّصاً من 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المجدّد المیزرا الشیرازی وطلب منه أن یبعث إلیهم عالماً فقیهاً بارعاً لقیادة المؤمنین وارشادهم، وبعد البحث والتحقیق ظهرت القرعة باسم السیّد اللاری الذی أبی کغیره فی بادیء الأمر ولکن لما أمرته المرجعیة العلیا والقیادة العظمی استجاب من دون اعتذار واستعذار ، وهذه میزة امتاز بها السیّد اللاری وأورثها الابنائه وأحفاده إلی هذا الیوم حیث التزامهم بأوامر القیادة والمرجعیة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السیّد اللاری مودّعاً قبر جده أمیر المؤمنین علیه السلام من النجف إلی لارستان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وما أن انتشر نبأ قدومه إلی لار حتی اجتمع فی استقباله جمع غفیر من العلماء ورجال فارس مرحّبین به ومهلّلین بقدومه </w:t>
      </w:r>
      <w:r>
        <w:rPr>
          <w:rFonts w:eastAsia="IRNazanin" w:cs="IRNazanin"/>
          <w:color w:val="111111"/>
          <w:sz w:val="28"/>
          <w:szCs w:val="28"/>
          <w:rtl w:val="true"/>
          <w:lang w:bidi="fa-IR"/>
        </w:rPr>
        <w:t>.</w:t>
      </w:r>
    </w:p>
    <w:p>
      <w:pPr>
        <w:pStyle w:val="Heading3"/>
        <w:numPr>
          <w:ilvl w:val="2"/>
          <w:numId w:val="1"/>
        </w:numPr>
        <w:rPr/>
      </w:pPr>
      <w:bookmarkStart w:id="35" w:name="__RefHeading___Toc3268753_3650668749"/>
      <w:bookmarkStart w:id="36" w:name="_Toc14"/>
      <w:bookmarkEnd w:id="35"/>
      <w:r>
        <w:rPr>
          <w:rtl w:val="true"/>
        </w:rPr>
        <w:t xml:space="preserve">میادین جهاده </w:t>
      </w:r>
      <w:r>
        <w:rPr>
          <w:rtl w:val="true"/>
        </w:rPr>
        <w:t>:</w:t>
      </w:r>
      <w:bookmarkEnd w:id="3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تلخیص جهاد السید اللاری والذی بدء به منذ هجرته إلی لارستان إلی أن داهمته المنیّة وافجع المؤمنین بموته ، فی مواقفه الصلبة ضد الاستعمار </w:t>
      </w:r>
    </w:p>
    <w:p>
      <w:pPr>
        <w:pStyle w:val="BookText"/>
        <w:rPr/>
      </w:pPr>
      <w:r>
        <w:rPr>
          <w:rFonts w:ascii="IRNazanin" w:hAnsi="IRNazanin" w:eastAsia="IRNazanin"/>
          <w:color w:val="111111"/>
          <w:sz w:val="28"/>
          <w:sz w:val="28"/>
          <w:szCs w:val="28"/>
          <w:rtl w:val="true"/>
          <w:lang w:bidi="fa-IR"/>
        </w:rPr>
        <w:t xml:space="preserve">والمستعمرین وعملائهم من الحکام وأذنابهم ومکافحة الأفکار والعقائد الالحادیة والغیر الاسلامیة التی لا تمت إلی مذهب أهل البیت علیهم السلام بشیء، وهذا آن دل علی شیء فانّه یدلّ علی مدی التزام السید اللاری وتقیده بالاصول الاسلامیة التی وردت من منبعها الزلال و تمسّکه بالثقلین الکتاب والعترة التی طالما کان الرسول صلی الله علیه وآله وسلم یوصی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 شدید المؤاخذة علی علماء الدین الذین یظّلون ساکنین کما ترشدنا إلی ذلک عبارة السید فی شرح المکاسب فی نقده للعلماء الساکتین عن الاستبداد العثمانی و تغییر القوانین الاسلامیة بالقوانین الغربیة وقد اعتبر السید هذه الظاهرة من الویلات العظیمة علی المسلمین والبلاء الذی حل بالاسلام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جهاد السید اللاری ضد أعداء الدین بن واضح ، فمن ناحیة انّه طرد الیهود والنصاری الذین کانوا یؤذون الناس فی لار وابعدهم إلی حیث أتوا وأحرق کتبهم الضالّة وأفتی بأنّ لا یستقبلهم ولا یعینوهم فی أی بلد حلّوا ولا یتعاملوا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سیفاً صارماً علی الأشرار و قطاع الطرق الذی دأبوا علی إیذاء الناس ونهب أموالهم وکان المحرومون یأتون إلیه مستنصرینه لأخذ حقّهم ، و حیث کان السید اللاری عاملاً بحکم جدهّ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روی ولو لمرّة واحدة أن أعان ظالماً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السیّد اللاری من دعاة مکافحة الاستبداد والفساد ولذا نقرأ لما طلب منه مساعدة العلماء المجاهدین فی ایران والعراق المطالبین بإقامة حکومة مشروطة مشروعة استجاب وشد الرحال والأحزمة هو وأصحابه إلی شیراز حیث کانت مرکز النورة ، فاستقبله العلماء والشخصیات الدینیة بحفاوة ولاذوا إلیه وهو یقود مسیرتهم نحو الأفضل واقامة المشروطة المشروعة ، وقد تحصّن فی حرم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والتفّ حوله المؤمنون ، ولکن </w:t>
      </w:r>
      <w:bookmarkStart w:id="37" w:name="pg1905_24391"/>
    </w:p>
    <w:p>
      <w:pPr>
        <w:pStyle w:val="BookText"/>
        <w:rPr/>
      </w:pPr>
      <w:bookmarkEnd w:id="37"/>
      <w:r>
        <w:rPr>
          <w:rFonts w:ascii="IRNazanin" w:hAnsi="IRNazanin" w:eastAsia="IRNazanin"/>
          <w:color w:val="111111"/>
          <w:sz w:val="28"/>
          <w:sz w:val="28"/>
          <w:szCs w:val="28"/>
          <w:rtl w:val="true"/>
          <w:lang w:bidi="fa-IR"/>
        </w:rPr>
        <w:t xml:space="preserve">الحکومة وجلاوزتها أمرت جیشها برمی الحرم و دسّ السمّ فی الماء الذی یصل إلی المجاهدین فی الحرم، ولما رأی السید هذه الوقاحة والهجوم خرج من الحرم حفظة لحرمته ، ودخل علی العلامة السیّد ذی الرئاستین ، فحاصر الجلاوزة مقرّ السیّد حیث قاومهم حتّی ردّ الله کید الظالمین ، وجعل النصر حلیفاً للمؤمنین وانتصر أصحاب الحقّ حیث أجبرت الحکومة المستبدة علی تلبیة ما یریده علماء الدین ، ومن ثمّ عاد السید إلی دار هجرته لارستان ، ولکن الحکومة وأزلامها وزمرتها وکذا الأشرار وقطّاع الطرق الذین کانوا قد صفعوا من السید ووجوده غاروا علی دار السید اللاری فلحق الخراب بداره وقتل بعض المؤمنین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السید بانّ المستعمرین البریطانیین قد غاروا علی ایران شمالاً؟ وجنوباً أفتی السیّد بجهادهم ، فدارت بین المؤمنین والانجلیز حروبةاً طویلة وصدّوا الانجلیز صدّاً عنیفاً وذلک فی منطقة تنگستان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 السیّد بنفسه إلی الأطراف حیث اجتمع الناس مندّدین بخروج المستعمرین وفی مقدّمتهم الانجلیز وعملائهم عن أرض ایران </w:t>
      </w:r>
      <w:r>
        <w:rPr>
          <w:rFonts w:eastAsia="IRNazanin" w:cs="IRNazanin"/>
          <w:color w:val="111111"/>
          <w:sz w:val="28"/>
          <w:szCs w:val="28"/>
          <w:rtl w:val="true"/>
          <w:lang w:bidi="fa-IR"/>
        </w:rPr>
        <w:t>.</w:t>
      </w:r>
    </w:p>
    <w:p>
      <w:pPr>
        <w:pStyle w:val="Heading3"/>
        <w:numPr>
          <w:ilvl w:val="2"/>
          <w:numId w:val="1"/>
        </w:numPr>
        <w:rPr/>
      </w:pPr>
      <w:bookmarkStart w:id="38" w:name="__RefHeading___Toc3268755_3650668749"/>
      <w:bookmarkStart w:id="39" w:name="_Toc15"/>
      <w:bookmarkEnd w:id="38"/>
      <w:r>
        <w:rPr>
          <w:rtl w:val="true"/>
        </w:rPr>
        <w:t xml:space="preserve">جهرم دار هجرة ومدفن </w:t>
      </w:r>
      <w:r>
        <w:rPr>
          <w:rtl w:val="true"/>
        </w:rPr>
        <w:t>:</w:t>
      </w:r>
      <w:bookmarkEnd w:id="39"/>
    </w:p>
    <w:p>
      <w:pPr>
        <w:pStyle w:val="BookText"/>
        <w:rPr/>
      </w:pPr>
      <w:r>
        <w:rPr>
          <w:rFonts w:ascii="IRNazanin" w:hAnsi="IRNazanin" w:eastAsia="IRNazanin"/>
          <w:color w:val="111111"/>
          <w:sz w:val="28"/>
          <w:sz w:val="28"/>
          <w:szCs w:val="28"/>
          <w:rtl w:val="true"/>
          <w:lang w:bidi="fa-IR"/>
        </w:rPr>
        <w:t xml:space="preserve">وهکذا بعد مکافحته الطویلة للاستعمار ، استقرّ به المقام فی مدینة فیروز آباد مدّة تجاوزت الأربع سنوات و بعدها دعاه المؤمنون الموالون له فی مدینة جهرم واستقرّ بها حتی وافته المنیّة فی الرابع من شوال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بها مکرّماً ومعزّزاً، وقد فجع بموته قلوب المؤمنین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فسلام الله علیه یوم ولد ویوم مات ویوم یبعث حیّاً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32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3327480" cy="6985080"/>
                        </a:xfrm>
                        <a:prstGeom prst="rect">
                          <a:avLst/>
                        </a:prstGeom>
                        <a:ln w="0">
                          <a:noFill/>
                        </a:ln>
                      </pic:spPr>
                    </pic:pic>
                  </a:graphicData>
                </a:graphic>
              </wp:inline>
            </w:drawing>
          </mc:Choice>
          <mc:Fallback>
            <w:pict>
              <v:shape id="shape_0" stroked="f" o:allowincell="f" style="position:absolute;margin-left:0pt;margin-top:-550.05pt;width:261.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الأولی من النسخة الخطیة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39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3390840" cy="6985080"/>
                        </a:xfrm>
                        <a:prstGeom prst="rect">
                          <a:avLst/>
                        </a:prstGeom>
                        <a:ln w="0">
                          <a:noFill/>
                        </a:ln>
                      </pic:spPr>
                    </pic:pic>
                  </a:graphicData>
                </a:graphic>
              </wp:inline>
            </w:drawing>
          </mc:Choice>
          <mc:Fallback>
            <w:pict>
              <v:shape id="shape_0" stroked="f" o:allowincell="f" style="position:absolute;margin-left:0pt;margin-top:-550.05pt;width:266.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النسخة الخطیة </w:t>
      </w:r>
      <w:bookmarkStart w:id="40" w:name="pg1905_24394"/>
    </w:p>
    <w:p>
      <w:pPr>
        <w:pStyle w:val="Heading2"/>
        <w:numPr>
          <w:ilvl w:val="1"/>
          <w:numId w:val="1"/>
        </w:numPr>
        <w:rPr/>
      </w:pPr>
      <w:bookmarkStart w:id="41" w:name="__RefHeading___Toc3268757_3650668749"/>
      <w:bookmarkStart w:id="42" w:name="_Toc16"/>
      <w:bookmarkEnd w:id="40"/>
      <w:bookmarkEnd w:id="41"/>
      <w:r>
        <w:rPr>
          <w:rtl w:val="true"/>
        </w:rPr>
        <w:t>کتاب الطهارة</w:t>
      </w:r>
      <w:bookmarkEnd w:id="4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268759_3650668749"/>
      <w:bookmarkStart w:id="44" w:name="_Toc17"/>
      <w:bookmarkEnd w:id="43"/>
      <w:r>
        <w:rPr>
          <w:rtl w:val="true"/>
        </w:rPr>
        <w:t>اشارة</w:t>
      </w:r>
      <w:bookmarkEnd w:id="4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05_24396"/>
      <w:bookmarkStart w:id="46" w:name="pg1905_24396"/>
      <w:bookmarkEnd w:id="46"/>
    </w:p>
    <w:p>
      <w:pPr>
        <w:pStyle w:val="Heading3"/>
        <w:numPr>
          <w:ilvl w:val="2"/>
          <w:numId w:val="1"/>
        </w:numPr>
        <w:rPr/>
      </w:pPr>
      <w:bookmarkStart w:id="47" w:name="pg1905_24396"/>
      <w:bookmarkStart w:id="48" w:name="__RefHeading___Toc3268761_3650668749"/>
      <w:bookmarkStart w:id="49" w:name="_Toc18"/>
      <w:bookmarkEnd w:id="47"/>
      <w:bookmarkEnd w:id="48"/>
      <w:r>
        <w:rPr>
          <w:rtl w:val="true"/>
        </w:rPr>
        <w:t xml:space="preserve">الرکن الأول </w:t>
      </w:r>
      <w:r>
        <w:rPr>
          <w:rtl w:val="true"/>
        </w:rPr>
        <w:t xml:space="preserve">: </w:t>
      </w:r>
      <w:r>
        <w:rPr>
          <w:rtl w:val="true"/>
        </w:rPr>
        <w:t>فی المیاه</w:t>
      </w:r>
      <w:bookmarkEnd w:id="49"/>
    </w:p>
    <w:p>
      <w:pPr>
        <w:pStyle w:val="Heading4"/>
        <w:numPr>
          <w:ilvl w:val="3"/>
          <w:numId w:val="1"/>
        </w:numPr>
        <w:rPr/>
      </w:pPr>
      <w:bookmarkStart w:id="50" w:name="__RefHeading___Toc3268763_3650668749"/>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52" w:name="__RefHeading___Toc3268765_3650668749"/>
      <w:bookmarkStart w:id="53" w:name="_Toc20"/>
      <w:bookmarkEnd w:id="52"/>
      <w:r>
        <w:rPr>
          <w:rtl w:val="true"/>
        </w:rPr>
        <w:t>فی بعض ما یستح فی الخاطر القاصر من التعلیق علی الریاض</w:t>
      </w:r>
      <w:bookmarkEnd w:id="5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 لکم 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لعلّه إشارة إلی تضعیف دلالّة ما دلّ من الآیات </w:t>
      </w:r>
      <w:r>
        <w:rPr>
          <w:rStyle w:val="FootnoteAnchor"/>
          <w:rtl w:val="true"/>
        </w:rPr>
        <w:footnoteReference w:id="2"/>
      </w:r>
      <w:r>
        <w:rPr>
          <w:rFonts w:ascii="IRNazanin" w:hAnsi="IRNazanin" w:eastAsia="IRNazanin"/>
          <w:color w:val="111111"/>
          <w:sz w:val="28"/>
          <w:sz w:val="28"/>
          <w:szCs w:val="28"/>
          <w:rtl w:val="true"/>
          <w:lang w:bidi="fa-IR"/>
        </w:rPr>
        <w:t>والأخبار</w:t>
      </w:r>
      <w:r>
        <w:rPr>
          <w:rStyle w:val="FootnoteAnchor"/>
          <w:rtl w:val="true"/>
        </w:rPr>
        <w:footnoteReference w:id="3"/>
      </w:r>
      <w:r>
        <w:rPr>
          <w:rFonts w:ascii="IRNazanin" w:hAnsi="IRNazanin" w:eastAsia="IRNazanin"/>
          <w:color w:val="111111"/>
          <w:sz w:val="28"/>
          <w:sz w:val="28"/>
          <w:szCs w:val="28"/>
          <w:rtl w:val="true"/>
          <w:lang w:bidi="fa-IR"/>
        </w:rPr>
        <w:t>علی کون میاه الأرض بأسرها من السماء، بأنه لو سلم کون فلا أقلّ من انصراف الآیات والأخبار الواردة فی حکم ماء السماء إلی خصوص ماء الأمطار دون ماء البتار، کما هو المتفاهم عرفاًمن ماء السماء أیضاً، خصوصاً بقرینة اختصاص شأن</w:t>
      </w:r>
      <w:r>
        <w:rPr>
          <w:rStyle w:val="FootnoteAnchor"/>
          <w:rtl w:val="true"/>
        </w:rPr>
        <w:footnoteReference w:id="4"/>
      </w:r>
      <w:r>
        <w:rPr>
          <w:rFonts w:ascii="IRNazanin" w:hAnsi="IRNazanin" w:eastAsia="IRNazanin"/>
          <w:color w:val="111111"/>
          <w:sz w:val="28"/>
          <w:sz w:val="28"/>
          <w:szCs w:val="28"/>
          <w:rtl w:val="true"/>
          <w:lang w:bidi="fa-IR"/>
        </w:rPr>
        <w:t>نزولها به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لعلّ التأمّل إشارة إلی معارضة الآیات والأخبار الدالّة علی کون میاه الأرض بأسرها من السماء بما هو المحسوس والمشاهد ، من أن المیاه الخارجة </w:t>
      </w:r>
    </w:p>
    <w:p>
      <w:pPr>
        <w:pStyle w:val="BookText"/>
        <w:rPr/>
      </w:pPr>
      <w:r>
        <w:rPr>
          <w:rFonts w:ascii="IRNazanin" w:hAnsi="IRNazanin" w:eastAsia="IRNazanin"/>
          <w:color w:val="111111"/>
          <w:sz w:val="28"/>
          <w:sz w:val="28"/>
          <w:szCs w:val="28"/>
          <w:rtl w:val="true"/>
          <w:lang w:bidi="fa-IR"/>
        </w:rPr>
        <w:t xml:space="preserve">من تحت الأرض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وعروقها و تخومها لیست من میاه السماء و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فی الأرض، وبما فی سائر الآیات </w:t>
      </w:r>
      <w:r>
        <w:rPr>
          <w:rStyle w:val="FootnoteAnchor"/>
          <w:rtl w:val="true"/>
        </w:rPr>
        <w:footnoteReference w:id="7"/>
      </w:r>
      <w:r>
        <w:rPr>
          <w:rFonts w:ascii="IRNazanin" w:hAnsi="IRNazanin" w:eastAsia="IRNazanin"/>
          <w:color w:val="111111"/>
          <w:sz w:val="28"/>
          <w:sz w:val="28"/>
          <w:szCs w:val="28"/>
          <w:rtl w:val="true"/>
          <w:lang w:bidi="fa-IR"/>
        </w:rPr>
        <w:t xml:space="preserve">والأخبار </w:t>
      </w:r>
      <w:r>
        <w:rPr>
          <w:rStyle w:val="FootnoteAnchor"/>
          <w:rtl w:val="true"/>
        </w:rPr>
        <w:footnoteReference w:id="8"/>
      </w:r>
      <w:r>
        <w:rPr>
          <w:rFonts w:ascii="IRNazanin" w:hAnsi="IRNazanin" w:eastAsia="IRNazanin"/>
          <w:color w:val="111111"/>
          <w:sz w:val="28"/>
          <w:sz w:val="28"/>
          <w:szCs w:val="28"/>
          <w:rtl w:val="true"/>
          <w:lang w:bidi="fa-IR"/>
        </w:rPr>
        <w:t xml:space="preserve">الأخر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فی الخلقة، وعلی أنّه تعالی خلق</w:t>
      </w:r>
      <w:r>
        <w:rPr>
          <w:rStyle w:val="FootnoteAnchor"/>
          <w:rtl w:val="true"/>
        </w:rPr>
        <w:footnoteReference w:id="10"/>
      </w:r>
      <w:r>
        <w:rPr>
          <w:rFonts w:ascii="IRNazanin" w:hAnsi="IRNazanin" w:eastAsia="IRNazanin"/>
          <w:color w:val="111111"/>
          <w:sz w:val="28"/>
          <w:sz w:val="28"/>
          <w:szCs w:val="28"/>
          <w:rtl w:val="true"/>
          <w:lang w:bidi="fa-IR"/>
        </w:rPr>
        <w:t xml:space="preserve">الأرض قبل السماء، وکان عرشه </w:t>
      </w:r>
      <w:r>
        <w:rPr>
          <w:rStyle w:val="FootnoteAnchor"/>
          <w:rtl w:val="true"/>
        </w:rPr>
        <w:footnoteReference w:id="11"/>
      </w:r>
      <w:r>
        <w:rPr>
          <w:rFonts w:ascii="IRNazanin" w:hAnsi="IRNazanin" w:eastAsia="IRNazanin"/>
          <w:color w:val="111111"/>
          <w:sz w:val="28"/>
          <w:sz w:val="28"/>
          <w:szCs w:val="28"/>
          <w:rtl w:val="true"/>
          <w:lang w:bidi="fa-IR"/>
        </w:rPr>
        <w:t>علی الماء، وعلی کون الأنهار</w:t>
      </w:r>
      <w:r>
        <w:rPr>
          <w:rStyle w:val="FootnoteAnchor"/>
          <w:rtl w:val="true"/>
        </w:rPr>
        <w:footnoteReference w:id="12"/>
      </w:r>
      <w:r>
        <w:rPr>
          <w:rFonts w:ascii="IRNazanin" w:hAnsi="IRNazanin" w:eastAsia="IRNazanin"/>
          <w:color w:val="111111"/>
          <w:sz w:val="28"/>
          <w:sz w:val="28"/>
          <w:szCs w:val="28"/>
          <w:rtl w:val="true"/>
          <w:lang w:bidi="fa-IR"/>
        </w:rPr>
        <w:t xml:space="preserve">ثمانیة ،لمّا أهبط بأدم علیه السلام إلی الأرض بعث إلیه جبرئیل فخطّ له فیها خطوطاً ثمانیة بإصبعه فنشأت منه الأنهار الثمانیة ، کبئر زمزم </w:t>
      </w:r>
      <w:r>
        <w:rPr>
          <w:rStyle w:val="FootnoteAnchor"/>
          <w:rtl w:val="true"/>
        </w:rPr>
        <w:footnoteReference w:id="13"/>
      </w:r>
      <w:r>
        <w:rPr>
          <w:rFonts w:ascii="IRNazanin" w:hAnsi="IRNazanin" w:eastAsia="IRNazanin"/>
          <w:color w:val="111111"/>
          <w:sz w:val="28"/>
          <w:sz w:val="28"/>
          <w:szCs w:val="28"/>
          <w:rtl w:val="true"/>
          <w:lang w:bidi="fa-IR"/>
        </w:rPr>
        <w:t>حیث نبع بمجرّد ترفیس إسماعیل علیه السلام برجله الأرض، وأنّه من تأثیره موضع قدمه علیه السلام ، إلی غیر ذلک من الأخبار التی لا یحضرنی الآن ذکرها، الآبیة جدّاً عن کون میاه الأرض بأسرها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حمل ما دلّ علی کونها من السماء إمّا علی خصوص میاه البحار والأنهار الناشئة أو المستقیمة من السیل الحاصل من اجتماع الأمطار، دون سائر میاه الأرض الناشئة عن النبع من عروق داخل الأرض و تخومها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علی أن استقامة میاه الأرض بإمداد میاه السماء، بحیث لولاها لانعدمت و نشفت ، لا أن مبدأها من السماء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علی أن المراد من السماء جهة العلو، الأعمّ من العلوّ الحسّی الخاصّ</w:t>
      </w:r>
      <w:r>
        <w:rPr>
          <w:rStyle w:val="FootnoteAnchor"/>
          <w:rtl w:val="true"/>
        </w:rPr>
        <w:footnoteReference w:id="14"/>
      </w:r>
      <w:r>
        <w:rPr>
          <w:rFonts w:ascii="IRNazanin" w:hAnsi="IRNazanin" w:eastAsia="IRNazanin"/>
          <w:color w:val="111111"/>
          <w:sz w:val="28"/>
          <w:sz w:val="28"/>
          <w:szCs w:val="28"/>
          <w:rtl w:val="true"/>
          <w:lang w:bidi="fa-IR"/>
        </w:rPr>
        <w:t>استیلائه علی ما دونه من الأراضی المنخفضة، ومن العلق الجهتی المستولی علی مطلق الأراضی حتی الفوقیّة وهی جهة الشمال ، علی ما</w:t>
      </w:r>
      <w:r>
        <w:rPr>
          <w:rStyle w:val="FootnoteAnchor"/>
          <w:rtl w:val="true"/>
        </w:rPr>
        <w:footnoteReference w:id="15"/>
      </w:r>
      <w:r>
        <w:rPr>
          <w:rFonts w:ascii="IRNazanin" w:hAnsi="IRNazanin" w:eastAsia="IRNazanin"/>
          <w:color w:val="111111"/>
          <w:sz w:val="28"/>
          <w:sz w:val="28"/>
          <w:szCs w:val="28"/>
          <w:rtl w:val="true"/>
          <w:lang w:bidi="fa-IR"/>
        </w:rPr>
        <w:t>ورد من أن مجاری العیون من مهبّ الشمال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 الشهید فی الروضة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بالسماء جهة العلو</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محتمل الإرادة ذلک، تعمیماً لمیاه الأرض، کما هو محتمل لإرادة خصوص ماء الغیث الموجود بین السماء والأرض، دفعاً لتوهّم وجوده فی نفس السماء کالبروج والکواکب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علی أن المراد من إنزال میاه الأرض من السماء إنزال أسبابها و مؤثّراتها، حیث إن التأثیرات بسبب العلویّات، وعند مقابلتها أو ملاقاتها علی اختلاف الرّأیین، فأقام إنزال الأسباب مقام إنزال مسببّاتها، نظیر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عَلَيْكُمْ لِبَاسًا يُوَارِي سَوْآتِكُمْ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الْحَدِيدَ فِيهِ بَأْسٌ شَدِيدٌ</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أَرْبَعَ بَرَکَاتٍ مِنَ السَّمَاءِ إِلَی الْأَرْضِ أَنْزَلَ الْحَدِیدَ وَالْمَاءَ وَالنَّارَ وَالْمِلْحَ</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احتیج فی وصفه به حینئذ إلی نوع تاویل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وجه احتیاجه فلما قیل من أن اسم الآلة وإن أشبهت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الزمان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علی المبدأ، لکنّها لا توصف بها ، لأنها أسماء الأمور معیّنة ، بخلاف سائر المشتقّات الموضوعة علی الإبهام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تأویله فإلی معنی المستعین والمعالج به الطهر، أو تخریجه عن الوصفیة إلی البدلیّة أو الحالیّة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قیل ولم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غالباً ذو الحال إن لم یتأخر أو یخصص أو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أنّه ورد فی بعض الأخبار </w:t>
      </w:r>
      <w:r>
        <w:rPr>
          <w:rStyle w:val="FootnoteAnchor"/>
          <w:rtl w:val="true"/>
        </w:rPr>
        <w:footnoteReference w:id="22"/>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تطهیره به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تصویر أصل استدراک الإشکال من هذا الحدیث فلزعم منافاة ظاهره ، إما لطهوریّة الماء لنفسه ، بناء علی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بمعنی أنه غیر طاهر فی نفسه ، وإما لمطهریته لغیره علی أن یکون بالبناء للفاعل ، بمعنی أنه غیر مطهر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تصویر رفعه الأشکال، فأما علی الأوّل فبحمله علی أنه لا یطهّر بغیره، لا أنه لا یطهّر مطلقاً ، حتی یستلزم عدم طهارته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أنّه لا یطهر من قبل نفسه إذا تنجس مع بقائه علی حاله ، لا أنّه لا یطهّر مطلقاً، حتی یمثله من ماء آخر، وحتی مع عدم بقائه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تطهّیره به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طاهریّته فی نفسه کان مقیّداً ببقائه علی حاله ، وهذا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بقاؤه علی حاله عند تطهیره بمثله من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 وإذا فقد القید فقد المقیّد ، وهو عدم طاهریّته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تصویر رفعه الاشکال علی الثانی ، فبحمله علی أنّه لا یطهّر غیره إذا تنجس، لا أنّه لا یطهّر غیره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أنّه لا یطهّر نفسه مع بقائه علی حاله ، لا أنّه لا یطهّر نفسه بمثله مع فقد بقائه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تطهیره به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المتقّدم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 بمعنی أنه غیر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تقدیر أن یکون بمعنی أنه لا ینجّسه شیء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علیه العمانی</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الجملة إذا کان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أخبار طاهر یته فی نفسه ومطهریّته لغیره حتی یحتاج إلیه الدفع المذکور، بل یوافقها جدّاً، سیّما بمثل قوله فی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ولو من اتّحاد نسق الأخبار و تفسیر بعضهاً بعضا کالقرآن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العدول عمّا استظهره من ضعف السند إلی ظهور انجباره بشهرة سند ذلک النبویّ،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 إلا ما غیر لونه أو طعمه أو ریحه</w:t>
      </w:r>
      <w:r>
        <w:rPr>
          <w:rStyle w:val="FootnoteAnchor"/>
          <w:rtl w:val="true"/>
        </w:rPr>
        <w:footnoteReference w:id="25"/>
      </w:r>
      <w:r>
        <w:rPr>
          <w:rFonts w:ascii="IRNazanin" w:hAnsi="IRNazanin" w:eastAsia="IRNazanin"/>
          <w:color w:val="111111"/>
          <w:sz w:val="28"/>
          <w:sz w:val="28"/>
          <w:szCs w:val="28"/>
          <w:rtl w:val="true"/>
          <w:lang w:bidi="fa-IR"/>
        </w:rPr>
        <w:t>، بل و بتواتره المحکیّ عن السرائر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وإما إشارة إلی أن عموم دلالته علی مطلق التغیر ولو بالمتنجّس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بقیام الشهرة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العدول إلی ما قیل، وما هو الأقوی من وجود الفرق بینهما، بصدق التغیّر عرفاًعلی التغیّر التقدیریّ</w:t>
      </w:r>
    </w:p>
    <w:p>
      <w:pPr>
        <w:pStyle w:val="BookText"/>
        <w:rPr/>
      </w:pPr>
      <w:r>
        <w:rPr>
          <w:rFonts w:ascii="IRNazanin" w:hAnsi="IRNazanin" w:eastAsia="IRNazanin"/>
          <w:color w:val="111111"/>
          <w:sz w:val="28"/>
          <w:sz w:val="28"/>
          <w:szCs w:val="28"/>
          <w:rtl w:val="true"/>
          <w:lang w:bidi="fa-IR"/>
        </w:rPr>
        <w:t>المستند عدم ظهوره إلی المانع ، وعدم صدقه عرفاً علی التقدیر المستند عدم ظهوره إلی عدم وجود المقتضی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تضعیف الأولویّة ، باحتمال أن تکون العلّة فی رفع الفساد الثابت بعد التغیّر مجموع النزح وکونه ذا مادة، لا مجرّد المادّة حتی یکون الدفع بها أولی من الرفع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إشارة إلی دفع ذلک التضعیف ، بظهور استناد الحکم إلی مجرّد علّیة </w:t>
      </w:r>
    </w:p>
    <w:p>
      <w:pPr>
        <w:pStyle w:val="BookText"/>
        <w:rPr/>
      </w:pPr>
      <w:r>
        <w:rPr>
          <w:rFonts w:ascii="IRNazanin" w:hAnsi="IRNazanin" w:eastAsia="IRNazanin"/>
          <w:color w:val="111111"/>
          <w:sz w:val="28"/>
          <w:sz w:val="28"/>
          <w:szCs w:val="28"/>
          <w:rtl w:val="true"/>
          <w:lang w:bidi="fa-IR"/>
        </w:rPr>
        <w:t>المادّة، لا المجموع المرکّب منه ومن النزح، سیما بملاحظة الاعتضاد بفهم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لم یعملوا بعموم هذه العلّة فی مورد البئر حتی لو کان ماؤه کثیراً ، فکیف یعمل بها فی غیر موردها ولو کان ماؤه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المذکور جار مع مشهور المتأخرین القائلین بعمومها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ذکرناه من الوجه لعدم اعتبار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الوجه الأخیر من الوجوه الثلاثة، وهو اختصاص دلیل تنجیس الملاقی بصورة الاجتماع، المقتضی لالحاق القلیل غیر المجتمع بالکثیر غیر المجتمع فی الحکم بعدم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لابدّ فی المادّة من اعتبار الکرّیة بلا خلاف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الخلاف فیه موجود أیضاً، لأنّه جزئیّ من جزئیّات الخلاف فی طهارة الماء المتنجّس بإتمامه کرّاً، وقد نقل القول بالطهارة فیه عن المرتضی</w:t>
      </w:r>
      <w:r>
        <w:rPr>
          <w:rStyle w:val="FootnoteAnchor"/>
          <w:rtl w:val="true"/>
        </w:rPr>
        <w:footnoteReference w:id="27"/>
      </w:r>
      <w:r>
        <w:rPr>
          <w:rFonts w:ascii="Amiri" w:hAnsi="Amiri" w:eastAsia="Amiri" w:cs="Amiri"/>
          <w:color w:val="111111"/>
          <w:sz w:val="28"/>
          <w:sz w:val="28"/>
          <w:szCs w:val="28"/>
          <w:rtl w:val="true"/>
          <w:lang w:bidi="ar-SA"/>
        </w:rPr>
        <w:t>وسلّار</w:t>
      </w:r>
      <w:r>
        <w:rPr>
          <w:rStyle w:val="FootnoteAnchor"/>
          <w:rtl w:val="true"/>
        </w:rPr>
        <w:footnoteReference w:id="28"/>
      </w:r>
      <w:r>
        <w:rPr>
          <w:rFonts w:ascii="IRNazanin" w:hAnsi="IRNazanin" w:eastAsia="IRNazanin"/>
          <w:color w:val="111111"/>
          <w:sz w:val="28"/>
          <w:sz w:val="28"/>
          <w:szCs w:val="28"/>
          <w:rtl w:val="true"/>
          <w:lang w:bidi="fa-IR"/>
        </w:rPr>
        <w:t>وابن البراج</w:t>
      </w:r>
      <w:r>
        <w:rPr>
          <w:rStyle w:val="FootnoteAnchor"/>
          <w:rtl w:val="true"/>
        </w:rPr>
        <w:footnoteReference w:id="29"/>
      </w:r>
      <w:r>
        <w:rPr>
          <w:rFonts w:ascii="IRNazanin" w:hAnsi="IRNazanin" w:eastAsia="IRNazanin"/>
          <w:color w:val="111111"/>
          <w:sz w:val="28"/>
          <w:sz w:val="28"/>
          <w:szCs w:val="28"/>
          <w:rtl w:val="true"/>
          <w:lang w:bidi="fa-IR"/>
        </w:rPr>
        <w:t>وابن سعید</w:t>
      </w:r>
      <w:r>
        <w:rPr>
          <w:rStyle w:val="FootnoteAnchor"/>
          <w:rtl w:val="true"/>
        </w:rPr>
        <w:footnoteReference w:id="30"/>
      </w:r>
      <w:r>
        <w:rPr>
          <w:rFonts w:ascii="IRNazanin" w:hAnsi="IRNazanin" w:eastAsia="IRNazanin"/>
          <w:color w:val="111111"/>
          <w:sz w:val="28"/>
          <w:sz w:val="28"/>
          <w:szCs w:val="28"/>
          <w:rtl w:val="true"/>
          <w:lang w:bidi="fa-IR"/>
        </w:rPr>
        <w:t>وابن إدریس</w:t>
      </w:r>
      <w:r>
        <w:rPr>
          <w:rStyle w:val="FootnoteAnchor"/>
          <w:rtl w:val="true"/>
        </w:rPr>
        <w:footnoteReference w:id="31"/>
      </w:r>
      <w:r>
        <w:rPr>
          <w:rFonts w:ascii="IRNazanin" w:hAnsi="IRNazanin" w:eastAsia="IRNazanin"/>
          <w:color w:val="111111"/>
          <w:sz w:val="28"/>
          <w:sz w:val="28"/>
          <w:szCs w:val="28"/>
          <w:rtl w:val="true"/>
          <w:lang w:bidi="fa-IR"/>
        </w:rPr>
        <w:t>، بل عن المحقّق الثانیة</w:t>
      </w:r>
      <w:r>
        <w:rPr>
          <w:rStyle w:val="FootnoteAnchor"/>
          <w:rtl w:val="true"/>
        </w:rPr>
        <w:footnoteReference w:id="32"/>
      </w:r>
      <w:r>
        <w:rPr>
          <w:rFonts w:ascii="IRNazanin" w:hAnsi="IRNazanin" w:eastAsia="IRNazanin"/>
          <w:color w:val="111111"/>
          <w:sz w:val="28"/>
          <w:sz w:val="28"/>
          <w:szCs w:val="28"/>
          <w:rtl w:val="true"/>
          <w:lang w:bidi="fa-IR"/>
        </w:rPr>
        <w:t>نسبته إلی أکثر المحقّقین ، بل عن السرائر</w:t>
      </w:r>
      <w:r>
        <w:rPr>
          <w:rStyle w:val="FootnoteAnchor"/>
          <w:rtl w:val="true"/>
        </w:rPr>
        <w:footnoteReference w:id="33"/>
      </w:r>
      <w:r>
        <w:rPr>
          <w:rFonts w:ascii="IRNazanin" w:hAnsi="IRNazanin" w:eastAsia="IRNazanin"/>
          <w:color w:val="111111"/>
          <w:sz w:val="28"/>
          <w:sz w:val="28"/>
          <w:szCs w:val="28"/>
          <w:rtl w:val="true"/>
          <w:lang w:bidi="fa-IR"/>
        </w:rPr>
        <w:t xml:space="preserve">نسبته إلی المحقّقین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واستقوی هذا القول شیخنا الکاظمینی </w:t>
      </w:r>
      <w:r>
        <w:rPr>
          <w:rStyle w:val="FootnoteAnchor"/>
          <w:rtl w:val="true"/>
        </w:rPr>
        <w:footnoteReference w:id="34"/>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مخالفة مثل هؤلاء الأجلّة کیف ینفی الخلاف عن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لذلک نسب نفی الخلاف إلی القیل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لتعارضهما من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لتعارض استصحاب نقض الکرّیة من جانب الماء مع استصحاب الطهارة من جانب الملاقی له، فیبقی الأصلان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أصالتا البراءة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سالمین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الحکم فیما لو طرأ مع فقد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یعلم کون الحالة السابقة هی کریة المادة کالفرض الأول ، أو نقصها کالفرض الثانی، فاستصحابا النجاسة والطهارة من جانبی الملاقی والملاقی فیه أیضا متعارضان ، فتبقی أصالتا البراءة والطهارة فیه سالمین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معناه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الکنیف یکون فوق البیت فیصیبه المطر فیکفّ فیصیب الثیاب، أیصلی فیها قبل أن تغسل؟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من ماء المطر لا بأس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المطر یجری فی المکان فیه العذرة فیصیب الثوب، أیصلّی فیه قبل أنّ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فیه المطر فلا بأس</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مخالفته لأصالة الطهارة واستصحابها، وعموم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یراه المطر فقد طهر</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شیئاً من تلک الوجوه لا یقاوم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الشرطیة و مفهوم المخالفة ، لکون الأصول والعموم دلیلاً حیث لا دلیل ، ومن المظنون ورود مفهوم الشرط علیها ، فأین ضعف الدلالة بتلک المعارضة ؟ اللّهمّ إلاّ أن یعارض المفهوم بوجوه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بالشهرة المحقّقة علی عدم اعتبار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بورود الشرط مورد حکم آخر، وهو تطبیق الجواب علی السؤال عن خصوص الجاری فی کلّ من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بأنّ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السالبة بانتفاء الموضوع لا المحمول،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یجر فلا یتوضّأ به، نظیر مفهوم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لک ولد فاختنه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لک ولد فلا تختنه ، من حیث إن نفی الحکم فی المفهوم من جهة نفی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بأنّ اشتراط الجریان فی اعتصام المطر من الانفعال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موارد اشتراطه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جهة ورود المطر علی أعیان النجاسة لا المتنجس الذی هو المدّعی ، ومن البیّن أن اعتبار الجریان فی اعتصام المطر الوارد علی النجاسة من جهة أنّه لو لم یجر علیه لتغیّر وانفعل بعین النجاسة ، وکان الصائب للثوب منه متغیراً من عین النجاسة لا من المطر، وهو خارج عن المدّعی ، فلا یثبت الدعوّی، وهو اشتراط الجریان فی اعتصامه من الانفعال بملاقاة المتنجس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عموم المرسلة وإن تضمّن صدرها ما فی سابقها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تمام المرسلة فهو ما روی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یسیل علیّ من ماء المطر أری فیه التغیر، وأری فیه آثار القذر، فتقطر القطرات علیّ وینتضح علیّ منه، والبیت یتوضّأ علی سطحه فیکفّ علی ثیابنا،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بذابأس، لا تغسله، کلّ شیء یراه المطر فقد طهر</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التأمّل، فإما إشارة إلی تقویة عموم المرسلة ، بإمکان المنع من </w:t>
      </w:r>
    </w:p>
    <w:p>
      <w:pPr>
        <w:pStyle w:val="BookText"/>
        <w:rPr/>
      </w:pPr>
      <w:r>
        <w:rPr>
          <w:rFonts w:ascii="IRNazanin" w:hAnsi="IRNazanin" w:eastAsia="IRNazanin"/>
          <w:color w:val="111111"/>
          <w:sz w:val="28"/>
          <w:sz w:val="28"/>
          <w:szCs w:val="28"/>
          <w:rtl w:val="true"/>
          <w:lang w:bidi="fa-IR"/>
        </w:rPr>
        <w:t xml:space="preserve">تضمین صدرها ما فی سابقیها من اختصاص موردها بورود المطر علی النجاسة ، و احتمال المورد لکلا الأمرین من الورود والمورودیّة ، ومن المقرر أن ترک الاستفصال فی جواب السؤال یفید العموم فی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الکبری الکلیّة والتعلیل العامّ للجواب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بذا بأس لا تغسله، وقد قرّر فی محلّه أیضاً أن المعلول یتبع العلّة فی العموم و الخصوص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إشارة إلی دفع سائر موهمات ضعفها ، بالحمل علی أن القطرات وما وصل إلی الثیاب من غیر الناحیة التی فیها التغیّر وآثار القذر ، أو أن التغیّر بغیر النجاسة والقذر بمعنی الوسخ ویختصّ بغیر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قادح عندنا ، بل وفی الجملة عند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عدم قادحیّته عندنا فلمعلومیّة نسب الخارج، وکونه غیر مَن یناط حجّیة الاجماع عندنا بدخوله وهو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قادحیّته عند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فلانقراض عصر الخارج، وکون المصطلح فی تسمیة الاجماع عند العامّة </w:t>
      </w:r>
      <w:r>
        <w:rPr>
          <w:rStyle w:val="FootnoteAnchor"/>
          <w:rtl w:val="true"/>
        </w:rPr>
        <w:footnoteReference w:id="39"/>
      </w:r>
      <w:r>
        <w:rPr>
          <w:rFonts w:ascii="IRNazanin" w:hAnsi="IRNazanin" w:eastAsia="IRNazanin"/>
          <w:color w:val="111111"/>
          <w:sz w:val="28"/>
          <w:sz w:val="28"/>
          <w:szCs w:val="28"/>
          <w:rtl w:val="true"/>
          <w:lang w:bidi="fa-IR"/>
        </w:rPr>
        <w:t>هو اتّفاق أهل عصر واحد لا جمیع الأعصار ، وإلا لم یتحقّق بعدُ تسمیة إجماع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العمانی</w:t>
      </w:r>
      <w:r>
        <w:rPr>
          <w:rStyle w:val="FootnoteAnchor"/>
          <w:rtl w:val="true"/>
        </w:rPr>
        <w:footnoteReference w:id="40"/>
      </w:r>
      <w:r>
        <w:rPr>
          <w:rFonts w:ascii="IRNazanin" w:hAnsi="IRNazanin" w:eastAsia="IRNazanin"/>
          <w:color w:val="111111"/>
          <w:sz w:val="28"/>
          <w:sz w:val="28"/>
          <w:szCs w:val="28"/>
          <w:rtl w:val="true"/>
          <w:lang w:bidi="fa-IR"/>
        </w:rPr>
        <w:t>عن المجمعین فی المسألة غیر قادح فی حجة الإجماع عندنا، بل ولا فی تسمیته عند العامّة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یتوقّف علی ثبوت الحقیقة الشرعیّة فی کلّ من القذر والقلیل فی المعنی المعروف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النجاسة فی القذر ، وما قلّ عن الکرّ فی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ثبوتها </w:t>
      </w:r>
    </w:p>
    <w:p>
      <w:pPr>
        <w:pStyle w:val="BookText"/>
        <w:rPr/>
      </w:pPr>
      <w:r>
        <w:rPr>
          <w:rFonts w:ascii="IRNazanin" w:hAnsi="IRNazanin" w:eastAsia="IRNazanin"/>
          <w:color w:val="111111"/>
          <w:sz w:val="28"/>
          <w:sz w:val="28"/>
          <w:szCs w:val="28"/>
          <w:rtl w:val="true"/>
          <w:lang w:bidi="fa-IR"/>
        </w:rPr>
        <w:t>فی ألفاظ العبادة ألف کلام فکیف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فیحمل القدر علی الوسخ غیر النجس ، والقلیل علی القلیل المتصّل بکر أو مادّة عاصمة، أو علی ما یبلغ الکرّ من غیر زیادة ، فهو قلیل بالنسبة إلی البحر والنهر ونحوهما من المیاه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الجواب عما استدلّ به للعمانی من عدم انفعال القلیل من الأخبار</w:t>
      </w:r>
    </w:p>
    <w:p>
      <w:pPr>
        <w:pStyle w:val="BookText"/>
        <w:rPr/>
      </w:pPr>
      <w:r>
        <w:rPr>
          <w:rFonts w:ascii="IRNazanin" w:hAnsi="IRNazanin" w:eastAsia="IRNazanin"/>
          <w:color w:val="111111"/>
          <w:sz w:val="28"/>
          <w:sz w:val="28"/>
          <w:szCs w:val="28"/>
          <w:rtl w:val="true"/>
          <w:lang w:bidi="fa-IR"/>
        </w:rPr>
        <w:t xml:space="preserve">الخاصة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منها غیر صریح، والصریح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لم نجد لحدیث منه فی کتبنا المشهورة عیناً ولا أثراً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کتبنا المشهورة غیر الموجود فیها النبویّ المذکور خصوص الکتب الأربعة المشهورة، وإلا فهو موجود فی الوسائل</w:t>
      </w:r>
      <w:r>
        <w:rPr>
          <w:rStyle w:val="FootnoteAnchor"/>
          <w:rtl w:val="true"/>
        </w:rPr>
        <w:footnoteReference w:id="41"/>
      </w:r>
      <w:r>
        <w:rPr>
          <w:rFonts w:ascii="IRNazanin" w:hAnsi="IRNazanin" w:eastAsia="IRNazanin"/>
          <w:color w:val="111111"/>
          <w:sz w:val="28"/>
          <w:sz w:val="28"/>
          <w:szCs w:val="28"/>
          <w:rtl w:val="true"/>
          <w:lang w:bidi="fa-IR"/>
        </w:rPr>
        <w:t>والتنقیح</w:t>
      </w:r>
      <w:r>
        <w:rPr>
          <w:rStyle w:val="FootnoteAnchor"/>
          <w:rtl w:val="true"/>
        </w:rPr>
        <w:footnoteReference w:id="42"/>
      </w:r>
      <w:r>
        <w:rPr>
          <w:rFonts w:ascii="IRNazanin" w:hAnsi="IRNazanin" w:eastAsia="IRNazanin"/>
          <w:color w:val="111111"/>
          <w:sz w:val="28"/>
          <w:sz w:val="28"/>
          <w:szCs w:val="28"/>
          <w:rtl w:val="true"/>
          <w:lang w:bidi="fa-IR"/>
        </w:rPr>
        <w:t>وغیرهما نقلاً عن المعتبر</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السرائر</w:t>
      </w:r>
      <w:r>
        <w:rPr>
          <w:rStyle w:val="FootnoteAnchor"/>
          <w:rtl w:val="true"/>
        </w:rPr>
        <w:footnoteReference w:id="44"/>
      </w:r>
      <w:r>
        <w:rPr>
          <w:rFonts w:ascii="IRNazanin" w:hAnsi="IRNazanin" w:eastAsia="IRNazanin"/>
          <w:color w:val="111111"/>
          <w:sz w:val="28"/>
          <w:sz w:val="28"/>
          <w:szCs w:val="28"/>
          <w:rtl w:val="true"/>
          <w:lang w:bidi="fa-IR"/>
        </w:rPr>
        <w:t>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وقفت علیه فی السرائر دعوی الاتفاق علی روایته لا تواتره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القدر من شهرة السند کافی فی جبر ضعفه ، وإن لم یذکر فی کتبنا الأربعة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 علی العموم المدعی موهون بمصیر المشهور إلی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فی انتصار هذا القول اعتبارات ضعیفة و وجوه هینة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المتنجّس لا یطهر ، فلو تنجّس القلیل بمجرد ملاقاة النجس لأدّی ذلک إلی أن المتنجّس لا یطهر إلا بإیراد کرّ من الماء علیه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الفرق جدّاً بین قلیل المطر وقلیل غیره من الملاقی </w:t>
      </w:r>
    </w:p>
    <w:p>
      <w:pPr>
        <w:pStyle w:val="BookText"/>
        <w:rPr/>
      </w:pPr>
      <w:r>
        <w:rPr>
          <w:rFonts w:ascii="IRNazanin" w:hAnsi="IRNazanin" w:eastAsia="IRNazanin"/>
          <w:color w:val="111111"/>
          <w:sz w:val="28"/>
          <w:sz w:val="28"/>
          <w:szCs w:val="28"/>
          <w:rtl w:val="true"/>
          <w:lang w:bidi="fa-IR"/>
        </w:rPr>
        <w:t>للنجس ، سوی محض الجمود لو لم نقطع بتنقیح المناط وعدم الفرق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فرضت الفارق استمداد المطر فرضنا فی غیره الاستمداد بما ینقص عن الکرّ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وجود التصریح والتنصیص بنجاسة القلیل بمحض الملاقاة ، مع وجود المقتضی له من شدة ابتلاء الناس وعموم بلواهم به ، وأطّلاع المعصومین وعدم المانع منه من تقِیّة ونحوها، ممّا یبعّد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والاکتفاء فی تخصیص عمومات طهارته بمفهوم دلالته غیر معلوم، أو بما هو دونه فی الضعف من الأحاد المبتلیة بالمعارض المحتملة قریباً لإرادة التنزیه واستحباب الاجتناب وکراهة الارتکاب ، کأخبار </w:t>
      </w:r>
      <w:r>
        <w:rPr>
          <w:rStyle w:val="FootnoteAnchor"/>
          <w:rtl w:val="true"/>
        </w:rPr>
        <w:footnoteReference w:id="45"/>
      </w:r>
      <w:r>
        <w:rPr>
          <w:rFonts w:ascii="IRNazanin" w:hAnsi="IRNazanin" w:eastAsia="IRNazanin"/>
          <w:color w:val="111111"/>
          <w:sz w:val="28"/>
          <w:sz w:val="28"/>
          <w:szCs w:val="28"/>
          <w:rtl w:val="true"/>
          <w:lang w:bidi="fa-IR"/>
        </w:rPr>
        <w:t xml:space="preserve">انفعال البئر بالملاقاة حیث حملت علی ذلک جمعاً بینها وبین ما عارضها، وکأخبار </w:t>
      </w:r>
      <w:r>
        <w:rPr>
          <w:rStyle w:val="FootnoteAnchor"/>
          <w:rtl w:val="true"/>
        </w:rPr>
        <w:footnoteReference w:id="46"/>
      </w:r>
      <w:r>
        <w:rPr>
          <w:rFonts w:ascii="IRNazanin" w:hAnsi="IRNazanin" w:eastAsia="IRNazanin"/>
          <w:color w:val="111111"/>
          <w:sz w:val="28"/>
          <w:sz w:val="28"/>
          <w:szCs w:val="28"/>
          <w:rtl w:val="true"/>
          <w:lang w:bidi="fa-IR"/>
        </w:rPr>
        <w:t xml:space="preserve">نجاسة الحدید حیث حملت علی ذلک أیضاً دفعاً للعسر اللازم من 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غیر 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دلالته أن السؤال عن إصابته الإناء لا عن إصابته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واستبعاد کون السؤال عن حال ماء أصاب إناءه دونه الدم، خصوصاً من راوی هذا الحدیث علیّ بن جعفر الموصوف بالفقه والجلالة ، مدفوع باحتمال أن یکون السؤال عن إصابة الإناء علی وجه یشکّ معه إصابة الماء، ویتجه حینئذ سؤاله من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ویعیّن هذا الاحتمال نسخة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نصبه فی جوابه 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شیء یستبین فی الماء فلا بأس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لاعتبارات ضعیفة</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الاعتبارات المتقدّمة</w:t>
      </w:r>
      <w:r>
        <w:rPr>
          <w:rStyle w:val="FootnoteAnchor"/>
          <w:rtl w:val="true"/>
        </w:rPr>
        <w:footnoteReference w:id="47"/>
      </w:r>
      <w:r>
        <w:rPr>
          <w:rFonts w:ascii="IRNazanin" w:hAnsi="IRNazanin" w:eastAsia="IRNazanin"/>
          <w:color w:val="111111"/>
          <w:sz w:val="28"/>
          <w:sz w:val="28"/>
          <w:szCs w:val="28"/>
          <w:rtl w:val="true"/>
          <w:lang w:bidi="fa-IR"/>
        </w:rPr>
        <w:t xml:space="preserve">لعدم انفعال القلیل مطلقاً ، التی منها </w:t>
      </w:r>
    </w:p>
    <w:p>
      <w:pPr>
        <w:pStyle w:val="BookText"/>
        <w:rPr/>
      </w:pPr>
      <w:r>
        <w:rPr>
          <w:rFonts w:ascii="IRNazanin" w:hAnsi="IRNazanin" w:eastAsia="IRNazanin"/>
          <w:color w:val="111111"/>
          <w:sz w:val="28"/>
          <w:sz w:val="28"/>
          <w:szCs w:val="28"/>
          <w:rtl w:val="true"/>
          <w:lang w:bidi="fa-IR"/>
        </w:rPr>
        <w:t>أن المتنجّس لا یطهر ، فلو تنجّس القلیل بمجرد الملاقاة لأدّی ذلک إلی أن المتنجّس لا یطهر إلا بإیراد 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علی غیرهما فهو نصّ فی المطلوب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عدم استفادة اشتراط الجمریان من نصوص اعتباره، بأن أستفید منها اشتراط الورود علی النجاسة لا الجریان، فهو نص فی مطلوب السید </w:t>
      </w:r>
      <w:r>
        <w:rPr>
          <w:rStyle w:val="FootnoteAnchor"/>
          <w:rtl w:val="true"/>
        </w:rPr>
        <w:footnoteReference w:id="48"/>
      </w:r>
      <w:r>
        <w:rPr>
          <w:rFonts w:ascii="IRNazanin" w:hAnsi="IRNazanin" w:eastAsia="IRNazanin"/>
          <w:color w:val="111111"/>
          <w:sz w:val="28"/>
          <w:sz w:val="28"/>
          <w:szCs w:val="28"/>
          <w:rtl w:val="true"/>
          <w:lang w:bidi="fa-IR"/>
        </w:rPr>
        <w:t>المفصّل بین الوارد والمورود فی الانفعال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 نصوصیّته فی التفصیل المذکور علی التقدیر المسطور مبنیّ علی عدم احتمال ثالث فی نصوص الجریان، وهو ممنوع، إذ کما تحتمل الاشتراط الجریان أو الورود علی النجاسة ، کذلک تحتمل لعدمهما، إما بورود الشرط فیها مورد الواقع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 تَحَصُّنًا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لظهور السؤال فی فرض الکثرة الواقع معها الجریان غالباً ، بقرینة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أیؤخذ من مائه فیتوضّأ؟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بتنزیل الجریان علی النزول من السماء ، ویکون تعلیلاً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لأنه جار من السماء، لا شرطاً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ثمرة فی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نصوصیّة فی نصوص اعتبار الجریان فی اعتصام المطر علی المطلوب من انفعال القلیل مطلقا، ولا علی مطلوب السیّد من التفصیل بین الوارد والمورود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حصول التطهیر بالمتنجّسات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یدفعها عموم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دوافع اعتبارات القول بتفصیل السیّد بین الوارد والمورود هو حصول التطهیر بالمتنجّسات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کون المتنجّس لا یطهر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لو تنجس الوارد علی النجاسة بمحض الملاقاة لأدّی ذلک إلی عدم تطهیر المتنجس إلا بإیراد کرّ من الماء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و منقوض بحصول التطهیر بالمتنجّسات حال التطهیر ، کحجر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منع انتقاض القاعدة بحجر الاستنجاء، بأنّ موردها المیاه ولا ناقض لها من المیاه أصلاً ورأساً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وإشعار الصحیح</w:t>
      </w:r>
      <w:r>
        <w:rPr>
          <w:rStyle w:val="FootnoteAnchor"/>
          <w:rtl w:val="true"/>
        </w:rPr>
        <w:footnoteReference w:id="50"/>
      </w:r>
      <w:r>
        <w:rPr>
          <w:rFonts w:ascii="IRNazanin" w:hAnsi="IRNazanin" w:eastAsia="IRNazanin"/>
          <w:color w:val="111111"/>
          <w:sz w:val="28"/>
          <w:sz w:val="28"/>
          <w:szCs w:val="28"/>
          <w:rtl w:val="true"/>
          <w:lang w:bidi="fa-IR"/>
        </w:rPr>
        <w:t xml:space="preserve">، الأمر بغسل الثوب فی المرکن مرّتین به ممنوع، بمنع غلبة ورود الثوب علی ماء المرکن دون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 کالصحیح</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لکون المرسل ابن أبی عمیر المجمع علی تصحیح ما یصح عنه، لشهادة الاستقراء والغلبة علی أنه ثقة لا یروی إلا عن ثقة، وأن مراسیله فی حکم المسانید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و ما تا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و تفسیر الصاع بتسعة أرطال یبلغ الکرّ بالصاع مائة و ثلاث وثلاثین وثلث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حکمه الصحیح المؤوّل إلیه بالنهج الصحیح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الصحیح صحیحة محمد بن مسلم عن أبی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والکر ستماءة رطل</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یؤوّل إلی الرطل المکّی الذی هو ضعفا الرطل العراقی، لیوافق مضمونه مضمون الصحیح الأول وهو ألف وماتا رطل ، وإلا وجب طرحه ، لعدم القائل بمضمونه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 صحّة هذا النهج من التأویل قیام قرائن علیه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محمد بن مسلم طائفیّاً کما قیل </w:t>
      </w:r>
      <w:r>
        <w:rPr>
          <w:rStyle w:val="FootnoteAnchor"/>
          <w:rtl w:val="true"/>
        </w:rPr>
        <w:footnoteReference w:id="53"/>
      </w:r>
      <w:r>
        <w:rPr>
          <w:rFonts w:ascii="IRNazanin" w:hAnsi="IRNazanin" w:eastAsia="IRNazanin"/>
          <w:color w:val="111111"/>
          <w:sz w:val="28"/>
          <w:sz w:val="28"/>
          <w:szCs w:val="28"/>
          <w:rtl w:val="true"/>
          <w:lang w:bidi="fa-IR"/>
        </w:rPr>
        <w:t>، وهی من قری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للروایة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أیضاً هذه الروایة</w:t>
      </w:r>
      <w:r>
        <w:rPr>
          <w:rStyle w:val="FootnoteAnchor"/>
          <w:rtl w:val="true"/>
        </w:rPr>
        <w:footnoteReference w:id="54"/>
      </w:r>
      <w:r>
        <w:rPr>
          <w:rFonts w:ascii="IRNazanin" w:hAnsi="IRNazanin" w:eastAsia="IRNazanin"/>
          <w:color w:val="111111"/>
          <w:sz w:val="28"/>
          <w:sz w:val="28"/>
          <w:szCs w:val="28"/>
          <w:rtl w:val="true"/>
          <w:lang w:bidi="fa-IR"/>
        </w:rPr>
        <w:t>، فیبعد اختلافهما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تأیده بفهم المشهور الموافقة بینهما بذلک النهج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والاحتیاط فی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احتمال الأقلّ، أو فی خصوص ما لو لاقی المقدار المذکور للکرّ نجاسة یقتضی القول بانفعاله إهراقه وکفّه وکفّ</w:t>
      </w:r>
      <w:r>
        <w:rPr>
          <w:rStyle w:val="FootnoteAnchor"/>
          <w:rtl w:val="true"/>
        </w:rPr>
        <w:footnoteReference w:id="55"/>
      </w:r>
      <w:r>
        <w:rPr>
          <w:rFonts w:ascii="IRNazanin" w:hAnsi="IRNazanin" w:eastAsia="IRNazanin"/>
          <w:color w:val="111111"/>
          <w:sz w:val="28"/>
          <w:sz w:val="28"/>
          <w:szCs w:val="28"/>
          <w:rtl w:val="true"/>
          <w:lang w:bidi="fa-IR"/>
        </w:rPr>
        <w:t>جمیع ما الاقاه من الأطعمة والأشربة ، بل وتخریب المساجد والمشاهد الملوّثة به ، ونحو ذلک من الأمور المخالفة للاحتیاط ، فیکون الاحتیاط فی خصوص تلک الموارد مخالفاً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القلّة بضم الفاف وتشدید اللام، إناء العرب کالجرة الکبیرة تسع قربتین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کبیر ، معروفة بالحجاز والشام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 الذی ینبذ فیه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شنان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ینبذون فیه التمر لإصلاح ملوحة الماء الذی کان فی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مثلهما الثالث</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عدم تحقق الکرّیّة المشروط بتحقّقها عدم </w:t>
      </w:r>
    </w:p>
    <w:p>
      <w:pPr>
        <w:pStyle w:val="BookText"/>
        <w:rPr/>
      </w:pPr>
      <w:r>
        <w:rPr>
          <w:rFonts w:ascii="IRNazanin" w:hAnsi="IRNazanin" w:eastAsia="IRNazanin"/>
          <w:color w:val="111111"/>
          <w:sz w:val="28"/>
          <w:sz w:val="28"/>
          <w:szCs w:val="28"/>
          <w:rtl w:val="true"/>
          <w:lang w:bidi="fa-IR"/>
        </w:rPr>
        <w:t xml:space="preserve">الانفعال فی الناقص معارض بأصالة عدم اشتراط الزیادة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فأصالة عدمها بناء علی صحّتها هنا معارض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فأصالة عدم الکرّیّة بناءً علی صحّتها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الحکمیّة دون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بأصالة عدم اشتراط الزیادة فی الکرّ وعدم انفعاله بالنجاسة ، بخلاف مجری أصالة عدم الکرِّیّة فی الشبهة الموضوعیّة ، کما لو زید فی القلیل بالتدریج إلی حدّ یشکّ فی بلوغه حد الکرّیّة ، فإنّه لا کلام فی صحّة استصحاب عدم بلوغه الکر حینئذ، ولا معارض لأصالة عدم الکرِّیّة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الخلاف فی صحة مجراه معارض بمثله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کلّ من طوله وعرضه و عمقه ثلاثة أشبار ونصفاً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بلغ مجموعه بغیر التکسیر عشرة أشبار ونصفاًمن متساوی الأبعاد الثلاث، لا من غیر المتساوی ، وإلا فقد یبلغ الکفّ الواحد من الماء المفروض فی الأنبوب الضیّق الجوف إلی أضعاف عشرة أشبار ونصف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بالتکسیر فیبلغ إلی اثنین وأربعین شبراً وسبعة أثمان الشبر، لأن ضرب ثلاثة الطول بثلاثة العرض یبلغ تسعة، وضربها أیضاً بالنصف یبلغ شبراً ونصفاً، وضرب نصف الطول بثلاثة العرض یبلغ أیضاً شبراً ونصفاً، وضربه بنصف العرض یبلغ ربعة ، لأنّ الصحیح إذا ضرب فی المکسر یأخذ بقدر المضروب فیه ، والمکسّر إذا ضرب فی المکسّر یأخذ نصف المضروب فیه إذا کان هو الأقلّ من المضروب أو المساوی، وإلا أخذ نصف قدر المضروب ، کضرب الربع بالنصف یأخذ الثمن الّذی هو نصف المضروب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فالمجموع اثنا عشر شبرةاً وربعاً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وضربها فی أشبار العمق یبلغ ستّة وثلاثین وثلاثة أرباع، وضربها أیضاً فی نصف الشبر یبلغ ستّة أشبار وثمن الشبر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 اثنان وأربعون وسبعة </w:t>
      </w:r>
    </w:p>
    <w:p>
      <w:pPr>
        <w:pStyle w:val="BookText"/>
        <w:rPr/>
      </w:pPr>
      <w:r>
        <w:rPr>
          <w:rFonts w:ascii="IRNazanin" w:hAnsi="IRNazanin" w:eastAsia="IRNazanin"/>
          <w:color w:val="111111"/>
          <w:sz w:val="28"/>
          <w:sz w:val="28"/>
          <w:szCs w:val="28"/>
          <w:rtl w:val="true"/>
          <w:lang w:bidi="fa-IR"/>
        </w:rPr>
        <w:t>أثمان الشبر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ذراعان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الذراعان أربعة أشبار ، وذراع و شبر ثلاثة أشبار ، فإذا ضرب الأربعة أشبار العمق فی کلّ من ثلاثة أشبار الطول والعرض بلغ الحاصل ستّة وثلاثین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بمقتضی نصّ الثلاثة أشبار تبلغ سبعة وعشرین ، ونصّ الثلاثة والنصف فی ثلاثة ونصف تبلغ اثنین وأربعین وسبعة أثمان الشبر، حسبما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الأقوال فی تقدیر مساحة الکرّ مختلفة علی حسب اختلاف نصوصه، علی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أحوطها الثلاثة أشبار والنصف ، وأقلّها الثلاثة أشبار ، وأوسطها الأربعة أشبار فی ثلاثة أشبار سعته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بحمله علی ما إذا تساوت الأبعاد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 لو لم یحمل علی صورة تساوی الأبعاد لزم صدق الکر علی کف من الماء فما دونه، لامکان بلوغه عشرة أشبار ونصف لو أجری فی مثل الأنبوب الضیّق الجوف البالغ طوله تلک الأشبار، والحال أنه باطل بالضرورة من شهادة حال الراوندی </w:t>
      </w:r>
      <w:r>
        <w:rPr>
          <w:rStyle w:val="FootnoteAnchor"/>
          <w:rtl w:val="true"/>
        </w:rPr>
        <w:footnoteReference w:id="5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وفیهما وجوه من الدلالة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کتوصیف ماء البئر بالوسعة، وتأکیده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یفسده شیء إلا أن یتغیّر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تعلیله بأنّ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تقدیر رجوع التعلیل إلی الفقرة الأولی فلدلالته علی عدم انفعال کلّ ذی مادّة بما عدا 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تقدیر رجوعه إلی الفقرة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تقتضیه الأقربیّة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فلدلالته علی أن کلّ ذی مادّة متغیّرة یرتفع نجاسته بزوال تغیّره بتجدّد الماء علیه من المادة ، بل مطلق الزوال، وهو لا یجتمع </w:t>
      </w:r>
    </w:p>
    <w:p>
      <w:pPr>
        <w:pStyle w:val="BookText"/>
        <w:rPr/>
      </w:pPr>
      <w:r>
        <w:rPr>
          <w:rFonts w:ascii="IRNazanin" w:hAnsi="IRNazanin" w:eastAsia="IRNazanin"/>
          <w:color w:val="111111"/>
          <w:sz w:val="28"/>
          <w:sz w:val="28"/>
          <w:szCs w:val="28"/>
          <w:rtl w:val="true"/>
          <w:lang w:bidi="fa-IR"/>
        </w:rPr>
        <w:t xml:space="preserve">مع انفعال قلیله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والمناقشات فیما ذکر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کالمناقشة فی السند بالضعف أو الشذوذ، وفی الدلالة بعموم المعارض بما یصلح للتخصیص، وفی المعارضة بأصحّة السند وأصرحیة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الضعف فی کلّ منها هو وضوح المنع والدفع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ضعف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أو دلالّة، أو سنداً ودلالة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 الأول ، فلأن راویه</w:t>
      </w:r>
      <w:r>
        <w:rPr>
          <w:rStyle w:val="FootnoteAnchor"/>
          <w:rtl w:val="true"/>
        </w:rPr>
        <w:footnoteReference w:id="60"/>
      </w:r>
      <w:r>
        <w:rPr>
          <w:rFonts w:ascii="IRNazanin" w:hAnsi="IRNazanin" w:eastAsia="IRNazanin"/>
          <w:color w:val="111111"/>
          <w:sz w:val="28"/>
          <w:sz w:val="28"/>
          <w:szCs w:val="28"/>
          <w:rtl w:val="true"/>
          <w:lang w:bidi="fa-IR"/>
        </w:rPr>
        <w:t>الحسن بن صالح الثوری عن الصادق علیه السلام ، وهو زیدیّ بتری</w:t>
      </w:r>
      <w:r>
        <w:rPr>
          <w:rStyle w:val="FootnoteAnchor"/>
          <w:rtl w:val="true"/>
        </w:rPr>
        <w:footnoteReference w:id="61"/>
      </w:r>
      <w:r>
        <w:rPr>
          <w:rFonts w:ascii="IRNazanin" w:hAnsi="IRNazanin" w:eastAsia="IRNazanin"/>
          <w:color w:val="111111"/>
          <w:sz w:val="28"/>
          <w:sz w:val="28"/>
          <w:szCs w:val="28"/>
          <w:rtl w:val="true"/>
          <w:lang w:bidi="fa-IR"/>
        </w:rPr>
        <w:t>من أصحاب الصادقین ، وإلیه تنسب الصالحیّة منهم ، متروک العمل بما یختصّ بروایته ، کما عن رجال الشیخ</w:t>
      </w:r>
      <w:r>
        <w:rPr>
          <w:rStyle w:val="FootnoteAnchor"/>
          <w:rtl w:val="true"/>
        </w:rPr>
        <w:footnoteReference w:id="62"/>
      </w:r>
      <w:r>
        <w:rPr>
          <w:rFonts w:ascii="IRNazanin" w:hAnsi="IRNazanin" w:eastAsia="IRNazanin"/>
          <w:color w:val="111111"/>
          <w:sz w:val="28"/>
          <w:sz w:val="28"/>
          <w:szCs w:val="28"/>
          <w:rtl w:val="true"/>
          <w:lang w:bidi="fa-IR"/>
        </w:rPr>
        <w:t>وتهذیبه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سند الرضوی</w:t>
      </w:r>
      <w:r>
        <w:rPr>
          <w:rStyle w:val="FootnoteAnchor"/>
          <w:rtl w:val="true"/>
        </w:rPr>
        <w:footnoteReference w:id="64"/>
      </w:r>
      <w:r>
        <w:rPr>
          <w:rFonts w:ascii="IRNazanin" w:hAnsi="IRNazanin" w:eastAsia="IRNazanin"/>
          <w:color w:val="111111"/>
          <w:sz w:val="28"/>
          <w:sz w:val="28"/>
          <w:szCs w:val="28"/>
          <w:rtl w:val="true"/>
          <w:lang w:bidi="fa-IR"/>
        </w:rPr>
        <w:t>، فلما احتمله بعض من کونه من فتاوی الصدوق علیّ بن بابویه لا من الرضاعلیه السلام ، ولکنّه خلاف رأی السید الشارح</w:t>
      </w:r>
      <w:r>
        <w:rPr>
          <w:rStyle w:val="FootnoteAnchor"/>
          <w:rtl w:val="true"/>
        </w:rPr>
        <w:footnoteReference w:id="65"/>
      </w:r>
      <w:r>
        <w:rPr>
          <w:rFonts w:ascii="Amiri" w:hAnsi="Amiri" w:eastAsia="Amiri" w:cs="Amiri"/>
          <w:color w:val="111111"/>
          <w:sz w:val="28"/>
          <w:sz w:val="28"/>
          <w:szCs w:val="28"/>
          <w:rtl w:val="true"/>
          <w:lang w:bidi="ar-SA"/>
        </w:rPr>
        <w:t>وجملة من الأعلام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ضعف دلالة الأول ، فلأن الرکیّ</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مشترک للرکیّة بالفتح وتشدید الیاء وهی البئر ، وللرکوة بالفتح وهی دلو صغیر من جلد، أو زق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سقاء من جلد للخمر والخلّ، وقد یطلق علی الحوض الکبیر أیضا، فلم یتعین ظهوره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 دلالة الرضویّ،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بئر عمقها ثلاثة أشبار ونصف فی مثلها فسبیلها سبیل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ثبوت حجّیة مفهوم الوصف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عموم فی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عمومه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لأنّ مفهوم السالبة الکلیة موجبة جزئیّة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قدر کرّ 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قد أجیب بأنّ المفهوم المذکور وإنّ لم یعم بنفسه، إلاّ أنّه یعم بمعونة عدم القول بالفصل بین أنواع النجاسات المنجّسة ، فإذا ثبت تنجس البئر بأحدها بالمفهوم المذکور ثبت تنجّسه بسائرها بعدم القول بالفصل أو دلیل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عمدة الوهن فی عموم المفهوم المذکور للبئر هو معارضته بعمومات عدم انفعال البئر، والنسبة بینهما وإن کانت عموماً من وجه، من حیث إن عموم المفهوم یقتضی انفعال غیر الکرّ بملاقاة النجاسة، سواء کان بئراً أو غیرها،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انفعال البئر بالملاقاة ، سواء کان کرّاً أو غیره، إلا أن عمومات عدم انفعال البئر أقوی و أظهر وأوضح وأبعد من التقنیة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الاعتضاد بعموم التعلیل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المفهوم، فیقدّم علیه ، تقدّیماً للنصّ علی الظاهر، وحملاً للظاهر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تقدّم من الاختلاف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الاختلاف فی تعیین الشیء وتقادیره لا ینافی وجوبه ، ولا یقتضی صارفینّه عن الحقیقة والظهور فی الوجوب، ألا تری أن کثیراً من الواجبات مختلفة التقادیر والتعیین مع فرض وجوبها، خصوصاً تقادیر الکرّ </w:t>
      </w:r>
    </w:p>
    <w:p>
      <w:pPr>
        <w:pStyle w:val="BookText"/>
        <w:rPr/>
      </w:pPr>
      <w:r>
        <w:rPr>
          <w:rFonts w:ascii="IRNazanin" w:hAnsi="IRNazanin" w:eastAsia="IRNazanin"/>
          <w:color w:val="111111"/>
          <w:sz w:val="28"/>
          <w:sz w:val="28"/>
          <w:szCs w:val="28"/>
          <w:rtl w:val="true"/>
          <w:lang w:bidi="fa-IR"/>
        </w:rPr>
        <w:t xml:space="preserve">المساحتی مختلفة جدّاً مع وجوبها الشرطی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لیس بحسب ظاهر اللفظ ، لوضوح قوّة ظهور الأمر فی الوجوب جدّاً ، بل إنّما هو بحسب العقل ، من جهة أن المصلحة الملزمة لوجوب التعبد بالنزح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التوصل إلی رفع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العدم، والمصلحة الموجودة وهی رفع القذارة و تنقر النفس لا تصلح إلا لاستحباب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فالمصلحة الموجبة له مفقودة، والموجودة غیر موجبة له ، والموجبة غیر معقولة ، والمعقولة غیر موجبة له، وهو الصارف عن الحقیقة وظهور الأمر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وانجبارها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انجبارها بقاعدة التسامح علی القول باستحباب التزح، لا مطلقا حتی علی القول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الحکم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نزح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فی الفضیلة،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أفضلیّة نزح الجمیع من نزح کر للبعیر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التمسک بمثله فی مثل المقام نوع کلام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الإجماع المذکور تقییدیّاً مختلفاً فیه جهة إجماع المجمعین ، حیث إن وجه إلحاق المسألة بالخمر عند بعض المجمعین هو البناء علی استحباب النزح لا وجوبه، وعند بعضهم الآخر هو إطلاق ألخمر علی سائر المسکرات ، والاطلاق علامة الحقیقة ، کما هو مذهب المرتضی</w:t>
      </w:r>
      <w:r>
        <w:rPr>
          <w:rStyle w:val="FootnoteAnchor"/>
          <w:rtl w:val="true"/>
        </w:rPr>
        <w:footnoteReference w:id="68"/>
      </w:r>
      <w:r>
        <w:rPr>
          <w:rFonts w:ascii="IRNazanin" w:hAnsi="IRNazanin" w:eastAsia="IRNazanin"/>
          <w:color w:val="111111"/>
          <w:sz w:val="28"/>
          <w:sz w:val="28"/>
          <w:szCs w:val="28"/>
          <w:rtl w:val="true"/>
          <w:lang w:bidi="fa-IR"/>
        </w:rPr>
        <w:t>من المجمعین علی المسألة، أو علامة عموم المنزلة والتشبیه لحکم المسألة، کما هو مذهب المشهور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الاجماع حاله مجمل الوجه ومختلف الجهة لا یثبت به حکم المسألة من جهة خاصة، وهو ثبوت نزح الجمیع للمسکرات المائعة من جهة الوجوب لا الاستحباب ، ومن جهة الدلیل لا مجرد إطلاق الخمر علیها کما </w:t>
      </w:r>
    </w:p>
    <w:p>
      <w:pPr>
        <w:pStyle w:val="BookText"/>
        <w:rPr/>
      </w:pPr>
      <w:r>
        <w:rPr>
          <w:rFonts w:ascii="IRNazanin" w:hAnsi="IRNazanin" w:eastAsia="IRNazanin"/>
          <w:color w:val="111111"/>
          <w:sz w:val="28"/>
          <w:sz w:val="28"/>
          <w:szCs w:val="28"/>
          <w:rtl w:val="true"/>
          <w:lang w:bidi="fa-IR"/>
        </w:rPr>
        <w:t xml:space="preserve">هو مفروض محطّ النظر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تقدّم من عدم خلوّ الإجماع المنقول فی المسألة عن نوع من الکلام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وجه صرف تلک الغلبة للذائبة عن المائعة </w:t>
      </w:r>
      <w:r>
        <w:rPr>
          <w:rStyle w:val="FootnoteAnchor"/>
          <w:rtl w:val="true"/>
        </w:rPr>
        <w:footnoteReference w:id="69"/>
      </w:r>
      <w:r>
        <w:rPr>
          <w:rFonts w:ascii="IRNazanin" w:hAnsi="IRNazanin" w:eastAsia="IRNazanin"/>
          <w:color w:val="111111"/>
          <w:sz w:val="28"/>
          <w:sz w:val="28"/>
          <w:szCs w:val="28"/>
          <w:rtl w:val="true"/>
          <w:lang w:bidi="fa-IR"/>
        </w:rPr>
        <w:t xml:space="preserve">إلی الرطبة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غلبة وجودیّة لا استعمالیة حتی تقتضی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وجوده من الأفراد وإن لم یقتض انصراف المطلق إلی خصوص ذلک الغالب ، إلا أنه مانع من انصرافه إلی خصوص النادر من الأفراد، وهو المقصود بتلک الغلبة فی المقام، لأن المقصود بها لیس صرف الذائبة إلی خصوص الرطبة علی وجه لا یشمل المائعة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یمنع من اقتضائها ذلک ، بل المقصود بها المنع من انصراف الذائبة إلی خصوص المائعة</w:t>
      </w:r>
      <w:r>
        <w:rPr>
          <w:rStyle w:val="FootnoteAnchor"/>
          <w:rtl w:val="true"/>
        </w:rPr>
        <w:footnoteReference w:id="70"/>
      </w:r>
      <w:r>
        <w:rPr>
          <w:rFonts w:ascii="IRNazanin" w:hAnsi="IRNazanin" w:eastAsia="IRNazanin"/>
          <w:color w:val="111111"/>
          <w:sz w:val="28"/>
          <w:sz w:val="28"/>
          <w:szCs w:val="28"/>
          <w:rtl w:val="true"/>
          <w:lang w:bidi="fa-IR"/>
        </w:rPr>
        <w:t>علی وجه لا یشمل الرطبة، ومن البیّن أن غلبة الوجود بمجرّدها کافیة فی المانعیّة من انصراف المطلق إلی النادر ، وإن لم تکن کافیة فی اقتضاء الصرف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الکثیر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وجه أحوطیّة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العشرة فی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الأیقن منه فیه فی أقوال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بالعشرین المنقول عن ظاهر المقنع</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أحوطیّة قول المشهور فیه بالإضافة إلی ما دونه من الأقوال کالقول بالخمسة والواحدة، لا أحوطیّته مطلقاً من بین جمیع الأقوال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إشارة إلی أن وجه اشتراط أحوطیّة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العشرة فی </w:t>
      </w:r>
    </w:p>
    <w:p>
      <w:pPr>
        <w:pStyle w:val="BookText"/>
        <w:rPr/>
      </w:pPr>
      <w:r>
        <w:rPr>
          <w:rFonts w:ascii="IRNazanin" w:hAnsi="IRNazanin" w:eastAsia="IRNazanin"/>
          <w:color w:val="111111"/>
          <w:sz w:val="28"/>
          <w:sz w:val="28"/>
          <w:szCs w:val="28"/>
          <w:rtl w:val="true"/>
          <w:lang w:bidi="fa-IR"/>
        </w:rPr>
        <w:t xml:space="preserve">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أولویّة القول بها فی الکثیر أن أولویّة القول بها فی الکثیر لأصل البراءة ونحوه یسلتزم أولویّة القول بها فی القلیل بطریق أولی، أو الجزم بأقلیّتها فی القلیل ، نظرة إلی عدم القول باتّحاد حکمی الکثیر والقلیل فی أقوال المسألة مع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من تقدیری القول بأولویّة العشرة فی الکثیر لا یبقی وجه الأحوطیّة القول بها فی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الأول فلأولویّة أولویّتها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فلمکان الجزم بأقلیّتها فیه،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شبهه فی الجثّة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لما قبل من أن المعهود من الشارع فی المنزوحات ملاحظة کبر الجسم، کما یفیده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أکبره الانسان، وأصغره العصفور</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یقع فی البئر ما بین الفارة والسنّور إلی الشاة، ففی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خنزیر او سنّور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آوی و ابن 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الخنزیر فهو کالکلب حیوان معروف نجس العین،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السنّور فهو الهر،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والثعلب حیوان معروف ، وبالفارسیّة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والارنب حیوان یشبه العناق، قصیر الیدین طویل الرجلین عکس الزرافة،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آوی حیوان معروف،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عرس دویبة تشبه الفار ، و تسمی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بعدم التکافؤ أولاً، وعدم التنافی ثانیاً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التکافؤ فلأشهریّة خبر الاغتسال</w:t>
      </w:r>
      <w:r>
        <w:rPr>
          <w:rStyle w:val="FootnoteAnchor"/>
          <w:rtl w:val="true"/>
        </w:rPr>
        <w:footnoteReference w:id="74"/>
      </w:r>
      <w:r>
        <w:rPr>
          <w:rFonts w:ascii="IRNazanin" w:hAnsi="IRNazanin" w:eastAsia="IRNazanin"/>
          <w:color w:val="111111"/>
          <w:sz w:val="28"/>
          <w:sz w:val="28"/>
          <w:szCs w:val="28"/>
          <w:rtl w:val="true"/>
          <w:lang w:bidi="fa-IR"/>
        </w:rPr>
        <w:t xml:space="preserve">من سائر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75"/>
      </w:r>
      <w:r>
        <w:rPr>
          <w:rFonts w:ascii="IRNazanin" w:hAnsi="IRNazanin" w:eastAsia="IRNazanin"/>
          <w:color w:val="111111"/>
          <w:sz w:val="28"/>
          <w:sz w:val="28"/>
          <w:szCs w:val="28"/>
          <w:rtl w:val="true"/>
          <w:lang w:bidi="fa-IR"/>
        </w:rPr>
        <w:t>المطلقة، وإن کانت هی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التناغی ، فإما مبنیّ علی ما هو المختار من استحباب حکم النزح القابل لتعدّد مراتب الفضل، لا وجوبه غیر القابل التعدّد حتّی یستلزم المنافاة ، ویتعیّن الحمل </w:t>
      </w:r>
      <w:r>
        <w:rPr>
          <w:rStyle w:val="FootnoteAnchor"/>
          <w:rtl w:val="true"/>
        </w:rPr>
        <w:footnoteReference w:id="76"/>
      </w:r>
      <w:r>
        <w:rPr>
          <w:rFonts w:ascii="IRNazanin" w:hAnsi="IRNazanin" w:eastAsia="IRNazanin"/>
          <w:color w:val="111111"/>
          <w:sz w:val="28"/>
          <w:sz w:val="28"/>
          <w:szCs w:val="28"/>
          <w:rtl w:val="true"/>
          <w:lang w:bidi="fa-IR"/>
        </w:rPr>
        <w:t>بین المتنافیین من المطلق والمقیّد لأجل رفع ذلک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مبنیّ علی کون نجاسة البئر وطهارتها من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کالسببّیة والشرطیّة والصحّة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للتعدّد أیضاً ، دون الأحکام الشرعیّة التکلیفیّة غیر القابلة للتعدّد حتّی یحصل المنافاة بین المطلق والمقیّد منها ، و یکون ذلک قرینة تعیّن الحمل</w:t>
      </w:r>
      <w:r>
        <w:rPr>
          <w:rStyle w:val="FootnoteAnchor"/>
          <w:rtl w:val="true"/>
        </w:rPr>
        <w:footnoteReference w:id="77"/>
      </w:r>
      <w:r>
        <w:rPr>
          <w:rFonts w:ascii="IRNazanin" w:hAnsi="IRNazanin" w:eastAsia="IRNazanin"/>
          <w:color w:val="111111"/>
          <w:sz w:val="28"/>
          <w:sz w:val="28"/>
          <w:szCs w:val="28"/>
          <w:rtl w:val="true"/>
          <w:lang w:bidi="fa-IR"/>
        </w:rPr>
        <w:t>ومن هنا اشترط المحقّقون فی حمل المطلق علی المقیّد إحراز اتّحاد التکلیف فیهما کما فی الأحکام الشرعیّة التکلیفیّة ، دون ما لم یحرز فیه الاتّحاد کما فی غالب المستحبّات والمکروهات والأحکام الوضعیّة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مؤوّل بما یؤول إلی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 بالتغیّر کما هو صریح سائر الأخبار، منها خبر أبی یصیر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الفارة وأشباهها فینزح منها سبع دلاء، إلا أن یتغیّر الماء فینزح حتی یطیب</w:t>
      </w:r>
      <w:r>
        <w:rPr>
          <w:rStyle w:val="FootnoteAnchor"/>
          <w:rtl w:val="true"/>
        </w:rPr>
        <w:footnoteReference w:id="78"/>
      </w:r>
      <w:r>
        <w:rPr>
          <w:rFonts w:ascii="IRNazanin" w:hAnsi="IRNazanin" w:eastAsia="IRNazanin"/>
          <w:color w:val="111111"/>
          <w:sz w:val="28"/>
          <w:sz w:val="28"/>
          <w:szCs w:val="28"/>
          <w:rtl w:val="true"/>
          <w:lang w:bidi="fa-IR"/>
        </w:rPr>
        <w:t>تحکیماً للمقیّد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الرضیع فیه علی الشرعی ، فتأمّل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التردید فی حمل الرضیع علی الشرعیّ وهو ما کان فی سنّ الحولین خاصّة، الناشیء من إطلاقه علی الأعمّ منه ومن الرضیع فیما بعد الحولین ، ومن انصراف ذلک الإطلاق إلی خصوص الرضیع فی الحولین ، بواسطة غلبته وندور غیره جدّاً بحسب الوجود والاستعمال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مؤوّل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 بضرب من الاستحباب ، أو بصورة التغیّر، وإن کان فرض التغیّر ببول الصبیّ بعیداً جدّاً ، إلاّ أن استقراب فرض التغیّر بمنضمّات بول الصبیّ فی الصحیحة یستقرب التأویل بفرضه ، وإن کان بعیداً فی خصوصه، وهی صحیحة معاویة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یبول فیها الصبی، أو یصب فیها بول،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الماء کله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أیضاً فیه تأویل ثالث، وهو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معنی الواو التی المطلق الجمع ، فیکون نزح الجمیع فیها مرتّباً علی المجموع المرکب من وقوع البول والخمر، لا علی وقوع کلّ منها بانفراده حتی ینافی المشهور، ویحتاج إلی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بنوع من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الاستشعار والاستنباط من قوله علیه السلام 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أکبره الانسان، وأصغره العصفور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اعتبار المساواة فی الجسم تقریباً وتخمیناً فی اتّحاد مقدار النزح، ما لم یرد بخلافه النصّ فی خصوص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ما بینهما من التنافی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المفسَّر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 به، وهو ما دون الحمامة الشامل لفرخ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اختلافهما فی الحکم، من حیث إن فرخ الطیر داخل فی نصّ السبع للطیر الشامل لصغیره وکبیره ، و مقتضی تفسیر العصفور بما دون الحمامة هو دخوله فی نصّ الدلو الواحد للعصفور ، وهو التنافی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کونه أخصّ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العصفور بمأکول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المدّعی، فإن المدّعی طهارة العین لا المأکولیّة التی هی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اعتبارها أصلاً مع إطلاق دلیل المشابهة ، المراد بها فی ظاهر الأخبار کبر الجسم وصغره لا مأکوله وغیر مأکوله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وعمومه من دون مزاحم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ولعموم ما دلّ علی الاکتفاء بمزیل التغیّر من دون معارض فی الشقّ الثانی من القول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بعموم ما دلّ علی المقدر فی الشقّ الأوّل من القول الأخیر ، وبعموم ما دلّ علی الاکتفاء بمزیل التغیر فی شقّه الثانی، وهو ما لیس له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المقدّر لما تغیّر بل أولویّته فیه لیس بأولی من إطلاق الاکتفاء بمزیل التغیّر لما له مقدّر ، فتحکیم الاطلاق الأوّل علی الثانی و تخصیصه به من دون العکس ترجیح بلا مرجحّ، وتخصیص لأحد العامیّن من وجه بالآخر من غیر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الترجیح والشاهد لو کان فمع تحکیم إطلاق الاکتفاء بمزیل التغیّر فی المتغیّر علی فحوی اعتبار المقدر فیما له مقدّر من المتغیّر ، لأن إطلاق الاکتفاء بمزیل النغیر کالنصّ فی مطلق التغیّر ، کما أن إطلاق المقدّر کالنصّ فی غیر المتغیّر فی اللحاظ والنظر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لفحوی ما دلّ علی الاکتفاء به مع وجوده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لفحوی ما دلّ علی الاکتفاء بمقدار ما یزیل به التغیّر الحسّی ، فمع عدم ذلک التغّیر الحسّی یکتفی بنزح مقداره بطریق أولی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بهذا الفحوی لیس بأولی من الأخذ بإطلاق الاکتفاء بزوال </w:t>
      </w:r>
    </w:p>
    <w:p>
      <w:pPr>
        <w:pStyle w:val="BookText"/>
        <w:rPr/>
      </w:pPr>
      <w:r>
        <w:rPr>
          <w:rFonts w:ascii="IRNazanin" w:hAnsi="IRNazanin" w:eastAsia="IRNazanin"/>
          <w:color w:val="111111"/>
          <w:sz w:val="28"/>
          <w:sz w:val="28"/>
          <w:szCs w:val="28"/>
          <w:rtl w:val="true"/>
          <w:lang w:bidi="fa-IR"/>
        </w:rPr>
        <w:t>التغیّر ، وعموم</w:t>
      </w:r>
      <w:r>
        <w:rPr>
          <w:rStyle w:val="FootnoteAnchor"/>
          <w:rtl w:val="true"/>
        </w:rPr>
        <w:footnoteReference w:id="81"/>
      </w:r>
      <w:r>
        <w:rPr>
          <w:rFonts w:ascii="IRNazanin" w:hAnsi="IRNazanin" w:eastAsia="IRNazanin"/>
          <w:color w:val="111111"/>
          <w:sz w:val="28"/>
          <w:sz w:val="28"/>
          <w:szCs w:val="28"/>
          <w:rtl w:val="true"/>
          <w:lang w:bidi="fa-IR"/>
        </w:rPr>
        <w:t>التعلیل بأن له مادة ، بل الأولی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الأرض صلبة ، أو کانت البئر فوقها ، وإلا فسبع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وحاصل صور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التی هما فیها إما صلبة، أو رخوة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متساویان فی القرار، أو قرار البئر أعلی من قرار البالوعة،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ستّ صور، حاصلة من ضرب صورتی الأرض فی صور قرارهما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أن حکم أربع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ثلاث صور الصلبة ، مع علوّ البئر فی الرخوة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التباعد بینهما بخمسة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الصورتین الباقیتین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فی الرخوة مع مساواة قرارهما، وعلوّ البالوعة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التباعد بسبعة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بالذراع ذراع الید الذی هو ذراع المحدّثین، وقدره ستّ قبضات أربعة وعشرون إصبعاً، لا ما عن المدارک</w:t>
      </w:r>
      <w:r>
        <w:rPr>
          <w:rStyle w:val="FootnoteAnchor"/>
          <w:rtl w:val="true"/>
        </w:rPr>
        <w:footnoteReference w:id="82"/>
      </w:r>
      <w:r>
        <w:rPr>
          <w:rFonts w:ascii="IRNazanin" w:hAnsi="IRNazanin" w:eastAsia="IRNazanin"/>
          <w:color w:val="111111"/>
          <w:sz w:val="28"/>
          <w:sz w:val="28"/>
          <w:szCs w:val="28"/>
          <w:rtl w:val="true"/>
          <w:lang w:bidi="fa-IR"/>
        </w:rPr>
        <w:t xml:space="preserve">من أنّه الذراع الهاشمیّة المحدود به قدر المسافة الذی هو ثمان قبضات، فإنه وهم ، کما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المحدود به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 لتحدّدها بذراع المحدّثین أیضاً، وهو ستّ 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والقبضة أربعة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بالفوق أعمّ من الفوقیّة الحسّیة والجهتّیة، وهی جهة الشمال، لما عن الدیلمی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البئر إلی جنبها الکنیف،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العیون کلّها من مهب الشمال، فإذا کانت البئر النظیفة فوق الشمال، والکنیف أسفل منها، لم یضرها إذا کان بینهما أذرع، وإذا کان الکنیف فوق النظیفة فلا أقلّ من اثنی عشر ذراعا، وإن کانت تجاها بحذاء القبلة وهما متساویان فی مهب الشمال فسبعة أذرع</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جهة الشمال هو عکس القبلة ودبرها،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الجنوب ، </w:t>
      </w:r>
    </w:p>
    <w:p>
      <w:pPr>
        <w:pStyle w:val="BookText"/>
        <w:rPr/>
      </w:pPr>
      <w:r>
        <w:rPr>
          <w:rFonts w:ascii="IRNazanin" w:hAnsi="IRNazanin" w:eastAsia="IRNazanin"/>
          <w:color w:val="111111"/>
          <w:sz w:val="28"/>
          <w:sz w:val="28"/>
          <w:szCs w:val="28"/>
          <w:rtl w:val="true"/>
          <w:lang w:bidi="fa-IR"/>
        </w:rPr>
        <w:t>وبکون البئر فی مهبّ الشمال کونها أقرب إلیه من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فتبلغ صور المسألة إلی أربع وعشرین صورة، حاصلة من ضرب صورها الستّة المتقّدمة فی کلّ من الصور الأربعة المنضمّ إلیها ، وهی صورة التساوی والاختلاف بین البئر والبالوعة من حیث الفوقّیة و التحتیّة الجهتیّة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الکلّ ظاهر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فی تطبیق مذهبه المنقول عنه علیها نوع غموض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المنقول عنه استحباب الاثنی عشر فی الأرض الرخوة والسبع فی الصلبة ، مع أن ظاهر الروایة المتقدّمة هو استحباب الاثنی عشر فیما إذا کانت البالوعة فوق البئر والسبع فی متساوی الجهة ، وبینهما فرق واضح، إلا بنوع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کما هو المشهور فی الأول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سهل بن زیاد، حیث ضعفه النجاشیّ </w:t>
      </w:r>
      <w:r>
        <w:rPr>
          <w:rStyle w:val="FootnoteAnchor"/>
          <w:rtl w:val="true"/>
        </w:rPr>
        <w:footnoteReference w:id="84"/>
      </w:r>
      <w:r>
        <w:rPr>
          <w:rFonts w:ascii="IRNazanin" w:hAnsi="IRNazanin" w:eastAsia="IRNazanin"/>
          <w:color w:val="111111"/>
          <w:sz w:val="28"/>
          <w:sz w:val="28"/>
          <w:szCs w:val="28"/>
          <w:rtl w:val="true"/>
          <w:lang w:bidi="fa-IR"/>
        </w:rPr>
        <w:t>والشیخ فی أحد</w:t>
      </w:r>
    </w:p>
    <w:p>
      <w:pPr>
        <w:pStyle w:val="BookText"/>
        <w:rPr/>
      </w:pPr>
      <w:r>
        <w:rPr>
          <w:rFonts w:ascii="IRNazanin" w:hAnsi="IRNazanin" w:eastAsia="IRNazanin"/>
          <w:color w:val="111111"/>
          <w:sz w:val="28"/>
          <w:sz w:val="28"/>
          <w:szCs w:val="28"/>
          <w:rtl w:val="true"/>
          <w:lang w:bidi="fa-IR"/>
        </w:rPr>
        <w:t xml:space="preserve">قونیه </w:t>
      </w:r>
      <w:r>
        <w:rPr>
          <w:rStyle w:val="FootnoteAnchor"/>
          <w:rtl w:val="true"/>
        </w:rPr>
        <w:footnoteReference w:id="85"/>
      </w:r>
      <w:r>
        <w:rPr>
          <w:rFonts w:ascii="IRNazanin" w:hAnsi="IRNazanin" w:eastAsia="IRNazanin"/>
          <w:color w:val="111111"/>
          <w:sz w:val="28"/>
          <w:sz w:val="28"/>
          <w:szCs w:val="28"/>
          <w:rtl w:val="true"/>
          <w:lang w:bidi="fa-IR"/>
        </w:rPr>
        <w:t>، وإن رجح توثیقه</w:t>
      </w:r>
      <w:r>
        <w:rPr>
          <w:rStyle w:val="FootnoteAnchor"/>
          <w:rtl w:val="true"/>
        </w:rPr>
        <w:footnoteReference w:id="86"/>
      </w:r>
      <w:r>
        <w:rPr>
          <w:rFonts w:ascii="Amiri" w:hAnsi="Amiri" w:eastAsia="Amiri" w:cs="Amiri"/>
          <w:color w:val="111111"/>
          <w:sz w:val="28"/>
          <w:sz w:val="28"/>
          <w:szCs w:val="28"/>
          <w:rtl w:val="true"/>
          <w:lang w:bidi="ar-SA"/>
        </w:rPr>
        <w:t>،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جماعة ، ومنهم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بن عیسی بن عبید الیقطینی،حیث ضعّفه الشیخ</w:t>
      </w:r>
      <w:r>
        <w:rPr>
          <w:rStyle w:val="FootnoteAnchor"/>
          <w:rtl w:val="true"/>
        </w:rPr>
        <w:footnoteReference w:id="87"/>
      </w:r>
      <w:r>
        <w:rPr>
          <w:rFonts w:ascii="IRNazanin" w:hAnsi="IRNazanin" w:eastAsia="IRNazanin"/>
          <w:color w:val="111111"/>
          <w:sz w:val="28"/>
          <w:sz w:val="28"/>
          <w:szCs w:val="28"/>
          <w:rtl w:val="true"/>
          <w:lang w:bidi="fa-IR"/>
        </w:rPr>
        <w:t xml:space="preserve">تبعاً للصدوق </w:t>
      </w:r>
      <w:r>
        <w:rPr>
          <w:rStyle w:val="FootnoteAnchor"/>
          <w:rtl w:val="true"/>
        </w:rPr>
        <w:footnoteReference w:id="88"/>
      </w:r>
      <w:r>
        <w:rPr>
          <w:rFonts w:ascii="IRNazanin" w:hAnsi="IRNazanin" w:eastAsia="IRNazanin"/>
          <w:color w:val="111111"/>
          <w:sz w:val="28"/>
          <w:sz w:val="28"/>
          <w:szCs w:val="28"/>
          <w:rtl w:val="true"/>
          <w:lang w:bidi="fa-IR"/>
        </w:rPr>
        <w:t xml:space="preserve">، تبعاً لشیخه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بالغلوّ، وإن ضعّف تضعیفهما الآخرون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قطع إلحاق غیره بالاجماع 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أغلب النسخ المطبوعة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قطع إلحاق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قدح إلحاق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معنی العبارة علی النسخة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القطع من الاجماع فی إلحاق 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الغسل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بالمتعارف ، وهو الغسل بالماء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قدح إلحاق غیر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ماء النفط والکبریت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المتعارف بواسطة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علی الأولی من تتمّة سابقه ، وهو دعوی انصراف إطلاق الغسل إلی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وهو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الثانیة دفع دخل لما قد یقدح فی دعوی الانصراف، بأن إلحاق فرد من الأفراد غیر المتعارفة بالمتعارف قرینة کاشفة عن إلحاق سائر أفراده غیر المتعارفة ، نظرة إلی عدم الجامع المبغض للمطلق بین أفراده الشائعة وبعض أفراده النادرة دون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الفارق بین الأفراد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کماء النفط والمضاف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الإلحاق بالمتعارف و عدمه هو الاجماع، إلا أن یدّعی من قبل السیّد أن الاجماع علی الالحاق بالاسم غیر القابل للتبعیض بین الأفراد النادرة، لا بالحکم القابل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ودعوی التبعیّة مصادرة محضة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لا مجال لإنکار قاعدة التبعیة أصلاً ورأساً ، لأنها من القواعد المشهورة المعروفة إعمالها فی طیّ کلمات الفقهاء، واستدلالهم بها علی طهارة الأعیان النجسة بالاستحالة والاستهلاک والانقلاب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منافاة أیضاً بین قولهم بتبعیّة الأحکام للأسماء، وبین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لا تختلف باختلاف الأسماء ، مستدلّین به علی أن مثل الرطب والعنب والحنطة لو تنجست لا تطهر بزوال الاسم والانتقال إلی اسم الزبیب والتمر والدقیق والعجین والخبز ونحوها، لأن المراد من الاسم الذی یدور مداره الحکم هو خصوص المأخوذ موضوعاً للحکم فی لسان الحاکم،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نجس، والبول والدم </w:t>
      </w:r>
    </w:p>
    <w:p>
      <w:pPr>
        <w:pStyle w:val="BookText"/>
        <w:rPr/>
      </w:pPr>
      <w:r>
        <w:rPr>
          <w:rFonts w:ascii="IRNazanin" w:hAnsi="IRNazanin" w:eastAsia="IRNazanin"/>
          <w:color w:val="111111"/>
          <w:sz w:val="28"/>
          <w:sz w:val="28"/>
          <w:szCs w:val="28"/>
          <w:rtl w:val="true"/>
          <w:lang w:bidi="fa-IR"/>
        </w:rPr>
        <w:t>والخمر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الاسم الذی لا یدور مداره الحکم هو الاسم المستنبط له الحکم بواسطة الاندراج تحت موضوعه الکلّی ، کالنجاسة والطهارة المستنبطتین الاسم الخشب والرطب والحنطة بواسطة اندراجها تحت عموم موضوع ملاقی النجس نجس ، وعموم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تکون تلک الأسماء هی موضوع حکمی الطهارة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الحکم التابع الاسمه هو الحکم الجزئی الخاصّ ثبوته بتنصیص الحاکم والشارع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الحکم غیر التابع هو الحکم العامّ الکلّی الآتی بتوسّط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فالنجاسة الجزئیّة الخاصّة باسم التغیّر زائلة بزوال التغیر لا محالة ، والتی هی باقیة بعد زواله هی النجاسة الکلّیة المستندة إلی الاستصحاب حین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صحّة قاعدة تبعیّة الأحکام للأسماء، وانتفاء التنافی المتوهّم بینه وبین قولهم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لا تتبع الأسماء، لاختلاف موردهما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مجال لإنکار أصل قاعدة تبعیّة الأحکام للأسماء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الجواب عنها فیما نحن فیه بأنّ غایة اقتضائها زوال النجاسة الجزئیّة الخاصّة باسم أعیان النجاسة ، دون النجاسة العامة الکلّیة المستندة إلی توسّط الاستصحاب، أو بأن مقتضی تبعیّة الأحکام لأسمائها مخصّص فیما نحن</w:t>
      </w:r>
    </w:p>
    <w:p>
      <w:pPr>
        <w:pStyle w:val="BookText"/>
        <w:rPr/>
      </w:pPr>
      <w:r>
        <w:rPr>
          <w:rFonts w:ascii="IRNazanin" w:hAnsi="IRNazanin" w:eastAsia="IRNazanin"/>
          <w:color w:val="111111"/>
          <w:sz w:val="28"/>
          <w:sz w:val="28"/>
          <w:szCs w:val="28"/>
          <w:rtl w:val="true"/>
          <w:lang w:bidi="fa-IR"/>
        </w:rPr>
        <w:t xml:space="preserve">فیه بدلالة النصوصّ </w:t>
      </w:r>
      <w:r>
        <w:rPr>
          <w:rStyle w:val="FootnoteAnchor"/>
          <w:rtl w:val="true"/>
        </w:rPr>
        <w:footnoteReference w:id="89"/>
      </w:r>
      <w:r>
        <w:rPr>
          <w:rFonts w:ascii="IRNazanin" w:hAnsi="IRNazanin" w:eastAsia="IRNazanin"/>
          <w:color w:val="111111"/>
          <w:sz w:val="28"/>
          <w:sz w:val="28"/>
          <w:szCs w:val="28"/>
          <w:rtl w:val="true"/>
          <w:lang w:bidi="fa-IR"/>
        </w:rPr>
        <w:t>المتقدّمة علی عدم زوال النجاسة بالغسل بغیر الماء مسن المضاف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هذا 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التردید فی أن مدلول الموثّق </w:t>
      </w:r>
      <w:r>
        <w:rPr>
          <w:rStyle w:val="FootnoteAnchor"/>
          <w:rtl w:val="true"/>
        </w:rPr>
        <w:footnoteReference w:id="90"/>
      </w:r>
      <w:r>
        <w:rPr>
          <w:rFonts w:ascii="Amiri" w:hAnsi="Amiri" w:eastAsia="Amiri" w:cs="Amiri"/>
          <w:color w:val="111111"/>
          <w:sz w:val="28"/>
          <w:sz w:val="28"/>
          <w:szCs w:val="28"/>
          <w:rtl w:val="true"/>
          <w:lang w:bidi="ar-SA"/>
        </w:rPr>
        <w:t xml:space="preserve">هل هو طهارة البلل </w:t>
      </w:r>
    </w:p>
    <w:p>
      <w:pPr>
        <w:pStyle w:val="BookText"/>
        <w:rPr/>
      </w:pPr>
      <w:r>
        <w:rPr>
          <w:rFonts w:ascii="IRNazanin" w:hAnsi="IRNazanin" w:eastAsia="IRNazanin"/>
          <w:color w:val="111111"/>
          <w:sz w:val="28"/>
          <w:sz w:val="28"/>
          <w:szCs w:val="28"/>
          <w:rtl w:val="true"/>
          <w:lang w:bidi="fa-IR"/>
        </w:rPr>
        <w:t>المشتبه بلل مخرج البول، لیستلزم نجاسة مخرج البول وعدم تطهیره بالمسح والبصاق ، کما هو مدّعی المشهور، أو هو طهارة البلل المشتبه بالبول ، لیستلزم طهارة مخرجه بمجرّد المسح والبصاق ، کما هو مدّعی السیّد ؟</w:t>
      </w:r>
    </w:p>
    <w:p>
      <w:pPr>
        <w:pStyle w:val="BookText"/>
        <w:rPr/>
      </w:pPr>
      <w:r>
        <w:rPr>
          <w:rFonts w:ascii="IRNazanin" w:hAnsi="IRNazanin" w:eastAsia="IRNazanin"/>
          <w:color w:val="111111"/>
          <w:sz w:val="28"/>
          <w:sz w:val="28"/>
          <w:szCs w:val="28"/>
          <w:rtl w:val="true"/>
          <w:lang w:bidi="fa-IR"/>
        </w:rPr>
        <w:t>أو إشارة إلی أن الموثّق فی نفسه وإن احتمل الأمرین إلا أنه یتعیّن فیه الاحتمال الأول، بعد مخالفة الثانی بإطلاقه للنصوص</w:t>
      </w:r>
      <w:r>
        <w:rPr>
          <w:rStyle w:val="FootnoteAnchor"/>
          <w:rtl w:val="true"/>
        </w:rPr>
        <w:footnoteReference w:id="91"/>
      </w:r>
      <w:r>
        <w:rPr>
          <w:rFonts w:ascii="IRNazanin" w:hAnsi="IRNazanin" w:eastAsia="IRNazanin"/>
          <w:color w:val="111111"/>
          <w:sz w:val="28"/>
          <w:sz w:val="28"/>
          <w:szCs w:val="28"/>
          <w:rtl w:val="true"/>
          <w:lang w:bidi="fa-IR"/>
        </w:rPr>
        <w:t>المفضلة فی طهارة البلل المشتبه بالبول بین خروجه قبل الاستبراء فینجس وبعده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أقوال أخر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خروجه عن المطهریّة والقابلیّة لرفع الخبث وإن خرج عن الاطلاق ، کما تقدّم عن السیّد </w:t>
      </w:r>
      <w:r>
        <w:rPr>
          <w:rStyle w:val="FootnoteAnchor"/>
          <w:rtl w:val="true"/>
        </w:rPr>
        <w:footnoteReference w:id="93"/>
      </w:r>
      <w:r>
        <w:rPr>
          <w:rFonts w:ascii="IRNazanin" w:hAnsi="IRNazanin" w:eastAsia="IRNazanin"/>
          <w:color w:val="111111"/>
          <w:sz w:val="28"/>
          <w:sz w:val="28"/>
          <w:szCs w:val="28"/>
          <w:rtl w:val="true"/>
          <w:lang w:bidi="fa-IR"/>
        </w:rPr>
        <w:t xml:space="preserve">والمفید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أیضاً عن العمانی </w:t>
      </w:r>
      <w:r>
        <w:rPr>
          <w:rStyle w:val="FootnoteAnchor"/>
          <w:rtl w:val="true"/>
        </w:rPr>
        <w:footnoteReference w:id="95"/>
      </w:r>
      <w:r>
        <w:rPr>
          <w:rFonts w:ascii="IRNazanin" w:hAnsi="IRNazanin" w:eastAsia="IRNazanin"/>
          <w:color w:val="111111"/>
          <w:sz w:val="28"/>
          <w:sz w:val="28"/>
          <w:szCs w:val="28"/>
          <w:rtl w:val="true"/>
          <w:lang w:bidi="fa-IR"/>
        </w:rPr>
        <w:t>من جواز التطهیر به اضطراراً لااختیار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الصدوق</w:t>
      </w:r>
      <w:r>
        <w:rPr>
          <w:rStyle w:val="FootnoteAnchor"/>
          <w:rtl w:val="true"/>
        </w:rPr>
        <w:footnoteReference w:id="96"/>
      </w:r>
      <w:r>
        <w:rPr>
          <w:rFonts w:ascii="IRNazanin" w:hAnsi="IRNazanin" w:eastAsia="IRNazanin"/>
          <w:color w:val="111111"/>
          <w:sz w:val="28"/>
          <w:sz w:val="28"/>
          <w:szCs w:val="28"/>
          <w:rtl w:val="true"/>
          <w:lang w:bidi="fa-IR"/>
        </w:rPr>
        <w:t>من جواز رفع الحدث بماء الورد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فاندفع بذلک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الدفع والفرق فی وجوب الاحتیاط فی العبادات وعدمه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معارضة الاحتیاط باستصحاب بقاء المطهریّة هنا، وعدم معارضته به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تضعیف دلالة اغتساله علیه السلام</w:t>
      </w:r>
      <w:r>
        <w:rPr>
          <w:rStyle w:val="FootnoteAnchor"/>
          <w:rtl w:val="true"/>
        </w:rPr>
        <w:footnoteReference w:id="97"/>
      </w:r>
      <w:r>
        <w:rPr>
          <w:rFonts w:ascii="IRNazanin" w:hAnsi="IRNazanin" w:eastAsia="IRNazanin"/>
          <w:color w:val="111111"/>
          <w:sz w:val="28"/>
          <w:sz w:val="28"/>
          <w:szCs w:val="28"/>
          <w:rtl w:val="true"/>
          <w:lang w:bidi="fa-IR"/>
        </w:rPr>
        <w:t xml:space="preserve">مع عائشة فی إناء واحد </w:t>
      </w:r>
    </w:p>
    <w:p>
      <w:pPr>
        <w:pStyle w:val="BookText"/>
        <w:rPr/>
      </w:pPr>
      <w:r>
        <w:rPr>
          <w:rFonts w:ascii="IRNazanin" w:hAnsi="IRNazanin" w:eastAsia="IRNazanin"/>
          <w:color w:val="111111"/>
          <w:sz w:val="28"/>
          <w:sz w:val="28"/>
          <w:szCs w:val="28"/>
          <w:rtl w:val="true"/>
          <w:lang w:bidi="fa-IR"/>
        </w:rPr>
        <w:t>علی ریاض المسائل علی عدم المنع من الفضالة ، لکن لا لمجرّد احتمال کون اغتسالهما فیه علی سبیل الاقتران والاجتماع لا الانفراد والترتیب ، حتی ینافیه ما هو الغالب المتعارف والمعتاد فی الاناء من عدم تحمل ظرفیّته لهما علی سبیل الاجتماع والاقتران وإن بلغ فی الکبر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لاحتمال کون اغتسال کلّ منهما فی الاناء من ماء علی حدة، حتی ینافیه ظهور اغتسالهما فیه فی المشارکة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لاحتمال اغتسال عائشة بفضالة النبیّ صلّی الله علیه واله، دون العکس حتی یکون دلیلاً علی عدم المنع من الفضالة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إشارة إلی أن هذا الخبر وإن لم یکن بنفسه صریحاً فی عدم المنع من الفضالة ، إلا أنه یکون صریحة بضمیمة سائر النصوص الأخر الصریحة فی عدم المنع، منها ما عن العوالی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بعض أزاوج النبیّ صلّی الله علیه واله فی جفنة، فأراد رسول الله صلی الله علیه وآله وسلم أن یتوضأ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کنت جنبة، 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لا یجنب</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الأمالی عن میمونة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اجتنبت فاغتسلت من جفنة وفضلت فیها فضلة، فجاء رسول الله له فاغتسل،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وسلمإنها فضلة متی،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للماء جنابة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باعتبار عموم مفهوم بعض أخباره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عموم مفهوم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والقدح فی کلیة المفهوم بأن رفع السالبة الکلیة یحصل بموجبة جزئیة ، وهی نجاسة القلیل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بعدم القول بالفصل فی التنجیس بین أنواع النجاسات، أو بضمیمة قضاء الحکمة العموم فی المفهوم، أو الانجبار بفهم </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اعتبار للنیّة فی حصول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الخطیة ، والثانیة فی 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أدرجناهما فی المتن کما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دفع دخل وجواب عن سؤال مقدّر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فی ظاهر المتن و غیره هو نجاسة الغسالة وما یطهّر الخبث ویزیله ، و الدلیل من أخبار إهراق ما یدخله الید النجسة من ماء الرکوة والإناء أعمّ من المدّعی، لاستلزامه نجاسة ملاقی المتنجّس ولو لم یکن بقصد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الأعمیّة ، إذ لا اعتبار للنیة والقصد فی حصول التطهیر ، فیعمّ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الماء الملاقی للمتنجّس ولو لم یکن بنیّة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اعتبار للنیة فی حصول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دخل وجواب عن سؤال مقدّر،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نصوص إهراق ما لاقته المتنجّسات من القلیل إنما تدلّ علی المسألة المتقدّمة، وهی نجاسة القلیل بملاقاة النجس، لا علی ما نحن فیه من نجاسة ما یزیل الخبث من القلیل ، نظراً إلی أخصیة ما نحن فیه عمّا تقدّم بخصوص نیّة التطهیر فیه وعدمه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کون الفارق اعتبار النیّة فی التطهیر ، بل الفارق للمسألة عمّا تقدّم هو استعمال القلیل فی تطهیر المتنجس ولو من غیر نیّة ، بخلاف المسألة السابقة ، فإنّه ملاقاة القلیل للنجس ، وکفی به فرقاً وفارقاً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طشت فیه وضوء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بفتح الواو اسم للماء الذی یتوضّأ به، کما أنّه بالضمّ مصدر وضوء وهو الحسن لغة، والغسلتان والمسحتان المعهودتان شرعاً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بالفتح والضم لغتان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علی کلّ من الاستنجاء وغسل الیدین أیضاً شائعاً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والاستدلال به یتمّ علی تقدیر استلزام عدم رفع الحدث به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بقوله فی الخبر </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یتوضّأ منه یتمّ علی تقدیر أن یکون النهی عن التوضّوء به من جهة ملاقاته النجاسة الغالب استصحابها الثوب والجنب ، من جهة رفعه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علیه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کلّیة أن ملاقی النجس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والاجماع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المدّعی علی کلّیّته غیر معلوم، مع وجود القول بالتفکیک فیه بین ما بعد الانفصال عن النجس فینجس وما قبله فلا ، بل وبین الوارد والمورود، بل بین الغسالة الأولی والثانیة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ومضمونه فی المقام إجماعی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الخبر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نجاسة ملاقی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إجماعیّ فی خصوص المقام وهو غسالة النجس لا مطلق الملاقی، کما عن المعتبر </w:t>
      </w:r>
      <w:r>
        <w:rPr>
          <w:rStyle w:val="FootnoteAnchor"/>
          <w:rtl w:val="true"/>
        </w:rPr>
        <w:footnoteReference w:id="104"/>
      </w:r>
      <w:r>
        <w:rPr>
          <w:rFonts w:ascii="IRNazanin" w:hAnsi="IRNazanin" w:eastAsia="IRNazanin"/>
          <w:color w:val="111111"/>
          <w:sz w:val="28"/>
          <w:sz w:val="28"/>
          <w:szCs w:val="28"/>
          <w:rtl w:val="true"/>
          <w:lang w:bidi="fa-IR"/>
        </w:rPr>
        <w:t xml:space="preserve">والمنتهی </w:t>
      </w:r>
      <w:r>
        <w:rPr>
          <w:rStyle w:val="FootnoteAnchor"/>
          <w:rtl w:val="true"/>
        </w:rPr>
        <w:footnoteReference w:id="105"/>
      </w:r>
      <w:r>
        <w:rPr>
          <w:rFonts w:ascii="IRNazanin" w:hAnsi="IRNazanin" w:eastAsia="IRNazanin"/>
          <w:color w:val="111111"/>
          <w:sz w:val="28"/>
          <w:sz w:val="28"/>
          <w:szCs w:val="28"/>
          <w:rtl w:val="true"/>
          <w:lang w:bidi="fa-IR"/>
        </w:rPr>
        <w:t>أنه متی کان علی جسد المجنب أو المغتسل من حیض و شبهه نجاسة عینیّة کان المستعمل نجسة إجماعة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وبقید خصوصیّة الاستعمال فی معقد الاجماع ترتفع المنافاة بین الاعتراف به أخیراً وبین إنکاره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فسقط الاستدلال به للمقام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لما عرفت من أعمیّته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جواب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الالتزام بطهارته مادام فی المحلّ ، فإذا انفصل حکم علیه بالنجاسة ، لکن لا بمعنی أن الانفصال مقتض لنجاسته حتّی یمنع اقتضاءه، ولا بمعنی أن مجرّد ملاقاته النجس علّة تامة لتنجّسه ، حتّی یستلزم تأخیره إلی الانفصال تخلّف العلّة عن المعلول، بل بمعنی أن المقتضی لتأثر کلّ من المتلاقیین بتأثیر الآخر هو نفس الملاقاة ، ولکن ماداما متشاغلین بالتأثیر والتأثر کان ذلک کالمانع من بروز الأثر، فإذا انفصلا ظهر تأثر کلّ منهما بتأثیر الآخر، وانتقل حکم کل منهما إلی الآخر، قضاءً لحقّ المقتضیین بعد ارتفاع المانع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 ضعفه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المرقوم مع ضعفه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طهارة غسالة الولوغ والغسالة الثانیة من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 الثانی، وهو الغسالة الأولی من الثوب ، وکذلک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نجاسة الغسالة الأولی من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فی الأول، وهو غسالة الولوغ والثانیة من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التفصیل المرقوم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جار کلُّ من شقیه فی کلّ من شقّی المسألة علی التعاکس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والأوانی المنطبقة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الحدیثتین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المغطاة ، من الطبق وهو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المنتهی</w:t>
      </w:r>
      <w:r>
        <w:rPr>
          <w:rStyle w:val="FootnoteAnchor"/>
          <w:rtl w:val="true"/>
        </w:rPr>
        <w:footnoteReference w:id="107"/>
      </w:r>
      <w:r>
        <w:rPr>
          <w:rFonts w:ascii="IRNazanin" w:hAnsi="IRNazanin" w:eastAsia="IRNazanin"/>
          <w:color w:val="111111"/>
          <w:sz w:val="28"/>
          <w:sz w:val="28"/>
          <w:szCs w:val="28"/>
          <w:rtl w:val="true"/>
          <w:lang w:bidi="fa-IR"/>
        </w:rPr>
        <w:t xml:space="preserve">احتمال </w:t>
      </w:r>
    </w:p>
    <w:p>
      <w:pPr>
        <w:pStyle w:val="BookText"/>
        <w:rPr/>
      </w:pPr>
      <w:r>
        <w:rPr>
          <w:rFonts w:ascii="IRNazanin" w:hAnsi="IRNazanin" w:eastAsia="IRNazanin"/>
          <w:color w:val="111111"/>
          <w:sz w:val="28"/>
          <w:sz w:val="28"/>
          <w:szCs w:val="28"/>
          <w:rtl w:val="true"/>
          <w:lang w:bidi="fa-IR"/>
        </w:rPr>
        <w:t>اختصاص الکراهة بأوانی الحدید والرصاص کما فی الجواهر</w:t>
      </w:r>
      <w:r>
        <w:rPr>
          <w:rStyle w:val="FootnoteAnchor"/>
          <w:rtl w:val="true"/>
        </w:rPr>
        <w:footnoteReference w:id="108"/>
      </w:r>
      <w:r>
        <w:rPr>
          <w:rFonts w:ascii="IRNazanin" w:hAnsi="IRNazanin" w:eastAsia="IRNazanin"/>
          <w:color w:val="111111"/>
          <w:sz w:val="28"/>
          <w:sz w:val="28"/>
          <w:szCs w:val="28"/>
          <w:rtl w:val="true"/>
          <w:lang w:bidi="fa-IR"/>
        </w:rPr>
        <w:t xml:space="preserve">، أو الحدید والنحاس کما فی البرهان </w:t>
      </w:r>
      <w:r>
        <w:rPr>
          <w:rStyle w:val="FootnoteAnchor"/>
          <w:rtl w:val="true"/>
        </w:rPr>
        <w:footnoteReference w:id="109"/>
      </w:r>
      <w:r>
        <w:rPr>
          <w:rFonts w:ascii="Amiri" w:hAnsi="Amiri" w:eastAsia="Amiri" w:cs="Amiri"/>
          <w:color w:val="111111"/>
          <w:sz w:val="28"/>
          <w:sz w:val="28"/>
          <w:szCs w:val="28"/>
          <w:rtl w:val="true"/>
          <w:lang w:bidi="ar-SA"/>
        </w:rPr>
        <w:t>، دون الفضّة والذهب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کان، فالمراد من الاعتبارات المقتضیة لتخصیص الکراهة بما ذکر هو زعم اختصاص المحذور بقضیّة الطبائع المذکورة، وهو شدّة الحرارة ، وانطباق الأوانی، وخبث الحدید والرصاص والنحاس، لما فیها من السمیة المحظورة، بخلاف خفة الحرارة وانکشاف الأوانی وصفاء الذهب والفضة، فإنّه لیس معها من تلک السمیّة المحظورة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کونها اعتبارات غیر مسموعة فی مقابل إطلاقات الفتاوی والنصوص استناد تأثیرها المحذور إلی الخیال لا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فعلی وجه الحکمة لا العلة ، حتی یدور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ذکرنا ظهر ما فی الإلحاق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التردید الناشیء من إمکان انصراف المنع من تسخین الماء للمیّت إلی ما هو المتداول بین العامّة من تغسیله به دون مطلق الاستعمال له ، ومن استبعاد تطرّق الانصراف علی ما هو من قبیل العمومات ،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ماء حمیماً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یسخن الماء له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یعمل له النار</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المشعر تعلیله بالتشاؤم، لکون الانصراف علی تقدّیر وجود سببه من خصائص الإطلاق ، فلا یتطرق العموم، خصوصاً مع الاعتضاد بقاعدة التسامح فی مثله من إثبات الکراهة والاستحباب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الأسار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بعده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أفعال جمع سؤر، کأقفال جمع 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یغتسلان فی إناء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التردید الناشیء من عدم استلزام اغتسالهما فی إناء واحد المباشرة بالجسم، لاحتمال کونه بألة غیر الجسم، ومن ظهور الاستشهاد به</w:t>
      </w:r>
      <w:r>
        <w:rPr>
          <w:rStyle w:val="FootnoteAnchor"/>
          <w:rtl w:val="true"/>
        </w:rPr>
        <w:footnoteReference w:id="113"/>
      </w:r>
      <w:r>
        <w:rPr>
          <w:rFonts w:ascii="IRNazanin" w:hAnsi="IRNazanin" w:eastAsia="IRNazanin"/>
          <w:color w:val="111111"/>
          <w:sz w:val="28"/>
          <w:sz w:val="28"/>
          <w:szCs w:val="28"/>
          <w:rtl w:val="true"/>
          <w:lang w:bidi="fa-IR"/>
        </w:rPr>
        <w:t xml:space="preserve">علی نفی البأس عن سؤر الغاسلة یدها قبل دخول الإناء فی مباشر ته بالجسم لابألة غیر الجسم، ومن احتمال کون الاستشهاد به تّقیة، لأنّها کأبیها من المنافقین المبطنین الکفر، غیر الجائز مساواتهم </w:t>
      </w:r>
      <w:r>
        <w:rPr>
          <w:rStyle w:val="FootnoteAnchor"/>
          <w:rtl w:val="true"/>
        </w:rPr>
        <w:footnoteReference w:id="114"/>
      </w:r>
      <w:r>
        <w:rPr>
          <w:rFonts w:ascii="IRNazanin" w:hAnsi="IRNazanin" w:eastAsia="IRNazanin"/>
          <w:color w:val="111111"/>
          <w:sz w:val="28"/>
          <w:sz w:val="28"/>
          <w:szCs w:val="28"/>
          <w:rtl w:val="true"/>
          <w:lang w:bidi="fa-IR"/>
        </w:rPr>
        <w:t>للعالم بحالهم إلاصورة بنص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ینعقد الإجماع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إشارة إلی التردید فی انعقاد الإجماع علی خلاف المقنع </w:t>
      </w:r>
      <w:r>
        <w:rPr>
          <w:rStyle w:val="FootnoteAnchor"/>
          <w:rtl w:val="true"/>
        </w:rPr>
        <w:footnoteReference w:id="115"/>
      </w:r>
      <w:r>
        <w:rPr>
          <w:rFonts w:ascii="IRNazanin" w:hAnsi="IRNazanin" w:eastAsia="IRNazanin"/>
          <w:color w:val="111111"/>
          <w:sz w:val="28"/>
          <w:sz w:val="28"/>
          <w:szCs w:val="28"/>
          <w:rtl w:val="true"/>
          <w:lang w:bidi="fa-IR"/>
        </w:rPr>
        <w:t xml:space="preserve">۔ وهو المنع من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 الناشیء ذلک من ظهور قول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التوّضوء بسؤر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بملاحظة تعبیره عن الحکم غالباً بلفظ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التحریم لا الکراهة ، وسیّما مع موافقة التهذیب </w:t>
      </w:r>
      <w:r>
        <w:rPr>
          <w:rStyle w:val="FootnoteAnchor"/>
          <w:rtl w:val="true"/>
        </w:rPr>
        <w:footnoteReference w:id="116"/>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117"/>
      </w:r>
      <w:r>
        <w:rPr>
          <w:rFonts w:ascii="IRNazanin" w:hAnsi="IRNazanin" w:eastAsia="IRNazanin"/>
          <w:color w:val="111111"/>
          <w:sz w:val="28"/>
          <w:sz w:val="28"/>
          <w:szCs w:val="28"/>
          <w:rtl w:val="true"/>
          <w:lang w:bidi="fa-IR"/>
        </w:rPr>
        <w:t xml:space="preserve">ما له فی التعبیر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ظهور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الخلاف</w:t>
      </w:r>
      <w:r>
        <w:rPr>
          <w:rStyle w:val="FootnoteAnchor"/>
          <w:rtl w:val="true"/>
        </w:rPr>
        <w:footnoteReference w:id="118"/>
      </w:r>
      <w:r>
        <w:rPr>
          <w:rFonts w:ascii="IRNazanin" w:hAnsi="IRNazanin" w:eastAsia="IRNazanin"/>
          <w:color w:val="111111"/>
          <w:sz w:val="28"/>
          <w:sz w:val="28"/>
          <w:szCs w:val="28"/>
          <w:rtl w:val="true"/>
          <w:lang w:bidi="fa-IR"/>
        </w:rPr>
        <w:t xml:space="preserve">والناصریّات </w:t>
      </w:r>
      <w:r>
        <w:rPr>
          <w:rStyle w:val="FootnoteAnchor"/>
          <w:rtl w:val="true"/>
        </w:rPr>
        <w:footnoteReference w:id="119"/>
      </w:r>
      <w:r>
        <w:rPr>
          <w:rFonts w:ascii="IRNazanin" w:hAnsi="IRNazanin" w:eastAsia="IRNazanin"/>
          <w:color w:val="111111"/>
          <w:sz w:val="28"/>
          <w:sz w:val="28"/>
          <w:szCs w:val="28"/>
          <w:rtl w:val="true"/>
          <w:lang w:bidi="fa-IR"/>
        </w:rPr>
        <w:t xml:space="preserve">والغنیة </w:t>
      </w:r>
      <w:r>
        <w:rPr>
          <w:rStyle w:val="FootnoteAnchor"/>
          <w:rtl w:val="true"/>
        </w:rPr>
        <w:footnoteReference w:id="1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تحصیلاً من الشهرة والأصل ، مع عدم المخرج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 المقنع وعدم حرمة السؤر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فحوی الأخبار </w:t>
      </w:r>
      <w:r>
        <w:rPr>
          <w:rStyle w:val="FootnoteAnchor"/>
          <w:rtl w:val="true"/>
        </w:rPr>
        <w:footnoteReference w:id="121"/>
      </w:r>
      <w:r>
        <w:rPr>
          <w:rFonts w:ascii="IRNazanin" w:hAnsi="IRNazanin" w:eastAsia="IRNazanin"/>
          <w:color w:val="111111"/>
          <w:sz w:val="28"/>
          <w:sz w:val="28"/>
          <w:szCs w:val="28"/>
          <w:rtl w:val="true"/>
          <w:lang w:bidi="fa-IR"/>
        </w:rPr>
        <w:t>الناهیة عن سؤرها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فحواها ظهور تعلیقها الحکم بالمأمونیة وجوداً وعدماً فی علّیتّها للحکم، سیّما بملاحظة کونها من الأوصاف المناسبة المشعرة بالعلّیة ، فیتعدی الحکم إلی سؤر مطلق غیر المأمون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بالنظر إلی المسامحة وفحاوی المعتبرة</w:t>
      </w:r>
      <w:r>
        <w:rPr>
          <w:rStyle w:val="FootnoteAnchor"/>
          <w:rtl w:val="true"/>
        </w:rPr>
        <w:footnoteReference w:id="122"/>
      </w:r>
      <w:r>
        <w:rPr>
          <w:rFonts w:ascii="IRNazanin" w:hAnsi="IRNazanin" w:eastAsia="IRNazanin"/>
          <w:color w:val="111111"/>
          <w:sz w:val="28"/>
          <w:sz w:val="28"/>
          <w:szCs w:val="28"/>
          <w:rtl w:val="true"/>
          <w:lang w:bidi="fa-IR"/>
        </w:rPr>
        <w:t xml:space="preserve">فی الحائض المتهمة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التردید فی المسألة، الناشیء تردیده من إطلاق دلیل المسامحة وفحوی المعتبرة، ومن انصراف دلیل المسامحة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إلی مثل الخبر، لا مجرّد فتوی فقیه کما فیما نحن فیه، وانصراف فحوی ما فی الحائض المتّهمة إلی خصوص المتّهم ممّن یعقل، لا ممّا لا یعقل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دلالة فحوی ما فی الحائض المتّهمة علی کراهة سؤر الحیوانات الأولویّة وتنقیح المناط ، بتقریب أن الاتهام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بظنّ عدم التحفّظ من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 کراهة السور فی الإنسان، فإیجابه الکراهة فی الحیوان بطریق أولی، للیقین بعدم تحفّظه من النجاسة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منع الأولویّة باحتمال استناد کراهة سؤر المتّهم فی الإنسان إلی مدخلیّة بعض الخصوصیّات الخاصّة به ، من استحقاقه العقوبة دون الحیوان، ومن انحصار تطهّره فی الغسل ونحوه ، بخلاف تطهّر الحیوان، فإنّه بمجرّد الإزالة لا الغسل ونحوه ، إلی غیر ذلک ممّا یحتمل مدخلیّنه فی اختصاص </w:t>
      </w:r>
    </w:p>
    <w:p>
      <w:pPr>
        <w:pStyle w:val="BookText"/>
        <w:rPr/>
      </w:pPr>
      <w:r>
        <w:rPr>
          <w:rFonts w:ascii="IRNazanin" w:hAnsi="IRNazanin" w:eastAsia="IRNazanin"/>
          <w:color w:val="111111"/>
          <w:sz w:val="28"/>
          <w:sz w:val="28"/>
          <w:szCs w:val="28"/>
          <w:rtl w:val="true"/>
          <w:lang w:bidi="fa-IR"/>
        </w:rPr>
        <w:t>الحکم وعدم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سؤر الکلب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تقیید نجاسة سؤر الکلب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الإجماع علی نجاسة أصل الکلب بالجملة لعلّه إشارة إلی الخلاف المتقدّم</w:t>
      </w:r>
      <w:r>
        <w:rPr>
          <w:rStyle w:val="FootnoteAnchor"/>
          <w:rtl w:val="true"/>
        </w:rPr>
        <w:footnoteReference w:id="124"/>
      </w:r>
      <w:r>
        <w:rPr>
          <w:rFonts w:ascii="IRNazanin" w:hAnsi="IRNazanin" w:eastAsia="IRNazanin"/>
          <w:color w:val="111111"/>
          <w:sz w:val="28"/>
          <w:sz w:val="28"/>
          <w:szCs w:val="28"/>
          <w:rtl w:val="true"/>
          <w:lang w:bidi="fa-IR"/>
        </w:rPr>
        <w:t xml:space="preserve">فی نجاسة الماء القلیل الملاقی للنجس، کما عن العمانی </w:t>
      </w:r>
      <w:r>
        <w:rPr>
          <w:rStyle w:val="FootnoteAnchor"/>
          <w:rtl w:val="true"/>
        </w:rPr>
        <w:footnoteReference w:id="125"/>
      </w:r>
      <w:r>
        <w:rPr>
          <w:rFonts w:ascii="IRNazanin" w:hAnsi="IRNazanin" w:eastAsia="IRNazanin"/>
          <w:color w:val="111111"/>
          <w:sz w:val="28"/>
          <w:sz w:val="28"/>
          <w:szCs w:val="28"/>
          <w:rtl w:val="true"/>
          <w:lang w:bidi="fa-IR"/>
        </w:rPr>
        <w:t>إنکاره مطلقاً ، أو عن المرتضی</w:t>
      </w:r>
      <w:r>
        <w:rPr>
          <w:rStyle w:val="FootnoteAnchor"/>
          <w:rtl w:val="true"/>
        </w:rPr>
        <w:footnoteReference w:id="12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27"/>
      </w:r>
      <w:r>
        <w:rPr>
          <w:rFonts w:ascii="IRNazanin" w:hAnsi="IRNazanin" w:eastAsia="IRNazanin"/>
          <w:color w:val="111111"/>
          <w:sz w:val="28"/>
          <w:sz w:val="28"/>
          <w:szCs w:val="28"/>
          <w:rtl w:val="true"/>
          <w:lang w:bidi="fa-IR"/>
        </w:rPr>
        <w:t xml:space="preserve">التفصیل بین الوارد والمورود منه، فإن مقتضی إطلاق العمانی هو عدم نجاسة سؤر الکلب مطلقاً ، و تفصیل المرتضی بین الوارد والمورود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 أو صقر، أو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طائر معروف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والصقر کلّ شیء یصطاد به من البزاة والشواهین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دلیله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عن الشیخ </w:t>
      </w:r>
      <w:r>
        <w:rPr>
          <w:rStyle w:val="FootnoteAnchor"/>
          <w:rtl w:val="true"/>
        </w:rPr>
        <w:footnoteReference w:id="128"/>
      </w:r>
      <w:r>
        <w:rPr>
          <w:rFonts w:ascii="IRNazanin" w:hAnsi="IRNazanin" w:eastAsia="IRNazanin"/>
          <w:color w:val="111111"/>
          <w:sz w:val="28"/>
          <w:sz w:val="28"/>
          <w:szCs w:val="28"/>
          <w:rtl w:val="true"/>
          <w:lang w:bidi="fa-IR"/>
        </w:rPr>
        <w:t>وغیره</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روی من حرمة بیعها ، کما عن روایة مسمع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عن القردة أن تشتری أو تباع</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وما روی من إراقة الماء الواقع فیه الوزغ</w:t>
      </w:r>
      <w:r>
        <w:rPr>
          <w:rStyle w:val="FootnoteAnchor"/>
          <w:rtl w:val="true"/>
        </w:rPr>
        <w:footnoteReference w:id="131"/>
      </w:r>
      <w:r>
        <w:rPr>
          <w:rFonts w:ascii="IRNazanin" w:hAnsi="IRNazanin" w:eastAsia="IRNazanin"/>
          <w:color w:val="111111"/>
          <w:sz w:val="28"/>
          <w:sz w:val="28"/>
          <w:szCs w:val="28"/>
          <w:rtl w:val="true"/>
          <w:lang w:bidi="fa-IR"/>
        </w:rPr>
        <w:t>والعقرب</w:t>
      </w:r>
      <w:r>
        <w:rPr>
          <w:rStyle w:val="FootnoteAnchor"/>
          <w:rtl w:val="true"/>
        </w:rPr>
        <w:footnoteReference w:id="1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وضوح الدلیل فلقصور سند الخبرین ودلالتهما، إذ لا ملازمة بین </w:t>
      </w:r>
    </w:p>
    <w:p>
      <w:pPr>
        <w:pStyle w:val="BookText"/>
        <w:rPr/>
      </w:pPr>
      <w:r>
        <w:rPr>
          <w:rFonts w:ascii="IRNazanin" w:hAnsi="IRNazanin" w:eastAsia="IRNazanin"/>
          <w:color w:val="111111"/>
          <w:sz w:val="28"/>
          <w:sz w:val="28"/>
          <w:szCs w:val="28"/>
          <w:rtl w:val="true"/>
          <w:lang w:bidi="fa-IR"/>
        </w:rPr>
        <w:t>حرمة البیع والنجاسة ، ولا بین الإراقة والنجاسة ، إذ لعلّ الإراقة من جهة السمیة أو الموت لا النجاسة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فدلیل المنع فیهما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دلیله فهو عموم القاعدتین المستنبطتین من أخبار </w:t>
      </w:r>
      <w:r>
        <w:rPr>
          <w:rStyle w:val="FootnoteAnchor"/>
          <w:rtl w:val="true"/>
        </w:rPr>
        <w:footnoteReference w:id="133"/>
      </w:r>
      <w:r>
        <w:rPr>
          <w:rFonts w:ascii="IRNazanin" w:hAnsi="IRNazanin" w:eastAsia="IRNazanin"/>
          <w:color w:val="111111"/>
          <w:sz w:val="28"/>
          <w:sz w:val="28"/>
          <w:szCs w:val="28"/>
          <w:rtl w:val="true"/>
          <w:lang w:bidi="fa-IR"/>
        </w:rPr>
        <w:t>النجاسات والمتنجّسات، من أنها تنجّس کلّ ما تلاقیه فیدخل فیه آکل الجیف ، ومن عموم أن کلّ متنجس لا یطهر إلا بالغسل بالماء، فإذا لم یعلم طهارة آکل الجیف والجلالّ بملاقاة الماء یستصحب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وضوحه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إطلاق ما تقدّم من نصوص </w:t>
      </w:r>
      <w:r>
        <w:rPr>
          <w:rStyle w:val="FootnoteAnchor"/>
          <w:rtl w:val="true"/>
        </w:rPr>
        <w:footnoteReference w:id="134"/>
      </w:r>
      <w:r>
        <w:rPr>
          <w:rFonts w:ascii="IRNazanin" w:hAnsi="IRNazanin" w:eastAsia="IRNazanin"/>
          <w:color w:val="111111"/>
          <w:sz w:val="28"/>
          <w:sz w:val="28"/>
          <w:szCs w:val="28"/>
          <w:rtl w:val="true"/>
          <w:lang w:bidi="fa-IR"/>
        </w:rPr>
        <w:t xml:space="preserve">طهارة سؤر الباز والصقر ونحوهما من الجوارح إذا خلا منقارها عن عین الدم، ومن الإجماع والشهرة والسیرة المستمرّة القاطعة بین المسلمین ، مع عموم البلوی ، بل مَن غسل شیئاً من الحیوانات یحکمون أنه من المجانین ، کما فی الجواهر </w:t>
      </w:r>
      <w:r>
        <w:rPr>
          <w:rStyle w:val="FootnoteAnchor"/>
          <w:rtl w:val="true"/>
        </w:rPr>
        <w:footnoteReference w:id="135"/>
      </w:r>
      <w:r>
        <w:rPr>
          <w:rFonts w:ascii="IRNazanin" w:hAnsi="IRNazanin" w:eastAsia="IRNazanin"/>
          <w:color w:val="111111"/>
          <w:sz w:val="28"/>
          <w:sz w:val="28"/>
          <w:szCs w:val="28"/>
          <w:rtl w:val="true"/>
          <w:lang w:bidi="fa-IR"/>
        </w:rPr>
        <w:t>و غیره، إلی غیر ذلک ممّا یقتضی الشکّ فی شمول القاعدة الأوّلی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یتنجّرس بنجاسة هذه النجاسات أبدان الحیوانات، بل هی من قبیل البواطن غیر المنفصلة بملاقاة النجاسة ، بل إن کانت عین النجاسة موجودة کانت النجاسة مستندة إلیها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إلیه یرجع قولهم وقول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 زوال العین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 کذا بواطن الإنسان </w:t>
      </w:r>
      <w:r>
        <w:rPr>
          <w:rStyle w:val="FootnoteAnchor"/>
          <w:rtl w:val="true"/>
        </w:rPr>
        <w:footnoteReference w:id="13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ظاهره لا یخلو من مسامحة</w:t>
      </w:r>
      <w:r>
        <w:rPr>
          <w:rFonts w:eastAsia="IRNazanin" w:cs="IRNazanin"/>
          <w:color w:val="111111"/>
          <w:sz w:val="28"/>
          <w:szCs w:val="28"/>
          <w:rtl w:val="true"/>
          <w:lang w:bidi="fa-IR"/>
        </w:rPr>
        <w:t xml:space="preserve">. </w:t>
      </w:r>
      <w:bookmarkStart w:id="54" w:name="pg1905_24434"/>
    </w:p>
    <w:p>
      <w:pPr>
        <w:pStyle w:val="Heading3"/>
        <w:numPr>
          <w:ilvl w:val="2"/>
          <w:numId w:val="1"/>
        </w:numPr>
        <w:rPr/>
      </w:pPr>
      <w:bookmarkStart w:id="55" w:name="__RefHeading___Toc3268767_3650668749"/>
      <w:bookmarkStart w:id="56" w:name="_Toc21"/>
      <w:bookmarkEnd w:id="54"/>
      <w:bookmarkEnd w:id="55"/>
      <w:r>
        <w:rPr>
          <w:rtl w:val="true"/>
        </w:rPr>
        <w:t>الرکن الثانی</w:t>
      </w:r>
      <w:r>
        <w:rPr>
          <w:rtl w:val="true"/>
        </w:rPr>
        <w:t xml:space="preserve">: </w:t>
      </w:r>
      <w:r>
        <w:rPr>
          <w:rtl w:val="true"/>
        </w:rPr>
        <w:t>فی الطهارة المائیة</w:t>
      </w:r>
      <w:bookmarkEnd w:id="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تحقیقاً أو تقدیراً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واعتبار التقدیر لأجل إدخال النوم الغالب علی الحاسّتین ممّن لیس له الحاسّتان أو أحدهما ، کالأعمی والأصمّ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استدلّ ببعض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صحیحة معمّر بن خلّاد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رجل به علّة لا یقدر علی الاضطجاع، والوضوء یشتدّ علیه وهو قاعد مستند بالوسائد، فربما أغفی وهو قاعد علی تلک الحالة،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یشتدّ علیه،قال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علیه الصوت وجب</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ما ذکر ، لما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للرعاف ، والقیّ، والکذب ، وأکل ما مسّته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التقنیة ، والمسامحة فی أدلّة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بمقادیم البدن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فسر بالأنف وإبهامی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جهة استلزامها سائر </w:t>
      </w:r>
    </w:p>
    <w:p>
      <w:pPr>
        <w:pStyle w:val="BookText"/>
        <w:rPr/>
      </w:pPr>
      <w:r>
        <w:rPr>
          <w:rFonts w:ascii="IRNazanin" w:hAnsi="IRNazanin" w:eastAsia="IRNazanin"/>
          <w:color w:val="111111"/>
          <w:sz w:val="28"/>
          <w:sz w:val="28"/>
          <w:szCs w:val="28"/>
          <w:rtl w:val="true"/>
          <w:lang w:bidi="fa-IR"/>
        </w:rPr>
        <w:t>مقادیم البدن، وإلا فالمقادیم أعمّ ممّا ذکر، لکونه جمع مقدم، مقابل المأخیر جمع مؤخر، فیشمل الفرج أیضاًکما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ولأشیر فی خبر منها بکفایة التمسّح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التردید الناشیء من غلبة إزالة أعیان النجاسة بالغسل ، وندور زوالها بالمسح، القاضیة بانصراف إطلاق غسلها إلی إرادة زوال أعیان النجاسة لا حکمها ، کما عن القاشانی</w:t>
      </w:r>
      <w:r>
        <w:rPr>
          <w:rStyle w:val="FootnoteAnchor"/>
          <w:rtl w:val="true"/>
        </w:rPr>
        <w:footnoteReference w:id="138"/>
      </w:r>
      <w:r>
        <w:rPr>
          <w:rFonts w:ascii="IRNazanin" w:hAnsi="IRNazanin" w:eastAsia="IRNazanin"/>
          <w:color w:val="111111"/>
          <w:sz w:val="28"/>
          <w:sz w:val="28"/>
          <w:szCs w:val="28"/>
          <w:rtl w:val="true"/>
          <w:lang w:bidi="fa-IR"/>
        </w:rPr>
        <w:t xml:space="preserve">القول به ، ومن أن غلبة زوال أعیان النجاسة بالغسل دون المسح غلبة وجودیة، لا استعمالیة حتی توجب صرف استعمال الغسل إلیهما،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المنقول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یظهر وجه القدح فی تفسیره بالغسلتین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ذلک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الغسلتین من المثلین لا یکون إلا بصت کل مثل مرة، ولازمه عدم اشتراط الغلبة والجریان فی المطهر، لأن المماثل للبلل الذی علی الحشفة کیف یکون غالباً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إطلاق الغسل وغیره الاتفاق علی اشتراط الغلبة والجریان فی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قیل فی دفعه تکلّف مستغنی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الدافع للاشکال فهو نفس المستشکل السابق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تقریر دفعه فهو قوله بعد الاستشکال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الحشفة یتخلّف علیها بعد خروج البول قطرة ، فلعل المماثلة بین هذه وبین الماء المغسول به، ولا ریب أن القطرة یمکن إجراؤها علی المخرج، وأغلبیّتها علی البلل الذی یکون علی حواشی المخرج ظاهر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تکلّفه فلما فی الجواهر </w:t>
      </w:r>
      <w:r>
        <w:rPr>
          <w:rStyle w:val="FootnoteAnchor"/>
          <w:rtl w:val="true"/>
        </w:rPr>
        <w:footnoteReference w:id="140"/>
      </w:r>
      <w:r>
        <w:rPr>
          <w:rFonts w:ascii="Amiri" w:hAnsi="Amiri" w:eastAsia="Amiri" w:cs="Amiri"/>
          <w:color w:val="111111"/>
          <w:sz w:val="28"/>
          <w:sz w:val="28"/>
          <w:szCs w:val="28"/>
          <w:rtl w:val="true"/>
          <w:lang w:bidi="ar-SA"/>
        </w:rPr>
        <w:t xml:space="preserve">من سقوط القطرة غالباً بالاستبراء، </w:t>
      </w:r>
    </w:p>
    <w:p>
      <w:pPr>
        <w:pStyle w:val="BookText"/>
        <w:rPr/>
      </w:pPr>
      <w:r>
        <w:rPr>
          <w:rFonts w:ascii="IRNazanin" w:hAnsi="IRNazanin" w:eastAsia="IRNazanin"/>
          <w:color w:val="111111"/>
          <w:sz w:val="28"/>
          <w:sz w:val="28"/>
          <w:szCs w:val="28"/>
          <w:rtl w:val="true"/>
          <w:lang w:bidi="fa-IR"/>
        </w:rPr>
        <w:t>وکون الغسل بعد قطع دریرة البول الذی لا قطرة معه، فتعیّن أن تکون المماثلة بین الماء المغسول به وبین محض الرطوبة والنداوة الباقیة علی المحلّ، لا بینه وبین القطرة المنفصلة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الاستغناء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ارتفاع الأشکال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اعتبار المماثلة بین الماء المغسول به وبین ما علی الحشفة من قطرة أو قطرات لا یوجب غلبة الماء المغسول به علی الفطرة المتخلّفة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فإشکال لزوم عدم غلبة الماء المطهّر باقی بحاله ، ولم یندفع باعتبار المماثلة بین الماء المغسول به وبین القطرة المنفصلة لا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للأخبار الآمرة بالمرتّین فی غسله من الجسد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حسنة الحسین بن أبی العلا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عن البول یصیب الجسد،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علی المرّتین فی غسل مخرج البول إن کان بنفس إطلاق الجسد فی الحسنة المذکورة، فلا ریب أن الحسنة</w:t>
      </w:r>
      <w:r>
        <w:rPr>
          <w:rStyle w:val="FootnoteAnchor"/>
          <w:rtl w:val="true"/>
        </w:rPr>
        <w:footnoteReference w:id="142"/>
      </w:r>
      <w:r>
        <w:rPr>
          <w:rFonts w:ascii="IRNazanin" w:hAnsi="IRNazanin" w:eastAsia="IRNazanin"/>
          <w:color w:val="111111"/>
          <w:sz w:val="28"/>
          <w:sz w:val="28"/>
          <w:szCs w:val="28"/>
          <w:rtl w:val="true"/>
          <w:lang w:bidi="fa-IR"/>
        </w:rPr>
        <w:t>المتقدّمة الدالّة علی أن أقلّ ما یجزی مثلا ما علی الحشفة أخصّ منها مطلقا، فیخصّص بها إطلاق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بضمیمة استبعاد تفاوت أحکام النجس الواحد، من حیث الاجتزاء فی الغسل بالمرّة والمرّتین بالنسبة إلی أجزاء الجسد الواحد، فیدفعه رفع الاستبعاد بمناسبة غسل مخرج البول التخفیف ، لکثرة الابتلاء به ، بخلاف سائر أجزاء الجسد، فالتفاوت فی الحکم بعد هذا التفاوت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وضوح دفعه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بتخلّفه عن </w:t>
      </w:r>
    </w:p>
    <w:p>
      <w:pPr>
        <w:pStyle w:val="BookText"/>
        <w:rPr/>
      </w:pPr>
      <w:r>
        <w:rPr>
          <w:rFonts w:ascii="IRNazanin" w:hAnsi="IRNazanin" w:eastAsia="IRNazanin"/>
          <w:color w:val="111111"/>
          <w:sz w:val="28"/>
          <w:sz w:val="28"/>
          <w:szCs w:val="28"/>
          <w:rtl w:val="true"/>
          <w:lang w:bidi="fa-IR"/>
        </w:rPr>
        <w:t>المحدود کثیراً، لانتفاضة طردا بما لو غسل بالماء البارد فی وقت الشتاء ، فإنه یحصل الصریر وخشونة المحلّ مع عدم النقاء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وعکساً بغسله بالماء الحارّ فی وقت الحرّ والسخونة ، فإنه لا یحصل الصریر والخشونة مع حصول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عتبارات هینّة واستبعادات ظنّیة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فصّل الحجر الواحد ثلاثة أجزاء أجزأ، فکذلک مع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عاقل یفرّق بین الحجر متّصلاً ومنفصلاً؟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بالتعدّد الاستظهار فی النقاء ، والذی یؤثّره تعدّد المسحات لا الممسوحات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الممسوح بقرن منه إذا مسح الآخر بقرنه الآخر أجزأ کما سیأتی ، فکذا الشخص الواحد، لعدم معقولیّة الفرق بین مسح شخصین بقرنیه أو شخص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التزمه المانعون من إجزاء ذی الشعب بإجزاء الخرقة الطویلة وأطراف الثوب الواحد، بل الضرورة قاضیة بإجزاء أطراف الجدار والجذع والجبل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بالکبر والصغر وبعد الفاصلة وقربها غیر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بأنّهما لا یطهّران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اختصاص تعلیل النهی عن العظم والروث بأنّهما لا یطهّران، فلا یتعدّی إلی عدم مطهّریة سائر المحرّمات غیر المعللة به، سیّما المحرّم لا لنفسه لتضمنّه محرّماً آخر، کالاستنجاء بالمطعوم ونحوه من المحرّمات، وإن أوجب بعضها الکفر ، بناء ًعلی أن نجاسته الذاتیّة الکفریّة غیر مانعة من قابلیّة التأثّر بالعرضیّة وقابلیّة النقص والمزیّة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فی عدم التعدّی هو عدم اقتضاء النهی فی المعاملات ما یقتضیه فی العبادات من الفساد بالوضع، إلا أنه بموجب الاستقراء الغالبی فی النواهی الشرعیّة ربما یقتضیه شرعاً وإن لم یقتضه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یغسل مقعدته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وکأنّه إشارة إلی التردید الناشیء من ظهور حصر الموثّق</w:t>
      </w:r>
      <w:r>
        <w:rPr>
          <w:rStyle w:val="FootnoteAnchor"/>
          <w:rtl w:val="true"/>
        </w:rPr>
        <w:footnoteReference w:id="145"/>
      </w:r>
      <w:r>
        <w:rPr>
          <w:rFonts w:ascii="IRNazanin" w:hAnsi="IRNazanin" w:eastAsia="IRNazanin"/>
          <w:color w:val="111111"/>
          <w:sz w:val="28"/>
          <w:sz w:val="28"/>
          <w:szCs w:val="28"/>
          <w:rtl w:val="true"/>
          <w:lang w:bidi="fa-IR"/>
        </w:rPr>
        <w:t>الواجب فی غسل الإحلیل فی الحصر الحقیقی المقتضی لعدم وجوب الاستبراء ، ومن ظهور صدره وذیله فی کون الحصر إضافیةاً بالنسبة إلی الغسل لا إلی غیره کالاستبراء، فلا ینافی وجوبه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التردید الناشیء من أقربیّة تقیید الأخبار الخالیة عن الاستبراء بالصحیحین </w:t>
      </w:r>
      <w:r>
        <w:rPr>
          <w:rStyle w:val="FootnoteAnchor"/>
          <w:rtl w:val="true"/>
        </w:rPr>
        <w:footnoteReference w:id="146"/>
      </w:r>
      <w:r>
        <w:rPr>
          <w:rFonts w:ascii="IRNazanin" w:hAnsi="IRNazanin" w:eastAsia="IRNazanin"/>
          <w:color w:val="111111"/>
          <w:sz w:val="28"/>
          <w:sz w:val="28"/>
          <w:szCs w:val="28"/>
          <w:rtl w:val="true"/>
          <w:lang w:bidi="fa-IR"/>
        </w:rPr>
        <w:t>الآمرین به من الجمع بینهما بالحمل علی الاستحباب ، لکون النسبة بینهما من قبیل المطلق والمقیّد ، ومن أن شهرة الاستحباب جابرة للحمل علیه ، وموهنة للجمع بالتقیید وإن کان فی نفسه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الخبران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فیهما سنداً من الضعف والشذوذ، ودلالّه من المنافاة الدأب الامام علیه السلام وسیرته وعلامته وحکمته ووصیّته ، من أنه لم یر علی بول ولا غائط قطّ ، وهذه النصوص الواردة فی سیرته وعلامته علیه السلام منافیة ومعارضة للخبرین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البدأة فی الاستنجاء بالمقعدة قبل الإحلیل</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حکمة استحباب البدأة باستنجاء المقعدة هو أمکنّیة الاستبراء وأتمیّة حصوله بعده بمسح ما بین المقعدة والأنثیین ، بخلاف ما لو لم </w:t>
      </w:r>
    </w:p>
    <w:p>
      <w:pPr>
        <w:pStyle w:val="BookText"/>
        <w:rPr/>
      </w:pPr>
      <w:r>
        <w:rPr>
          <w:rFonts w:ascii="IRNazanin" w:hAnsi="IRNazanin" w:eastAsia="IRNazanin"/>
          <w:color w:val="111111"/>
          <w:sz w:val="28"/>
          <w:sz w:val="28"/>
          <w:szCs w:val="28"/>
          <w:rtl w:val="true"/>
          <w:lang w:bidi="fa-IR"/>
        </w:rPr>
        <w:t>یبدأ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اختصاص استحباب البدأة بها بما إذا کان استنجاؤه بالأحجار لا بالماء ، کما هو الدأب الغالب فی أوائل الشریعة، وإلا فربما کان إطلاق استحباب البدأة باستنجاء المقعدة منافیاً لبعض الاعتبارات القاضیة بالعکس ، وهو البدأة بالاحلیل ، کما علیه عمل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التردید الناشیء من عموم دلیل المسامحة، وهو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47"/>
      </w:r>
      <w:r>
        <w:rPr>
          <w:rFonts w:ascii="IRNazanin" w:hAnsi="IRNazanin" w:eastAsia="IRNazanin"/>
          <w:color w:val="111111"/>
          <w:sz w:val="28"/>
          <w:sz w:val="28"/>
          <w:szCs w:val="28"/>
          <w:rtl w:val="true"/>
          <w:lang w:bidi="fa-IR"/>
        </w:rPr>
        <w:t>ومن أن عمومه إنما یجبر ضعف سند البالغ لا دلالته، وهی إطلاق قوله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وتحت الأشجار المثمرة</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إطلاقه ضعفاً وتأمّلاً من جهة تقییده بالمثمرة، ومن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الشأنیّة الثابتة للأشجار شأناً، لا من الصفات الفعلیة المعتبرة فی صدقها الحقیقی التلبّس بالمبدأ حین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إشارة إلی التردید الناشیء من اقتضاء القاعدة لحمل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منه التقید بالفعلیة ، ومن عدم کون أخبار الباب من باب المطلق والمقید ، وعدم حمل المطلق علی المقید فی المکروهات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مطلقا حتی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والنیّر المعروف بعد اللیلة الثالثة إلی آخر الشهر یسمّی بالقمر ، ومن اللیلة الأولی إلی الثالثة یسمّی هلالاً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إطلاقه تعمیمه لما إذا أخذ بالارتفاع أو النزول ، ولما إذا استتمّ کمالاً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مواطن الهوامّ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الثقوب التی تسکنها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له بقضیّة سعد بن عبادة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من أنه بطریق الشام بال فی ثقب حیوان فاستلقی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القضیّة وإن کانت من الأکاذیب المجعولة عند العامّة ، حیث قتلوا الرجل ووضعوا له هذا الکذب دفعاً الثأره، إلّا أنّه مع کذبه یدلّ علی أن المنع کان معروفاً عن الرسول صلی الله علیه وآله </w:t>
      </w:r>
      <w:r>
        <w:rPr>
          <w:rStyle w:val="FootnoteAnchor"/>
          <w:rtl w:val="true"/>
        </w:rPr>
        <w:footnoteReference w:id="150"/>
      </w:r>
      <w:r>
        <w:rPr>
          <w:rFonts w:ascii="IRNazanin" w:hAnsi="IRNazanin" w:eastAsia="IRNazanin"/>
          <w:color w:val="111111"/>
          <w:sz w:val="28"/>
          <w:sz w:val="28"/>
          <w:szCs w:val="28"/>
          <w:rtl w:val="true"/>
          <w:lang w:bidi="fa-IR"/>
        </w:rPr>
        <w:t>ولهذا استندوا إلیه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الذکری</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التردید فی الأولویّة الناشیء من أخبثیّة الغائط من البول، القاضی بأولویّة الکراهة فیه ، ومن احتمال استناد کراهة البول إلی الخصوصیّات الخاصّة بالبول دون الغائط ، فلا یشترکان فی هذا الحکم وهو الکراهة ، کما لا یشترکان فی کیفیة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بضمیمة التسامح فی أدلّة السنن ربما یشترکان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بلّت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التدبر الإشارة إلی أن وجه عدم معارضته لکراهة الاستنجاء بالیمین أن إجراء الاستنجاء به لا یعارض کراهته، لأنّ کلّ مکروه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لوضوح 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الغسل والاستنجاء مثل بلّ الیمین ، لا نفس بلّ الیمین حتی یستلزم الاستنجاء بالیمین ، ضرورة کون المجزی مثله لا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ضعفه مؤوّل أو محمول علی التقیّة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ضعفه فلکون راویه</w:t>
      </w:r>
      <w:r>
        <w:rPr>
          <w:rStyle w:val="FootnoteAnchor"/>
          <w:rtl w:val="true"/>
        </w:rPr>
        <w:footnoteReference w:id="152"/>
      </w:r>
      <w:r>
        <w:rPr>
          <w:rFonts w:ascii="Amiri" w:hAnsi="Amiri" w:eastAsia="Amiri" w:cs="Amiri"/>
          <w:color w:val="111111"/>
          <w:sz w:val="28"/>
          <w:sz w:val="28"/>
          <w:szCs w:val="28"/>
          <w:rtl w:val="true"/>
          <w:lang w:bidi="ar-SA"/>
        </w:rPr>
        <w:t>عامیّاً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التقیّة فلموافقته العامّة</w:t>
      </w:r>
      <w:r>
        <w:rPr>
          <w:rStyle w:val="FootnoteAnchor"/>
          <w:rtl w:val="true"/>
        </w:rPr>
        <w:footnoteReference w:id="153"/>
      </w:r>
      <w:r>
        <w:rPr>
          <w:rFonts w:ascii="IRNazanin" w:hAnsi="IRNazanin" w:eastAsia="IRNazanin"/>
          <w:color w:val="111111"/>
          <w:sz w:val="28"/>
          <w:sz w:val="28"/>
          <w:szCs w:val="28"/>
          <w:rtl w:val="true"/>
          <w:lang w:bidi="fa-IR"/>
        </w:rPr>
        <w:t xml:space="preserve">وأما تأویله فیکون المراد نفی الحرمة لا تنفی الکراهة، أو نفی الکراهة عن الدخول فی الخلاء لا عن الاستنجاء به، أو نفی الکراهة عن خصوص المعصوم لا غیره، </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54"/>
      </w:r>
      <w:r>
        <w:rPr>
          <w:rFonts w:ascii="IRNazanin" w:hAnsi="IRNazanin" w:eastAsia="IRNazanin"/>
          <w:color w:val="111111"/>
          <w:sz w:val="28"/>
          <w:sz w:val="28"/>
          <w:szCs w:val="28"/>
          <w:rtl w:val="true"/>
          <w:lang w:bidi="fa-IR"/>
        </w:rPr>
        <w:t>اصطفائهم وتطهیرهم عن کلّ نقص ورجس، وإن وافق الناس فی ظاهر الأحکام، فی غسل ما هو نور علی نور، وبمنزلة إزالة الطیب عن المحرم،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التردید فی دلالة النزع علی کراهة ترکه ، الناشیء تردیده من قول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خاتم فضه من حجر بئر زمزم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ومن أن استشهاده بروایة </w:t>
      </w:r>
      <w:r>
        <w:rPr>
          <w:rStyle w:val="FootnoteAnchor"/>
          <w:rtl w:val="true"/>
        </w:rPr>
        <w:footnoteReference w:id="156"/>
      </w:r>
      <w:r>
        <w:rPr>
          <w:rFonts w:ascii="IRNazanin" w:hAnsi="IRNazanin" w:eastAsia="IRNazanin"/>
          <w:color w:val="111111"/>
          <w:sz w:val="28"/>
          <w:sz w:val="28"/>
          <w:szCs w:val="28"/>
          <w:rtl w:val="true"/>
          <w:lang w:bidi="fa-IR"/>
        </w:rPr>
        <w:t>النزع عند الاستنجاء لا یدلّ علی کراهة ترکه إلا علی القول الضعیف بأن ترک المستحبّ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إشارة إلی الاشکال الآخر فی الروایة علی کلّ من نسختیها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فلاستبعاد هذا التعظیم لخصوص الزمرّد من بین الأحجار ، إلا أن یکون النزع احتیاطاًعن بقاء النجس فیه، وأمّا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 جواز إخراج حصی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یجاب بعدم دخول زمزم فی المسجد ، أو باستثناء الفرض بالنصّ، أو بالحمل علی ما یجوز الاتخاذ منه ، کالمخرج لنزح البئر وإصلاحه فیلحق بالقمامة ، أو بأن هذا الحکم مبنیّ علی فرض وقوع الاتّخاذ وهو لا یلزم </w:t>
      </w:r>
      <w:r>
        <w:rPr>
          <w:rStyle w:val="FootnoteAnchor"/>
          <w:rtl w:val="true"/>
        </w:rPr>
        <w:footnoteReference w:id="157"/>
      </w:r>
      <w:r>
        <w:rPr>
          <w:rFonts w:ascii="IRNazanin" w:hAnsi="IRNazanin" w:eastAsia="IRNazanin"/>
          <w:color w:val="111111"/>
          <w:sz w:val="28"/>
          <w:sz w:val="28"/>
          <w:szCs w:val="28"/>
          <w:rtl w:val="true"/>
          <w:lang w:bidi="fa-IR"/>
        </w:rPr>
        <w:t>جواز الاتّخاذ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مقارنة لغسل الوجه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اقتران النیّة بأول جزء العمل إما من جهة کون النیّة عبارة عن الأخطار المعتبر اقترانه بالعمل، دون مجرّد الداعی وإن تقدّم علی العمل،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جهة أن المقصود به بیان آخر أزمنة إجزاء النیّة، لا بیان </w:t>
      </w:r>
    </w:p>
    <w:p>
      <w:pPr>
        <w:pStyle w:val="BookText"/>
        <w:rPr/>
      </w:pPr>
      <w:r>
        <w:rPr>
          <w:rFonts w:ascii="IRNazanin" w:hAnsi="IRNazanin" w:eastAsia="IRNazanin"/>
          <w:color w:val="111111"/>
          <w:sz w:val="28"/>
          <w:sz w:val="28"/>
          <w:szCs w:val="28"/>
          <w:rtl w:val="true"/>
          <w:lang w:bidi="fa-IR"/>
        </w:rPr>
        <w:t>انحصارها فیه ، کما هو الموافق لمذهبه الآتی من کون النیّة هو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خلاف ما یستفاد من الکتاب والسنّة المتواترة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الکتاب فیکفی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السنّة فیکفی الخبر</w:t>
      </w:r>
      <w:r>
        <w:rPr>
          <w:rStyle w:val="FootnoteAnchor"/>
          <w:rtl w:val="true"/>
        </w:rPr>
        <w:footnoteReference w:id="160"/>
      </w:r>
      <w:r>
        <w:rPr>
          <w:rFonts w:ascii="IRNazanin" w:hAnsi="IRNazanin" w:eastAsia="IRNazanin"/>
          <w:color w:val="111111"/>
          <w:sz w:val="28"/>
          <w:sz w:val="28"/>
          <w:szCs w:val="28"/>
          <w:rtl w:val="true"/>
          <w:lang w:bidi="fa-IR"/>
        </w:rPr>
        <w:t>المثلث للعبادة بعبادة الأجراء والعبید والأحرار، وکون الأخیر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 فعمله التماس ذلک الثواب أوتیه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الحقیق الجامع بین الإجماعین المنقولین علی طرفی النقیض فی تصحیح عبادة الخائف والطامع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أن الطمع والخوف قد یکون علّه تامّةً ومستنداً مستقلاًللعمل، وقد یکون سبباً لحدوث داعی القرب وقصد التقرب فی العمل بحیث یکون العمل مستنداً إلی قصد التقرب ، وإن کان سبب حدوث هذا بقصد التقرّب هو الطمع والخوف، نظیر الإکراه علی العمل حیث یکون سبباً مستقلاً یستند إلیه العمل ، وقد یکون سبباً لحدوث الرضا بالعمل المکره علیه ، فیستند ذلک العمل المکره علیه إلی الرضا المسبّب عن 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مبطل للعمل ومعقد الاجماع علی بطلانه هو القسم الأوّل من الخوف والطمع ، والذی هو مجیر فی صحة العمل ومعقد الاجماع والنصوص علی صحّته هو القسم الثانی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مجرّداً عن ذلک</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یقصد فعله لله تعالی مجرّداً عن قصد إحدی الغابات </w:t>
      </w:r>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الشهیدان </w:t>
      </w:r>
      <w:r>
        <w:rPr>
          <w:rStyle w:val="FootnoteAnchor"/>
          <w:rtl w:val="true"/>
        </w:rPr>
        <w:footnoteReference w:id="162"/>
      </w:r>
      <w:r>
        <w:rPr>
          <w:rFonts w:ascii="IRNazanin" w:hAnsi="IRNazanin" w:eastAsia="IRNazanin"/>
          <w:color w:val="111111"/>
          <w:sz w:val="28"/>
          <w:sz w:val="28"/>
          <w:szCs w:val="28"/>
          <w:rtl w:val="true"/>
          <w:lang w:bidi="fa-IR"/>
        </w:rPr>
        <w:t>وغیرهما، حیث أضافوا إلی الغایات المصححة للعبادة فعلها الله تعالی ، مستدلّین علیه بأنه تعالی غایة کلّ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ذلک أنه منتهی العلل الفاعلیّة کما فی قول الحکماء أنه غایة الغایات، حتی یرد علیه ما أورد من أنه بالمعنی المذکور غیر مجیر فی تصحیح العبادة وتحقّیق القربة والاطاعة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 المقصود والمجدی فی تصحیح العبادة أنه تعالی منتهی جمیع الغابات المصححة، ومنشیء جمیع الصفات الثبوتیّة من العظمة والعطوفة والکرم والقدرة، بسبب أن جمیع صفاته الثبوتیة المأخوذ کل منها غایة لتصحیح العبادة عین ذاته تعالی، ولیست بصفات زائدة علی عین الذات ومغایرة لها کصفات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فقصد الفعل العین الذات المستجمع لجمیع الصفات الحمیدة والغایات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عین الذات وهو المنشیء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لجمیع الغایات المصححة لها إجمالا، فضلا عن قصد أحدها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النصوص</w:t>
      </w:r>
      <w:r>
        <w:rPr>
          <w:rStyle w:val="FootnoteAnchor"/>
          <w:rtl w:val="true"/>
        </w:rPr>
        <w:footnoteReference w:id="163"/>
      </w:r>
      <w:r>
        <w:rPr>
          <w:rFonts w:ascii="IRNazanin" w:hAnsi="IRNazanin" w:eastAsia="IRNazanin"/>
          <w:color w:val="111111"/>
          <w:sz w:val="28"/>
          <w:sz w:val="28"/>
          <w:szCs w:val="28"/>
          <w:rtl w:val="true"/>
          <w:lang w:bidi="fa-IR"/>
        </w:rPr>
        <w:t>بخروجهما من الوضوء کثیرة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مقتضی معارضتها بتنصیص </w:t>
      </w:r>
      <w:r>
        <w:rPr>
          <w:rStyle w:val="FootnoteAnchor"/>
          <w:rtl w:val="true"/>
        </w:rPr>
        <w:footnoteReference w:id="164"/>
      </w:r>
      <w:r>
        <w:rPr>
          <w:rFonts w:ascii="IRNazanin" w:hAnsi="IRNazanin" w:eastAsia="IRNazanin"/>
          <w:color w:val="111111"/>
          <w:sz w:val="28"/>
          <w:sz w:val="28"/>
          <w:szCs w:val="28"/>
          <w:rtl w:val="true"/>
          <w:lang w:bidi="fa-IR"/>
        </w:rPr>
        <w:t xml:space="preserve">أنهما من الوضوء یقتضی حمل النافیة علی نفی کونهما من واجباته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تعلیل خروجهما من الوضوء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لأنّهما من الجوف</w:t>
      </w:r>
      <w:r>
        <w:rPr>
          <w:rStyle w:val="FootnoteAnchor"/>
          <w:rtl w:val="true"/>
        </w:rPr>
        <w:footnoteReference w:id="165"/>
      </w:r>
      <w:r>
        <w:rPr>
          <w:rFonts w:ascii="IRNazanin" w:hAnsi="IRNazanin" w:eastAsia="IRNazanin"/>
          <w:color w:val="111111"/>
          <w:sz w:val="28"/>
          <w:sz w:val="28"/>
          <w:szCs w:val="28"/>
          <w:rtl w:val="true"/>
          <w:lang w:bidi="fa-IR"/>
        </w:rPr>
        <w:t>لا الظاهر، وبأن نسیانهما</w:t>
      </w:r>
      <w:r>
        <w:rPr>
          <w:rStyle w:val="FootnoteAnchor"/>
          <w:rtl w:val="true"/>
        </w:rPr>
        <w:footnoteReference w:id="166"/>
      </w:r>
      <w:r>
        <w:rPr>
          <w:rFonts w:ascii="IRNazanin" w:hAnsi="IRNazanin" w:eastAsia="IRNazanin"/>
          <w:color w:val="111111"/>
          <w:sz w:val="28"/>
          <w:sz w:val="28"/>
          <w:szCs w:val="28"/>
          <w:rtl w:val="true"/>
          <w:lang w:bidi="fa-IR"/>
        </w:rPr>
        <w:t xml:space="preserve">لا یوجب الإعادة أیضاً، یقتضی حمل النافیة علی نفی وجوبهما لا استحبابهما، أو الرد علی </w:t>
      </w:r>
    </w:p>
    <w:p>
      <w:pPr>
        <w:pStyle w:val="BookText"/>
        <w:rPr/>
      </w:pPr>
      <w:r>
        <w:rPr>
          <w:rFonts w:ascii="IRNazanin" w:hAnsi="IRNazanin" w:eastAsia="IRNazanin"/>
          <w:color w:val="111111"/>
          <w:sz w:val="28"/>
          <w:sz w:val="28"/>
          <w:szCs w:val="28"/>
          <w:rtl w:val="true"/>
          <w:lang w:bidi="fa-IR"/>
        </w:rPr>
        <w:t>مبالغة العامّة فی المواظبة علیهما، أو القول عن بعضهم</w:t>
      </w:r>
      <w:r>
        <w:rPr>
          <w:rStyle w:val="FootnoteAnchor"/>
          <w:rtl w:val="true"/>
        </w:rPr>
        <w:footnoteReference w:id="167"/>
      </w:r>
      <w:r>
        <w:rPr>
          <w:rFonts w:ascii="IRNazanin" w:hAnsi="IRNazanin" w:eastAsia="IRNazanin"/>
          <w:color w:val="111111"/>
          <w:sz w:val="28"/>
          <w:sz w:val="28"/>
          <w:szCs w:val="28"/>
          <w:rtl w:val="true"/>
          <w:lang w:bidi="fa-IR"/>
        </w:rPr>
        <w:t>بوجوبهما، کما حمله الشیخ</w:t>
      </w:r>
      <w:r>
        <w:rPr>
          <w:rStyle w:val="FootnoteAnchor"/>
          <w:rtl w:val="true"/>
        </w:rPr>
        <w:footnoteReference w:id="168"/>
      </w:r>
      <w:r>
        <w:rPr>
          <w:rFonts w:ascii="IRNazanin" w:hAnsi="IRNazanin" w:eastAsia="IRNazanin"/>
          <w:color w:val="111111"/>
          <w:sz w:val="28"/>
          <w:sz w:val="28"/>
          <w:szCs w:val="28"/>
          <w:rtl w:val="true"/>
          <w:lang w:bidi="fa-IR"/>
        </w:rPr>
        <w:t>وغیره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مبنی الخلاف هو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تفسیرا الاستدامة بالأمر العدمی، وهو عدم الانتقال من النیة الأولی ، و بالأمر الوجودی، وهو البقاء علی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تفسیر الأمر العدمی بالاکتفاء بمجرد اقتران النیّة بأول العمل وإن انمحی عن الذهن بالمرّة فی باقی العمل ، کما یوهمه ظاهر التفسیر بالعدمی، لاستلزامه خلوّجلّ العمل عن النیّة ، بل وصحّة عبادة المتردّد فی أثنائها ، والمتمم لها علی وجه التردّد، مع أنّه باطل بوفاق من المفسرین للاستدامة بالأمر العدمیّ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لیس المراد من تفسیرها بالوجودی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البقاء علی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الإخطار فی أثناء العمل علی الوجه المعتبر فی أولّه عند الإخطارین ، وذلک لتعذّر إبقاء الإخطار واستمراره فی تمام العمل علی الوجه المساوی الاعتباره فی أول العمل أو تعسّره ، خصوصاً فی العبادات الطویلة زماناً و الکثیرة أجزاءً ، کالحجّ والصوم والصلاة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من الخلاف الذی زعمه السیّد الشارح بین تفسیری الاستدامة بعدم الانتقال عنها أو البقاء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ابتنائه علی الاختلاف فی تفسیر النیّة بالإخطار أو مجرد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وجوب تجدید النیة کلما ذکر فی الأثناء علی تفسیر الاستدامة بالبقاء، وعدم وجوبه علی التفسیر بالعدم هذا علی ما زعمه الشارح من کون الخلاف بین تفسیر الاستدامة ومفسّریها معنّویّاً، وکون الفرق بینهما فی وجوب تجدید النیّة کلّما ذکر علی </w:t>
      </w:r>
    </w:p>
    <w:p>
      <w:pPr>
        <w:pStyle w:val="BookText"/>
        <w:rPr/>
      </w:pPr>
      <w:r>
        <w:rPr>
          <w:rFonts w:ascii="IRNazanin" w:hAnsi="IRNazanin" w:eastAsia="IRNazanin"/>
          <w:color w:val="111111"/>
          <w:sz w:val="28"/>
          <w:sz w:val="28"/>
          <w:szCs w:val="28"/>
          <w:rtl w:val="true"/>
          <w:lang w:bidi="fa-IR"/>
        </w:rPr>
        <w:t>التفسیر بالبقاء، وعدمه علی التفسیر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ضعیف، لاتّفاقهم علی کون الخلاف بین التفسیرین لفظیّاً، وکون تجدید التذکّر والنیّة فی الأثناء واجب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نقل عن الفاضل المقداد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تلمیذ الشهید، وممّن لا یخفی علیه مخالفته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تفسیر الشیخ للاستدامة بعدم نیّة الخلاف إلی الفقهاء، مشعراً باتّفاقهم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استظهر هذا الاجماع شیخنا العلامة </w:t>
      </w:r>
      <w:r>
        <w:rPr>
          <w:rStyle w:val="FootnoteAnchor"/>
          <w:rtl w:val="true"/>
        </w:rPr>
        <w:footnoteReference w:id="170"/>
      </w:r>
      <w:r>
        <w:rPr>
          <w:rFonts w:ascii="IRNazanin" w:hAnsi="IRNazanin" w:eastAsia="IRNazanin"/>
          <w:color w:val="111111"/>
          <w:sz w:val="28"/>
          <w:sz w:val="28"/>
          <w:szCs w:val="28"/>
          <w:rtl w:val="true"/>
          <w:lang w:bidi="fa-IR"/>
        </w:rPr>
        <w:t>أیضاً ، وفاقاً لعلّامة أسانیده الأعلام الشیخ الأنصاری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دعا الشهید إلی تفسیرها بالوجودی لأنّ عدم نیّة الخلاف أمر عدمیّ لا ینبغی أن یفسّر به الاستدامة، ولا أن یجعل فی حیزّ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استدامة النیّة نظیر إحداثها أمر وجودیّ واقع فی حیزّ الوجوب عند التفات المکلّف إلی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وجوب إحداثها مطلق بالنسبة إلی الإخطار فی أول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استدامتها مشروط بحضور الفعل فی ذهن الفاعل ، و تذکرة له فی الأثناء</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التأمّل فی إطلاق تعذّر اعتبار الإخطار الکلّی فی جمیع العمل أو تعسّره ، حتی یعدل عنه إلی الاکتفاء بجزئه فی الأثناء وهو تجدید الإخطار متی ذکر العمل فی الأثناء، دون ما إذا لم یتذکّر، نظراً إلی اختصاص تعذّره أو تعسّره بالعبادات الطویلة أو الکثیرة الأجزاء، کالحجّ والصوم والاعتکاف والصلاة، دون العبادات القصیرة والقلیلة الأجزاء، کالتصدق والتزکّیة </w:t>
      </w:r>
      <w:r>
        <w:rPr>
          <w:rStyle w:val="FootnoteAnchor"/>
          <w:rtl w:val="true"/>
        </w:rPr>
        <w:footnoteReference w:id="172"/>
      </w:r>
      <w:r>
        <w:rPr>
          <w:rFonts w:ascii="IRNazanin" w:hAnsi="IRNazanin" w:eastAsia="IRNazanin"/>
          <w:color w:val="111111"/>
          <w:sz w:val="28"/>
          <w:sz w:val="28"/>
          <w:szCs w:val="28"/>
          <w:rtl w:val="true"/>
          <w:lang w:bidi="fa-IR"/>
        </w:rPr>
        <w:t xml:space="preserve">والتخمّیس والغسل والوضوء الارتماسیّین ، فإنه لا یتعذّر ولا یتعسّر </w:t>
      </w:r>
    </w:p>
    <w:p>
      <w:pPr>
        <w:pStyle w:val="BookText"/>
        <w:rPr/>
      </w:pPr>
      <w:r>
        <w:rPr>
          <w:rFonts w:ascii="IRNazanin" w:hAnsi="IRNazanin" w:eastAsia="IRNazanin"/>
          <w:color w:val="111111"/>
          <w:sz w:val="28"/>
          <w:sz w:val="28"/>
          <w:szCs w:val="28"/>
          <w:rtl w:val="true"/>
          <w:lang w:bidi="fa-IR"/>
        </w:rPr>
        <w:t>حفظ الإخطار فی تمام کلّ واحد من تلک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عظمی الذراع والعضد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الحدائق</w:t>
      </w:r>
      <w:r>
        <w:rPr>
          <w:rStyle w:val="FootnoteAnchor"/>
          <w:rtl w:val="true"/>
        </w:rPr>
        <w:footnoteReference w:id="173"/>
      </w:r>
      <w:r>
        <w:rPr>
          <w:rFonts w:ascii="IRNazanin" w:hAnsi="IRNazanin" w:eastAsia="IRNazanin"/>
          <w:color w:val="111111"/>
          <w:sz w:val="28"/>
          <w:sz w:val="28"/>
          <w:szCs w:val="28"/>
          <w:rtl w:val="true"/>
          <w:lang w:bidi="fa-IR"/>
        </w:rPr>
        <w:t>أنه رأس عظمی الذراع والعضد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الروض أنه العظمان المتداخلان </w:t>
      </w:r>
      <w:r>
        <w:rPr>
          <w:rStyle w:val="FootnoteAnchor"/>
          <w:rtl w:val="true"/>
        </w:rPr>
        <w:footnoteReference w:id="174"/>
      </w:r>
      <w:r>
        <w:rPr>
          <w:rFonts w:ascii="IRNazanin" w:hAnsi="IRNazanin" w:eastAsia="IRNazanin"/>
          <w:color w:val="111111"/>
          <w:sz w:val="28"/>
          <w:sz w:val="28"/>
          <w:szCs w:val="28"/>
          <w:rtl w:val="true"/>
          <w:lang w:bidi="fa-IR"/>
        </w:rPr>
        <w:t>وظاهر هذه العبارات کونه طرفی الساعد والعضد، لا محلّ اجتماعهما کما هو ظاهر تفسیر الآخرین بمجمع عظمی الذراع و العضد، و</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بما هو الأقرب فالأقرب إلی الظهور الأولی المتعذّر بالفرض، فلا یتعدّی عن الأقرب من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کحمل الدهن علی أقلّ مسمّی الغسل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الأبعد منها، وهو الحمل علی الضرورة من دون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یخرج عن صلاحیة تقیید الأخبار</w:t>
      </w:r>
      <w:r>
        <w:rPr>
          <w:rStyle w:val="FootnoteAnchor"/>
          <w:rtl w:val="true"/>
        </w:rPr>
        <w:footnoteReference w:id="176"/>
      </w:r>
      <w:r>
        <w:rPr>
          <w:rFonts w:ascii="IRNazanin" w:hAnsi="IRNazanin" w:eastAsia="IRNazanin"/>
          <w:color w:val="111111"/>
          <w:sz w:val="28"/>
          <w:sz w:val="28"/>
          <w:szCs w:val="28"/>
          <w:rtl w:val="true"/>
          <w:lang w:bidi="fa-IR"/>
        </w:rPr>
        <w:t>المطلقة فی المقدٌم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إن قیّد إطلاقه بمنتهی منابت الشعر من مقدّم الرأس دون مؤخّره لتساوی مع الأخبار المطلقة فی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علی إطلاقه فی منتهی منابت الشعر من مقدّمه و مؤخره تقید بالأخبار المطلقة فی المقدم، لا قیّد الأخبار المطلقة فی المقدّم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المطلق منصرف إلی الشائع المتبادر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المسح ببلل الید الأصلی لا العارضی المأخوذ من سائر أعضاء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ما فی هذا الانصراف من المنع، وکونه بدویّاً خطوریّاً ناشئاً عن أنس الذهن وغلبة الوجود لا الاستعمال، سواء أرید من </w:t>
      </w:r>
    </w:p>
    <w:p>
      <w:pPr>
        <w:pStyle w:val="BookText"/>
        <w:rPr/>
      </w:pPr>
      <w:r>
        <w:rPr>
          <w:rFonts w:ascii="IRNazanin" w:hAnsi="IRNazanin" w:eastAsia="IRNazanin"/>
          <w:color w:val="111111"/>
          <w:sz w:val="28"/>
          <w:sz w:val="28"/>
          <w:szCs w:val="28"/>
          <w:rtl w:val="true"/>
          <w:lang w:bidi="fa-IR"/>
        </w:rPr>
        <w:t>الإطلاق المنصرف إطلاق أصل المسح کإطلاق المسح فی الآیة</w:t>
      </w:r>
      <w:r>
        <w:rPr>
          <w:rStyle w:val="FootnoteAnchor"/>
          <w:rtl w:val="true"/>
        </w:rPr>
        <w:footnoteReference w:id="177"/>
      </w:r>
      <w:r>
        <w:rPr>
          <w:rFonts w:ascii="IRNazanin" w:hAnsi="IRNazanin" w:eastAsia="IRNazanin"/>
          <w:color w:val="111111"/>
          <w:sz w:val="28"/>
          <w:sz w:val="28"/>
          <w:szCs w:val="28"/>
          <w:rtl w:val="true"/>
          <w:lang w:bidi="fa-IR"/>
        </w:rPr>
        <w:t>أو إطلاق المسح ببلّة الید کإطلاق الروایة</w:t>
      </w:r>
      <w:r>
        <w:rPr>
          <w:rStyle w:val="FootnoteAnchor"/>
          <w:rtl w:val="true"/>
        </w:rPr>
        <w:footnoteReference w:id="178"/>
      </w:r>
      <w:r>
        <w:rPr>
          <w:rFonts w:ascii="IRNazanin" w:hAnsi="IRNazanin" w:eastAsia="IRNazanin"/>
          <w:color w:val="111111"/>
          <w:sz w:val="28"/>
          <w:sz w:val="28"/>
          <w:szCs w:val="28"/>
          <w:rtl w:val="true"/>
          <w:lang w:bidi="fa-IR"/>
        </w:rPr>
        <w:t>ومنه یظهر قوّة القول الثانی ، وهو جواز المسح بمطلق بلل الوضوء ولو بالأخذ من مظانّها مطلقاً ، سواء جفّ بلل الید أم لم یجفّ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دلالتهما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الوجوب مع أنّ دعواه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الإتیان بالمأمور به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من أن المماسّة مأخوذة فی مفهوم المسح، أو لما عن الذکری</w:t>
      </w:r>
      <w:r>
        <w:rPr>
          <w:rStyle w:val="FootnoteAnchor"/>
          <w:rtl w:val="true"/>
        </w:rPr>
        <w:footnoteReference w:id="180"/>
      </w:r>
      <w:r>
        <w:rPr>
          <w:rFonts w:ascii="IRNazanin" w:hAnsi="IRNazanin" w:eastAsia="IRNazanin"/>
          <w:color w:val="111111"/>
          <w:sz w:val="28"/>
          <w:sz w:val="28"/>
          <w:szCs w:val="28"/>
          <w:rtl w:val="true"/>
          <w:lang w:bidi="fa-IR"/>
        </w:rPr>
        <w:t>من اقتضاء الباء الإلصاق مع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لظننت أن باطنهما أولی بالمسح من ظاهرهما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مقصوده علیه السلام </w:t>
      </w:r>
      <w:r>
        <w:rPr>
          <w:rStyle w:val="FootnoteAnchor"/>
          <w:rtl w:val="true"/>
        </w:rPr>
        <w:footnoteReference w:id="181"/>
      </w:r>
      <w:r>
        <w:rPr>
          <w:rFonts w:ascii="IRNazanin" w:hAnsi="IRNazanin" w:eastAsia="IRNazanin"/>
          <w:color w:val="111111"/>
          <w:sz w:val="28"/>
          <w:sz w:val="28"/>
          <w:szCs w:val="28"/>
          <w:rtl w:val="true"/>
          <w:lang w:bidi="fa-IR"/>
        </w:rPr>
        <w:t>من ذلک بیان آکدیّة المسح وأولویتّه من الغسل حتی بملاحظة الظاهر والاعتبار، فضلاً عن ملاحظة فعل النبیّ صلّی الله علیه وآله الذی یجب الأسوة به ، أو أن المقصود بیان أن الاعتبارات العقلیّة للأحکام الشرعیّة غیر خفیّة علینا أیضاً، إلا أن دونها حاجزاً من تقوی الله تعالی و فعل النبیّ صلّی الله علیه وآله ، وإلا فظنّ المعصوم علیه السلام بخلاف الحکم الواقع وفعل النبیّ صلّی الله علیه وآله و محال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ینافیه جواز النکس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المنافاة وضوح کون المسح المنکوس المغیّا إلی الأصابع ینافی المسح المغیّا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المنافاة علی تقدیر استفادة النکس من نفس المسح إلی الکعبین ، وأما علی تقدیر استفادته من الدلیل الخارج المتقدّم فلا </w:t>
      </w:r>
    </w:p>
    <w:p>
      <w:pPr>
        <w:pStyle w:val="BookText"/>
        <w:rPr/>
      </w:pPr>
      <w:r>
        <w:rPr>
          <w:rFonts w:ascii="IRNazanin" w:hAnsi="IRNazanin" w:eastAsia="IRNazanin"/>
          <w:color w:val="111111"/>
          <w:sz w:val="28"/>
          <w:sz w:val="28"/>
          <w:szCs w:val="28"/>
          <w:rtl w:val="true"/>
          <w:lang w:bidi="fa-IR"/>
        </w:rPr>
        <w:t xml:space="preserve">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التعبیر عن منافاته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للتقلیل 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ما فی الاستدلال بکلّ من الخبرین </w:t>
      </w:r>
      <w:r>
        <w:rPr>
          <w:rStyle w:val="FootnoteAnchor"/>
          <w:rtl w:val="true"/>
        </w:rPr>
        <w:footnoteReference w:id="182"/>
      </w:r>
      <w:r>
        <w:rPr>
          <w:rFonts w:ascii="IRNazanin" w:hAnsi="IRNazanin" w:eastAsia="IRNazanin"/>
          <w:color w:val="111111"/>
          <w:sz w:val="28"/>
          <w:sz w:val="28"/>
          <w:szCs w:val="28"/>
          <w:rtl w:val="true"/>
          <w:lang w:bidi="fa-IR"/>
        </w:rPr>
        <w:t>من المنافاة للمدّعی ، و هو وجوب الانتهاء إلی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وضع کفّه علی الأصابع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فلحمله علی الاستحباب فیما سیأتی</w:t>
      </w:r>
      <w:r>
        <w:rPr>
          <w:rStyle w:val="FootnoteAnchor"/>
          <w:rtl w:val="true"/>
        </w:rPr>
        <w:footnoteReference w:id="183"/>
      </w:r>
      <w:r>
        <w:rPr>
          <w:rFonts w:ascii="IRNazanin" w:hAnsi="IRNazanin" w:eastAsia="IRNazanin"/>
          <w:color w:val="111111"/>
          <w:sz w:val="28"/>
          <w:sz w:val="28"/>
          <w:szCs w:val="28"/>
          <w:rtl w:val="true"/>
          <w:lang w:bidi="fa-IR"/>
        </w:rPr>
        <w:t xml:space="preserve">وأما الخبر الآخر فلاشتماله علی جواز النکس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رفع منافاتیهما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رفعه عن خبر وضع الکفّ فبأن ندبیّة الکفّ لا ینافی وجوب الانتهاء إلی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الخبر الآخر فبأن الاستدلال علی المدّعی بفقرته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أعلی القدم إلی الکعب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اشتمال فقرته الأخیرة علی جواز النکس، لأنهما من قبیل الدالین والمدلولین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طرح العمل بفقرته الأخیرة کان ذلک کطرح العموم عن العام المخصص فی عدم سقوطه عن الحجّیة فی الباقی ، وإلا کان جواز النکس بالفقرة الأخیرة کجوازه بدلیل آخر، غایته تخریج فقرته الأولی عن تعیّن الکیفیّة إلی التخییر ، فیرتفع المنافاة فی البین علی کلّ من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لزوم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مجرّد احتمال بدلیّة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عن الشیء لا عن القدمین لا ینهض لاتبات لزوم الاستیعاب لا بنفسه ، لأن هذا الاحتمال کما یبطل الاستدلال به علی الاجتزاء بالمسمّی ، کذلک یبطل الاستدلال به علی الاستیعاب من غیر فرق ، ولا بملاحظة غیره و معونة بعض ما تقدّم، لأنّ ضمیمة الدلیل المجمل بالفرض إلی غیره کالحجر فی جنب الإنسان، لا مدخلیّة له فی </w:t>
      </w:r>
    </w:p>
    <w:p>
      <w:pPr>
        <w:pStyle w:val="BookText"/>
        <w:rPr/>
      </w:pPr>
      <w:r>
        <w:rPr>
          <w:rFonts w:ascii="IRNazanin" w:hAnsi="IRNazanin" w:eastAsia="IRNazanin"/>
          <w:color w:val="111111"/>
          <w:sz w:val="28"/>
          <w:sz w:val="28"/>
          <w:szCs w:val="28"/>
          <w:rtl w:val="true"/>
          <w:lang w:bidi="fa-IR"/>
        </w:rPr>
        <w:t>دلالة ذلک الغیر المنضمّ إلیه و عدم دلالته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وجوب مسح الکعبین وجهان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ناشئان عن الخلاف فی دخول الغایة فی المغیّا وعدمه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فی حکم ما قبلها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 إلی فهم العرف المختلف باختلاف المقامات، ففی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یفهمون الدخول، وفی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البستان الفلانی إلی البستان الفلانی، یفهمون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بتوجبه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العلّامة</w:t>
      </w:r>
      <w:r>
        <w:rPr>
          <w:rStyle w:val="FootnoteAnchor"/>
          <w:rtl w:val="true"/>
        </w:rPr>
        <w:footnoteReference w:id="185"/>
      </w:r>
      <w:r>
        <w:rPr>
          <w:rFonts w:ascii="IRNazanin" w:hAnsi="IRNazanin" w:eastAsia="IRNazanin"/>
          <w:color w:val="111111"/>
          <w:sz w:val="28"/>
          <w:sz w:val="28"/>
          <w:szCs w:val="28"/>
          <w:rtl w:val="true"/>
          <w:lang w:bidi="fa-IR"/>
        </w:rPr>
        <w:t>لمّا رأی مدلول روایة الآخرین أن الکعب هو المفصل، وأن علماءنا أطبقوا علی أنّه العظم الناتیء ، فأراد الجمع بین الکلامین ، فحمل المفصل علی ذلک العظم الناتیء، باعتبار أن طرفی ذینک العظمین الناتئین مما یلی الساق، فأطلق علیهما المفصل من جهة کونهما حدّاً وبدایة لحصوله ، غایة الأمر أنّ ذلک علی طریق التجوّز بعلاقة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شاهد جمیل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شاهد حال العلامة، حیث إنه لا یلیق به مخالفة الأصحاب ، ولاخفاء مذهبهم علیه، حیث إنه ادّعی الاجماع فی التذکرة</w:t>
      </w:r>
      <w:r>
        <w:rPr>
          <w:rStyle w:val="FootnoteAnchor"/>
          <w:rtl w:val="true"/>
        </w:rPr>
        <w:footnoteReference w:id="186"/>
      </w:r>
      <w:r>
        <w:rPr>
          <w:rFonts w:ascii="IRNazanin" w:hAnsi="IRNazanin" w:eastAsia="IRNazanin"/>
          <w:color w:val="111111"/>
          <w:sz w:val="28"/>
          <w:sz w:val="28"/>
          <w:szCs w:val="28"/>
          <w:rtl w:val="true"/>
          <w:lang w:bidi="fa-IR"/>
        </w:rPr>
        <w:t xml:space="preserve">علی کونه بمعنی مجمع الساق والقدم، مع أن کلماتهم المتقدّمة بمرأی منه ومسمع ، بل هو فی التذکرة والمنتهی معترف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علماؤنا إلی أن الکعب هو العظم الناتیء فی وسط القدم وهو معقد الشراک ، وبه قال محمد بن الحسن </w:t>
      </w:r>
      <w:r>
        <w:rPr>
          <w:rStyle w:val="FootnoteAnchor"/>
          <w:rtl w:val="true"/>
        </w:rPr>
        <w:footnoteReference w:id="187"/>
      </w:r>
      <w:r>
        <w:rPr>
          <w:rFonts w:ascii="IRNazanin" w:hAnsi="IRNazanin" w:eastAsia="IRNazanin"/>
          <w:color w:val="111111"/>
          <w:sz w:val="28"/>
          <w:sz w:val="28"/>
          <w:szCs w:val="28"/>
          <w:rtl w:val="true"/>
          <w:lang w:bidi="fa-IR"/>
        </w:rPr>
        <w:t xml:space="preserve">من الجمهور ، وخالف </w:t>
      </w:r>
    </w:p>
    <w:p>
      <w:pPr>
        <w:pStyle w:val="BookText"/>
        <w:rPr/>
      </w:pP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تصریح العلامة بمخالفة المشهور فی جواب المسائل المهنّائیّة لَحَسُن تأویل کلامه إلی موافقة المشهور بتلک الشواهد، وکأن المؤوّل المذکور لم یقف علی جمیع کلمات العلامة التی منها فی جواب مسائل المهنّا، حیث سأله المهنّا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یقول سیّدنا الإمام العلامة فی الکعبین اللذین یجب المسح علیهما ؟ فإنّ المعروف من مذهب الأصحاب أنّهما قبّتا القدم عند الشراک ، وسیّدی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مفصل الساق من القدم، فما حجّته فی ذلک ؟ وما حکم من اقتصر علی معقد الشراک ؟ أفتنا مأجوراً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علی ما صرنا إلیه الروایة الصحیحة عن الباقر علیه السلام ، رواها زرارة، ومن اقتصر علی ما ذکره سیّدنا السائل دام معظماً إن کان عن اجتهاد أو تقلید مجتهد صحّ وضوؤه، وإلا فلا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تأمّل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التردید فی أحوطیّة الثانی الناشیء تردیده من احتمال منافاته لنیّة الوجه المعتبر وعدم منافاته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الناشیء تردیده من کونه أیقن بالفراغ الیقینی فی الاشتغال الیقینی، ومن أن أحوطیّنه فرع بقاء احتمال وجوبه ولو ضعیفاً ، والمفروض من الاجماعات والنصوص المستفیضة حصول القطع بانتفاء احتماله رأساً ، و معه لا یبقی مسرح لأحوطیّته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الاختصاص بهم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أدری بتکلیفهم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أیضاً أن یکون المراد نفی التقیّة فیها مع المشقّة الیسیرة التی لا تبلغ الخوف علی النفس والمال، کما عن الشیخ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نفی التقیّة فیها من أحد فی الفتوی بها، لکون ذلک معلوماً فی مذهبهم علیه السلام ، فلا تتحقّق التقیة التی هی إخفاء المذهب فیها ، فیکون نفی التقنیة فیها من قبیل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الاحتمال الأخیر مبنیّ علی انحصار مشروعیّة التقیّة برفع ضرر المخالفة فی المذهب ، کما هو ظاهر جمل من أخبارها</w:t>
      </w:r>
      <w:r>
        <w:rPr>
          <w:rStyle w:val="FootnoteAnchor"/>
          <w:rtl w:val="true"/>
        </w:rPr>
        <w:footnoteReference w:id="191"/>
      </w:r>
      <w:r>
        <w:rPr>
          <w:rFonts w:ascii="IRNazanin" w:hAnsi="IRNazanin" w:eastAsia="IRNazanin"/>
          <w:color w:val="111111"/>
          <w:sz w:val="28"/>
          <w:sz w:val="28"/>
          <w:szCs w:val="28"/>
          <w:rtl w:val="true"/>
          <w:lang w:bidi="fa-IR"/>
        </w:rPr>
        <w:t>، دون رفع مطلق ضرر المخالفة ولو ضرر المخالفة فی الفعل ، کما هو ظاهر جملة من عمومات التقیّة وغیرها ممّا تضمن التعلیل بصون الشیعة فی أنفسهم وأعراضهم وأموالهم، بل النظر فی ضرر مخالفة المذهب إنّما هو إلی الأذی الناشیء من المخالفة فی العمل ، بل لعلّ المخالفة لهم فی العمل أشدّ مثاراً لغضاضتهم وعداوتهم واضرارهم من مجرّد المخالفة لهم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فتعمیم التقیّة لمطلق المخالفة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لا تتحقّق التقیّة ، ولا یجوز ممّن علموا منه المخالفة فی المذهب ، کما فی زماننا حیث عرفوا مخالفة الإمامیّة لهم فی المذهب ، بخلافها علی الثانی ، فإنها متحقّقة وواجبة فی العمل مع عرفانهم المخالفة فی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فعلهما علی بعض الوجوه ممّا یوهمهم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یوهمهم الخلاف فی خلع الخفّ خلعه علی وجه الوجوب التعیینی ، فإن الذی لا ینکره العامّة هو وجوبه المخّیر بینه وبین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یوهمهم الخلاف أیضاً هو خلعه لأجل المسح لا الغسل، فإنّ الذی لا ینکره العامّة أیضاً هو خلعه للغسل لا المسح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یوهمهم الخلاف أیضاً هو خلعه فی غیر ما کان یراه عمر</w:t>
      </w:r>
      <w:r>
        <w:rPr>
          <w:rStyle w:val="FootnoteAnchor"/>
          <w:rtl w:val="true"/>
        </w:rPr>
        <w:footnoteReference w:id="192"/>
      </w:r>
      <w:r>
        <w:rPr>
          <w:rFonts w:ascii="IRNazanin" w:hAnsi="IRNazanin" w:eastAsia="IRNazanin"/>
          <w:color w:val="111111"/>
          <w:sz w:val="28"/>
          <w:sz w:val="28"/>
          <w:szCs w:val="28"/>
          <w:rtl w:val="true"/>
          <w:lang w:bidi="fa-IR"/>
        </w:rPr>
        <w:t xml:space="preserve">من جوازه للمسافر ثلاثة أیّام وللمقیم یوماً ولیلة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 فمن العجائب الغریبة من العامّة تجویز هم المسح علی الخفّ دون الرجل ، مع أنه أولی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جهان ،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المسألة وجوه وأقوال ،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زوال المانع قبل فوات الموالاة فیعید المسح، وبعده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المانع العقلی المسقط للجزء والشرط عقلاً کضرورة الخوف والضرر والعسر فیعید الفائت، وبسین المانع الشرعی المسقط للجزء والشرط شرعاً کما فی ضرورة التقیّة فلا یعید بعد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أوجهها القول بکلا التفصیلین،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فیما زال المانع قبل فوات الموالاة، لبقاء وقت الخطاب، لابعده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کان المانع الزائل مانعاً عقلیّاً لا شرعیّاً، لأنّ مجرّد الضرورة والعذّریة المدلول علیهما</w:t>
      </w:r>
      <w:r>
        <w:rPr>
          <w:rStyle w:val="FootnoteAnchor"/>
          <w:rtl w:val="true"/>
        </w:rPr>
        <w:footnoteReference w:id="193"/>
      </w:r>
      <w:r>
        <w:rPr>
          <w:rFonts w:ascii="IRNazanin" w:hAnsi="IRNazanin" w:eastAsia="IRNazanin"/>
          <w:color w:val="111111"/>
          <w:sz w:val="28"/>
          <w:sz w:val="28"/>
          <w:szCs w:val="28"/>
          <w:rtl w:val="true"/>
          <w:lang w:bidi="fa-IR"/>
        </w:rPr>
        <w:t xml:space="preserve">بنفی الضرر والحرج ونفی التکلیف بما استکرهوا </w:t>
      </w:r>
      <w:r>
        <w:rPr>
          <w:rStyle w:val="FootnoteAnchor"/>
          <w:rtl w:val="true"/>
        </w:rPr>
        <w:footnoteReference w:id="194"/>
      </w:r>
      <w:r>
        <w:rPr>
          <w:rFonts w:ascii="IRNazanin" w:hAnsi="IRNazanin" w:eastAsia="IRNazanin"/>
          <w:color w:val="111111"/>
          <w:sz w:val="28"/>
          <w:sz w:val="28"/>
          <w:szCs w:val="28"/>
          <w:rtl w:val="true"/>
          <w:lang w:bidi="fa-IR"/>
        </w:rPr>
        <w:t xml:space="preserve">علیه ، من غیر ورود أمر بإیجاد العبادة الناقصة بعنوان تلک العبادة، لا یقتضی أزید من ارتفاع وجوب الجزء والشرط مادام المانع موجودة ، فیکون غیر المتمکن من العبادة علی وجهها فی الوقت بنسیان أو سهو أو غفلة ، حیث یجب قضاؤها فیما شرع فیه القضاء، بخلاف ما إذا کان المانع شرعاً مأموراً معه بإیجاد العبادة الناقصة بعنوان تلک العبادة، کما فی موارد التقیّة، فإن ظاهره الإجزاء مستداماً لا ما داماً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وهل فی أخبار التقیّة ما یفید الإذن فی إیجاد مطلق العبادة کذلک ، </w:t>
      </w:r>
    </w:p>
    <w:p>
      <w:pPr>
        <w:pStyle w:val="BookText"/>
        <w:rPr/>
      </w:pPr>
      <w:r>
        <w:rPr>
          <w:rFonts w:ascii="IRNazanin" w:hAnsi="IRNazanin" w:eastAsia="IRNazanin"/>
          <w:color w:val="111111"/>
          <w:sz w:val="28"/>
          <w:sz w:val="28"/>
          <w:szCs w:val="28"/>
          <w:rtl w:val="true"/>
          <w:lang w:bidi="fa-IR"/>
        </w:rPr>
        <w:t xml:space="preserve">حتی یتّجه کون الأصل فی کلّ ما یعمل علی وجه التقیّة الإجزاء بالنحو المذکور ، وإن لم یرد فی خصوصه الإذن ، کالصلاة مع الوضوء بالنبیذ مثلاً إذا اقتضتها التقیّة ، أم لا، حتی یتّجه فی غیر ما ورد بخصوصه معاملة سائر ذوی الأعذار العامّة المسقطة للتکلیف بعموم نفی الضرر والحرج والتکلیف بما استکرهوا علیه؟ الظاهر من مجموع ما ورد فی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ممّا ورد فی باب الأمر بالمعروف من الوسائل</w:t>
      </w:r>
      <w:r>
        <w:rPr>
          <w:rStyle w:val="FootnoteAnchor"/>
          <w:rtl w:val="true"/>
        </w:rPr>
        <w:footnoteReference w:id="196"/>
      </w:r>
      <w:r>
        <w:rPr>
          <w:rFonts w:ascii="IRNazanin" w:hAnsi="IRNazanin" w:eastAsia="IRNazanin"/>
          <w:color w:val="111111"/>
          <w:sz w:val="28"/>
          <w:sz w:val="28"/>
          <w:szCs w:val="28"/>
          <w:rtl w:val="true"/>
          <w:lang w:bidi="fa-IR"/>
        </w:rPr>
        <w:t>هو الأول ، وأن الشارع أمر فی جمیع ما یقتضیه مذهب المخالفین من عبادة أو معاملة بإیقاعها موافقة لمذهبهم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إفادة أخبار التقیّة الإذن فی عموم العبادة بالنحو المذکور مکابرة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 العدم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عدم وجوب المسح علی القول بعدم وجوب إعادة الوضوء بعد زوال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المسح بعد زوال العذر قبل فوات الموالاة وعدم وجوبه من الفروع المتفرّعة علی وجوب إعادة الوضوء بمجرّد زوال العذر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وجوب الإعادة یجب إعادة المسح، وعلی عدمه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 علیه الاجماع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 هذا الأصل إما استصحاب الحدث للمتوضّیء بغیر الترتیب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استصحاب بقاء الاشتغال فی المشروط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منهما فهو معارض باستصحاب صحّة الوضوء وعدم بطلانه بمخالفة الترتیب ، وبأصالة عدم اشتراط الترتیب المذکور الراجع إلی أصالة الإطلاق، وهو دلیل اجتهادی لا یقاوم الأصل العملیّ المعارض 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یتوهّم من أدلّتها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موهمیّة أدلّتها الوجوب الشرطی أن الأوامر وإن کانت بالذات ظاهرة فی الوجوب الشرعی، إلا أنها بملاحظة تعلّقها بالأجزاء والشروط قد یوهم طروّ الظهور الثانوی علیها فی الوجوب الشرطی خاصة بالاستقراء والغلبة ، کما ادعاه شیخنا العلامة</w:t>
      </w:r>
      <w:r>
        <w:rPr>
          <w:rStyle w:val="FootnoteAnchor"/>
          <w:rtl w:val="true"/>
        </w:rPr>
        <w:footnoteReference w:id="197"/>
      </w:r>
      <w:r>
        <w:rPr>
          <w:rFonts w:ascii="IRNazanin" w:hAnsi="IRNazanin" w:eastAsia="IRNazanin"/>
          <w:color w:val="111111"/>
          <w:sz w:val="28"/>
          <w:sz w:val="28"/>
          <w:szCs w:val="28"/>
          <w:rtl w:val="true"/>
          <w:lang w:bidi="fa-IR"/>
        </w:rPr>
        <w:t xml:space="preserve">وفاقاً لشیخه فی الجواهر </w:t>
      </w:r>
      <w:r>
        <w:rPr>
          <w:rStyle w:val="FootnoteAnchor"/>
          <w:rtl w:val="true"/>
        </w:rPr>
        <w:footnoteReference w:id="198"/>
      </w:r>
      <w:r>
        <w:rPr>
          <w:rFonts w:ascii="IRNazanin" w:hAnsi="IRNazanin" w:eastAsia="IRNazanin"/>
          <w:color w:val="111111"/>
          <w:sz w:val="28"/>
          <w:sz w:val="28"/>
          <w:szCs w:val="28"/>
          <w:rtl w:val="true"/>
          <w:lang w:bidi="fa-IR"/>
        </w:rPr>
        <w:t>، نظیر طروّ الظهور الثانوی علی الأمر المتعقّب للحظر فی الإباحة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علی الوجوب الشرعی بعموم </w:t>
      </w:r>
      <w:r>
        <w:rPr>
          <w:rStyle w:val="FootnoteAnchor"/>
          <w:rtl w:val="true"/>
        </w:rPr>
        <w:footnoteReference w:id="199"/>
      </w:r>
      <w:r>
        <w:rPr>
          <w:rFonts w:ascii="IRNazanin" w:hAnsi="IRNazanin" w:eastAsia="IRNazanin"/>
          <w:color w:val="111111"/>
          <w:sz w:val="28"/>
          <w:sz w:val="28"/>
          <w:szCs w:val="28"/>
          <w:rtl w:val="true"/>
          <w:lang w:bidi="fa-IR"/>
        </w:rPr>
        <w:t>الناهی عن إبطال الأعمال، فیضعف أیضاً بدعوی الجواهر</w:t>
      </w:r>
      <w:r>
        <w:rPr>
          <w:rStyle w:val="FootnoteAnchor"/>
          <w:rtl w:val="true"/>
        </w:rPr>
        <w:footnoteReference w:id="200"/>
      </w:r>
      <w:r>
        <w:rPr>
          <w:rFonts w:ascii="IRNazanin" w:hAnsi="IRNazanin" w:eastAsia="IRNazanin"/>
          <w:color w:val="111111"/>
          <w:sz w:val="28"/>
          <w:sz w:val="28"/>
          <w:szCs w:val="28"/>
          <w:rtl w:val="true"/>
          <w:lang w:bidi="fa-IR"/>
        </w:rPr>
        <w:t>السیرة علی جواز قطع الوضوء وإبطاله بحدث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المشهور جوازه فی النوافل أیضا، واختصاص حرمة الابطال بخصوص الفرائض</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مضافاًة إلی عدم انطباقه علی قول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لأن ظاهر قوله علیه السلام فی الأخبار البیانیّة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إنما هو وجوب المتابعة بالوجوب الشرطی لا الشرعی ، وهو لا ینطبق علی قول أکثر القائلین بوجوبها، فإن مراد أکثرهم من وجوبها هو وجوبها الشرعی لا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یشهد به سیاقهما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تعقّب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بین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الله عزّوجلّ، ابدأ بالوجه ثم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المشعر بل الصریح فی إرادة الترتیب، مع </w:t>
      </w:r>
    </w:p>
    <w:p>
      <w:pPr>
        <w:pStyle w:val="BookText"/>
        <w:rPr/>
      </w:pPr>
      <w:r>
        <w:rPr>
          <w:rFonts w:ascii="IRNazanin" w:hAnsi="IRNazanin" w:eastAsia="IRNazanin"/>
          <w:color w:val="111111"/>
          <w:sz w:val="28"/>
          <w:sz w:val="28"/>
          <w:szCs w:val="28"/>
          <w:rtl w:val="true"/>
          <w:lang w:bidi="fa-IR"/>
        </w:rPr>
        <w:t>کفایة الاحتمال فی ردّ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عموم التعلیل فی موثّقة أبی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الوضوء لا یتبعّض</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وإن اقتضی بظاهره اشتراط المتابعة کما توهم أیضاً، إلاّ أنّه منصرف إلی اشتراط الموالاة بمعنی عدم الجفاف لا المتابعة، بقرینة تعلیل صدرها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بعض وضوئک فعرضت لک حاجة حتی یبس وضوؤک، فأعد وضوءک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الوضوء لا یتبقض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یشهد به تتمّنه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المنزلة، وابدأ بالرأس ثم أفض علی سائر جسدک،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بعض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4"/>
      </w:r>
      <w:r>
        <w:rPr>
          <w:rFonts w:ascii="IRNazanin" w:hAnsi="IRNazanin" w:eastAsia="IRNazanin"/>
          <w:color w:val="111111"/>
          <w:sz w:val="28"/>
          <w:sz w:val="28"/>
          <w:szCs w:val="28"/>
          <w:rtl w:val="true"/>
          <w:lang w:bidi="fa-IR"/>
        </w:rPr>
        <w:t>فإن الحکم بالمساواة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بعض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لاجماعنا قرینة الحمل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الفیض المفهوم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أفض علی سائر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مخالفة ، للإجماع من هذه الجهة ، و تبقی من جهة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وجود المتابعة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بأن یخرج منه الثانی بالإجماع، فیبقی الأول، ویکون تشبیه الغسل حینئذ بإطلاق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 أو لم یجفّ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لإخراج ما فرضناه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إخراج طرف الإفراط فی الهواء الرطب وبرودته ونداوته، خلافاً للجواهر </w:t>
      </w:r>
      <w:r>
        <w:rPr>
          <w:rStyle w:val="FootnoteAnchor"/>
          <w:rtl w:val="true"/>
        </w:rPr>
        <w:footnoteReference w:id="205"/>
      </w:r>
      <w:r>
        <w:rPr>
          <w:rFonts w:ascii="IRNazanin" w:hAnsi="IRNazanin" w:eastAsia="IRNazanin"/>
          <w:color w:val="111111"/>
          <w:sz w:val="28"/>
          <w:sz w:val="28"/>
          <w:szCs w:val="28"/>
          <w:rtl w:val="true"/>
          <w:lang w:bidi="fa-IR"/>
        </w:rPr>
        <w:t xml:space="preserve">فاختار التقدیر الزمانی فی کلّ من طرفی إفراط الجفاف وعدم الجفاف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إفراط الهواء من حیث شدّة یبسه بالحرارة ونداوته بالبرودة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ولیس له وجه سوی دعوی انصراف إطلاق کلّ من الجفاف المبطل</w:t>
      </w:r>
    </w:p>
    <w:p>
      <w:pPr>
        <w:pStyle w:val="BookText"/>
        <w:rPr/>
      </w:pPr>
      <w:r>
        <w:rPr>
          <w:rFonts w:ascii="IRNazanin" w:hAnsi="IRNazanin" w:eastAsia="IRNazanin"/>
          <w:color w:val="111111"/>
          <w:sz w:val="28"/>
          <w:sz w:val="28"/>
          <w:szCs w:val="28"/>
          <w:rtl w:val="true"/>
          <w:lang w:bidi="fa-IR"/>
        </w:rPr>
        <w:t>اللوضوء وعدمه غیر المبطل إلی ما هو الغالب من اعتدال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مخالفته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اعتدال الهواء فی الأزمنة غلبة وجودیّة لا استعمالیة، فلا توجب سوی الانصراف البدوی والخطوری لا الانصراف الحقیقی ، مضافاً إلی أن الأصل الأصیل فی المطلقات المشکوک انصرافها عدم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أصالة عدم الانصراف یقتضی البناء علیه فی کلّ من طرفی الجفاف وعدمه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طرفی إفراط الهواء، وحصر الأمر فی الطرفین علی 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البناء علی الانصراف فی طرف الجفاف لشدّة الحر یقتضی البناء علیه فی طرف عدم الجفاف أیضاً، وحصر الأمر فی الطرفین علی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البناء علی الانصراف والتقدیر فی طرف الجفاف بشدّة الحرارة ، وعلی عد مهما فی طرف عدم الجفاف بفرط البرودة ، کما علیه المشهور، فتفکیک ما وجهه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فی کلّ من طرفی الجفاف وعدمه إنما هو علی الحس لا التقدیر ، کما هو الظاهر فی سائر الموضوعات العرفیّة ، کالتغیّر الموجب الانفعال الماء وعدمه ، إلا أنّا خرجنا عن مقتضی هذا الظهور فی طرف الجفاف المبطل للوضوء بواسطة النصوص المقیّدة لإبطاله بالتقدّیر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التفریط والتأخیر لا مطلق الجفاف، ولم نخرج عن مقتضاه فی طرف عدم الجفاف، لعدم ذلک الصارف المانع من إطلاقه ، کالعامّ المخصّص حیث إنه حجة فی الباقی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عدم قبوله شیئاً من الاحتمالات التی ذکرت للجمع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الاحتمالات المذکورة للجمع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نصوص استحباب </w:t>
      </w:r>
    </w:p>
    <w:p>
      <w:pPr>
        <w:pStyle w:val="BookText"/>
        <w:rPr/>
      </w:pPr>
      <w:r>
        <w:rPr>
          <w:rFonts w:ascii="IRNazanin" w:hAnsi="IRNazanin" w:eastAsia="IRNazanin"/>
          <w:color w:val="111111"/>
          <w:sz w:val="28"/>
          <w:sz w:val="28"/>
          <w:szCs w:val="28"/>
          <w:rtl w:val="true"/>
          <w:lang w:bidi="fa-IR"/>
        </w:rPr>
        <w:t xml:space="preserve">التثنیة علی التقیّة ، کما عن منتقی الجمان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العامّة تنکر الوحدة ، و تروی فی أخبارهم التثنیة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المرّة علی الغسل مرّة ، والمرّتین علی الغرفتین، فیکون المستحبّ الغسلة الواحدة بغرفتین ، کما عن الکاشانی</w:t>
      </w:r>
      <w:r>
        <w:rPr>
          <w:rStyle w:val="FootnoteAnchor"/>
          <w:rtl w:val="true"/>
        </w:rPr>
        <w:footnoteReference w:id="207"/>
      </w:r>
      <w:r>
        <w:rPr>
          <w:rFonts w:ascii="IRNazanin" w:hAnsi="IRNazanin" w:eastAsia="IRNazanin"/>
          <w:color w:val="111111"/>
          <w:sz w:val="28"/>
          <w:sz w:val="28"/>
          <w:szCs w:val="28"/>
          <w:rtl w:val="true"/>
          <w:lang w:bidi="fa-IR"/>
        </w:rPr>
        <w:t xml:space="preserve">والفاضل الهندی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ومنها حمل المرّة علی الغرفة الممتلئة مع المبالغة فی الغسل بها لیحصل بها الإسباغ، والمرتین علی الغرفتین غیر الممتلئتین من غیر 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بدعوی شهادة أخبار </w:t>
      </w:r>
      <w:r>
        <w:rPr>
          <w:rStyle w:val="FootnoteAnchor"/>
          <w:rtl w:val="true"/>
        </w:rPr>
        <w:footnoteReference w:id="209"/>
      </w:r>
      <w:r>
        <w:rPr>
          <w:rFonts w:ascii="IRNazanin" w:hAnsi="IRNazanin" w:eastAsia="IRNazanin"/>
          <w:color w:val="111111"/>
          <w:sz w:val="28"/>
          <w:sz w:val="28"/>
          <w:szCs w:val="28"/>
          <w:rtl w:val="true"/>
          <w:lang w:bidi="fa-IR"/>
        </w:rPr>
        <w:t>الإسباغ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المرتین علی بیان مجرّد الرخصة والإباحة ، بشهادة ما تضمّن </w:t>
      </w:r>
      <w:r>
        <w:rPr>
          <w:rStyle w:val="FootnoteAnchor"/>
          <w:rtl w:val="true"/>
        </w:rPr>
        <w:footnoteReference w:id="210"/>
      </w:r>
      <w:r>
        <w:rPr>
          <w:rFonts w:ascii="IRNazanin" w:hAnsi="IRNazanin" w:eastAsia="IRNazanin"/>
          <w:color w:val="111111"/>
          <w:sz w:val="28"/>
          <w:sz w:val="28"/>
          <w:szCs w:val="28"/>
          <w:rtl w:val="true"/>
          <w:lang w:bidi="fa-IR"/>
        </w:rPr>
        <w:t>عدم الأجر علی الاثنتین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مثنی مثنی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علی إرادة أن الوضوء غسلتان و مسحتان، فی مقابل العامّة المدعین أنه ثلاث غسلات و مسحة ، کما عن الحبل</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استحباب المرتین علی استحباب </w:t>
      </w:r>
      <w:r>
        <w:rPr>
          <w:rStyle w:val="FootnoteAnchor"/>
          <w:rtl w:val="true"/>
        </w:rPr>
        <w:footnoteReference w:id="213"/>
      </w:r>
      <w:r>
        <w:rPr>
          <w:rFonts w:ascii="IRNazanin" w:hAnsi="IRNazanin" w:eastAsia="IRNazanin"/>
          <w:color w:val="111111"/>
          <w:sz w:val="28"/>
          <w:sz w:val="28"/>
          <w:szCs w:val="28"/>
          <w:rtl w:val="true"/>
          <w:lang w:bidi="fa-IR"/>
        </w:rPr>
        <w:t>تجدید الوضوء،</w:t>
      </w:r>
    </w:p>
    <w:p>
      <w:pPr>
        <w:pStyle w:val="BookText"/>
        <w:rPr/>
      </w:pPr>
      <w:r>
        <w:rPr>
          <w:rFonts w:ascii="IRNazanin" w:hAnsi="IRNazanin" w:eastAsia="IRNazanin"/>
          <w:color w:val="111111"/>
          <w:sz w:val="28"/>
          <w:sz w:val="28"/>
          <w:szCs w:val="28"/>
          <w:rtl w:val="true"/>
          <w:lang w:bidi="fa-IR"/>
        </w:rPr>
        <w:t xml:space="preserve">کما عن الصدوق </w:t>
      </w:r>
      <w:r>
        <w:rPr>
          <w:rStyle w:val="FootnoteAnchor"/>
          <w:rtl w:val="true"/>
        </w:rPr>
        <w:footnoteReference w:id="2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بعد کلّ من المحامل الستّة المذکورة لأخبار المرّتین، إما فی </w:t>
      </w:r>
    </w:p>
    <w:p>
      <w:pPr>
        <w:pStyle w:val="BookText"/>
        <w:rPr/>
      </w:pPr>
      <w:r>
        <w:rPr>
          <w:rFonts w:ascii="IRNazanin" w:hAnsi="IRNazanin" w:eastAsia="IRNazanin"/>
          <w:color w:val="111111"/>
          <w:sz w:val="28"/>
          <w:sz w:val="28"/>
          <w:szCs w:val="28"/>
          <w:rtl w:val="true"/>
          <w:lang w:bidi="fa-IR"/>
        </w:rPr>
        <w:t>نفسه فکمنافاة الثلاثة الأول لمثل خبری داود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وابن یقطین</w:t>
      </w:r>
      <w:r>
        <w:rPr>
          <w:rStyle w:val="FootnoteAnchor"/>
          <w:rtl w:val="true"/>
        </w:rPr>
        <w:footnoteReference w:id="216"/>
      </w:r>
      <w:r>
        <w:rPr>
          <w:rFonts w:ascii="IRNazanin" w:hAnsi="IRNazanin" w:eastAsia="IRNazanin"/>
          <w:color w:val="111111"/>
          <w:sz w:val="28"/>
          <w:sz w:val="28"/>
          <w:szCs w:val="28"/>
          <w:rtl w:val="true"/>
          <w:lang w:bidi="fa-IR"/>
        </w:rPr>
        <w:t>، ومنافاة الرابع الکثیر ممّا تضمن الأمر بالمرتین، والأخیرین لما تضمن غسل العضو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القرائن ظاهرة، فکمنافاة الحمل علی التقیّة المعروفیّة التثلیث لا التثنیة عن العامة ، فإنّهم وإن رووا</w:t>
      </w:r>
      <w:r>
        <w:rPr>
          <w:rStyle w:val="FootnoteAnchor"/>
          <w:rtl w:val="true"/>
        </w:rPr>
        <w:footnoteReference w:id="217"/>
      </w:r>
      <w:r>
        <w:rPr>
          <w:rFonts w:ascii="IRNazanin" w:hAnsi="IRNazanin" w:eastAsia="IRNazanin"/>
          <w:color w:val="111111"/>
          <w:sz w:val="28"/>
          <w:sz w:val="28"/>
          <w:szCs w:val="28"/>
          <w:rtl w:val="true"/>
          <w:lang w:bidi="fa-IR"/>
        </w:rPr>
        <w:t>التثنیة إلا أن عملهم علی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وکمنافاة الحمل علی التجدید لمشروعیّة ازدیاد التجدید علی الدفعتین ، مع نفی الزیادة علیهما فی بعض ما تضمن کون الوضوء مثنی 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ذلک وجه بعد المحامل المذکورة لأخبار التثنیة ، إما فی نفسه ، وإما لقرائن ظاهرة بالنسبة إلی غیره، وهو ارتکاب التأویل فی أخبار </w:t>
      </w:r>
      <w:r>
        <w:rPr>
          <w:rStyle w:val="FootnoteAnchor"/>
          <w:rtl w:val="true"/>
        </w:rPr>
        <w:footnoteReference w:id="218"/>
      </w:r>
      <w:r>
        <w:rPr>
          <w:rFonts w:ascii="IRNazanin" w:hAnsi="IRNazanin" w:eastAsia="IRNazanin"/>
          <w:color w:val="111111"/>
          <w:sz w:val="28"/>
          <w:sz w:val="28"/>
          <w:szCs w:val="28"/>
          <w:rtl w:val="true"/>
          <w:lang w:bidi="fa-IR"/>
        </w:rPr>
        <w:t>وحدة الوضوء وکونه مرّةً مرّة ، بالحمل علی نفی وجوب الزیادة لا نفی استحبابها، ردّاً علی العامّة الزاعمین وجوب الزیادة ، فإنّه أقرب جدّاً من ارتکاب تلک التأویلات البعیدة فی أخبار التثنیة ، مع اقتضاء قاعدة الترجیح فی المعارضین لانحصار التأویل أو الطرح فی أخبار المرّة لا المرتّین، لترجیحهما علیه بالأکثریة والأصحیّة والأصرحیّة والأشهریة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داود فتفصیله ما حکی فی الوسائل عن الکشّی بسنده عن داود الرقی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أوجب الله تعالی فواحدة، وأضاف رسول الله صلی الله علیه وآله واحدة الضعف الناس، ومن توضّأ ثلاثاً فلا صلاة 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معه فی ذا حتی جاء داود بن زربی فسأله عن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ثلاثة نقص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فرائصی وکاد أن یدخلنی الشیطان، فأبصرنی أبو عبدالله علیه السلام وقد تغیر لونی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الکفر أو </w:t>
      </w:r>
    </w:p>
    <w:p>
      <w:pPr>
        <w:pStyle w:val="BookText"/>
        <w:rPr/>
      </w:pPr>
      <w:r>
        <w:rPr>
          <w:rFonts w:ascii="IRNazanin" w:hAnsi="IRNazanin" w:eastAsia="IRNazanin"/>
          <w:color w:val="111111"/>
          <w:sz w:val="28"/>
          <w:sz w:val="28"/>
          <w:szCs w:val="28"/>
          <w:rtl w:val="true"/>
          <w:lang w:bidi="fa-IR"/>
        </w:rPr>
        <w:t>ضرب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داود بن زربی إلی جوار بستان أبی جعفر المنصور، وکان قد ألقی إلیه أمر داود بن زربی وأنه رافضیّ یختلف إلی جعفر بن محمد،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مطلع علی طهارته فإن توضّأ وضوء جعفر بن محمد علیه السلام فإنی أعرف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علیه القول وقتلته، فأطلع وداود بن زربی یتهیأ للصلاة من حیث لا یراه، فأسبغ الوضوء ثلاثاً ثلاثاً کما أمره جعفر بن محمدعلیه السلام انیّ ، فما أتمّ وضوءه حتی بعث إلیه المنصور فدعاه،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علیه رحّب 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فیک شیء باطل، وما أنت کذلک، قد أطلعت علی طهارتک ولیست طهارتک طهارة الرافضة، فاجعلنی فی حلّ، وأمر له بمائة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فالتقیت أنا وداود بن زربی عند أبی عبدالله علیه السلام، فقال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حقنت دماءنا فی دار الدنیا، ونرجو أن ندخل بیمنک وبرکتک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ذلک بک وبإخوانک من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الرقیّ بما مرّ علیکم حتی تسکن روعته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بالأمر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أفتیته، لأنّه أشرف علی القتل،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زربی توضّأ مثنی مثنی، ولا تزدن علیه، فإن زدت فلا صلاة لک، الحدیث</w:t>
      </w:r>
      <w:r>
        <w:rPr>
          <w:rStyle w:val="FootnoteAnchor"/>
          <w:rtl w:val="true"/>
        </w:rPr>
        <w:footnoteReference w:id="2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علی بن یقطین ، فتفصیله ما فی الوسائل أیضاً عن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علیه السلام کتب إلی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الذی أمرک به أنّ تمضمض ثلاثة، وتستنشق ثلاثا، وتغسل وجهک ثلاثاً، وتخلّل شعر لحیتک وتغسل یدیک إلی المرفقین ثلاثاً، وتمسح رأسک کلّه، وتمسح ظاهر أذنیک وباطنهما، وتغسل رجلیک إلی الکعبین ثلاثاً، ولا تخالف ذلک إلی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دخل الکتاب إلی علیّ بن یقطین تعجّب ممّا رسم له أبوالحسن علیه السلام مما جمیع العصابة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أعلم بما قال، وأنّا أمتثل أمره، فکان یعمل فی وضوئه علی هذا الحد، ویخالف جمیع الشیعة، امتثالاً لأمر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سعی بعلیّ بن یقطین إلی الرشید،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رافضیّ، فامتحنه الرشید من حیث لا یشعر، فلما نظر إلی وضوئه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یا علیّ بن یقطین من زعمّ أنک من الرافضة، وصلحت حاله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علیه کتاب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ابتدیء الآن یا علی بن یقطین وتوضّأ کما أمرک الله تعالی، اغسل وجهک مرّة فریضة، وأخری إسباغاً، واغسل یدیک من المرفقین کذلک، وامسح بمقدّم رأسک وظاهر قدمیک من فضل نداوة وضوئک، فقد زال ما کنّا نخاف منه علیک</w:t>
      </w:r>
      <w:r>
        <w:rPr>
          <w:rStyle w:val="FootnoteAnchor"/>
          <w:rtl w:val="true"/>
        </w:rPr>
        <w:footnoteReference w:id="2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نقلنا الحدیثین بطولهما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التئامه مع ما دلّ علی وجوب رجحان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إن قیل بجزئیّة الغسلة الثانیة التأم جوازها مع وجوب کون المسح ببلّة الوضوء، ولم یلتئم مع رجحان العبادة بتمام أجزائها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 بکونها من الأفعال الخارجة عن أجزاء الوضوء التأم جوازها مع رجحان العبادة، ولم یلتئم مع وجوب کون المسح ببلة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بجواز الغسلة الثانیة من دون استحباب لا یلتئم مع أحد الواجبین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السوار والدملج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السوار کسلاح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وبالضم لغة</w:t>
      </w:r>
      <w:r>
        <w:rPr>
          <w:rStyle w:val="FootnoteAnchor"/>
          <w:rtl w:val="true"/>
        </w:rPr>
        <w:footnoteReference w:id="221"/>
      </w:r>
      <w:r>
        <w:rPr>
          <w:rFonts w:ascii="IRNazanin" w:hAnsi="IRNazanin" w:eastAsia="IRNazanin"/>
          <w:color w:val="111111"/>
          <w:sz w:val="28"/>
          <w:sz w:val="28"/>
          <w:szCs w:val="28"/>
          <w:rtl w:val="true"/>
          <w:lang w:bidi="fa-IR"/>
        </w:rPr>
        <w:t>هو الذی یلبس فی الذراع من ذهب ، جمعه أسورة، وجمع الجمع 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واللّام وإسکان </w:t>
      </w:r>
    </w:p>
    <w:p>
      <w:pPr>
        <w:pStyle w:val="BookText"/>
        <w:rPr/>
      </w:pPr>
      <w:r>
        <w:rPr>
          <w:rFonts w:ascii="IRNazanin" w:hAnsi="IRNazanin" w:eastAsia="IRNazanin"/>
          <w:color w:val="111111"/>
          <w:sz w:val="28"/>
          <w:sz w:val="28"/>
          <w:szCs w:val="28"/>
          <w:rtl w:val="true"/>
          <w:lang w:bidi="fa-IR"/>
        </w:rPr>
        <w:t xml:space="preserve">المیم ، کقنفذ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یشبه السوار تلبسه المرأة فی عضدها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فیما فی الصحیح</w:t>
      </w:r>
      <w:r>
        <w:rPr>
          <w:rStyle w:val="FootnoteAnchor"/>
          <w:rtl w:val="true"/>
        </w:rPr>
        <w:footnoteReference w:id="222"/>
      </w:r>
      <w:r>
        <w:rPr>
          <w:rFonts w:ascii="IRNazanin" w:hAnsi="IRNazanin" w:eastAsia="IRNazanin"/>
          <w:color w:val="111111"/>
          <w:sz w:val="28"/>
          <w:sz w:val="28"/>
          <w:szCs w:val="28"/>
          <w:rtl w:val="true"/>
          <w:lang w:bidi="fa-IR"/>
        </w:rPr>
        <w:t>وغیره</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للأردبیلی</w:t>
      </w:r>
      <w:r>
        <w:rPr>
          <w:rStyle w:val="FootnoteAnchor"/>
          <w:rtl w:val="true"/>
        </w:rPr>
        <w:footnoteReference w:id="224"/>
      </w:r>
      <w:r>
        <w:rPr>
          <w:rFonts w:ascii="IRNazanin" w:hAnsi="IRNazanin" w:eastAsia="IRNazanin"/>
          <w:color w:val="111111"/>
          <w:sz w:val="28"/>
          <w:sz w:val="28"/>
          <w:szCs w:val="28"/>
          <w:rtl w:val="true"/>
          <w:lang w:bidi="fa-IR"/>
        </w:rPr>
        <w:t>والذخیرة</w:t>
      </w:r>
      <w:r>
        <w:rPr>
          <w:rStyle w:val="FootnoteAnchor"/>
          <w:rtl w:val="true"/>
        </w:rPr>
        <w:footnoteReference w:id="225"/>
      </w:r>
      <w:r>
        <w:rPr>
          <w:rFonts w:ascii="IRNazanin" w:hAnsi="IRNazanin" w:eastAsia="IRNazanin"/>
          <w:color w:val="111111"/>
          <w:sz w:val="28"/>
          <w:sz w:val="28"/>
          <w:szCs w:val="28"/>
          <w:rtl w:val="true"/>
          <w:lang w:bidi="fa-IR"/>
        </w:rPr>
        <w:t xml:space="preserve">ومَن تبعهما حیث زعموا المنافاة بین نصوص المسح ونصوص غسل ما حول الجرح، وجمعوا بینهما بحمل نصوص المسح علی الاستحباب ، والحال أن النسبة بینهما من قبیل نسبة المطلق والمقید، القاضیة بتقیید مطلقات وجوب غسل ما حول الجرح بنصوص إضافة وجوب المسح، سیّما مع اعتضادها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ما لا یدرک کلّه لا یترک کلّه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مضافة إلی اعتضاد وجوب المسح بفهم المشهور، بل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ناشیء عن أقربیّة المسح علی البشرة من المسح علی الجبیرة إلی الحقیقة المتعذّرة، وهو غسل البشرة ، ومن اشتراط طهارة محلّ 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تبادره من الإطلاق هنا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المتبادر من إطلاق المسح علیه فی النصوص </w:t>
      </w:r>
      <w:r>
        <w:rPr>
          <w:rStyle w:val="FootnoteAnchor"/>
          <w:rtl w:val="true"/>
        </w:rPr>
        <w:footnoteReference w:id="228"/>
      </w:r>
      <w:r>
        <w:rPr>
          <w:rFonts w:ascii="IRNazanin" w:hAnsi="IRNazanin" w:eastAsia="IRNazanin"/>
          <w:color w:val="111111"/>
          <w:sz w:val="28"/>
          <w:sz w:val="28"/>
          <w:szCs w:val="28"/>
          <w:rtl w:val="true"/>
          <w:lang w:bidi="fa-IR"/>
        </w:rPr>
        <w:t>هو استیعاب الجبیرة بالمسح، لا الاکتفاء بالمسح الذی هو المتبادر من إطلاق المسح والمسح به فی مواضع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عن تبادر الاستیعاب من إطلاق المسح علیه ، فلا أقلّ من عدم تبادر المسح الذی یتبادر من إطلاق المسح والمسح به فی موضع </w:t>
      </w:r>
    </w:p>
    <w:p>
      <w:pPr>
        <w:pStyle w:val="BookText"/>
        <w:rPr/>
      </w:pPr>
      <w:r>
        <w:rPr>
          <w:rFonts w:ascii="IRNazanin" w:hAnsi="IRNazanin" w:eastAsia="IRNazanin"/>
          <w:color w:val="111111"/>
          <w:sz w:val="28"/>
          <w:sz w:val="28"/>
          <w:szCs w:val="28"/>
          <w:rtl w:val="true"/>
          <w:lang w:bidi="fa-IR"/>
        </w:rPr>
        <w:t>المسح، فیرجع بعده إلی عموم قاعدة أقربیّة الاستیعاب إلی الحقیقة المتعذّرة ، العموم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علی عمومات أدلّة البراءة عن وجوب الاستیعاب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فی السکوت عنه 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منع إیماء السکوت إلیه ما لم یحرز کونه فی مقام بیان تمام الواجب فی المسألة، ولا دلیل علی إحرازه ، لاحتمال کونه فی مقام بیان خصوص الواجب من الغسل خاصّة، لا مطلق الواجب منه ومن غیره، کیف لا؟ ولازم إطلاقه الاکتفاء بغسل ما حوله حتی فی الجرح المستور بنحو الجبائر ، دون المکشوف خاصّة کما هو المدّعی، بل الاکتفاء به حتّی فی مقام التمکّن من مسح البشرة أیضاً ، وهو خلاف الفتاوی والنصوص الراجحة علی نصّ الاکتفاء بغسل ما حوله بالأکثریّة والأشهریّة والأصحیّة والأصرحیّة والأوفقیّة بعموم قاعدة الأقربیّة ، إلی غیر ذلک من القرائن والمرجحات المقتضیة لطرح نصوص الاکتفاء بغسل ما حوله ، أو حمل إطلاقها علی خصوص صورة تعذّر المسح أو تعسره ، أو تقییدها بأظهریّة سائر النصوص فی وجوب المسح،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یجوز أن یولی واجبات أفعال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المراد من واجبات أفعال الوضوء غیر الجائزة فیها التولیة خصوص الواجب منها بالأصل وإن لم یجب بالعارض، کالغسلة والمسحة الثانیتین ، ومطلق الوضوء للتجدید ونحوه من الغایات المندوبة ، کما یشهد بذلک عموم الاستدلال علیه بظهور أوامر الکتاب فی السنّة المتعلّقه بها فی المباشرة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وتمثیل السیّد الشارح لواجبات الوضوء غیر الجائزة فیها التولیة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کنفس الغسل والمسح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من غیرهما الجائز فیه التولیة حینئذ هو مقدماتهما الخارجة عن نفسهما، کتطلّب الماء من الغیر لأجل التوضّوء، وإتیان </w:t>
      </w:r>
    </w:p>
    <w:p>
      <w:pPr>
        <w:pStyle w:val="BookText"/>
        <w:rPr/>
      </w:pPr>
      <w:r>
        <w:rPr>
          <w:rFonts w:ascii="IRNazanin" w:hAnsi="IRNazanin" w:eastAsia="IRNazanin"/>
          <w:color w:val="111111"/>
          <w:sz w:val="28"/>
          <w:sz w:val="28"/>
          <w:szCs w:val="28"/>
          <w:rtl w:val="true"/>
          <w:lang w:bidi="fa-IR"/>
        </w:rPr>
        <w:t>الغیر به لأجل ذلک، بل وصبّه علی ید المتوضّیء، إذ لیس بها أمر أصلیّ لفظیّ وراء الأمر العقلیّ المقدّمیّ حتی یستظهر منه وجوب المباشرة، فیجوز التولیّة فیها علی کراهة فی المقدّمات القریبّة، للنهی المحمول علیها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المباشرة المعتبرة فی أفعال الوضوء هو استناد الفعل عرفاً إلی المتوضیء، فلا ینافیه مشارکة الغیر له فیه علی وجه یستند الفعل عرفة إلیه بالأصالة وإلی ذلک الغیر بالتبع ، بل ولا علی وجه یستند إلی کلّ منهما استقلالآً ، بحیث لو کان کل منهما منفرداًلاستند فعل الغسل والمسح إلیه استقلالاً ، وکان کلّ منهما بانفراده علّة تامّة لحصول الفعل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وقع الفعل منهما علی وجه یستند عرفاً إلی الغیر بالأصالة وإلی المتوضّیء بالتبع، عکس الوجه الأول، أو إلی کلّ منهما علی وجه الجزئیّة لا الاستقلال، بحیث یکون کلّ منهما جزء علّة حصول الفعل، ویکون علّة حصول الفعل فی الخارج مرکّباً منهما معاً ، فلا إشکال فی منافاته المباشرة المعتبرة فیه ، لعدم استناد الفعل عرفاً إلی المتوضّیء فی شیء من الفرضین الأخیرین ، للاشتراک بالفرض، بخلافه فی الفرضین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عموم علی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الوضّوء لکلّ صلاة، واتّصال الصلاة بوضوئه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دائم السلس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مالا یمکنه التحفّظ مقدار الصلاة ، کما فیما یمکنه التحفّظ</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حینئذ دلیلان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دلیلان علی عدم قطع الطهارة فی الشقّ الأول من المسألة ، وهو غیر القادر علی التحفّظ منه، لا دلیلان علی عدم قطع الصلاة به فی الشق الثانی منها ، وهو القادر علی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ینافیه الروایتان بعد الاعتراف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روایتا</w:t>
      </w:r>
      <w:r>
        <w:rPr>
          <w:rStyle w:val="FootnoteAnchor"/>
          <w:rtl w:val="true"/>
        </w:rPr>
        <w:footnoteReference w:id="229"/>
      </w:r>
      <w:r>
        <w:rPr>
          <w:rFonts w:ascii="IRNazanin" w:hAnsi="IRNazanin" w:eastAsia="IRNazanin"/>
          <w:color w:val="111111"/>
          <w:sz w:val="28"/>
          <w:sz w:val="28"/>
          <w:szCs w:val="28"/>
          <w:rtl w:val="true"/>
          <w:lang w:bidi="fa-IR"/>
        </w:rPr>
        <w:t>الاعتراف بالیمنی فی الوضوءات البیانیّة الاستحباب وضع الإناء علی الیمین مطلقاً ، ولو لم یکن الإناء ممّا یغترف منه ، کالابریق ونحوه من ضیّق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منافاتهما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الاغتراف من الإناء فی تلک الوضوءات البیانیّة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الحاضر إناء یغترف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استحباب الاغتراف، حتی ینافی استحباب وضع ما لا یغترف منه علی الیمین، لاحتمال کون الاغتراف حینئیر من أفعاله العادیّة لا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اغترافه علیه السلام بعد کون الحاضر مما یغترف منه لو سلّم دلالته علی استحباب الاغتراف لدلّ علیه فی تلک الحال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کون الحاضر إناء یغترف منه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ینافی استحباب وضع ما لا یغترف منه علی الیمین، لأنّ فعل الاغتراف عند کون الحاضر مما یغترف منه تو دل علی استحباب الاغتراف لدل علیه مشروطة بکون الحاضر ممّا یغترف منه ، لا مطلقا ولو لم یکن الحاضر مما یغترف منه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استحباب الاغتراف مطلق لا مشروط بکون الحاضر ممّا یغترف منه، إلاّ أنّه مع ذلک لا ینافی استحباب وضع الإناء علی الیمین مطلقا ولو لم یکن الاناء قابلاً للاغتراف، لفرض تعدّد دلیلی الاستحبابین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وجه التأمّل إشارة إلی توجیه عدم المنافاة بأحد الوجوه المذکورة ، أو توجیه المنافاة بفرض اتّحاد دلیل الاستحبابین ، فینافیه تعدّد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فی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ما روی فی الاستبصار من أمر النبیّ صلّی الله علیه وآله قل مَن توضّأ بإعادة وضوئه ثلاث مرّات ، فقال له أمیر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سمیت علی وضوئک؟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علی وضوئک، فسمی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یأمره بالإعادة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 الشیخ فی الاستبصار علی أن المراد من التسمیة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أن یکون المراد لمّا ترک التسمیة أنساه الشیطان بعض الواجبات فلمّا سمّی أعاده الله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الذکری</w:t>
      </w:r>
      <w:r>
        <w:rPr>
          <w:rStyle w:val="FootnoteAnchor"/>
          <w:rtl w:val="true"/>
        </w:rPr>
        <w:footnoteReference w:id="231"/>
      </w:r>
      <w:r>
        <w:rPr>
          <w:rFonts w:ascii="IRNazanin" w:hAnsi="IRNazanin" w:eastAsia="IRNazanin"/>
          <w:color w:val="111111"/>
          <w:sz w:val="28"/>
          <w:sz w:val="28"/>
          <w:szCs w:val="28"/>
          <w:rtl w:val="true"/>
          <w:lang w:bidi="fa-IR"/>
        </w:rPr>
        <w:t xml:space="preserve">حمله علی تأکّد استحباب التسمیة ، کالشارح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استبعاد شرعیة الإعادة بفوات مستحب مؤکد، فیدفعه کون المستبعد وجوب الإعادة لفوات مستحبّ مؤکّد، لا استحباب الإعادة لفوات مستحبّ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حرمة القیاس غیر نافع</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فی السیاق ، فسیاق الأولی لتفسیر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 بینما الثانیة سیقت لتوجیه عدم النافعة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کون المعیّة قیداً للمانعیّة فلحرمة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کونها علاوة علی المانعیّة فللمفارقیّة، باختصاص نصوص </w:t>
      </w:r>
      <w:r>
        <w:rPr>
          <w:rStyle w:val="FootnoteAnchor"/>
          <w:rtl w:val="true"/>
        </w:rPr>
        <w:footnoteReference w:id="233"/>
      </w:r>
      <w:r>
        <w:rPr>
          <w:rFonts w:ascii="IRNazanin" w:hAnsi="IRNazanin" w:eastAsia="IRNazanin"/>
          <w:color w:val="111111"/>
          <w:sz w:val="28"/>
          <w:sz w:val="28"/>
          <w:szCs w:val="28"/>
          <w:rtl w:val="true"/>
          <w:lang w:bidi="fa-IR"/>
        </w:rPr>
        <w:t xml:space="preserve">استحباب التسمیة فی الوضوء بحال الابتداء ، بخلاف استحبابها فی الأکل، فإن ثبوته فی أثناء الأکل </w:t>
      </w:r>
    </w:p>
    <w:p>
      <w:pPr>
        <w:pStyle w:val="BookText"/>
        <w:rPr/>
      </w:pPr>
      <w:r>
        <w:rPr>
          <w:rFonts w:ascii="IRNazanin" w:hAnsi="IRNazanin" w:eastAsia="IRNazanin"/>
          <w:color w:val="111111"/>
          <w:sz w:val="28"/>
          <w:sz w:val="28"/>
          <w:szCs w:val="28"/>
          <w:rtl w:val="true"/>
          <w:lang w:bidi="fa-IR"/>
        </w:rPr>
        <w:t>لمن نساها فی الابتداء إنما هو بالنص لا بالقیاس حتی یقاس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قیاس مع الفارق، نظراً إلی أن استحبابها فی أثناء الأکل لمن نساها فی ابتدائه إنّما بالنصّ </w:t>
      </w:r>
      <w:r>
        <w:rPr>
          <w:rStyle w:val="FootnoteAnchor"/>
          <w:rtl w:val="true"/>
        </w:rPr>
        <w:footnoteReference w:id="234"/>
      </w:r>
      <w:r>
        <w:rPr>
          <w:rFonts w:ascii="IRNazanin" w:hAnsi="IRNazanin" w:eastAsia="IRNazanin"/>
          <w:color w:val="111111"/>
          <w:sz w:val="28"/>
          <w:sz w:val="28"/>
          <w:szCs w:val="28"/>
          <w:rtl w:val="true"/>
          <w:lang w:bidi="fa-IR"/>
        </w:rPr>
        <w:t>، لا بالقیاس علی الابتداء حتی یقاس علیه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شمول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محلّ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ناشیء عن عموم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وعن قوّة احتمال اختصاصه بالمرکّبات الخارجیّة من ذی الأجزاء دون المرکّبات العقلیّة من ذی الشروط کما فیما نحن فیه ، کما هو ظاهر سائر أخوات المعتبرة من قوله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فیوهن بذلک عموم قاعدة المیسور لمثل ما نحن فیه ، وهو بقاء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انتفاء شرطه وهو حال الابتداء ، فلا یعمل بعمومها فی غیر ذی الأجزاء الخارجیّة، إلا فی مورد جبر ضعف العموم بعمل الأصحاب ، کما هو الشأن فی العمل بعمومات </w:t>
      </w:r>
      <w:r>
        <w:rPr>
          <w:rStyle w:val="FootnoteAnchor"/>
          <w:rtl w:val="true"/>
        </w:rPr>
        <w:footnoteReference w:id="237"/>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القیاس مع الفارق، فإن عموم دلیل القرعة لکلّ مشکل موهون بإعراض الأصحاب عنه فی أکثر الموارد ، بخلاف عموم قاعدة المیسور لا یسقط بالمعسور، فإنه غیر موهون بالإعراض، وإنما تأمّل فیه من المتأخّرین من یتأمّل فی جمیع العمومات القویّة، خصوصاً مع اعتضاد عمومها بعموم أدلّة الاستصحاب فی جمیع الموارد ، بل وبعموم قاعدة التسامح فی خصوص ما نحن فیه من إثبات السنن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التأمّل فی شمول المعسور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تعمّد ترکه فی الابتداء، فلأن المعسور بسوء الاختبار فی حکم الاختیار والمیسور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صورة نسیان ترکه فی الابتداء ، فلأنّ نسیانه مع سهولته بالغایة ، وشدّة الحاجة إلیه بالنهایة ، فی جمیع أفعاله وأعماله وأقواله وأحواله ، من المهد إلی اللحد، لا یکون إلا من جهة المسامحة والمساهلة الراجعة إلی حکم التعّمد والترک العمدی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المنافأة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المنافاة قابلیّة الحکم الاستحبابیّ للتعدّد والمراتب ، فلم یحرز فیه شرط حمل المطلق علی المقیّد ، وهو اتّحاد الحکم فیهما ، کما یحرز ذلک الاتحاد المشروط به الحمل فی الحکم الإلزامی من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سیاقها شاهد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تعقّب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والاستنشاق فریضة ولا سنّة</w:t>
      </w:r>
      <w:r>
        <w:rPr>
          <w:rStyle w:val="FootnoteAnchor"/>
          <w:rtl w:val="true"/>
        </w:rPr>
        <w:footnoteReference w:id="238"/>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علیک أن تغسل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سیاق غیرها</w:t>
      </w:r>
      <w:r>
        <w:rPr>
          <w:rStyle w:val="FootnoteAnchor"/>
          <w:rtl w:val="true"/>
        </w:rPr>
        <w:footnoteReference w:id="239"/>
      </w:r>
      <w:r>
        <w:rPr>
          <w:rFonts w:ascii="IRNazanin" w:hAnsi="IRNazanin" w:eastAsia="IRNazanin"/>
          <w:color w:val="111111"/>
          <w:sz w:val="28"/>
          <w:sz w:val="28"/>
          <w:szCs w:val="28"/>
          <w:rtl w:val="true"/>
          <w:lang w:bidi="fa-IR"/>
        </w:rPr>
        <w:t>بأنهما لیسا من الوضوء بل هما من الجوف،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من أفعاله وأجزائه الواجبة ، إذ لا یجب فیه إلا غسل الظاهر دون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وقع بیان ذلک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کإصرار العمانی </w:t>
      </w:r>
      <w:r>
        <w:rPr>
          <w:rStyle w:val="FootnoteAnchor"/>
          <w:rtl w:val="true"/>
        </w:rPr>
        <w:footnoteReference w:id="240"/>
      </w:r>
      <w:r>
        <w:rPr>
          <w:rFonts w:ascii="IRNazanin" w:hAnsi="IRNazanin" w:eastAsia="IRNazanin"/>
          <w:color w:val="111111"/>
          <w:sz w:val="28"/>
          <w:sz w:val="28"/>
          <w:szCs w:val="28"/>
          <w:rtl w:val="true"/>
          <w:lang w:bidi="fa-IR"/>
        </w:rPr>
        <w:t xml:space="preserve">علی 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تعریضاً علی أبی حنیفة </w:t>
      </w:r>
      <w:r>
        <w:rPr>
          <w:rStyle w:val="FootnoteAnchor"/>
          <w:rtl w:val="true"/>
        </w:rPr>
        <w:footnoteReference w:id="241"/>
      </w:r>
      <w:r>
        <w:rPr>
          <w:rFonts w:ascii="IRNazanin" w:hAnsi="IRNazanin" w:eastAsia="IRNazanin"/>
          <w:color w:val="111111"/>
          <w:sz w:val="28"/>
          <w:sz w:val="28"/>
          <w:szCs w:val="28"/>
          <w:rtl w:val="true"/>
          <w:lang w:bidi="fa-IR"/>
        </w:rPr>
        <w:t>، حیث أوجبهما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المج ّوالاستنثار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 الماء عن الفم هو إسقاطه ولفظه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واستنثاره عن الأنف هو ارتفاعه و تفرّقه عنه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استشهد له ببعض الأخبار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إما أخبار</w:t>
      </w:r>
      <w:r>
        <w:rPr>
          <w:rStyle w:val="FootnoteAnchor"/>
          <w:rtl w:val="true"/>
        </w:rPr>
        <w:footnoteReference w:id="242"/>
      </w:r>
      <w:r>
        <w:rPr>
          <w:rFonts w:ascii="IRNazanin" w:hAnsi="IRNazanin" w:eastAsia="IRNazanin"/>
          <w:color w:val="111111"/>
          <w:sz w:val="28"/>
          <w:sz w:val="28"/>
          <w:szCs w:val="28"/>
          <w:rtl w:val="true"/>
          <w:lang w:bidi="fa-IR"/>
        </w:rPr>
        <w:t xml:space="preserve">قلّة ماء الوضوء، وأنّه یجزی فیه مثل 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أخبار </w:t>
      </w:r>
      <w:r>
        <w:rPr>
          <w:rStyle w:val="FootnoteAnchor"/>
          <w:rtl w:val="true"/>
        </w:rPr>
        <w:footnoteReference w:id="243"/>
      </w:r>
      <w:r>
        <w:rPr>
          <w:rFonts w:ascii="IRNazanin" w:hAnsi="IRNazanin" w:eastAsia="IRNazanin"/>
          <w:color w:val="111111"/>
          <w:sz w:val="28"/>
          <w:sz w:val="28"/>
          <w:szCs w:val="28"/>
          <w:rtl w:val="true"/>
          <w:lang w:bidi="fa-IR"/>
        </w:rPr>
        <w:t>النهی عن سرف الوضوء، وأن الله تعالی ملکةاً یکتب سرف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أخبار </w:t>
      </w:r>
      <w:r>
        <w:rPr>
          <w:rStyle w:val="FootnoteAnchor"/>
          <w:rtl w:val="true"/>
        </w:rPr>
        <w:footnoteReference w:id="244"/>
      </w:r>
      <w:r>
        <w:rPr>
          <w:rFonts w:ascii="IRNazanin" w:hAnsi="IRNazanin" w:eastAsia="IRNazanin"/>
          <w:color w:val="111111"/>
          <w:sz w:val="28"/>
          <w:sz w:val="28"/>
          <w:szCs w:val="28"/>
          <w:rtl w:val="true"/>
          <w:lang w:bidi="fa-IR"/>
        </w:rPr>
        <w:t>أنه طلب ما یتوضّأ للصلاة فأتی به فاستنجی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مراد النفلیّة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إطلاق استحبابه بعده هو تقییده بما إذا لم یفعله قبله ، لا استحبابه مطلقا و مکرّراً کما هو ظاهر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فاحتمل کونه سنّة برأسها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تضعیف الاحتمال المذکور بابتنائه علی حمل المقید بالوضوء علی مطلقاته، والاستحباب کما یأبی من حمل المطلق علی المقیّد ، کذلک یأبی من حمل المقیّد علی المطلق بطریق أولی وأشدّ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إذهاب الأسنان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التردّید بینهما هو تفارقهما، من حیث إن الإحناء هو المبالغة فی استقصائها، والدَّرَدُ هو إسقاطها وقلعها من الأصول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الشکّ فی شمول التعلیل فیهما لمثله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التعلیل إما بحسب لفظه </w:t>
      </w:r>
      <w:r>
        <w:rPr>
          <w:rStyle w:val="FootnoteAnchor"/>
          <w:rtl w:val="true"/>
        </w:rPr>
        <w:footnoteReference w:id="246"/>
      </w:r>
      <w:r>
        <w:rPr>
          <w:rFonts w:ascii="IRNazanin" w:hAnsi="IRNazanin" w:eastAsia="IRNazanin"/>
          <w:color w:val="111111"/>
          <w:sz w:val="28"/>
          <w:sz w:val="28"/>
          <w:szCs w:val="28"/>
          <w:rtl w:val="true"/>
          <w:lang w:bidi="fa-IR"/>
        </w:rPr>
        <w:t xml:space="preserve">، وهو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یشرک بعبادة ربه أحداً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 فلأنه وإن کان من قبیل النکرة فی سیاق النفی فی </w:t>
      </w:r>
    </w:p>
    <w:p>
      <w:pPr>
        <w:pStyle w:val="BookText"/>
        <w:rPr/>
      </w:pPr>
      <w:r>
        <w:rPr>
          <w:rFonts w:ascii="IRNazanin" w:hAnsi="IRNazanin" w:eastAsia="IRNazanin"/>
          <w:color w:val="111111"/>
          <w:sz w:val="28"/>
          <w:sz w:val="28"/>
          <w:szCs w:val="28"/>
          <w:rtl w:val="true"/>
          <w:lang w:bidi="fa-IR"/>
        </w:rPr>
        <w:t>العموم والشمول، إلا أن عمومه وشموله بحسب اللفظ خاصّ بالعبادة ، فلا یشمل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بحسب المورد، فهو وإن شمل المقدّمات إلاّ أنّه لما کان شموله المقدّمات علی خلاف الأصل وظاهر اللفظ اقتصر فیه علی خصوص مورده وهو صب الماء، فلا یجوز التعدّی عنه إلی سائر المقدّمات من طلب الماء وتسخینه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فعلهم علیه السلام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احتمال أن یکون فعلهم لبیان الجواز بالمعنی الأعمّ غیر المنافی للکراهة ، کما احتمله الصحیح </w:t>
      </w:r>
      <w:r>
        <w:rPr>
          <w:rStyle w:val="FootnoteAnchor"/>
          <w:rtl w:val="true"/>
        </w:rPr>
        <w:footnoteReference w:id="248"/>
      </w:r>
      <w:r>
        <w:rPr>
          <w:rFonts w:ascii="IRNazanin" w:hAnsi="IRNazanin" w:eastAsia="IRNazanin"/>
          <w:color w:val="111111"/>
          <w:sz w:val="28"/>
          <w:sz w:val="28"/>
          <w:szCs w:val="28"/>
          <w:rtl w:val="true"/>
          <w:lang w:bidi="fa-IR"/>
        </w:rPr>
        <w:t>المتقدّم فی توضئة أبی عبیدة مولانا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دفعه أن هذا الاحتمال خلاف الأصل والغالب فی فعلهم علیه السلام ، فلا یصار إلیه إلا فیما اقتضاه القرینة ، کما اقتضاه فی الصحیح المتقدّم الجمع بینه وبین النهی عن صب الماء علی یدیه، وأما فی غیره فالأصل الأصیل فی فعلّه الجواز بالمعنی الأخصّ إن کان من العبادات والرجحان إن کان من غیرها، ولولاه لانسدّ باب التأسّی لنا فی أفعالهم علیه السلام المأمور به کتاباً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لها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الخبر فهو ما عن الکافی</w:t>
      </w:r>
      <w:r>
        <w:rPr>
          <w:rStyle w:val="FootnoteAnchor"/>
          <w:rtl w:val="true"/>
        </w:rPr>
        <w:footnoteReference w:id="249"/>
      </w:r>
      <w:r>
        <w:rPr>
          <w:rFonts w:ascii="IRNazanin" w:hAnsi="IRNazanin" w:eastAsia="IRNazanin"/>
          <w:color w:val="111111"/>
          <w:sz w:val="28"/>
          <w:sz w:val="28"/>
          <w:szCs w:val="28"/>
          <w:rtl w:val="true"/>
          <w:lang w:bidi="fa-IR"/>
        </w:rPr>
        <w:t>والبرقی</w:t>
      </w:r>
      <w:r>
        <w:rPr>
          <w:rStyle w:val="FootnoteAnchor"/>
          <w:rtl w:val="true"/>
        </w:rPr>
        <w:footnoteReference w:id="250"/>
      </w:r>
      <w:r>
        <w:rPr>
          <w:rFonts w:ascii="IRNazanin" w:hAnsi="IRNazanin" w:eastAsia="IRNazanin"/>
          <w:color w:val="111111"/>
          <w:sz w:val="28"/>
          <w:sz w:val="28"/>
          <w:szCs w:val="28"/>
          <w:rtl w:val="true"/>
          <w:lang w:bidi="fa-IR"/>
        </w:rPr>
        <w:t xml:space="preserve">مسنداً والفقیه </w:t>
      </w:r>
      <w:r>
        <w:rPr>
          <w:rStyle w:val="FootnoteAnchor"/>
          <w:rtl w:val="true"/>
        </w:rPr>
        <w:footnoteReference w:id="251"/>
      </w:r>
      <w:r>
        <w:rPr>
          <w:rFonts w:ascii="IRNazanin" w:hAnsi="IRNazanin" w:eastAsia="IRNazanin"/>
          <w:color w:val="111111"/>
          <w:sz w:val="28"/>
          <w:sz w:val="28"/>
          <w:szCs w:val="28"/>
          <w:rtl w:val="true"/>
          <w:lang w:bidi="fa-IR"/>
        </w:rPr>
        <w:t>مرسلاً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توضّأ وتمندل کتبت له حسنة، ومن توضّأ ولم یتمندل </w:t>
      </w:r>
    </w:p>
    <w:p>
      <w:pPr>
        <w:pStyle w:val="BookText"/>
        <w:rPr/>
      </w:pPr>
      <w:r>
        <w:rPr>
          <w:rFonts w:ascii="IRNazanin" w:hAnsi="IRNazanin" w:eastAsia="IRNazanin"/>
          <w:color w:val="111111"/>
          <w:sz w:val="28"/>
          <w:sz w:val="28"/>
          <w:szCs w:val="28"/>
          <w:rtl w:val="true"/>
          <w:lang w:bidi="fa-IR"/>
        </w:rPr>
        <w:t>حتی یجفّ وضوؤه کتبت له ثلاثون حسنة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وجه النظر فیه فلأن مجرّد أقلیّة الثواب لا یدلّ علی الکراهة المصطلحة ، إلا علی القول بأن ترک المستحبّ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ما دلّ منها علی تجفیف الوضوء بالمندیل وارد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دلّ</w:t>
      </w:r>
      <w:r>
        <w:rPr>
          <w:rStyle w:val="FootnoteAnchor"/>
          <w:rtl w:val="true"/>
        </w:rPr>
        <w:footnoteReference w:id="252"/>
      </w:r>
      <w:r>
        <w:rPr>
          <w:rFonts w:ascii="IRNazanin" w:hAnsi="IRNazanin" w:eastAsia="IRNazanin"/>
          <w:color w:val="111111"/>
          <w:sz w:val="28"/>
          <w:sz w:val="28"/>
          <w:szCs w:val="28"/>
          <w:rtl w:val="true"/>
          <w:lang w:bidi="fa-IR"/>
        </w:rPr>
        <w:t xml:space="preserve">منها علی تجفیفه بالثوب والقمیص فمحمول علی الردّ والتعرّض علی أبی حنیفة </w:t>
      </w:r>
      <w:r>
        <w:rPr>
          <w:rStyle w:val="FootnoteAnchor"/>
          <w:rtl w:val="true"/>
        </w:rPr>
        <w:footnoteReference w:id="253"/>
      </w:r>
      <w:r>
        <w:rPr>
          <w:rFonts w:ascii="IRNazanin" w:hAnsi="IRNazanin" w:eastAsia="IRNazanin"/>
          <w:color w:val="111111"/>
          <w:sz w:val="28"/>
          <w:sz w:val="28"/>
          <w:szCs w:val="28"/>
          <w:rtl w:val="true"/>
          <w:lang w:bidi="fa-IR"/>
        </w:rPr>
        <w:t>الحاکم بنجاسة ماء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فصّل هنا بتفصیلین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 تفصیل ثالث عن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فی منظومته</w:t>
      </w:r>
      <w:r>
        <w:rPr>
          <w:rStyle w:val="FootnoteAnchor"/>
          <w:rtl w:val="true"/>
        </w:rPr>
        <w:footnoteReference w:id="254"/>
      </w:r>
      <w:r>
        <w:rPr>
          <w:rFonts w:ascii="IRNazanin" w:hAnsi="IRNazanin" w:eastAsia="IRNazanin"/>
          <w:color w:val="111111"/>
          <w:sz w:val="28"/>
          <w:sz w:val="28"/>
          <w:szCs w:val="28"/>
          <w:rtl w:val="true"/>
          <w:lang w:bidi="fa-IR"/>
        </w:rPr>
        <w:t>۔ بین ما لم یعلم تاریخ أحدهما فیتطهّر ، وبین ما إذا علم تاریخ أحدهما فیحکم بتأخّر المجهول ، طهارةً کان أو حدثا ، استناداً إلی استصحاب تأخّر الحادث المجهول التاریخ عن المعلوم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التأخر إنما قضت بالتأخّر علی الإطلاق، لا بالتأخر عن الآخر ومسبوقیّته به وتقدّمه علیه ، إذ وصف السبق والتقدّم أیضاً حادث فی المعلوم،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تأخر المجهول یعارض حینئذ بأصالة عدم تقدّم المعلوم، و تبقی أصالة عدم الاستباحة وبقاء الشغل سلیمة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قیل فی الأصول المثبتة من وجود مانع آخر وراء المعارضة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لذلک أطلق المشهور الحکم فی هذه المسألة، وفی مسألة الجمعتین ، </w:t>
      </w:r>
    </w:p>
    <w:p>
      <w:pPr>
        <w:pStyle w:val="BookText"/>
        <w:rPr/>
      </w:pPr>
      <w:r>
        <w:rPr>
          <w:rFonts w:ascii="IRNazanin" w:hAnsi="IRNazanin" w:eastAsia="IRNazanin"/>
          <w:color w:val="111111"/>
          <w:sz w:val="28"/>
          <w:sz w:val="28"/>
          <w:szCs w:val="28"/>
          <w:rtl w:val="true"/>
          <w:lang w:bidi="fa-IR"/>
        </w:rPr>
        <w:t>ومسألة من اشتبه موته بین التقدّم والتأخّر، وفی مسألة عقد الوکیلین والمشتبهین فی سبق الکمال علی العقد وتأخّرة، ولم یفصّلوا فی شیء منها بین علم التاریخ فی أحدهما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والتفصیل فی الأصول المثبتة بین جلیّ الواسطة فلا یعتبر وخفیها فیعتبر ، کما فی البرهان</w:t>
      </w:r>
      <w:r>
        <w:rPr>
          <w:rStyle w:val="FootnoteAnchor"/>
          <w:rtl w:val="true"/>
        </w:rPr>
        <w:footnoteReference w:id="255"/>
      </w:r>
      <w:r>
        <w:rPr>
          <w:rFonts w:ascii="IRNazanin" w:hAnsi="IRNazanin" w:eastAsia="IRNazanin"/>
          <w:color w:val="111111"/>
          <w:sz w:val="28"/>
          <w:sz w:val="28"/>
          <w:szCs w:val="28"/>
          <w:rtl w:val="true"/>
          <w:lang w:bidi="fa-IR"/>
        </w:rPr>
        <w:t>تبعاً للفرائد</w:t>
      </w:r>
      <w:r>
        <w:rPr>
          <w:rStyle w:val="FootnoteAnchor"/>
          <w:rtl w:val="true"/>
        </w:rPr>
        <w:footnoteReference w:id="256"/>
      </w:r>
      <w:r>
        <w:rPr>
          <w:rFonts w:ascii="IRNazanin" w:hAnsi="IRNazanin" w:eastAsia="IRNazanin"/>
          <w:color w:val="111111"/>
          <w:sz w:val="28"/>
          <w:sz w:val="28"/>
          <w:szCs w:val="28"/>
          <w:rtl w:val="true"/>
          <w:lang w:bidi="fa-IR"/>
        </w:rPr>
        <w:t>، لنا فیه کلام محرّر فی تعلیقتنا علی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لاعتبارات هینة ووجوه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الأخذ بضدّ ما علمه من الحالة السابقة علی تصادم الاحتمالین فلتیقّن الانتقال عنها إلی ضدّها، والشکّ فی تجدّد الانتقاض بعده ، الجواز تعاقب الطهارتین فیما کان الحال السابق الطهارة، وتعاقب الأحداث فیما کان السابق حدثاً ، فصار متیقّن الانتقال إلی ضدّ الحال السابق شاکّاً فی ارتفاعه ، من جهة احتمال تعاقب الرافع المتیقّن لمثله فلا یؤثّر، فیبنی علی یقین الانتقال إلی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ضعفه فبأن متیقّن الارتفاع هو الحال السابق علی تصادم الاحتمالین دون اللاحق، لأن احتمال تعاقبه لمثله حتی لا یؤثّر مکافؤ باحتمال تعاقبه بضدّه فیؤثّر ، ولا مرجّح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الحال اللاحق طهارة رافعة، وقلنا بأن المجدّد لا یرفع، أو قطع بعدمه ، توجّه الحکم بالطهارة فیما کان الحال السابق الطهارة ، کما لو فرض عدم تعاقب الحدثین بحسب عادته أو فی هذه الصورة توجّه الحکم بالحدث فیما کان الحال السابق الحدث، إلا أن هذا الفرض خارج عن موضع </w:t>
      </w:r>
    </w:p>
    <w:p>
      <w:pPr>
        <w:pStyle w:val="BookText"/>
        <w:rPr/>
      </w:pPr>
      <w:r>
        <w:rPr>
          <w:rFonts w:ascii="IRNazanin" w:hAnsi="IRNazanin" w:eastAsia="IRNazanin"/>
          <w:color w:val="111111"/>
          <w:sz w:val="28"/>
          <w:sz w:val="28"/>
          <w:szCs w:val="28"/>
          <w:rtl w:val="true"/>
          <w:lang w:bidi="fa-IR"/>
        </w:rPr>
        <w:t xml:space="preserve">النزاع، بل وعن حقیقة الشکّ فی شیء إلا بحسب ابتدائه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الأخذ بمثل ما علمه من الحال السابق علی تصادم الاحتمالین فیعلم وجهه وضعفه ممّا تقدّم</w:t>
      </w:r>
    </w:p>
    <w:p>
      <w:pPr>
        <w:pStyle w:val="BookText"/>
        <w:rPr/>
      </w:pPr>
      <w:r>
        <w:rPr>
          <w:rFonts w:ascii="IRNazanin" w:hAnsi="IRNazanin" w:eastAsia="IRNazanin"/>
          <w:color w:val="111111"/>
          <w:sz w:val="28"/>
          <w:sz w:val="28"/>
          <w:szCs w:val="28"/>
          <w:rtl w:val="true"/>
          <w:lang w:bidi="fa-IR"/>
        </w:rPr>
        <w:t xml:space="preserve">و تفصیله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وجهه فبمثل ما تقدّم من أنه متیقّن الانتقال عن الحال السابق علی الاحتمالین إلی مثله من الحدث أو الطهارة ، و مشکوک الانتقال من المثل إلی الضد، لجواز التعاقب بین الأضداد دون الأمثال ، فیستصحب حکم المثل المتیقن دون الضدّ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ضعفه فمثل ما تقدّم أیضاً من أن متیقّن الانتقال إلیه هو کلّ من المثل والضدّ، ومشکوک التقدم والتأخّر هو کلّ منهما أیضاً، فاستصحاب حکم المثل لیس بأولی من استصحاب حکم الضدّ، لتکافؤ الاحتمالین، وعدم المرجحّ فی البین، لأن احتمال تعاقب الأضداد المقتضی لاستصحاب حکم المثل مکافؤ باحتمال تعاقب الأمثال المقتضی لاستصحاب حکم الضد، ولا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حمل علی الرخصة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الجمع بینه وبین نصوص</w:t>
      </w:r>
      <w:r>
        <w:rPr>
          <w:rStyle w:val="FootnoteAnchor"/>
          <w:rtl w:val="true"/>
        </w:rPr>
        <w:footnoteReference w:id="257"/>
      </w:r>
      <w:r>
        <w:rPr>
          <w:rFonts w:ascii="IRNazanin" w:hAnsi="IRNazanin" w:eastAsia="IRNazanin"/>
          <w:color w:val="111111"/>
          <w:sz w:val="28"/>
          <w:sz w:val="28"/>
          <w:szCs w:val="28"/>
          <w:rtl w:val="true"/>
          <w:lang w:bidi="fa-IR"/>
        </w:rPr>
        <w:t>استحباب 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وقوع النهی عن إعادة الوضوء فی الخبرین </w:t>
      </w:r>
      <w:r>
        <w:rPr>
          <w:rStyle w:val="FootnoteAnchor"/>
          <w:rtl w:val="true"/>
        </w:rPr>
        <w:footnoteReference w:id="258"/>
      </w:r>
      <w:r>
        <w:rPr>
          <w:rFonts w:ascii="IRNazanin" w:hAnsi="IRNazanin" w:eastAsia="IRNazanin"/>
          <w:color w:val="111111"/>
          <w:sz w:val="28"/>
          <w:sz w:val="28"/>
          <w:szCs w:val="28"/>
          <w:rtl w:val="true"/>
          <w:lang w:bidi="fa-IR"/>
        </w:rPr>
        <w:t>عقیب توهّم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الأظهریة ما تقرّر فی تعارض الأحوال من أولویّة التقیید من المجاز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الحبائل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عروق الظهر ، کما عن المنتهی</w:t>
      </w:r>
      <w:r>
        <w:rPr>
          <w:rStyle w:val="FootnoteAnchor"/>
          <w:rtl w:val="true"/>
        </w:rPr>
        <w:footnoteReference w:id="259"/>
      </w:r>
      <w:r>
        <w:rPr>
          <w:rFonts w:ascii="IRNazanin" w:hAnsi="IRNazanin" w:eastAsia="IRNazanin"/>
          <w:color w:val="111111"/>
          <w:sz w:val="28"/>
          <w:sz w:val="28"/>
          <w:szCs w:val="28"/>
          <w:rtl w:val="true"/>
          <w:lang w:bidi="fa-IR"/>
        </w:rPr>
        <w:t>والذکری</w:t>
      </w:r>
      <w:r>
        <w:rPr>
          <w:rStyle w:val="FootnoteAnchor"/>
          <w:rtl w:val="true"/>
        </w:rPr>
        <w:footnoteReference w:id="260"/>
      </w:r>
      <w:r>
        <w:rPr>
          <w:rFonts w:ascii="IRNazanin" w:hAnsi="IRNazanin" w:eastAsia="IRNazanin"/>
          <w:color w:val="111111"/>
          <w:sz w:val="28"/>
          <w:sz w:val="28"/>
          <w:szCs w:val="28"/>
          <w:rtl w:val="true"/>
          <w:lang w:bidi="fa-IR"/>
        </w:rPr>
        <w:t>ویحتمل</w:t>
      </w:r>
    </w:p>
    <w:p>
      <w:pPr>
        <w:pStyle w:val="BookText"/>
        <w:rPr/>
      </w:pPr>
      <w:r>
        <w:rPr>
          <w:rFonts w:ascii="IRNazanin" w:hAnsi="IRNazanin" w:eastAsia="IRNazanin"/>
          <w:color w:val="111111"/>
          <w:sz w:val="28"/>
          <w:sz w:val="28"/>
          <w:szCs w:val="28"/>
          <w:rtl w:val="true"/>
          <w:lang w:bidi="fa-IR"/>
        </w:rPr>
        <w:t xml:space="preserve">حبائل الشیطان،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وساوسه و مخادعه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إما إلی الفرق بین کون المشکوک فیه غیر العضو الأخیر، فیتحقّق الإکمال والانصراف عنه بمجرّد الجلوس وإن لم یطل زمانه ، وبین کونه العضو الأخیر، فلا یتحقّق إلا بطول الجلوس أو الدخول فی حالة أخری أو شیء آخر، لعدم تحقق الفراغ بالنسبة إلی العضو الأخیر إلا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إشارة إلی أن الفرق المذکور بین العضو الأخیر وغیره إنّما یتمّ علی القول باشتراط مجری قاعدة الفراغ بالدخول فی الغیر وعدم الاکتفاء بمجرّد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بالاکتفاء بمجرد الفراغ وعدم اشتراط الدخول فی الغیر فلا موجب للفرق المذکور بین العضو الأخیر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أنه أحوط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تدارک العضو الأخیر المشکوک قبل الانصراف أحوط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أحوطیّته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کونه فی الجملة لا بالجملة فلاختصاص أحوطیّة تدارکه بما لا یستلزم تدارکه تقویت وقت الأداء، أو واجب آخر، أو تبدیل الوضوء بالتیمّم، أو نحو ذلک مما یعارض فیه أحوطیّة التدارک بأحوطیّة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معاضد للصحیح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وجهه الإشارة إلی انحصار المعاضد علی تقدیر التسلیم فی </w:t>
      </w:r>
    </w:p>
    <w:p>
      <w:pPr>
        <w:pStyle w:val="BookText"/>
        <w:rPr/>
      </w:pPr>
      <w:r>
        <w:rPr>
          <w:rFonts w:ascii="IRNazanin" w:hAnsi="IRNazanin" w:eastAsia="IRNazanin"/>
          <w:color w:val="111111"/>
          <w:sz w:val="28"/>
          <w:sz w:val="28"/>
          <w:szCs w:val="28"/>
          <w:rtl w:val="true"/>
          <w:lang w:bidi="fa-IR"/>
        </w:rPr>
        <w:t xml:space="preserve">منطوق صدر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مفهوم ذیله المفید للحصر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فمنافی للصحیح المتقدّم لا معاضد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مجرّد السیاق إنما یقیّد المطلق من المعتبرة، کصحیحة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ودخلت فی غیره فشکّک لیس بشیء</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وأما عموماتها کعموم موتّقة ابن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مضی فأمضه کما هو</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وعموم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فلا یخصصها مجرّد السیاق ، بل لابدّ فی تخصیصها من مخصّص معتبر ، کالاجماع والصحیح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إجماع علی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دفع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اختصاص الخطاب بالمشافه غیر المعلوم کونه کثیر الشکّ مع عدم الإجماع علی التعمیم إنّما یمنع من التمسّک بمجرد الاطلاق علی اشتراک الغائب ، ولا یمنع من التمسّک بإطلاقه علی شمول حالتی المشافة القلیل الشکّ وکثیره، ثمّ بضمیمة أدلّة الاشتراک یتمسّک بإطلاقه علی شمول حالتی الغائب کذلک،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الشکّ منه وکثیره ، کما هو الحال فی التمسک بإطلاق سائر المطلقات الخاصة بالمشافهین عندنا معاشر المشهور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التأمّل فی شمول إطلاق الشة لکثیره لیس لمجرد اختصاص الخطاب بالمشافه ، ولا مجرّد الشکّ فی کونه کثیر الشک، ولا مجرّد عدم الإجماع علی التعمیم،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کلّه لا یمنع من شمول إطلاق </w:t>
      </w:r>
    </w:p>
    <w:p>
      <w:pPr>
        <w:pStyle w:val="BookText"/>
        <w:rPr/>
      </w:pPr>
      <w:r>
        <w:rPr>
          <w:rFonts w:ascii="IRNazanin" w:hAnsi="IRNazanin" w:eastAsia="IRNazanin"/>
          <w:color w:val="111111"/>
          <w:sz w:val="28"/>
          <w:sz w:val="28"/>
          <w:szCs w:val="28"/>
          <w:rtl w:val="true"/>
          <w:lang w:bidi="fa-IR"/>
        </w:rPr>
        <w:t>الشکّ لکثیر الشکّ، کما لا یمنع ذلک کلّه من شمول سائر المطلقات لأفرادها المشکوکة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المانع من شمول مطلق الشکّ لکثیر الشکّ هو الشکّ فی فردیته له بالشکّ المستمّر الموجب لانصراف مطلق الشکّ عنه، لکونه نادر الأفراد، أو مجازینّه فیه ، لکونه أندر الأفراد، المعبر عنهما فی الضوابط </w:t>
      </w:r>
      <w:r>
        <w:rPr>
          <w:rStyle w:val="FootnoteAnchor"/>
          <w:rtl w:val="true"/>
        </w:rPr>
        <w:footnoteReference w:id="266"/>
      </w:r>
      <w:r>
        <w:rPr>
          <w:rFonts w:ascii="IRNazanin" w:hAnsi="IRNazanin" w:eastAsia="IRNazanin"/>
          <w:color w:val="111111"/>
          <w:sz w:val="28"/>
          <w:sz w:val="28"/>
          <w:szCs w:val="28"/>
          <w:rtl w:val="true"/>
          <w:lang w:bidi="fa-IR"/>
        </w:rPr>
        <w:t>بالمضر الإجمالی ومبیّن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مشکوک الفردیّة بالشکّ البدوی الناشیء عن أنس الذهن بغیره فکمشکوک الحکمیّة فی مرجعیّة الإطلاق بالنسبة إلیه ، وعدم مانعیّة الشکّ منه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فاضبط ذلک واغتنمه لرفع الخلط والاشتباه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البول کالبراز </w:t>
      </w:r>
      <w:r>
        <w:rPr>
          <w:rStyle w:val="FootnoteAnchor"/>
          <w:rtl w:val="true"/>
        </w:rPr>
        <w:footnoteReference w:id="267"/>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النسخة الأولی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البول کالبراز فی اقتضاء ترکه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الثانیة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کالبراز فی التطهیر بالاستجمار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بالأصحّیة ، والأصرحیّة، والأشهریّة، والأکثریّة، والأوفقیّة بإطلاقات الشرطیّة، واستصحاب الاشتغال ، وقاعدة الشغل، وإمکان حمل نفی الإعادة فیهما علی صورة ما إذا استنجی بالأحجار ، کما هو صریح ثانیهما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الاستنجاء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حمل الوضوء بضمّ الواو علی الوضوء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ماء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احتمل إلا أنه یأباه لفظ الإعادة، والعطف علی غسل </w:t>
      </w:r>
    </w:p>
    <w:p>
      <w:pPr>
        <w:pStyle w:val="BookText"/>
        <w:rPr/>
      </w:pPr>
      <w:r>
        <w:rPr>
          <w:rFonts w:ascii="IRNazanin" w:hAnsi="IRNazanin" w:eastAsia="IRNazanin"/>
          <w:color w:val="111111"/>
          <w:sz w:val="28"/>
          <w:sz w:val="28"/>
          <w:szCs w:val="28"/>
          <w:rtl w:val="true"/>
          <w:lang w:bidi="fa-IR"/>
        </w:rPr>
        <w:t xml:space="preserve">الذکر سیّما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تلک الأخبار </w:t>
      </w:r>
      <w:r>
        <w:rPr>
          <w:rStyle w:val="FootnoteAnchor"/>
          <w:rtl w:val="true"/>
        </w:rPr>
        <w:footnoteReference w:id="270"/>
      </w:r>
      <w:r>
        <w:rPr>
          <w:rFonts w:ascii="IRNazanin" w:hAnsi="IRNazanin" w:eastAsia="IRNazanin"/>
          <w:color w:val="111111"/>
          <w:sz w:val="28"/>
          <w:sz w:val="28"/>
          <w:szCs w:val="28"/>
          <w:rtl w:val="true"/>
          <w:lang w:bidi="fa-IR"/>
        </w:rPr>
        <w:t xml:space="preserve">، بل ویأباه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الموثّقة</w:t>
      </w:r>
      <w:r>
        <w:rPr>
          <w:rStyle w:val="FootnoteAnchor"/>
          <w:rtl w:val="true"/>
        </w:rPr>
        <w:footnoteReference w:id="271"/>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القرآن دون الکتاب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لقرآن کریم فی کتاب مکنون لایمسّه إلا المطهّرون </w:t>
      </w:r>
      <w:r>
        <w:rPr>
          <w:rStyle w:val="FootnoteAnchor"/>
          <w:rtl w:val="true"/>
        </w:rPr>
        <w:footnoteReference w:id="272"/>
      </w:r>
      <w:r>
        <w:rPr>
          <w:rFonts w:ascii="IRNazanin" w:hAnsi="IRNazanin" w:eastAsia="IRNazanin"/>
          <w:color w:val="111111"/>
          <w:sz w:val="28"/>
          <w:sz w:val="28"/>
          <w:szCs w:val="28"/>
          <w:rtl w:val="true"/>
          <w:lang w:bidi="fa-IR"/>
        </w:rPr>
        <w:t xml:space="preserve">علی تقدیر رجوع الضمیر إلی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القرآن إلا المطهرون من الحدث والخبث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رجوعه إلی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مرضّی کثیر النفع ، لاشتماله علی أصول العلوم المهمة فی المعاش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ومستور عن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المعصومون من الذنوب</w:t>
      </w:r>
      <w:r>
        <w:rPr>
          <w:rFonts w:eastAsia="IRNazanin" w:cs="IRNazanin"/>
          <w:color w:val="111111"/>
          <w:sz w:val="28"/>
          <w:szCs w:val="28"/>
          <w:rtl w:val="true"/>
          <w:lang w:bidi="fa-IR"/>
        </w:rPr>
        <w:t xml:space="preserve">. </w:t>
      </w:r>
      <w:bookmarkStart w:id="57" w:name="pg1905_24477"/>
    </w:p>
    <w:p>
      <w:pPr>
        <w:pStyle w:val="Heading3"/>
        <w:numPr>
          <w:ilvl w:val="2"/>
          <w:numId w:val="1"/>
        </w:numPr>
        <w:rPr/>
      </w:pPr>
      <w:bookmarkStart w:id="58" w:name="__RefHeading___Toc3268769_3650668749"/>
      <w:bookmarkStart w:id="59" w:name="_Toc22"/>
      <w:bookmarkEnd w:id="57"/>
      <w:bookmarkEnd w:id="58"/>
      <w:r>
        <w:rPr>
          <w:rtl w:val="true"/>
        </w:rPr>
        <w:t xml:space="preserve">الأول </w:t>
      </w:r>
      <w:r>
        <w:rPr>
          <w:rtl w:val="true"/>
        </w:rPr>
        <w:t xml:space="preserve">: </w:t>
      </w:r>
      <w:r>
        <w:rPr>
          <w:rtl w:val="true"/>
        </w:rPr>
        <w:t>غسل الجنابة</w:t>
      </w:r>
      <w:bookmarkEnd w:id="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الغسل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بالضمّ مصدر اغتسل من الاغتسال، کما أنه بالفتح مصدر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المصدر واسمه، أما من حیث اللفظ فمصدر کلّ فعل ما کان جاریاً علی قیاس وزن مصدر ذلک الفعل، واسمه ما کان جاریاً علی خلاف ما هو القیاس والغالب فی وزن مصدر ذلک الفعل ، کالغسل بالضمّ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الجاری علی قیاس وزن مصدره هو الاغتسال ، فهو مصدره، والجاری علی خلاف قیاس وزنه هو الغسل بالضمّ ، فهو اسم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المعنی، فالمصدر ما دلّ علی الحدث والفعل، واسمه ما دلّ علی الأثر الحاصل منه ، کالتوضّوء والوضوء بالضمّ، والغسل بالفتح والغسل بالضمّ، فی العربیّة ، وگفتن وگفتار، وخورد و خوردار ، ونحوهما فی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أنها فی الظاهر شاذّة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طرحها، أو حملها تبرّعاً علی ما هو الغالب من عدم خروج منیّ المرأة من باطن الفرج إلی خارجه حتی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 إذا کان الخارج منها من قبیل المذی والمدی والودی دون المنیّ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عدم وجوب تحدیثهنّ وتعلیمهنّ بخروج المنیّ منهنّ، وإخفاء ذلک علیهنّ، لمصلحة حفظ الحیاء والعقة علیهنّ، وصونهنّ عن ذهاب الحیاء والعفّة ، کما ورد النهی عن </w:t>
      </w:r>
    </w:p>
    <w:p>
      <w:pPr>
        <w:pStyle w:val="BookText"/>
        <w:rPr/>
      </w:pPr>
      <w:r>
        <w:rPr>
          <w:rFonts w:ascii="IRNazanin" w:hAnsi="IRNazanin" w:eastAsia="IRNazanin"/>
          <w:color w:val="111111"/>
          <w:sz w:val="28"/>
          <w:sz w:val="28"/>
          <w:szCs w:val="28"/>
          <w:rtl w:val="true"/>
          <w:lang w:bidi="fa-IR"/>
        </w:rPr>
        <w:t xml:space="preserve">تعلیمهنّ الکتابة </w:t>
      </w:r>
      <w:r>
        <w:rPr>
          <w:rStyle w:val="FootnoteAnchor"/>
          <w:rtl w:val="true"/>
        </w:rPr>
        <w:footnoteReference w:id="274"/>
      </w:r>
      <w:r>
        <w:rPr>
          <w:rFonts w:ascii="IRNazanin" w:hAnsi="IRNazanin" w:eastAsia="IRNazanin"/>
          <w:color w:val="111111"/>
          <w:sz w:val="28"/>
          <w:sz w:val="28"/>
          <w:szCs w:val="28"/>
          <w:rtl w:val="true"/>
          <w:lang w:bidi="fa-IR"/>
        </w:rPr>
        <w:t>وقراءة سورة یوسف علیه السلام</w:t>
      </w:r>
      <w:r>
        <w:rPr>
          <w:rStyle w:val="FootnoteAnchor"/>
          <w:rtl w:val="true"/>
        </w:rPr>
        <w:footnoteReference w:id="275"/>
      </w:r>
      <w:r>
        <w:rPr>
          <w:rFonts w:ascii="IRNazanin" w:hAnsi="IRNazanin" w:eastAsia="IRNazanin"/>
          <w:color w:val="111111"/>
          <w:sz w:val="28"/>
          <w:sz w:val="28"/>
          <w:szCs w:val="28"/>
          <w:rtl w:val="true"/>
          <w:lang w:bidi="fa-IR"/>
        </w:rPr>
        <w:t xml:space="preserve">وعن الخروج من البیوت </w:t>
      </w:r>
      <w:r>
        <w:rPr>
          <w:rStyle w:val="FootnoteAnchor"/>
          <w:rtl w:val="true"/>
        </w:rPr>
        <w:footnoteReference w:id="276"/>
      </w:r>
      <w:r>
        <w:rPr>
          <w:rFonts w:ascii="IRNazanin" w:hAnsi="IRNazanin" w:eastAsia="IRNazanin"/>
          <w:color w:val="111111"/>
          <w:sz w:val="28"/>
          <w:sz w:val="28"/>
          <w:szCs w:val="28"/>
          <w:rtl w:val="true"/>
          <w:lang w:bidi="fa-IR"/>
        </w:rPr>
        <w:t xml:space="preserve">، وعن التکلّم مع الرجال الأجانب بأزید من خمس کلمات </w:t>
      </w:r>
      <w:r>
        <w:rPr>
          <w:rStyle w:val="FootnoteAnchor"/>
          <w:rtl w:val="true"/>
        </w:rPr>
        <w:footnoteReference w:id="277"/>
      </w:r>
      <w:r>
        <w:rPr>
          <w:rFonts w:ascii="IRNazanin" w:hAnsi="IRNazanin" w:eastAsia="IRNazanin"/>
          <w:color w:val="111111"/>
          <w:sz w:val="28"/>
          <w:sz w:val="28"/>
          <w:szCs w:val="28"/>
          <w:rtl w:val="true"/>
          <w:lang w:bidi="fa-IR"/>
        </w:rPr>
        <w:t>فی الضرورة المحوجة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صورة اشتباه الخارج منها بالمنیّ ، دون صورة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ولاحتمال النصوص المذکورة لتلک المحامل المسطورة قیّد السیّد الشارح شذوذها بالظاهر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بعدما احتملت المحامل المذکورة عثرت علی تصریح الوسائل وغیره بجمیعها، بل نقل غیر واحد من النصوص شاهداً علی بعض تلک المحامل ،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غسل ولکن لا تحدّثوهنّ بهذا فیتّخذنه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للزوج، وطریقاً لتسهیل الغسل من الزنا ونحوه، أو یقعن فی الفکر والوسواس فیرین ذلک فی النوم کثیراً ، ویکون داعیاً إلی النساء، أو تقع الریبة والتهمة لهنّ من الرجال</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الأصل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البراءة واستصحاب الطهارة فی الشقّ الثانی وهو فاقد 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فالتأمل إشارة إلی ما هو علیه من معارضة استصحاب الطهارة فی فاقد الأوصاف باستصحاب الاشتغال منه فی مشروط الطهارة، أو إلی ما علیه غیره من تقدیم الاستصحاب فی الشک السببی علی الاستصحاب فی المسببّی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أن یکون توصیف الماء بالدافق باعتبار بعضه، فیکون إطلاق توصیفه به مقیّداً بماء الرجل لا المرأة ولو بقرینة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w:t>
      </w:r>
    </w:p>
    <w:p>
      <w:pPr>
        <w:pStyle w:val="BookText"/>
        <w:rPr/>
      </w:pPr>
      <w:r>
        <w:rPr>
          <w:rFonts w:ascii="IRNazanin" w:hAnsi="IRNazanin" w:eastAsia="IRNazanin"/>
          <w:color w:val="111111"/>
          <w:sz w:val="28"/>
          <w:sz w:val="28"/>
          <w:szCs w:val="28"/>
          <w:rtl w:val="true"/>
          <w:lang w:bidi="fa-IR"/>
        </w:rPr>
        <w:t>معنی الدفق مطلق النازل والخارج شمل ماء الرجل والمرأة، ولکن الاعتبار الخارج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بالصحیح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قال لا إذا التقی الختانان فقد وجب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ولکن لا یخفی أن ظاهر الصحیح المذکور هو تقیید مطلق الدخول فی صحیح الذکر بنفس الحشفة لا بقدرها حتی یشمل مقطوعه أیضاً، إذ لا یصدق الحشفة فی صحیح الذکر علی قدرها من مقطوعه إلا بضمیمة فهم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احتمل فی مقطوعه وراء القولین المذکورین فی الشرح احتمالان آخران،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تمام الباقی فی الغسل،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تحقّق الجنابة بالجماع فی حقّه کما عن التذکرة</w:t>
      </w:r>
      <w:r>
        <w:rPr>
          <w:rStyle w:val="FootnoteAnchor"/>
          <w:rtl w:val="true"/>
        </w:rPr>
        <w:footnoteReference w:id="280"/>
      </w:r>
      <w:r>
        <w:rPr>
          <w:rFonts w:ascii="IRNazanin" w:hAnsi="IRNazanin" w:eastAsia="IRNazanin"/>
          <w:color w:val="111111"/>
          <w:sz w:val="28"/>
          <w:sz w:val="28"/>
          <w:szCs w:val="28"/>
          <w:rtl w:val="true"/>
          <w:lang w:bidi="fa-IR"/>
        </w:rPr>
        <w:t xml:space="preserve">لمفهوم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بانتفاء الموضوع، وعدم صدق المطلق ، لتوقّفه علی دخول الجمیع المتعذّر فی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إلی قوّة احتمال انصراف الفرج إلی خصوص القبل عرفاً، وإن اشتمل الدبر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کون الانصراف بدویاً لا یضرّ بالإطلاق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التأمّل الإشارة إلی ظهور ما دون الفرج من الصحیح </w:t>
      </w:r>
      <w:r>
        <w:rPr>
          <w:rStyle w:val="FootnoteAnchor"/>
          <w:rtl w:val="true"/>
        </w:rPr>
        <w:footnoteReference w:id="281"/>
      </w:r>
      <w:r>
        <w:rPr>
          <w:rFonts w:ascii="IRNazanin" w:hAnsi="IRNazanin" w:eastAsia="IRNazanin"/>
          <w:color w:val="111111"/>
          <w:sz w:val="28"/>
          <w:sz w:val="28"/>
          <w:szCs w:val="28"/>
          <w:rtl w:val="true"/>
          <w:lang w:bidi="fa-IR"/>
        </w:rPr>
        <w:t>فی التفخیذ لا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إطلاقه علی الدبر فهو مقیّد بما دون الدخول فی الدبر کالدخول فی الألیة، أو إدخال ما دون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الأقرب من جمیع ذلک هو حمل هذه الروایات علی التقیّة ، لما هو المعلوم من أن إتیان الأدبار من دأب الأشرار لا الأخیار، فیقتضی أن یکون الحکم فیه أغلظ وأشدّ لا أخفّ ، کما یؤمی </w:t>
      </w:r>
    </w:p>
    <w:p>
      <w:pPr>
        <w:pStyle w:val="BookText"/>
        <w:rPr/>
      </w:pPr>
      <w:r>
        <w:rPr>
          <w:rFonts w:ascii="IRNazanin" w:hAnsi="IRNazanin" w:eastAsia="IRNazanin"/>
          <w:color w:val="111111"/>
          <w:sz w:val="28"/>
          <w:sz w:val="28"/>
          <w:szCs w:val="28"/>
          <w:rtl w:val="true"/>
          <w:lang w:bidi="fa-IR"/>
        </w:rPr>
        <w:t>إلیه الصحیح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أتوجبون علیه الجلد والرجم، ولا توجبون علیه صاعاً من الماء؟</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نفسها کما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الخلاف ناشیء عن الخلاف فی کون النیّة عبارة عن الإخطار أو مجرّد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النیّة فی الأول عبارة عن الإخطار اعتبر فی الأثناء استدامة حکمها، لعدم التمکّن من استدامة نفسها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عبارة عن الداعی فی أول العمل اعتبر فی الأثناء استدامة نفسها، للتمکّن من استدامة نفسها علی تقدیر کونها الداعی ، بخلاف تقدیر کونها الإخطار ، فإنّه لا یتمکّن إلا من استدامة حکمها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الشیء الأکد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اللحد الذی یلزم الشیء ویلصق به،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صفة مشبهة من لکد کفرح،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لکد علیه الوسخ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لزمه ، وتلد الشیء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بعضه بعضاً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والرائین المهملتین بینهما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 الرجل حوضه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فیصیب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المجمع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فی نسخ الریاض والوسائل </w:t>
      </w:r>
      <w:r>
        <w:rPr>
          <w:rStyle w:val="FootnoteAnchor"/>
          <w:rtl w:val="true"/>
        </w:rPr>
        <w:footnoteReference w:id="285"/>
      </w:r>
      <w:r>
        <w:rPr>
          <w:rFonts w:ascii="IRNazanin" w:hAnsi="IRNazanin" w:eastAsia="IRNazanin"/>
          <w:color w:val="111111"/>
          <w:sz w:val="28"/>
          <w:sz w:val="28"/>
          <w:szCs w:val="28"/>
          <w:rtl w:val="true"/>
          <w:lang w:bidi="fa-IR"/>
        </w:rPr>
        <w:t xml:space="preserve">المطبوعة من تبدیل الراء الأخیرة المهملة بالزاء المعجمة فلم نقف له علی معنی یناسب المقام، کتبدیله فی روایة </w:t>
      </w:r>
      <w:r>
        <w:rPr>
          <w:rStyle w:val="FootnoteAnchor"/>
          <w:rtl w:val="true"/>
        </w:rPr>
        <w:footnoteReference w:id="286"/>
      </w:r>
      <w:r>
        <w:rPr>
          <w:rFonts w:ascii="IRNazanin" w:hAnsi="IRNazanin" w:eastAsia="IRNazanin"/>
          <w:color w:val="111111"/>
          <w:sz w:val="28"/>
          <w:sz w:val="28"/>
          <w:szCs w:val="28"/>
          <w:rtl w:val="true"/>
          <w:lang w:bidi="fa-IR"/>
        </w:rPr>
        <w:t xml:space="preserve">الشیخ الطوسی بالظاء المعجمة المؤلّفة و الراء المهملة والباء، حیث لم </w:t>
      </w:r>
    </w:p>
    <w:p>
      <w:pPr>
        <w:pStyle w:val="BookText"/>
        <w:rPr/>
      </w:pPr>
      <w:r>
        <w:rPr>
          <w:rFonts w:ascii="IRNazanin" w:hAnsi="IRNazanin" w:eastAsia="IRNazanin"/>
          <w:color w:val="111111"/>
          <w:sz w:val="28"/>
          <w:sz w:val="28"/>
          <w:szCs w:val="28"/>
          <w:rtl w:val="true"/>
          <w:lang w:bidi="fa-IR"/>
        </w:rPr>
        <w:t>نقف له أیضاً علی معنی یناسب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وبالمعتبرة </w:t>
      </w:r>
      <w:r>
        <w:rPr>
          <w:rStyle w:val="FootnoteAnchor"/>
          <w:rtl w:val="true"/>
        </w:rPr>
        <w:footnoteReference w:id="287"/>
      </w:r>
      <w:r>
        <w:rPr>
          <w:rFonts w:ascii="IRNazanin" w:hAnsi="IRNazanin" w:eastAsia="IRNazanin"/>
          <w:color w:val="111111"/>
          <w:sz w:val="28"/>
          <w:sz w:val="28"/>
          <w:szCs w:val="28"/>
          <w:rtl w:val="true"/>
          <w:lang w:bidi="fa-IR"/>
        </w:rPr>
        <w:t>هنا یقیّد إطلاق الصحاح</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تحمل علی التقیّة ، أو علی الغسل الارتماسی بناءً علی صحّته فی مثل ذلک ، کما هو قول مَن سیأتی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الحکایة المعروفة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روی فی الصحیح عن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عبدالله فیما بین مکّة والمدینة ومعه أم إسماعیل، فأصاب من جاریة له فأمرها فغسلت جسدها وترکت رأسها،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ترکبی فاغسلی رأسک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معارضة ما رواه هذا الراوی أیضاً فی الصحیح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اغسلی رأسک وامسحیه مسحاً شدیداً لا تعلم به مولاتک، فإذا أردت الإحرام فاغسلی جسدک ولا تغسلی رأسک فتستریب مولاتک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90"/>
      </w:r>
      <w:r>
        <w:rPr>
          <w:rFonts w:ascii="IRNazanin" w:hAnsi="IRNazanin" w:eastAsia="IRNazanin"/>
          <w:color w:val="111111"/>
          <w:sz w:val="28"/>
          <w:sz w:val="28"/>
          <w:szCs w:val="28"/>
          <w:rtl w:val="true"/>
          <w:lang w:bidi="fa-IR"/>
        </w:rPr>
        <w:t>وعن الشیخه</w:t>
      </w:r>
      <w:r>
        <w:rPr>
          <w:rStyle w:val="FootnoteAnchor"/>
          <w:rtl w:val="true"/>
        </w:rPr>
        <w:footnoteReference w:id="291"/>
      </w:r>
      <w:r>
        <w:rPr>
          <w:rFonts w:ascii="IRNazanin" w:hAnsi="IRNazanin" w:eastAsia="IRNazanin"/>
          <w:color w:val="111111"/>
          <w:sz w:val="28"/>
          <w:sz w:val="28"/>
          <w:szCs w:val="28"/>
          <w:rtl w:val="true"/>
          <w:lang w:bidi="fa-IR"/>
        </w:rPr>
        <w:t>حمل الأولی علی اشتباه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الحرّ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حمل الأولی علی التقیّة لو سلمت من الوهم المذکور، أو علی أن الماء المنفصل عن الرأس کافی فی غسل البدن ، فأمرها أن لا تصبّ علی بدنها خوفاً من مولاتها علیها ، و تکتفی بإمرار الید علی الجسد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ویکون الغسل الأول للبدن للتنظیف وإزالة النجاسة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تدخل الرقبة فیه هنا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 الغسل، دون رأس المحرم فإنه کره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الرأس وهو منبت الشعر خاصّة، ولا رأس الصائم فإنّه مع الأذنین خاصّة، ولا رأس الجنایة فی الشجاج فإنه مع الوجه أیضاً ، بخلاف رأس الغسل فهو مع الرقبة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ویشهد له الحسن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شهادته أقربیّة إطلاق الرأس فیه علی ما یشمل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المنکب علیه ، فلو لم تدخل الرقبة فی الرأس لدخلت فی أحد المنکبین، وهو مجاز بعید مع وجود الأقرب منه عرفاً، وهو دخولها فی الرأس، أو أهمل ذکرها مع ورود الحسن فی مقام بیان تمام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الأعضاء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للإهمال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لخروج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النطفة مجازاً علی الروح الحیوانی ، وهو البخار المحسوس المعبر عنه بالحرارة الغریزیّة المخلوقة من النطفة والمخلوق منها النطفة ، من باب إطلاق السبب علی المسبب ، أو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والترتیب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القائل به فهو الشیخ فی الاستبصار </w:t>
      </w:r>
      <w:r>
        <w:rPr>
          <w:rStyle w:val="FootnoteAnchor"/>
          <w:rtl w:val="true"/>
        </w:rPr>
        <w:footnoteReference w:id="295"/>
      </w:r>
      <w:r>
        <w:rPr>
          <w:rFonts w:ascii="IRNazanin" w:hAnsi="IRNazanin" w:eastAsia="IRNazanin"/>
          <w:color w:val="111111"/>
          <w:sz w:val="28"/>
          <w:sz w:val="28"/>
          <w:szCs w:val="28"/>
          <w:rtl w:val="true"/>
          <w:lang w:bidi="fa-IR"/>
        </w:rPr>
        <w:t>وأما تفاسیره فالذی فهم منه المختلف</w:t>
      </w:r>
      <w:r>
        <w:rPr>
          <w:rStyle w:val="FootnoteAnchor"/>
          <w:rtl w:val="true"/>
        </w:rPr>
        <w:footnoteReference w:id="296"/>
      </w:r>
      <w:r>
        <w:rPr>
          <w:rFonts w:ascii="IRNazanin" w:hAnsi="IRNazanin" w:eastAsia="IRNazanin"/>
          <w:color w:val="111111"/>
          <w:sz w:val="28"/>
          <w:sz w:val="28"/>
          <w:szCs w:val="28"/>
          <w:rtl w:val="true"/>
          <w:lang w:bidi="fa-IR"/>
        </w:rPr>
        <w:t>هو اعتقاد الترتیب فی ارتماسه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فهم منه غیره هو قصد الترتیب فی ارتماسه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الذکری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فی حکم الغسل المرتب بغیر الارتماس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یعطی حصول الترتیب القهری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حصوله قهراً فی ارتماسه، فیقدر له</w:t>
      </w:r>
    </w:p>
    <w:p>
      <w:pPr>
        <w:pStyle w:val="BookText"/>
        <w:rPr/>
      </w:pPr>
      <w:r>
        <w:rPr>
          <w:rFonts w:ascii="IRNazanin" w:hAnsi="IRNazanin" w:eastAsia="IRNazanin"/>
          <w:color w:val="111111"/>
          <w:sz w:val="28"/>
          <w:sz w:val="28"/>
          <w:szCs w:val="28"/>
          <w:rtl w:val="true"/>
          <w:lang w:bidi="fa-IR"/>
        </w:rPr>
        <w:t>قهراً فی نظر الشارع بطهارة رأسه أولاً ثم الأیمن ثم الأیسر ، کما یقدّر الملک فی العتق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دلیله علی الترتیب الحکمی فهو الجمع بین نصوص الاکتفاء بالارتماس ونصوص اعتبار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جوابه فعدم دلالة نصوص الترتیب علی حصر الطریق والکیفیّة فیه ، فالجمع بالحمل علی تعدّد الطریق واختلافه أظهر من الجمع</w:t>
      </w:r>
      <w:r>
        <w:rPr>
          <w:rStyle w:val="FootnoteAnchor"/>
          <w:rtl w:val="true"/>
        </w:rPr>
        <w:footnoteReference w:id="298"/>
      </w:r>
      <w:r>
        <w:rPr>
          <w:rFonts w:ascii="IRNazanin" w:hAnsi="IRNazanin" w:eastAsia="IRNazanin"/>
          <w:color w:val="111111"/>
          <w:sz w:val="28"/>
          <w:sz w:val="28"/>
          <w:szCs w:val="28"/>
          <w:rtl w:val="true"/>
          <w:lang w:bidi="fa-IR"/>
        </w:rPr>
        <w:t>علی اتحاده ، خصوصا بعد فهم الأصحاب طراً ما عدا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ثمرة فیه فی التحقیق وإن أثبتها 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محل إثباتها ففی اللمعة المغفلة، حیث قیل إنه علی تقدّیر الترتیب الحکمی یأتی بها وبما بعدها، کما یأتی کذلک علی تقدّیر الترتیب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العدم یعید الغسل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نفی هذه الثمرة فی التحقّیق فلما سیأتی من تحقیق عدم صدق الارتماسة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بها شمول الماء لجمیع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المشترط فی سقوط الترتیب الفعلی وصحة الغسل نصّاً وإجماعاً، إلا علی صورة ما إذا أعاد الغسل من رأس فی اللمعة المغفلة ، دون ما إذا أتی بها وبما بعدها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فالثمرة المذکورة بین اعتبار الترتیب الحکمی فی الارتماس وعدمه إنما تثبت مع الإغماض عن التحقیق المذکور، وهو صدق الارتماسة الواحدة فی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فی مثل الدفعة والوحدة من الألفاظ هو الحمل علی العرف والعادة ، لا علی العهد لعدم سبقه، ولا علی الحقیقة الحکمیّة حتی ینافیها التخلیل بینها، لخروجه عن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فی لفظ الار تماس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التی هی افتعال بمعنی قبول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دفعیّ الحصول، ضرورة أن الانفعال</w:t>
      </w:r>
      <w:r>
        <w:rPr>
          <w:rStyle w:val="FootnoteAnchor"/>
          <w:rtl w:val="true"/>
        </w:rPr>
        <w:footnoteReference w:id="299"/>
      </w:r>
      <w:r>
        <w:rPr>
          <w:rFonts w:ascii="IRNazanin" w:hAnsi="IRNazanin" w:eastAsia="IRNazanin"/>
          <w:color w:val="111111"/>
          <w:sz w:val="28"/>
          <w:sz w:val="28"/>
          <w:szCs w:val="28"/>
          <w:rtl w:val="true"/>
          <w:lang w:bidi="fa-IR"/>
        </w:rPr>
        <w:t xml:space="preserve">یتبع الفعل، ومتی کان الفعل تدریجیّاً استلزم تدریجیّة الانفعال </w:t>
      </w:r>
      <w:r>
        <w:rPr>
          <w:rStyle w:val="FootnoteAnchor"/>
          <w:rtl w:val="true"/>
        </w:rPr>
        <w:footnoteReference w:id="300"/>
      </w:r>
      <w:r>
        <w:rPr>
          <w:rFonts w:ascii="IRNazanin" w:hAnsi="IRNazanin" w:eastAsia="IRNazanin"/>
          <w:color w:val="111111"/>
          <w:sz w:val="28"/>
          <w:sz w:val="28"/>
          <w:szCs w:val="28"/>
          <w:rtl w:val="true"/>
          <w:lang w:bidi="fa-IR"/>
        </w:rPr>
        <w:t>۔ فظهر أن غسل الارتماس تدریجیّ الحصول لا دفعی الحصول، لکن بمعنی حصوله فی أزمنة متعددة متقاربة جدا بحیث یعد عرفاً دفعاً واحدة ، لا فی أزمنة متطاولة بحیث ینافی الوحدة العرفیّة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سقوط حجّة القول بالسقوط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یتمّ علی تقدیر انحصار حجّة القول بالسقوط فی أصالة البراءة عن الترتیب وأصالة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تقدیر کون الحجة هو إطلاق نصوص </w:t>
      </w:r>
      <w:r>
        <w:rPr>
          <w:rStyle w:val="FootnoteAnchor"/>
          <w:rtl w:val="true"/>
        </w:rPr>
        <w:footnoteReference w:id="301"/>
      </w:r>
      <w:r>
        <w:rPr>
          <w:rFonts w:ascii="IRNazanin" w:hAnsi="IRNazanin" w:eastAsia="IRNazanin"/>
          <w:color w:val="111111"/>
          <w:sz w:val="28"/>
          <w:sz w:val="28"/>
          <w:szCs w:val="28"/>
          <w:rtl w:val="true"/>
          <w:lang w:bidi="fa-IR"/>
        </w:rPr>
        <w:t xml:space="preserve">الاکتفاء باستیعاب المطر البدن، وخلوّها مع کثرتها عن شائبة اعتبار الترتیب، فلم یظهر ممّا تقدم من الاحتیاط و نحوه عدم سقوطه، بل کان سقوطه أظهر ، فإنّ إطلاقات إجزاء الغسل تحت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کثرتها وورودها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 عن إطلاقات إجزاء الغسل بالار تماس فی نفی الترتیب وإسقاطه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إشارة إلی ما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المورد لا یخصّص عموم الوارد، أو إلی دفع ذلک، بأن ذلک إنما یختصّ بما إذا کان عموم الوارد بمنزلة التعلیل أو الکبری الکلّیة للمورد، لا بمنزلة التمثیل له، أو الجواب عنه، أو التفریع علیه ، فإن عمومه فی هذه الموارد یختصّ بالمورد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النصوص</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أعمّ من المدّعی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المدّعی عدم وجوب الغسل مع عدم البول بشرط الاستبراء، </w:t>
      </w:r>
    </w:p>
    <w:p>
      <w:pPr>
        <w:pStyle w:val="BookText"/>
        <w:rPr/>
      </w:pPr>
      <w:r>
        <w:rPr>
          <w:rFonts w:ascii="IRNazanin" w:hAnsi="IRNazanin" w:eastAsia="IRNazanin"/>
          <w:color w:val="111111"/>
          <w:sz w:val="28"/>
          <w:sz w:val="28"/>
          <w:szCs w:val="28"/>
          <w:rtl w:val="true"/>
          <w:lang w:bidi="fa-IR"/>
        </w:rPr>
        <w:t>وهو یدلّ علی عدم وجوبه مطلقا ولو لم یستبریء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بإسقاط مسحتین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مسحتین من الستّ، مسحة من کلّ ثلاث، والاکتفاء عن کلّ ثلاث بمسحتین ، لتصریحه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بالمرّتین، والاکتفاء بهما تحت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علی الثانی نصّ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وجه نصوصیتّه علی الثانی دون الأول أنه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عود الضمیر إلی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أن یرید من نتر الذکر نتره من مبدأ أصله الباطنی المتصّل بالمقعدة إلی</w:t>
      </w:r>
    </w:p>
    <w:p>
      <w:pPr>
        <w:pStyle w:val="BookText"/>
        <w:rPr/>
      </w:pPr>
      <w:r>
        <w:rPr>
          <w:rFonts w:ascii="IRNazanin" w:hAnsi="IRNazanin" w:eastAsia="IRNazanin"/>
          <w:color w:val="111111"/>
          <w:sz w:val="28"/>
          <w:sz w:val="28"/>
          <w:szCs w:val="28"/>
          <w:rtl w:val="true"/>
          <w:lang w:bidi="fa-IR"/>
        </w:rPr>
        <w:t xml:space="preserve">منتهی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رأس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یوافق اعتبار الستّ، وهو علی سبیل الاتصال دون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احتمال أن یرید من نتر الذکر نتره من أصله الظاهر لا الباطن فلا یدلّ علی المطلوب، وهو اعتبار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التقدیر الثانی، وهو عود الضمیر إلی البول، فإنه نصّ فی المطلوب، لأن نتر البول لغة وعرف هو استجذابه بقوة و استخراجه من محله المفروض کونه من مبدأ المقعدة إلی منتهی الحشفة، من دون احتمال غیره ، فیوافق بالنصوصیّة اعتبار الست ولو علی سبیل الاتّصال دون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التحقیق بین القول بالستّ مسحات و بین القول بالتسع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الثمرة المقصودة من القولین، وهو تنقیة المخرج من بقیّة البول، فإن مقصود المشهور من مسحه تسعاًهو مسح الحشفة ثلاثین منفصلاً عن مسح باقی الذکر ، وهو حاصل بالستّ المتضمن فیه مسح الذکر ثلاثاً متصلاً إلی منتهی الحشفة، بل وبالثلاث المتضمّن فیه مسح الذکر من مبدئه الباطنی المتصّل </w:t>
      </w:r>
    </w:p>
    <w:p>
      <w:pPr>
        <w:pStyle w:val="BookText"/>
        <w:rPr/>
      </w:pPr>
      <w:r>
        <w:rPr>
          <w:rFonts w:ascii="IRNazanin" w:hAnsi="IRNazanin" w:eastAsia="IRNazanin"/>
          <w:color w:val="111111"/>
          <w:sz w:val="28"/>
          <w:sz w:val="28"/>
          <w:szCs w:val="28"/>
          <w:rtl w:val="true"/>
          <w:lang w:bidi="fa-IR"/>
        </w:rPr>
        <w:t xml:space="preserve">بالمقعدة إلی آخر منتهی الحشفة متّصلاً؟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اختلاف الأخبار</w:t>
      </w:r>
      <w:r>
        <w:rPr>
          <w:rStyle w:val="FootnoteAnchor"/>
          <w:rtl w:val="true"/>
        </w:rPr>
        <w:footnoteReference w:id="303"/>
      </w:r>
      <w:r>
        <w:rPr>
          <w:rFonts w:ascii="IRNazanin" w:hAnsi="IRNazanin" w:eastAsia="IRNazanin"/>
          <w:color w:val="111111"/>
          <w:sz w:val="28"/>
          <w:sz w:val="28"/>
          <w:szCs w:val="28"/>
          <w:rtl w:val="true"/>
          <w:lang w:bidi="fa-IR"/>
        </w:rPr>
        <w:t xml:space="preserve">من حیث التنصیص بالثلاث مطلقاً فی بعضها، وبما زاد مطلقا فی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اتّحادهما من حیث الخاصّیة ، وعدم افتراقهما إلا من حیث الاتّصال والانفصال غیر الفارق بینهما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اعتبار التسعة فلم یصرح به نصّ، ولا علیه وجه، سوی الاحتیاط والجمع بین محتملات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رجوع ضمیر المفعول إلی البول أو إلی تمام الذکر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مبدؤه بالمقعدة إلی منتهی الحشفة ، لا إلی خصوص الظاهر منه دون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ولکنّها نفته بالکلّیة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نفی النصّ </w:t>
      </w:r>
      <w:r>
        <w:rPr>
          <w:rStyle w:val="FootnoteAnchor"/>
          <w:rtl w:val="true"/>
        </w:rPr>
        <w:footnoteReference w:id="305"/>
      </w:r>
      <w:r>
        <w:rPr>
          <w:rFonts w:ascii="IRNazanin" w:hAnsi="IRNazanin" w:eastAsia="IRNazanin"/>
          <w:color w:val="111111"/>
          <w:sz w:val="28"/>
          <w:sz w:val="28"/>
          <w:szCs w:val="28"/>
          <w:rtl w:val="true"/>
          <w:lang w:bidi="fa-IR"/>
        </w:rPr>
        <w:t xml:space="preserve">لوجوب الإمرار فی الجملة، والاجماعات النفیها بالجملة ، هو اختصاص النصّ بنفی الدلک خاصّة دون نفی مطلق الإمرار ، بخلاف الإجماعات المنقولة ، فإن معقدها نفی مطلق الإمرار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محمول علی الاستحباب أو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ترجیح الحمل علی الاستحباب من</w:t>
      </w:r>
      <w:r>
        <w:rPr>
          <w:rStyle w:val="FootnoteAnchor"/>
          <w:rtl w:val="true"/>
        </w:rPr>
        <w:footnoteReference w:id="306"/>
      </w:r>
      <w:r>
        <w:rPr>
          <w:rFonts w:ascii="IRNazanin" w:hAnsi="IRNazanin" w:eastAsia="IRNazanin"/>
          <w:color w:val="111111"/>
          <w:sz w:val="28"/>
          <w:sz w:val="28"/>
          <w:szCs w:val="28"/>
          <w:rtl w:val="true"/>
          <w:lang w:bidi="fa-IR"/>
        </w:rPr>
        <w:t xml:space="preserve">الحمل علی التقنیة ، لترجیح مخالفة الظاهر علی مخالفة الواقع فی نفسه أو بقرینة الغالب وسائر نصوص </w:t>
      </w:r>
      <w:r>
        <w:rPr>
          <w:rStyle w:val="FootnoteAnchor"/>
          <w:rtl w:val="true"/>
        </w:rPr>
        <w:footnoteReference w:id="307"/>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إشارة إلی إمکان إرادة المحملین من غیر أن یلزم محذور استعمال </w:t>
      </w:r>
    </w:p>
    <w:p>
      <w:pPr>
        <w:pStyle w:val="BookText"/>
        <w:rPr/>
      </w:pPr>
      <w:r>
        <w:rPr>
          <w:rFonts w:ascii="IRNazanin" w:hAnsi="IRNazanin" w:eastAsia="IRNazanin"/>
          <w:color w:val="111111"/>
          <w:sz w:val="28"/>
          <w:sz w:val="28"/>
          <w:szCs w:val="28"/>
          <w:rtl w:val="true"/>
          <w:lang w:bidi="fa-IR"/>
        </w:rPr>
        <w:t xml:space="preserve">لابدّیة الصاع فی المعنیین ، بواسطة توسّط إرادة الجامع الأعمّ منهما فی البین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لابدیّة الصاع الأعمّ من لابدیته فی الخروج عن عهدة تکلیف الوجوب أو الخروج عن وظیفة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قصور السند دلالة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سنده فهو ما نقله فی الوسائل عن الشیخ ، عن الحسین بن سعید ،</w:t>
      </w:r>
    </w:p>
    <w:p>
      <w:pPr>
        <w:pStyle w:val="BookText"/>
        <w:rPr/>
      </w:pPr>
      <w:r>
        <w:rPr>
          <w:rFonts w:ascii="IRNazanin" w:hAnsi="IRNazanin" w:eastAsia="IRNazanin"/>
          <w:color w:val="111111"/>
          <w:sz w:val="28"/>
          <w:sz w:val="28"/>
          <w:szCs w:val="28"/>
          <w:rtl w:val="true"/>
          <w:lang w:bidi="fa-IR"/>
        </w:rPr>
        <w:t>عن محمد بن القاسم، عن أبی الحسن علیه السلام</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وأما قصور سنده فلیس له وجه سوی قدح بعض </w:t>
      </w:r>
      <w:r>
        <w:rPr>
          <w:rStyle w:val="FootnoteAnchor"/>
          <w:rtl w:val="true"/>
        </w:rPr>
        <w:footnoteReference w:id="309"/>
      </w:r>
      <w:r>
        <w:rPr>
          <w:rFonts w:ascii="IRNazanin" w:hAnsi="IRNazanin" w:eastAsia="IRNazanin"/>
          <w:color w:val="111111"/>
          <w:sz w:val="28"/>
          <w:sz w:val="28"/>
          <w:szCs w:val="28"/>
          <w:rtl w:val="true"/>
          <w:lang w:bidi="fa-IR"/>
        </w:rPr>
        <w:t>فی محمد بن القاسم الأسترابادی المفسّر، بواسطة نقل التفسیر عن رجل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قادح بعد قرائن صدق التفسیر، مع معارضة قدحه بتوثیق آخرین</w:t>
      </w:r>
      <w:r>
        <w:rPr>
          <w:rStyle w:val="FootnoteAnchor"/>
          <w:rtl w:val="true"/>
        </w:rPr>
        <w:footnoteReference w:id="310"/>
      </w:r>
      <w:r>
        <w:rPr>
          <w:rFonts w:ascii="IRNazanin" w:hAnsi="IRNazanin" w:eastAsia="IRNazanin"/>
          <w:color w:val="111111"/>
          <w:sz w:val="28"/>
          <w:sz w:val="28"/>
          <w:szCs w:val="28"/>
          <w:rtl w:val="true"/>
          <w:lang w:bidi="fa-IR"/>
        </w:rPr>
        <w:t>، واعتماد مثل الصدوق علیه کثیرة ، وبترحمه علیه کثیراً، الذی هو أعرف من القادح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عدم دلالته علی شیء منهما فلتقیید جواز النوم والمرور فیه بالوضوء، والمدّعی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علی التقیّة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أیضاً حمله علی الضرورة، لما یأتی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الله شیئاً إلا وقد أحلّه لمن اضطرّ إلیه ، أو علی أن المراد من المسجد البیت المعدّ للصلاة فی الدار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ظهور بملاحظة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إشارة إلی أن ظهور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حجّیة الإجماعات المنقولة، لانقراض عصر المخالف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 إشارة إلی أن ظهور المخالفة وإن لم یناف حجّیة الإجماع علی تقدیر تحقّقه ، إلا أنه منافی لإرسال نقله من الناقل المتأخّر مع تقدّم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قیل من أن عدم تعقل الفرق بالنسبة إلینا لو سلّم لا یدلّ علی عدمه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الوصول إلی حدّ القطع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موافقة التیممّ للخروج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الظاهر، والأخبار </w:t>
      </w:r>
      <w:r>
        <w:rPr>
          <w:rStyle w:val="FootnoteAnchor"/>
          <w:rtl w:val="true"/>
        </w:rPr>
        <w:footnoteReference w:id="312"/>
      </w:r>
      <w:r>
        <w:rPr>
          <w:rFonts w:ascii="IRNazanin" w:hAnsi="IRNazanin" w:eastAsia="IRNazanin"/>
          <w:color w:val="111111"/>
          <w:sz w:val="28"/>
          <w:sz w:val="28"/>
          <w:szCs w:val="28"/>
          <w:rtl w:val="true"/>
          <w:lang w:bidi="fa-IR"/>
        </w:rPr>
        <w:t>الدالّة علی حرمة مرور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الخارجی بعموم بدلیّة التراب عن الماء ، یقتضی عدم الفرق فی وجوب التیممّ بدلاً عنه للخروج بین أفراد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کون مقتضاها ذلک، لمکان تعارض حرمة اللبث مع حرمة المرور، وترجیح الثانیة علی الأولی ترجیح بلا مرجحّ، سیّما مع زیادة زمان اللبث علی زمان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إبقاء الحرمتین فی الداخل عمداً ، فیکون کالداخل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أمکن التیتم من غیر البث اتجه القول بوجوبه،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یرشد إلی عدم کونه موافقاً للقاعدة أنه لو کان کذلک لوجب القول بوجوب التیممّ علی الجنب فی سائر المساجد، بناءً علی أن الخروج منه أو الدخول ثمّ الخروج من باب واحد لا یدخل تحت مسمّی الاجتیاز، فیکون قطعه محرمة علی الجنب ، فیجب التیمم له حینئیذ</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یرشد أیضاً إلی عدم کون التیمّم موافقاً للقاعدة إطلاق النصّ والفتوی </w:t>
      </w:r>
    </w:p>
    <w:p>
      <w:pPr>
        <w:pStyle w:val="BookText"/>
        <w:rPr/>
      </w:pPr>
      <w:r>
        <w:rPr>
          <w:rFonts w:ascii="IRNazanin" w:hAnsi="IRNazanin" w:eastAsia="IRNazanin"/>
          <w:color w:val="111111"/>
          <w:sz w:val="28"/>
          <w:sz w:val="28"/>
          <w:szCs w:val="28"/>
          <w:rtl w:val="true"/>
          <w:lang w:bidi="fa-IR"/>
        </w:rPr>
        <w:t xml:space="preserve">بوجوبه من غیر تقیید بما لم یتمکّن من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الإشکال فی اشتراط التیممّ الذی علی وفق القاعدة بعدم التمکّن من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بالآیة </w:t>
      </w:r>
      <w:r>
        <w:rPr>
          <w:rStyle w:val="FootnoteAnchor"/>
          <w:rtl w:val="true"/>
        </w:rPr>
        <w:footnoteReference w:id="314"/>
      </w:r>
      <w:r>
        <w:rPr>
          <w:rFonts w:ascii="IRNazanin" w:hAnsi="IRNazanin" w:eastAsia="IRNazanin"/>
          <w:color w:val="111111"/>
          <w:sz w:val="28"/>
          <w:sz w:val="28"/>
          <w:szCs w:val="28"/>
          <w:rtl w:val="true"/>
          <w:lang w:bidi="fa-IR"/>
        </w:rPr>
        <w:t xml:space="preserve">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حمل تعلّقه علی ما یباشر البدن وإن کان أقرب من بقائه علی ظاهره وحمل النهی المعتل بالآیة الکریمة علی التقیّة ، إلّا أنّه لیس بأقرب من حمل نهیه علی الکراهة وتعلیله علی البطون، بل هو الأقرب جدّاً نظراً إلی أن حمل تعلّقه علی ما یباشر البدن وإن کان تقییداً، وحمل النهی علی الکراهة مجازة، والتقیید خیر من المجاز، إلا أن ذلک تقیید للمطلق بفرد نادر الوجود جدّاً، والکراهة فی النهی من المجازات الشائعة عرفاً، فیتقدم علیه عند الدوران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ضعف القول بالتحریم و مستنده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مستنده فظاهر ما فی الوسائل عن الطبرسی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للجنب والحائض والمحدث مس المصحف </w:t>
      </w:r>
      <w:r>
        <w:rPr>
          <w:rStyle w:val="FootnoteAnchor"/>
          <w:rtl w:val="true"/>
        </w:rPr>
        <w:footnoteReference w:id="315"/>
      </w:r>
      <w:r>
        <w:rPr>
          <w:rFonts w:ascii="IRNazanin" w:hAnsi="IRNazanin" w:eastAsia="IRNazanin"/>
          <w:color w:val="111111"/>
          <w:sz w:val="28"/>
          <w:sz w:val="28"/>
          <w:szCs w:val="28"/>
          <w:rtl w:val="true"/>
          <w:lang w:bidi="fa-IR"/>
        </w:rPr>
        <w:t xml:space="preserve">وقوله علیه السلام فی الخبر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المصحف لا تمسّه علی غیر طهّر ولا جنباً، ولا تمش خیطه ولا تعلقه، 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یمسه إلا المطهرونه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وما عن علیّ بن جعفر عن أخیه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أیحلّ للرجل أن یکتب القرآن فی الألواح والصحیفة وهو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ضعفها فلما عرفت من النصّ والشهرة علی صرف تلک النواهی </w:t>
      </w:r>
    </w:p>
    <w:p>
      <w:pPr>
        <w:pStyle w:val="BookText"/>
        <w:rPr/>
      </w:pPr>
      <w:r>
        <w:rPr>
          <w:rFonts w:ascii="IRNazanin" w:hAnsi="IRNazanin" w:eastAsia="IRNazanin"/>
          <w:color w:val="111111"/>
          <w:sz w:val="28"/>
          <w:sz w:val="28"/>
          <w:szCs w:val="28"/>
          <w:rtl w:val="true"/>
          <w:lang w:bidi="fa-IR"/>
        </w:rPr>
        <w:t xml:space="preserve">إلی الکراهة أو التقیّة أو التقیید بمسّ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اختیار نیّة البدلیّة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وجه أفضلیته أفضلیة مبدله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أن أفضلیة مبدله لا یستلزم أفضلیّته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المناهی فی آخر الفقیه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مناهی النبیّ صلّی الله علیه واله باب مستقلّ بعد أبواب الطلاق وقبل أبواب الحدود، وفرضها مع ذلک آخر الفقیه إما تجوزاً ، أو سهواً وباعتبار نقص نسخة الناقل عمّا بعد المناهی من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إلی ما یرد علیه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بأصل الاشتغال واستصحابه لو کان مستلزماً لإحداث قول رابع هنا لاستلزمه فی کل ما یقتضی الاحتیاط فیه التکرار والجمع ، کالاحتیاط فی الجهر والإخفات والقصر والإتمام، ونحو ذلک من موارد صحّة الاحتیاط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بالأصلین هنا وإن لم یعیّن أحد الأقوال فی الظاهر إلا أنه یعینّه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بالجمیع من باب المقدّمة العلمیّة لتحصیل ذلک الواقع جمع عملیّ بین الأقوال ، کالجمع بین الجهر والإخفات والقصر والإتمام، لا إحداث قول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الخبر الذی بمعناه</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الخبر علی ما نقله الفقیه</w:t>
      </w:r>
      <w:r>
        <w:rPr>
          <w:rStyle w:val="FootnoteAnchor"/>
          <w:rtl w:val="true"/>
        </w:rPr>
        <w:footnoteReference w:id="319"/>
      </w:r>
      <w:r>
        <w:rPr>
          <w:rFonts w:ascii="IRNazanin" w:hAnsi="IRNazanin" w:eastAsia="IRNazanin"/>
          <w:color w:val="111111"/>
          <w:sz w:val="28"/>
          <w:sz w:val="28"/>
          <w:szCs w:val="28"/>
          <w:rtl w:val="true"/>
          <w:lang w:bidi="fa-IR"/>
        </w:rPr>
        <w:t xml:space="preserve">عن رسالة أبیه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أجمع الأصحاب علی الأخذ بها عند إعواز النصوص، لأنها متون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عبارة </w:t>
      </w:r>
    </w:p>
    <w:p>
      <w:pPr>
        <w:pStyle w:val="BookText"/>
        <w:rPr/>
      </w:pPr>
      <w:r>
        <w:rPr>
          <w:rFonts w:ascii="Amiri" w:hAnsi="Amiri" w:eastAsia="Amiri" w:cs="Amiri"/>
          <w:color w:val="111111"/>
          <w:sz w:val="28"/>
          <w:sz w:val="28"/>
          <w:szCs w:val="28"/>
          <w:rtl w:val="true"/>
          <w:lang w:bidi="ar-SA"/>
        </w:rPr>
        <w:t xml:space="preserve">الرضویّ </w:t>
      </w:r>
      <w:r>
        <w:rPr>
          <w:rStyle w:val="FootnoteAnchor"/>
          <w:rtl w:val="true"/>
        </w:rPr>
        <w:footnoteReference w:id="320"/>
      </w:r>
      <w:r>
        <w:rPr>
          <w:rFonts w:ascii="IRNazanin" w:hAnsi="IRNazanin" w:eastAsia="IRNazanin"/>
          <w:color w:val="111111"/>
          <w:sz w:val="28"/>
          <w:sz w:val="28"/>
          <w:szCs w:val="28"/>
          <w:rtl w:val="true"/>
          <w:lang w:bidi="fa-IR"/>
        </w:rPr>
        <w:t>المذکور بنفسه لا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نقله الجواهر </w:t>
      </w:r>
      <w:r>
        <w:rPr>
          <w:rStyle w:val="FootnoteAnchor"/>
          <w:rtl w:val="true"/>
        </w:rPr>
        <w:footnoteReference w:id="321"/>
      </w:r>
      <w:r>
        <w:rPr>
          <w:rFonts w:ascii="IRNazanin" w:hAnsi="IRNazanin" w:eastAsia="IRNazanin"/>
          <w:color w:val="111111"/>
          <w:sz w:val="28"/>
          <w:sz w:val="28"/>
          <w:szCs w:val="28"/>
          <w:rtl w:val="true"/>
          <w:lang w:bidi="fa-IR"/>
        </w:rPr>
        <w:t xml:space="preserve">والوسائل </w:t>
      </w:r>
      <w:r>
        <w:rPr>
          <w:rStyle w:val="FootnoteAnchor"/>
          <w:rtl w:val="true"/>
        </w:rPr>
        <w:footnoteReference w:id="322"/>
      </w:r>
      <w:r>
        <w:rPr>
          <w:rFonts w:ascii="IRNazanin" w:hAnsi="IRNazanin" w:eastAsia="IRNazanin"/>
          <w:color w:val="111111"/>
          <w:sz w:val="28"/>
          <w:sz w:val="28"/>
          <w:szCs w:val="28"/>
          <w:rtl w:val="true"/>
          <w:lang w:bidi="fa-IR"/>
        </w:rPr>
        <w:t xml:space="preserve">عن الذکری </w:t>
      </w:r>
      <w:r>
        <w:rPr>
          <w:rStyle w:val="FootnoteAnchor"/>
          <w:rtl w:val="true"/>
        </w:rPr>
        <w:footnoteReference w:id="323"/>
      </w:r>
      <w:r>
        <w:rPr>
          <w:rFonts w:ascii="IRNazanin" w:hAnsi="IRNazanin" w:eastAsia="IRNazanin"/>
          <w:color w:val="111111"/>
          <w:sz w:val="28"/>
          <w:sz w:val="28"/>
          <w:szCs w:val="28"/>
          <w:rtl w:val="true"/>
          <w:lang w:bidi="fa-IR"/>
        </w:rPr>
        <w:t xml:space="preserve">والمدارک </w:t>
      </w:r>
      <w:r>
        <w:rPr>
          <w:rStyle w:val="FootnoteAnchor"/>
          <w:rtl w:val="true"/>
        </w:rPr>
        <w:footnoteReference w:id="324"/>
      </w:r>
      <w:r>
        <w:rPr>
          <w:rFonts w:ascii="IRNazanin" w:hAnsi="IRNazanin" w:eastAsia="IRNazanin"/>
          <w:color w:val="111111"/>
          <w:sz w:val="28"/>
          <w:sz w:val="28"/>
          <w:szCs w:val="28"/>
          <w:rtl w:val="true"/>
          <w:lang w:bidi="fa-IR"/>
        </w:rPr>
        <w:t xml:space="preserve">عن عرض مجالس الصدوق عن الصادق علیه السلام عین الرضوی المذکور من غیر تفاوت ، سوی ازدیاد عطف المنیّ علی البول والغائط والریح فی عبارة الوسائل </w:t>
      </w:r>
      <w:r>
        <w:rPr>
          <w:rStyle w:val="FootnoteAnchor"/>
          <w:rtl w:val="true"/>
        </w:rPr>
        <w:footnoteReference w:id="325"/>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 </w:t>
      </w:r>
      <w:r>
        <w:rPr>
          <w:rStyle w:val="FootnoteAnchor"/>
          <w:rtl w:val="true"/>
        </w:rPr>
        <w:footnoteReference w:id="326"/>
      </w:r>
      <w:r>
        <w:rPr>
          <w:rFonts w:ascii="IRNazanin" w:hAnsi="IRNazanin" w:eastAsia="IRNazanin"/>
          <w:color w:val="111111"/>
          <w:sz w:val="28"/>
          <w:sz w:val="28"/>
          <w:szCs w:val="28"/>
          <w:rtl w:val="true"/>
          <w:lang w:bidi="fa-IR"/>
        </w:rPr>
        <w:t>الصحیح علی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لأنه من مراسیل ابن أبی عمیر التی هی بمنزلة المسانید الصحیحة، علی الصحیح المقرّر وجهه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رواه الشیخ </w:t>
      </w:r>
      <w:r>
        <w:rPr>
          <w:rStyle w:val="FootnoteAnchor"/>
          <w:rtl w:val="true"/>
        </w:rPr>
        <w:footnoteReference w:id="327"/>
      </w:r>
      <w:r>
        <w:rPr>
          <w:rFonts w:ascii="IRNazanin" w:hAnsi="IRNazanin" w:eastAsia="IRNazanin"/>
          <w:color w:val="111111"/>
          <w:sz w:val="28"/>
          <w:sz w:val="28"/>
          <w:szCs w:val="28"/>
          <w:rtl w:val="true"/>
          <w:lang w:bidi="fa-IR"/>
        </w:rPr>
        <w:t>عنه بطریق آخر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ولعلّهما روایتان، کما یؤمی إلیه اختلاف متنهما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المختلف</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عدّهما فی الوسائل </w:t>
      </w:r>
      <w:r>
        <w:rPr>
          <w:rStyle w:val="FootnoteAnchor"/>
          <w:rtl w:val="true"/>
        </w:rPr>
        <w:footnoteReference w:id="329"/>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کالرضویّ</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غسل الجنابة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یشهد بصحّة الرضویّ المذکور وکفایته برأسه دلیلاً علی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کلّ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مع التعلیل القویّ بعینه فی فتوی الفقیه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مضافاً إلی نقله فی الجواهر </w:t>
      </w:r>
      <w:r>
        <w:rPr>
          <w:rStyle w:val="FootnoteAnchor"/>
          <w:rtl w:val="true"/>
        </w:rPr>
        <w:footnoteReference w:id="332"/>
      </w:r>
      <w:r>
        <w:rPr>
          <w:rFonts w:ascii="IRNazanin" w:hAnsi="IRNazanin" w:eastAsia="IRNazanin"/>
          <w:color w:val="111111"/>
          <w:sz w:val="28"/>
          <w:sz w:val="28"/>
          <w:szCs w:val="28"/>
          <w:rtl w:val="true"/>
          <w:lang w:bidi="fa-IR"/>
        </w:rPr>
        <w:t>عن النهایة</w:t>
      </w:r>
      <w:r>
        <w:rPr>
          <w:rStyle w:val="FootnoteAnchor"/>
          <w:rtl w:val="true"/>
        </w:rPr>
        <w:footnoteReference w:id="333"/>
      </w:r>
      <w:r>
        <w:rPr>
          <w:rFonts w:ascii="IRNazanin" w:hAnsi="IRNazanin" w:eastAsia="IRNazanin"/>
          <w:color w:val="111111"/>
          <w:sz w:val="28"/>
          <w:sz w:val="28"/>
          <w:szCs w:val="28"/>
          <w:rtl w:val="true"/>
          <w:lang w:bidi="fa-IR"/>
        </w:rPr>
        <w:t xml:space="preserve">والهدایة </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ووالد الصدوق من غیر نقل شیء من النصوص المعارضة له فی شیء من تلک الرسائل التی أجمع الأصحاب علی الأخذ بها عند إعواز النصوص، لأنها متون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وتطابق الرضوی مع الفقیه والهدایة فی هذه المسألة وأکثر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بالتتبع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قویّ علی صحّة نسبته إلی الرضا علیه السلام ، وکونه موجوداً، ومن الأصول المعتمدة عند الصدوقین وأمثالهم من قدماء المحدّثین، واندفع توهّم کونه من الکتب المجهولة المستحدثة ، کما قرّرنا تفصیله فی الأصول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فحکما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الأردبیلی</w:t>
      </w:r>
      <w:r>
        <w:rPr>
          <w:rStyle w:val="FootnoteAnchor"/>
          <w:rtl w:val="true"/>
        </w:rPr>
        <w:footnoteReference w:id="335"/>
      </w:r>
      <w:r>
        <w:rPr>
          <w:rFonts w:ascii="IRNazanin" w:hAnsi="IRNazanin" w:eastAsia="IRNazanin"/>
          <w:color w:val="111111"/>
          <w:sz w:val="28"/>
          <w:sz w:val="28"/>
          <w:szCs w:val="28"/>
          <w:rtl w:val="true"/>
          <w:lang w:bidi="fa-IR"/>
        </w:rPr>
        <w:t xml:space="preserve">والمدارک </w:t>
      </w:r>
      <w:r>
        <w:rPr>
          <w:rStyle w:val="FootnoteAnchor"/>
          <w:rtl w:val="true"/>
        </w:rPr>
        <w:footnoteReference w:id="336"/>
      </w:r>
      <w:r>
        <w:rPr>
          <w:rFonts w:ascii="IRNazanin" w:hAnsi="IRNazanin" w:eastAsia="IRNazanin"/>
          <w:color w:val="111111"/>
          <w:sz w:val="28"/>
          <w:sz w:val="28"/>
          <w:szCs w:val="28"/>
          <w:rtl w:val="true"/>
          <w:lang w:bidi="fa-IR"/>
        </w:rPr>
        <w:t>والذخیرة</w:t>
      </w:r>
      <w:r>
        <w:rPr>
          <w:rStyle w:val="FootnoteAnchor"/>
          <w:rtl w:val="true"/>
        </w:rPr>
        <w:footnoteReference w:id="337"/>
      </w:r>
      <w:r>
        <w:rPr>
          <w:rFonts w:ascii="IRNazanin" w:hAnsi="IRNazanin" w:eastAsia="IRNazanin"/>
          <w:color w:val="111111"/>
          <w:sz w:val="28"/>
          <w:sz w:val="28"/>
          <w:szCs w:val="28"/>
          <w:rtl w:val="true"/>
          <w:lang w:bidi="fa-IR"/>
        </w:rPr>
        <w:t xml:space="preserve">والمفاتیح </w:t>
      </w:r>
      <w:r>
        <w:rPr>
          <w:rStyle w:val="FootnoteAnchor"/>
          <w:rtl w:val="true"/>
        </w:rPr>
        <w:footnoteReference w:id="338"/>
      </w:r>
      <w:r>
        <w:rPr>
          <w:rFonts w:ascii="IRNazanin" w:hAnsi="IRNazanin" w:eastAsia="IRNazanin"/>
          <w:color w:val="111111"/>
          <w:sz w:val="28"/>
          <w:sz w:val="28"/>
          <w:szCs w:val="28"/>
          <w:rtl w:val="true"/>
          <w:lang w:bidi="fa-IR"/>
        </w:rPr>
        <w:t>والحدائق</w:t>
      </w:r>
      <w:r>
        <w:rPr>
          <w:rStyle w:val="FootnoteAnchor"/>
          <w:rtl w:val="true"/>
        </w:rPr>
        <w:footnoteReference w:id="339"/>
      </w:r>
      <w:r>
        <w:rPr>
          <w:rFonts w:ascii="IRNazanin" w:hAnsi="IRNazanin" w:eastAsia="IRNazanin"/>
          <w:color w:val="111111"/>
          <w:sz w:val="28"/>
          <w:sz w:val="28"/>
          <w:szCs w:val="28"/>
          <w:rtl w:val="true"/>
          <w:lang w:bidi="fa-IR"/>
        </w:rPr>
        <w:t xml:space="preserve">المیل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الوسائل </w:t>
      </w:r>
      <w:r>
        <w:rPr>
          <w:rStyle w:val="FootnoteAnchor"/>
          <w:rtl w:val="true"/>
        </w:rPr>
        <w:footnoteReference w:id="340"/>
      </w:r>
      <w:r>
        <w:rPr>
          <w:rFonts w:ascii="IRNazanin" w:hAnsi="IRNazanin" w:eastAsia="IRNazanin"/>
          <w:color w:val="111111"/>
          <w:sz w:val="28"/>
          <w:sz w:val="28"/>
          <w:szCs w:val="28"/>
          <w:rtl w:val="true"/>
          <w:lang w:bidi="fa-IR"/>
        </w:rPr>
        <w:t xml:space="preserve">الجزم به حیث اعتمد علی نصوص عدم اعتبار الوضوء مع غسل غیر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نصوص اعتباره بالحمل علی الاستفهام الإنکاریّ أو التقیّة أو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التعلیل إشعار بالعموم ، لاحتمال الخصوصیّة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الخصوصیة لا یقاوم ظهور التعلیل فی العموم عند المشهور القائلین بحجّیة منصوص العلّة، ومنهم السید الشارح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اختصاص عموم التعلیل بالجنابة إنما یتأتیّ فی صحیح حکم بن حکیم عن الصادق علیه السلام بعد أن سأله عن کیفیّة غسل الجنابة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وضوء الصلاة قبل الغسل،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وضوء أنقی من الغسل وأبلغ</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لاحتماله العهدیّة لا الماهیّة من الغسل فیه ، بخلاف صحیح ابن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یجزی عن الوضوء، وأی وضوء أطهر من الغسل</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أجمع العصابة علی تصحیح ما یصح عنه، و تنزیل مراسیله منزلة المسانید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یغتسل للجمعة أو غیر ذلک أیجزیه من الوضوء؟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وضوء أطهر من الغسل ؟</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یحتمل فی شیء منهما الاختصاص بالجنابة ، لعدم سبق العهد ، سیما فی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أفرد الوسائل </w:t>
      </w:r>
      <w:r>
        <w:rPr>
          <w:rStyle w:val="FootnoteAnchor"/>
          <w:rtl w:val="true"/>
        </w:rPr>
        <w:footnoteReference w:id="344"/>
      </w:r>
      <w:r>
        <w:rPr>
          <w:rFonts w:ascii="IRNazanin" w:hAnsi="IRNazanin" w:eastAsia="IRNazanin"/>
          <w:color w:val="111111"/>
          <w:sz w:val="28"/>
          <w:sz w:val="28"/>
          <w:szCs w:val="28"/>
          <w:rtl w:val="true"/>
          <w:lang w:bidi="fa-IR"/>
        </w:rPr>
        <w:t>الصحیحة الأولی عن الأخیرتین ، وعقد لکلّ منهما باباً علی حدة، فذکر الصحیحة الأولی فی ضمن النصوص الخاصة بإجزاء غسل الجنابة عن الوضوء، والصحیحتین الأخیرتین فی ضمن نصوص إجزاء کلّ غسل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أعظم الشواهد علی حمل الغسل المطلق فیها وفی غیرها علی ما ذکرنا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نصوص </w:t>
      </w:r>
      <w:r>
        <w:rPr>
          <w:rStyle w:val="FootnoteAnchor"/>
          <w:rtl w:val="true"/>
        </w:rPr>
        <w:footnoteReference w:id="345"/>
      </w:r>
      <w:r>
        <w:rPr>
          <w:rFonts w:ascii="IRNazanin" w:hAnsi="IRNazanin" w:eastAsia="IRNazanin"/>
          <w:color w:val="111111"/>
          <w:sz w:val="28"/>
          <w:sz w:val="28"/>
          <w:szCs w:val="28"/>
          <w:rtl w:val="true"/>
          <w:lang w:bidi="fa-IR"/>
        </w:rPr>
        <w:t xml:space="preserve">بدعیة الوضوء مع الغسل منافیاًاًلکلا القولین اللّذین لا ثالث لهما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للقول بوجوبه ، وللقول باستحبابه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لکلّ منهما من طرحها أو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p>
    <w:p>
      <w:pPr>
        <w:pStyle w:val="BookText"/>
        <w:rPr/>
      </w:pPr>
      <w:r>
        <w:rPr>
          <w:rFonts w:ascii="IRNazanin" w:hAnsi="IRNazanin" w:eastAsia="IRNazanin"/>
          <w:color w:val="111111"/>
          <w:sz w:val="28"/>
          <w:sz w:val="28"/>
          <w:szCs w:val="28"/>
          <w:rtl w:val="true"/>
          <w:lang w:bidi="fa-IR"/>
        </w:rPr>
        <w:t xml:space="preserve">لا ینحصر تأویلها فی تخصیصها بغسل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بوجوب الوضوء فلانه کما یحتمل تخصیص بدعیّة الوضوء مع الغسل بغسل الجنابة دون غیرها، کذلک یحتمل تخصیصها أیضاً بقصد رافعیتّه للحدث الأکبر، دون قصد رافعیّته للحدث الأصغر، أو بقصد مدخلیّنه شطراً أو شرطة فی صحّة الغسل لا فی صحّة ما یتوقّف علی الغسل من العبادة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باستحباب الوضوء مع غسل غیر الجنابة ، فلأنه کما یحتمل تخصیص بدعیّة الوضوء معه بما ذکر، کذلک یحتمل تخصیصها بقصد الوجوب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قصور أسنادها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قصورها کون أحدها مکاتبة </w:t>
      </w:r>
      <w:r>
        <w:rPr>
          <w:rStyle w:val="FootnoteAnchor"/>
          <w:rtl w:val="true"/>
        </w:rPr>
        <w:footnoteReference w:id="346"/>
      </w:r>
      <w:r>
        <w:rPr>
          <w:rFonts w:ascii="IRNazanin" w:hAnsi="IRNazanin" w:eastAsia="IRNazanin"/>
          <w:color w:val="111111"/>
          <w:sz w:val="28"/>
          <w:sz w:val="28"/>
          <w:szCs w:val="28"/>
          <w:rtl w:val="true"/>
          <w:lang w:bidi="fa-IR"/>
        </w:rPr>
        <w:t xml:space="preserve">عبدالرحمن الهمدانی، والأخری روایة </w:t>
      </w:r>
      <w:r>
        <w:rPr>
          <w:rStyle w:val="FootnoteAnchor"/>
          <w:rtl w:val="true"/>
        </w:rPr>
        <w:footnoteReference w:id="347"/>
      </w:r>
      <w:r>
        <w:rPr>
          <w:rFonts w:ascii="IRNazanin" w:hAnsi="IRNazanin" w:eastAsia="IRNazanin"/>
          <w:color w:val="111111"/>
          <w:sz w:val="28"/>
          <w:sz w:val="28"/>
          <w:szCs w:val="28"/>
          <w:rtl w:val="true"/>
          <w:lang w:bidi="fa-IR"/>
        </w:rPr>
        <w:t xml:space="preserve">عمّار الساباطی الفطحی عن الصادق علیه السلام، والثالثة </w:t>
      </w:r>
      <w:r>
        <w:rPr>
          <w:rStyle w:val="FootnoteAnchor"/>
          <w:rtl w:val="true"/>
        </w:rPr>
        <w:footnoteReference w:id="348"/>
      </w:r>
      <w:r>
        <w:rPr>
          <w:rFonts w:ascii="IRNazanin" w:hAnsi="IRNazanin" w:eastAsia="IRNazanin"/>
          <w:color w:val="111111"/>
          <w:sz w:val="28"/>
          <w:sz w:val="28"/>
          <w:szCs w:val="28"/>
          <w:rtl w:val="true"/>
          <w:lang w:bidi="fa-IR"/>
        </w:rPr>
        <w:t xml:space="preserve">مرسلة حماد بن عثمان المتقدّمة فی ضمن النصوص المعللّة لنفی الوضوء مع غسل الجمعة وغیره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کلّه للقائل أن یمنع قصورها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المکاتبة وإن قصرت عن المسموعة </w:t>
      </w:r>
      <w:r>
        <w:rPr>
          <w:rStyle w:val="FootnoteAnchor"/>
          <w:rtl w:val="true"/>
        </w:rPr>
        <w:footnoteReference w:id="349"/>
      </w:r>
      <w:r>
        <w:rPr>
          <w:rFonts w:ascii="IRNazanin" w:hAnsi="IRNazanin" w:eastAsia="IRNazanin"/>
          <w:color w:val="111111"/>
          <w:sz w:val="28"/>
          <w:sz w:val="28"/>
          <w:szCs w:val="28"/>
          <w:rtl w:val="true"/>
          <w:lang w:bidi="fa-IR"/>
        </w:rPr>
        <w:t>إلا أنّها معتبرة لا تقصر عن الحجّیة، حسبما قرر فی حجّیة المکاتبات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الساباطی وإن کان فطحیّ المذهب إلّا أنّه موثّق لا یقصر عن سائر الموثّقات ، کما جاء فی ضمن منظومتنا الرجالیّة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کلّ عمار لم یقدح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الساباطیّ الفطحی</w:t>
      </w:r>
    </w:p>
    <w:p>
      <w:pPr>
        <w:pStyle w:val="BookText"/>
        <w:rPr/>
      </w:pPr>
      <w:r>
        <w:rPr>
          <w:rFonts w:ascii="IRNazanin" w:hAnsi="IRNazanin" w:eastAsia="IRNazanin"/>
          <w:color w:val="111111"/>
          <w:sz w:val="28"/>
          <w:sz w:val="28"/>
          <w:szCs w:val="28"/>
          <w:rtl w:val="true"/>
          <w:lang w:bidi="fa-IR"/>
        </w:rPr>
        <w:t>وبأن مرسلة حمادّ بن عثمان بمنزلة المسانید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فیها قصور فإنما هو بملاحظتها منفردة عن سائر الصحاح الثلاثة المتقدّمة </w:t>
      </w:r>
      <w:r>
        <w:rPr>
          <w:rStyle w:val="FootnoteAnchor"/>
          <w:rtl w:val="true"/>
        </w:rPr>
        <w:footnoteReference w:id="350"/>
      </w:r>
      <w:r>
        <w:rPr>
          <w:rFonts w:ascii="IRNazanin" w:hAnsi="IRNazanin" w:eastAsia="IRNazanin"/>
          <w:color w:val="111111"/>
          <w:sz w:val="28"/>
          <w:sz w:val="28"/>
          <w:szCs w:val="28"/>
          <w:rtl w:val="true"/>
          <w:lang w:bidi="fa-IR"/>
        </w:rPr>
        <w:t xml:space="preserve">المعللّة إجزاء کلّ غسل عن الوضوء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المستفیضة المرّویة بعدّة طرق فی الکافی</w:t>
      </w:r>
      <w:r>
        <w:rPr>
          <w:rStyle w:val="FootnoteAnchor"/>
          <w:rtl w:val="true"/>
        </w:rPr>
        <w:footnoteReference w:id="351"/>
      </w:r>
      <w:r>
        <w:rPr>
          <w:rFonts w:ascii="IRNazanin" w:hAnsi="IRNazanin" w:eastAsia="IRNazanin"/>
          <w:color w:val="111111"/>
          <w:sz w:val="28"/>
          <w:sz w:val="28"/>
          <w:szCs w:val="28"/>
          <w:rtl w:val="true"/>
          <w:lang w:bidi="fa-IR"/>
        </w:rPr>
        <w:t xml:space="preserve">والتهذیبین </w:t>
      </w:r>
      <w:r>
        <w:rPr>
          <w:rStyle w:val="FootnoteAnchor"/>
          <w:rtl w:val="true"/>
        </w:rPr>
        <w:footnoteReference w:id="352"/>
      </w:r>
      <w:r>
        <w:rPr>
          <w:rFonts w:ascii="IRNazanin" w:hAnsi="IRNazanin" w:eastAsia="IRNazanin"/>
          <w:color w:val="111111"/>
          <w:sz w:val="28"/>
          <w:sz w:val="28"/>
          <w:szCs w:val="28"/>
          <w:rtl w:val="true"/>
          <w:lang w:bidi="fa-IR"/>
        </w:rPr>
        <w:t>عن الصادق علیه السلام ببدعیّة الوضوء قبل الغسل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بملاحظة انضمام سائر الصحاح الثلاثة المتقدّمة والمستفیضة إلیها فقد تزید علی ما یعارضها من نصوص اعتبار الوضوء مع غسل غیر الجنابة صحّة وکثراً بضعفین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الإنصاف فی علاج تعارض تلک النصوص مع النصوص الموجبة للوضوء مع غسل غیر الجنابة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نصوص بدعیّة الوضوء مع الغسل فمنافی لکلا القولین اللذین لا ثالث لهما فی المسألة،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الوضوء معه والقول باستحبابه ، فلابدّ علی کلا القولین من طرحها ، أو تأویلها وتخصیصها بغسل الجنابة ، أو بقصد رافعیّته للحدث الأکبر ، أو بقصد مدخلیّته فی صحّة الغسل حتی یجامع القول بوجوبه ، أو بقصد الوجوب حتّی یجامع القول باستحبابه ، حسبما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مطلقات اعتبار الوضوء فهی معارضة بمطلقات الغسل غیر المذکور معها الوضوء، وتخصیص کلّ منهما بالآخر لیس بأولی من العکس ، المکان التعارض بینهما بالعموم من وجه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سائر النصوص النافیة للوضوء بالصراحة المعلّلة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المعلّلة منها ، فهی مشارکة لما یعارضها من نصوص اعتبار </w:t>
      </w:r>
    </w:p>
    <w:p>
      <w:pPr>
        <w:pStyle w:val="BookText"/>
        <w:rPr/>
      </w:pPr>
      <w:r>
        <w:rPr>
          <w:rFonts w:ascii="IRNazanin" w:hAnsi="IRNazanin" w:eastAsia="IRNazanin"/>
          <w:color w:val="111111"/>
          <w:sz w:val="28"/>
          <w:sz w:val="28"/>
          <w:szCs w:val="28"/>
          <w:rtl w:val="true"/>
          <w:lang w:bidi="fa-IR"/>
        </w:rPr>
        <w:t>الوضوء معه فی الصحّة والکثرة والعدد والتعلیل والتأکید والتباین الکلّی، بل وفی إمکان التأویل فی کلّ منهما علی وجه یجامع الآخر ، کحمل نصوص اعتبار الوضوء مع غسل غیر الجنابة علی الاستحباب المجامع لظواهر نصوص عدم اعتباره، أو العکس بأن یخصّص نصوص عدم اعتباره بغسل الجنابة ، أو بعدم اعتباره فی صحّة الغسل لافی صحّة ما یتوقّف علیه من العبادة وغیرها، أو بعدم اعتباره فی رافعیة الغسل للأکبر دون الأصغر، علی وجه یجامع ظاهرة لنصوص اعتباره فی صحّة المشروط بالغسل من العبادة وغیرها، أو فی رافعیّته للأصغر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تختصّ نصوص عدم اعتبار الوضوء بمزّیة الاعتضاد بأصالة البراءة ، والمخالفة للعامّة، من المرجّحات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تختصّ نصوص اعتباره بقاعدة الاحتباط ، واستصحاب الاشتغال المتقدّم علی أصالة البراءة، وبالشهرة الروایتّیة والفتوائیّة التی هی من أقوی المرجّحات المنصوصة بقوله علیه السلام بعد السؤال عن الخبرین المتعارضین فی مرفوعة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واترک الشائ النادر</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وفی مقبولة ابن حنظلة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فیأخذ به، ویترک الشاذ الذی لیس بمشهور عند أصحابک، فإن المجمع علیه لا ریب فیه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الصادقة علی شهرة نصوص اعتبار الوضوء، وشذوذ نصوص عدم اعتباره مع غسل غیر الجنابة وإن کثرت و صحّت و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من قدماء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الصیارفة لصحیح الأحادیث وسقیمها، مثل الصدوقین والکلینی والشیخین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یفنوا فی شیء من کتبهم إلا بنصوص اعتبار الوضوء، بل لم ینقلوا شیئاً من النصوص المعارضة له، سوی الشیخ </w:t>
      </w:r>
      <w:r>
        <w:rPr>
          <w:rStyle w:val="FootnoteAnchor"/>
          <w:rtl w:val="true"/>
        </w:rPr>
        <w:footnoteReference w:id="355"/>
      </w:r>
      <w:r>
        <w:rPr>
          <w:rFonts w:ascii="IRNazanin" w:hAnsi="IRNazanin" w:eastAsia="IRNazanin"/>
          <w:color w:val="111111"/>
          <w:sz w:val="28"/>
          <w:sz w:val="28"/>
          <w:szCs w:val="28"/>
          <w:rtl w:val="true"/>
          <w:lang w:bidi="fa-IR"/>
        </w:rPr>
        <w:t xml:space="preserve">من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یفتی بها ، بل مع ذلک أفتی بضدّها، إلی أن انتهت النوبة إلی بعض متأخّری المتأخّرین من محدّثینا کالوسائل</w:t>
      </w:r>
      <w:r>
        <w:rPr>
          <w:rStyle w:val="FootnoteAnchor"/>
          <w:rtl w:val="true"/>
        </w:rPr>
        <w:footnoteReference w:id="356"/>
      </w:r>
      <w:r>
        <w:rPr>
          <w:rFonts w:ascii="IRNazanin" w:hAnsi="IRNazanin" w:eastAsia="IRNazanin"/>
          <w:color w:val="111111"/>
          <w:sz w:val="28"/>
          <w:sz w:val="28"/>
          <w:szCs w:val="28"/>
          <w:rtl w:val="true"/>
          <w:lang w:bidi="fa-IR"/>
        </w:rPr>
        <w:t xml:space="preserve">فعکس الأمر، حیث نقل جمیع نصوص عدم اعتبار الوضوء مع غسل غیر الجنابة وأفتی بها، ولم ینقل من نصوص اعتباره إلا نصّین مؤوّلاً لهما إلی الاستفهام الإنکاری أو التقیّة أو الاستحباب، اغتراراً بکثرة نصوص عدم اعتبار الوضوء، والإغماض عمّا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النصوص الشاذّة المعرض عنها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بمرأی ومسمع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ازدادت کثرة وصحّة وصراحة زاد الأعراض فیها وهناً</w:t>
      </w:r>
      <w:r>
        <w:rPr>
          <w:rFonts w:eastAsia="IRNazanin" w:cs="IRNazanin"/>
          <w:color w:val="111111"/>
          <w:sz w:val="28"/>
          <w:szCs w:val="28"/>
          <w:rtl w:val="true"/>
          <w:lang w:bidi="fa-IR"/>
        </w:rPr>
        <w:t xml:space="preserve">. </w:t>
      </w:r>
      <w:bookmarkStart w:id="60" w:name="pg1905_24498"/>
    </w:p>
    <w:p>
      <w:pPr>
        <w:pStyle w:val="Heading3"/>
        <w:numPr>
          <w:ilvl w:val="2"/>
          <w:numId w:val="1"/>
        </w:numPr>
        <w:rPr/>
      </w:pPr>
      <w:bookmarkStart w:id="61" w:name="__RefHeading___Toc3268771_3650668749"/>
      <w:bookmarkStart w:id="62" w:name="_Toc23"/>
      <w:bookmarkEnd w:id="60"/>
      <w:bookmarkEnd w:id="61"/>
      <w:r>
        <w:rPr>
          <w:rtl w:val="true"/>
        </w:rPr>
        <w:t xml:space="preserve">الثانی </w:t>
      </w:r>
      <w:r>
        <w:rPr>
          <w:rtl w:val="true"/>
        </w:rPr>
        <w:t xml:space="preserve">: </w:t>
      </w:r>
      <w:r>
        <w:rPr>
          <w:rtl w:val="true"/>
        </w:rPr>
        <w:t>غسل الحیض</w:t>
      </w:r>
      <w:bookmarkEnd w:id="62"/>
    </w:p>
    <w:p>
      <w:pPr>
        <w:pStyle w:val="BookText"/>
        <w:rPr/>
      </w:pPr>
      <w:r>
        <w:rPr>
          <w:rFonts w:ascii="IRNazanin" w:hAnsi="IRNazanin" w:eastAsia="IRNazanin"/>
          <w:color w:val="111111"/>
          <w:sz w:val="28"/>
          <w:sz w:val="28"/>
          <w:szCs w:val="28"/>
          <w:rtl w:val="true"/>
          <w:lang w:bidi="fa-IR"/>
        </w:rPr>
        <w:t>فیما یتعلق بالحیض من کتاب الریاض</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الحیض تارة فی تشخیص موضوعه، وأخری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موضوعه فهو الکلام فی سائر الموضوعات الکلّیة المستنبطة المتعلّقة بها الأحکام الشرعیّة ، من أنه إن کان فیها عرف خاصّ للشارع قدم علی غیره، وإلا کان المرجع فیها إلی العرف العامّ واللغة، ومع تعارضهما فإلی ما هو المتداول منها فی زمان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عدم العلم بالمعنی العرفی واللغوی فالمرجع إلی مطلق الظنّ الحاصل من الاجتهاد أو قول اللغوی ، سواء کان ذلک فی تشخیص الهیئات أو المواد، وذلک إما من جهة انسداد باب العلم فی تشخیص الموضوعات المستنبطة من غیر جهة النقل الذی لا یفید غالباًسوی الظنّ، أو للسیرة القطعیّة والاتّفاقات المنقولة علی مرجعیّة قول کلّ أهل خبرة من أهل الحرف والصنائع فیما یختصّ بهم من الصنائع والحرف ، کحجیّة قول المقوّم والطبیب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الظنّ أیضاً فالمرجع فیها إلی الأصول العدمیّة المعمولة لتشخیص المشکوک فیه منها ، کأصالة عدم النقل والاشتراک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فقد الحالة السابقة فیها ، وعدم مجری لأصالة بقائها بأصالة عدم النقل والاشتراک ، فالمرجع إلی البراءة أو الاشتغال علی الخلاف فی الشبهات الحکمِیّة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فی تشخیص مطلق الموضوعات المستنبطة یعلم الحال فی تشخیص موضوع الحیض وماهیّته لما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وتفصیله أنه فی الشرع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کموضوع سائر الأحداث من المنیّ والبول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هو علیه فی اللغة من کونه الدم السائل أو سیلان الدم، حیث أطلق لغة علی اسم المعنی تارة وعلی اسم العین أخری، وذلک لعدم ثبوت عرف خاص للشرع ولا للمتشرّعة فیه ، مضافاً إلی أصالة عدم النقل والاشتراک فیه ، وکون المجاز خیراً من الاشتراک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فإطلاق الحیض لغة علی مطلق الدم ولو کان فاقد صفات الحیضة إنّما هو من باب التعریف بالأعمّ الجائز فی التعریفات اللفظیة ، وهو تبدیل لفظ بلفظ أشهر، کتعریفهم السعدانة بأنه نبت ، أو من باب عدم امتیاز الحیض الواقع عن غیره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الخصوصیات المأخوذة فی تعریفه فی لسان الشرع والمتشرّعة مع اختلافها إنما هی لتمییز مصداق الحیض الواقع عن غیره، لا النقله عن معناه اللغوی إلی معنی آخر شرعی کما قد یتوهّم، لأصالة عدمه وعدم الاشتراک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 فلا خلاف بین اللغة والشرع فی أن الحیض هو الدم المخصوص المخلوق لتکوین الولد، المحکوم علیه بأحکام کثیرة عند أهل کل شریعة وعند الأطبّاء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تشخیص مصادیقه علی وجه منضبط لمّا خفی علی غیر العالم فی الأرحام، واشتبه علی أکثر الخواص والعوام، ولم یکن مثل مصادیق سائر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کالمنّی والبول والغائط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معلوماًمضبوطاً عند الناس، کشف الشارع عن بعض الأمور المخبرة عنها، ککونه أسود حارّ اًیخرج بحرقة ومن الأیسر ، وعن بعض الأمور المنافیة له، کالدخول فی الخمسین ، أو تجاوز الدم عن العشرة ، أو نقصانه عن الثلاثة، أو وقوعه بعد الحیضة الأولی بأقلّ من العشرة،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الحیض عند أهل اللغة الجاهلین بالشرع علی هذه الدماء المعدودة فی الشریعة من الاستحاضة إنما هی بزعم کونها من مصادیق </w:t>
      </w:r>
    </w:p>
    <w:p>
      <w:pPr>
        <w:pStyle w:val="BookText"/>
        <w:rPr/>
      </w:pPr>
      <w:r>
        <w:rPr>
          <w:rFonts w:ascii="IRNazanin" w:hAnsi="IRNazanin" w:eastAsia="IRNazanin"/>
          <w:color w:val="111111"/>
          <w:sz w:val="28"/>
          <w:sz w:val="28"/>
          <w:szCs w:val="28"/>
          <w:rtl w:val="true"/>
          <w:lang w:bidi="fa-IR"/>
        </w:rPr>
        <w:t>ذلک الدم الطبیعی المعهود، جهلاً منهم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اتّحاد المعنی اللغوی والشرعی 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تصریح الشارح وشیخنا العلامة</w:t>
      </w:r>
      <w:r>
        <w:rPr>
          <w:rStyle w:val="FootnoteAnchor"/>
          <w:rtl w:val="true"/>
        </w:rPr>
        <w:footnoteReference w:id="357"/>
      </w:r>
      <w:r>
        <w:rPr>
          <w:rFonts w:ascii="IRNazanin" w:hAnsi="IRNazanin" w:eastAsia="IRNazanin"/>
          <w:color w:val="111111"/>
          <w:sz w:val="28"/>
          <w:sz w:val="28"/>
          <w:szCs w:val="28"/>
          <w:rtl w:val="true"/>
          <w:lang w:bidi="fa-IR"/>
        </w:rPr>
        <w:t>ومشائخه</w:t>
      </w:r>
      <w:r>
        <w:rPr>
          <w:rStyle w:val="FootnoteAnchor"/>
          <w:rtl w:val="true"/>
        </w:rPr>
        <w:footnoteReference w:id="358"/>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الْمَحِيضِ قُلْ هُوَ أَذًى فَاعْتَزِلُوا النِّسَاءَ فِي الْمَحِيضِ</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حیث علق حکم الاعتزال علی حقیقة المحیض الواقع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الأغلب أسود غلیظ حار ّله 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السرائر</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دم خاصّ، من شخص خاصّ، فی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من خصوصیّته إخراج ما لم یکن بتلک الصفات المذکورة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خصوصّیة شخصه إخراج ما خرج بتلک الصفات قبل البلوغ أو بعد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خصوصیّة وقته إخراج ما خرج منه بتلک الصفات فی أقلّ من ثلاثة أیّام أو بعد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الدم الذی له تعلّق بانقضاء العدة علی وجه ، إما بظهوره، أو بانقطاعه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انقضاؤها وحصول البینونة بمجرّد ظهوره و خروج أول قطرة منه ففی ذات العادة المستقیمة التی رأته فی أیّام عادتها ، استناداً إلی أن العادة والغالب کالمتیقن فی الشرعیات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انقضاء العدّة وحصول البینونة بانقطاعه ففی غیر ذات العادة ، فإنّها لا تخرج عن العدّة بمجرّد ظهور قطرة من الدم الثالث إلا بعد الیقین بالحیضة، وهو بعد توالی الدم ثلاثة أیّام، استصحاباً لبقاء العدّة المتیقنّة إلی أن یحصل الیقین </w:t>
      </w:r>
    </w:p>
    <w:p>
      <w:pPr>
        <w:pStyle w:val="BookText"/>
        <w:rPr/>
      </w:pPr>
      <w:r>
        <w:rPr>
          <w:rFonts w:ascii="IRNazanin" w:hAnsi="IRNazanin" w:eastAsia="IRNazanin"/>
          <w:color w:val="111111"/>
          <w:sz w:val="28"/>
          <w:sz w:val="28"/>
          <w:szCs w:val="28"/>
          <w:rtl w:val="true"/>
          <w:lang w:bidi="fa-IR"/>
        </w:rPr>
        <w:t>بانقضائها ، کما اختاره الحلّی</w:t>
      </w:r>
      <w:r>
        <w:rPr>
          <w:rStyle w:val="FootnoteAnchor"/>
          <w:rtl w:val="true"/>
        </w:rPr>
        <w:footnoteReference w:id="361"/>
      </w:r>
      <w:r>
        <w:rPr>
          <w:rFonts w:ascii="IRNazanin" w:hAnsi="IRNazanin" w:eastAsia="IRNazanin"/>
          <w:color w:val="111111"/>
          <w:sz w:val="28"/>
          <w:sz w:val="28"/>
          <w:szCs w:val="28"/>
          <w:rtl w:val="true"/>
          <w:lang w:bidi="fa-IR"/>
        </w:rPr>
        <w:t xml:space="preserve">نافلاً إیاه عن الشیخ ، خلافاً لما نقله </w:t>
      </w:r>
      <w:r>
        <w:rPr>
          <w:rStyle w:val="FootnoteAnchor"/>
          <w:rtl w:val="true"/>
        </w:rPr>
        <w:footnoteReference w:id="362"/>
      </w:r>
      <w:r>
        <w:rPr>
          <w:rFonts w:ascii="IRNazanin" w:hAnsi="IRNazanin" w:eastAsia="IRNazanin"/>
          <w:color w:val="111111"/>
          <w:sz w:val="28"/>
          <w:sz w:val="28"/>
          <w:szCs w:val="28"/>
          <w:rtl w:val="true"/>
          <w:lang w:bidi="fa-IR"/>
        </w:rPr>
        <w:t>عن المفید من أن انقضاءها بظهوره فیما إذا کان طلاقها فی أول طهرها، وبانقطاعه فیما إذا کان فی آخر 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فاختلفت الفتاوی کالنصوص فی کون المعتبر علامة للحیضة هل هی الصفات الأربع المذکورة علی وجه الاجتماع، من قبیل الخاصّة المرکّبة ، الدور الحیضة وجوداً و عدماً مدار اجتماعها معاً، بحیث یکون الأصل فی الفاقد الصفات والمنفرد بواحد منها عدم الحیضة إلا ما قام علیه دلیل ، کما فی الصفرة والکدرة فی أیّام العادة ونحوهما ممّا ثبت حیضته بإجماع أو نصّ، کما عن الأردبیلی </w:t>
      </w:r>
      <w:r>
        <w:rPr>
          <w:rStyle w:val="FootnoteAnchor"/>
          <w:rtl w:val="true"/>
        </w:rPr>
        <w:footnoteReference w:id="363"/>
      </w:r>
      <w:r>
        <w:rPr>
          <w:rFonts w:ascii="IRNazanin" w:hAnsi="IRNazanin" w:eastAsia="IRNazanin"/>
          <w:color w:val="111111"/>
          <w:sz w:val="28"/>
          <w:sz w:val="28"/>
          <w:szCs w:val="28"/>
          <w:rtl w:val="true"/>
          <w:lang w:bidi="fa-IR"/>
        </w:rPr>
        <w:t>والذخیرة</w:t>
      </w:r>
      <w:r>
        <w:rPr>
          <w:rStyle w:val="FootnoteAnchor"/>
          <w:rtl w:val="true"/>
        </w:rPr>
        <w:footnoteReference w:id="364"/>
      </w:r>
      <w:r>
        <w:rPr>
          <w:rFonts w:ascii="IRNazanin" w:hAnsi="IRNazanin" w:eastAsia="IRNazanin"/>
          <w:color w:val="111111"/>
          <w:sz w:val="28"/>
          <w:sz w:val="28"/>
          <w:szCs w:val="28"/>
          <w:rtl w:val="true"/>
          <w:lang w:bidi="fa-IR"/>
        </w:rPr>
        <w:t xml:space="preserve">والمدارک </w:t>
      </w:r>
      <w:r>
        <w:rPr>
          <w:rStyle w:val="FootnoteAnchor"/>
          <w:rtl w:val="true"/>
        </w:rPr>
        <w:footnoteReference w:id="365"/>
      </w:r>
      <w:r>
        <w:rPr>
          <w:rFonts w:ascii="IRNazanin" w:hAnsi="IRNazanin" w:eastAsia="IRNazanin"/>
          <w:color w:val="111111"/>
          <w:sz w:val="28"/>
          <w:sz w:val="28"/>
          <w:szCs w:val="28"/>
          <w:rtl w:val="true"/>
          <w:lang w:bidi="fa-IR"/>
        </w:rPr>
        <w:t xml:space="preserve">والحدائق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یکفی فی تحقّق الحیضة تحقّق صفة من تلک الصفات مطلقا، وکون اجتماعها معاً علامة غالبّیة لا دائمیّة حتی یعتبر اجتماعها علی وجه الخاصّة المرکّبة، لیکون الأصل فی الفاقد والمنفرد بإحدی الصفات هو الحیضة مالم یمتنع معه الحیضة شرعاً، لعدم البلوغ أو تجاوز الخمسین ، کما هو المشهور المستفیض علیه نقل الاجماع ونفی الخلاف؟</w:t>
      </w:r>
    </w:p>
    <w:p>
      <w:pPr>
        <w:pStyle w:val="BookText"/>
        <w:rPr/>
      </w:pPr>
      <w:r>
        <w:rPr>
          <w:rFonts w:ascii="IRNazanin" w:hAnsi="IRNazanin" w:eastAsia="IRNazanin"/>
          <w:color w:val="111111"/>
          <w:sz w:val="28"/>
          <w:sz w:val="28"/>
          <w:szCs w:val="28"/>
          <w:rtl w:val="true"/>
          <w:lang w:bidi="fa-IR"/>
        </w:rPr>
        <w:t>أم المدار فی الفاقد والمنفرد بصفة من الصفات علی مطلق الظنّ ولو حصل من غیر الصفات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بل أقوال من الجمع بین ما اجتمع فیها الصفات معاً وما لم یجتمع فیه الصفات من الأخبار المذکورة، بحمل المطلق علی المقیّد باجتماع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الجمع بین الأخبار بحمل المجتمع فیها الصفات علی الغالب ، وغیره علی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استقرار الشهرة المستفادة من تتّبع أخبار الباب واستقرائها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أصالة الحیضة فی کلّ ما أمکن الحیضة ، إلا ما خرج بنصّ أو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أحوط وإن کان فی الجملة لا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والأوسط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 مشهور و منصور ، کما سیأتی </w:t>
      </w:r>
      <w:r>
        <w:rPr>
          <w:rStyle w:val="FootnoteAnchor"/>
          <w:rtl w:val="true"/>
        </w:rPr>
        <w:footnoteReference w:id="367"/>
      </w:r>
      <w:r>
        <w:rPr>
          <w:rFonts w:ascii="IRNazanin" w:hAnsi="IRNazanin" w:eastAsia="IRNazanin"/>
          <w:color w:val="111111"/>
          <w:sz w:val="28"/>
          <w:sz w:val="28"/>
          <w:szCs w:val="28"/>
          <w:rtl w:val="true"/>
          <w:lang w:bidi="fa-IR"/>
        </w:rPr>
        <w:t xml:space="preserve">تحقیقه فی شرح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بین الثلاثة إلی العشرة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خلافا لظاهر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بالحیضة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وخلافاً الظاهر الأردبیلی فی الأول، حیث قال فی شرحه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فالمرجع حینئذ الظنّ بالصفات المذکورة لا مجرّد التطوّق ، وإلا فالمرجع الأصل، والاحتیاط واضح، وتحمل الروایة علی ذلک</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بمرجعیّة الظنّ عند التطوّق مرجعیّة الظنّ المطلق ولو حصل من غیر التطوّق فلا وجه له سوی القیاس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به مرجعیة الظن الخاص الحاصل من التطوق دون مجرد التطوق العاری عن الظت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عارضه صفات الحیضة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إلا أنه بعید مخالف لإطلاق النصوص والفتاوی بمرجعیة التطوق ، فهو المرجع علی الأقوی والأظهر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لما ذکره عدم المخالفة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لأجل ما ذکره الشهید </w:t>
      </w:r>
      <w:r>
        <w:rPr>
          <w:rStyle w:val="FootnoteAnchor"/>
          <w:rtl w:val="true"/>
        </w:rPr>
        <w:footnoteReference w:id="369"/>
      </w:r>
      <w:r>
        <w:rPr>
          <w:rFonts w:ascii="IRNazanin" w:hAnsi="IRNazanin" w:eastAsia="IRNazanin"/>
          <w:color w:val="111111"/>
          <w:sz w:val="28"/>
          <w:sz w:val="28"/>
          <w:szCs w:val="28"/>
          <w:rtl w:val="true"/>
          <w:lang w:bidi="fa-IR"/>
        </w:rPr>
        <w:t xml:space="preserve">من توجیه مخالفة المصنف والقواعد الأصحاب عدم مخالفتهما الأصحاب فی الحکم بحیضة المنغمس فیه القطنة، وأن ما ذکراه تابع و موافق للأصحاب من أن الأصل فی کلّ ما یمکن </w:t>
      </w:r>
    </w:p>
    <w:p>
      <w:pPr>
        <w:pStyle w:val="BookText"/>
        <w:rPr/>
      </w:pPr>
      <w:r>
        <w:rPr>
          <w:rFonts w:ascii="IRNazanin" w:hAnsi="IRNazanin" w:eastAsia="IRNazanin"/>
          <w:color w:val="111111"/>
          <w:sz w:val="28"/>
          <w:sz w:val="28"/>
          <w:szCs w:val="28"/>
          <w:rtl w:val="true"/>
          <w:lang w:bidi="fa-IR"/>
        </w:rPr>
        <w:t>الحیضة الحیضة، وأن عدم حکمهما بالحیضة تصریحاً لأجل الاتّکال علی وضوح الحکم بها، علی فرض انحصار الاشتباه و دوران العلم الإجمالی بینها و بین العذرة المنتفیة بانتفاء ممیزّها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ذکراه تبعا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عدم مخالفتهما الأصحاب وأن ما ذکراه موافق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فإطلاق النصوص والفتاوی بحیضة المنغمس فیه القطنة مبنیّ علی أصالة الحیضة فی کل ما أمکن الحیضة ، کما علیها أکثر الأصحاب ، وإلا فلابد من حمل إطلاقها علی صورة انحصار الاشتباه والعلم الاجمالی فیما بین الحیضّ والعذرة المنتفیة بانتفاء ممیزّها بالفرض، کما هو مورد النصوص سیّما الرضویّ</w:t>
      </w:r>
      <w:r>
        <w:rPr>
          <w:rStyle w:val="FootnoteAnchor"/>
          <w:rtl w:val="true"/>
        </w:rPr>
        <w:footnoteReference w:id="370"/>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لعدم اعتبار الجانب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عدم اعتباره بعد فرض النصّ علی اعتباره إن کان من جهة اختلاف نسخ النصّ المعتبر له، بناءً علی اتحاد النصّ المعتبر له، وکون الخلاف فی تعیین نسخته من حیث اشتباه الصحیح بالغلط فیها ، کما یقتضیه أصالة عدم تعدّد النصّ الدائر بین التعدّد وعدمه ، وکما عن المعتبر </w:t>
      </w:r>
      <w:r>
        <w:rPr>
          <w:rStyle w:val="FootnoteAnchor"/>
          <w:rtl w:val="true"/>
        </w:rPr>
        <w:footnoteReference w:id="371"/>
      </w:r>
      <w:r>
        <w:rPr>
          <w:rFonts w:ascii="IRNazanin" w:hAnsi="IRNazanin" w:eastAsia="IRNazanin"/>
          <w:color w:val="111111"/>
          <w:sz w:val="28"/>
          <w:sz w:val="28"/>
          <w:szCs w:val="28"/>
          <w:rtl w:val="true"/>
          <w:lang w:bidi="fa-IR"/>
        </w:rPr>
        <w:t>وغیره</w:t>
      </w:r>
      <w:r>
        <w:rPr>
          <w:rStyle w:val="FootnoteAnchor"/>
          <w:rtl w:val="true"/>
        </w:rPr>
        <w:footnoteReference w:id="372"/>
      </w:r>
      <w:r>
        <w:rPr>
          <w:rFonts w:ascii="IRNazanin" w:hAnsi="IRNazanin" w:eastAsia="IRNazanin"/>
          <w:color w:val="111111"/>
          <w:sz w:val="28"/>
          <w:sz w:val="28"/>
          <w:szCs w:val="28"/>
          <w:rtl w:val="true"/>
          <w:lang w:bidi="fa-IR"/>
        </w:rPr>
        <w:t>القدح فیه بأنه مضطرب المتن، وأن کثیراً من نسخ التهذیب موافقة للکافی ، فلا ریب فی کون الشهرة المفروضة من أقوی المعینات المعتبرة فی تعیین المشتبهات ، کما هی من أقوی المعیّنات المعتبرة فی تمییز المشترکات ونحوها فی علم الرجال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من جهة اختلاف النصّ و تعارض النصین فی اعتبار أیّ الجانبین ، </w:t>
      </w:r>
    </w:p>
    <w:p>
      <w:pPr>
        <w:pStyle w:val="BookText"/>
        <w:rPr/>
      </w:pPr>
      <w:r>
        <w:rPr>
          <w:rFonts w:ascii="IRNazanin" w:hAnsi="IRNazanin" w:eastAsia="IRNazanin"/>
          <w:color w:val="111111"/>
          <w:sz w:val="28"/>
          <w:sz w:val="28"/>
          <w:szCs w:val="28"/>
          <w:rtl w:val="true"/>
          <w:lang w:bidi="fa-IR"/>
        </w:rPr>
        <w:t xml:space="preserve">کما یقتضیه أصالة صحّة النسختین وعدم الغلطیّة فی البین ، فمن البیّن کون الشهرة المفروضة من أقوی المرجّحات السندیّة المنصوصة للمتعارضین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جهة مخالفة النصّ الاعتبار ، من جهة أن القرحة تکون فی کلّ من الجانبین ، فیدفع بما فی الشرح من أنه غیر مسموع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جهة ضعف سند النصّ المعتبر للجانب أو دلالته فمن المقرر عندنا معاشر المشهور فی محلّه کون الشهرة المفروضة جابرة لموردها، وموهنة الخلاف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لعدم اعتبار الجانب بعد فرض النصّ المشهور علی اعتباره، علی جمیع التقادیر الموهمة لعدّم اعتباره، مضافاً إلی شهادة الاعتبار والاختبار علی الاعتبار ، سیّما علی کون الشهرة المذکورة کاشفة کشفاً قطعیّاً ولو عن روایة مظنونة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ویرجّحه أیضاً ما فی الفقیه </w:t>
      </w:r>
      <w:r>
        <w:rPr>
          <w:rStyle w:val="FootnoteAnchor"/>
          <w:rtl w:val="true"/>
        </w:rPr>
        <w:footnoteReference w:id="373"/>
      </w:r>
      <w:r>
        <w:rPr>
          <w:rFonts w:ascii="IRNazanin" w:hAnsi="IRNazanin" w:eastAsia="IRNazanin"/>
          <w:color w:val="111111"/>
          <w:sz w:val="28"/>
          <w:sz w:val="28"/>
          <w:szCs w:val="28"/>
          <w:rtl w:val="true"/>
          <w:lang w:bidi="fa-IR"/>
        </w:rPr>
        <w:t>وغیره</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استبراء المرأة تلصق بطنها بالحائط وترفع رجلها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الکلب إذا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قطنة، فإن خرج فیها دم فهی حائض، وإن لم یخرج فلیست بحائض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یشعر أیضاً بکون الحیض من الأیسر، إلا أنّه معارض أیضاً بما فی موثّقة علیّ بن إبراهیم </w:t>
      </w:r>
      <w:r>
        <w:rPr>
          <w:rStyle w:val="FootnoteAnchor"/>
          <w:rtl w:val="true"/>
        </w:rPr>
        <w:footnoteReference w:id="375"/>
      </w:r>
      <w:r>
        <w:rPr>
          <w:rFonts w:ascii="IRNazanin" w:hAnsi="IRNazanin" w:eastAsia="IRNazanin"/>
          <w:color w:val="111111"/>
          <w:sz w:val="28"/>
          <w:sz w:val="28"/>
          <w:szCs w:val="28"/>
          <w:rtl w:val="true"/>
          <w:lang w:bidi="fa-IR"/>
        </w:rPr>
        <w:t>من اعتبار رفع رجلها الیمنی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بناء ًعلی اعتبار الجانب فهل یعتبر ذلک فی الحیض مطلقا کما هو ظاهر المصنف فی الشرائع </w:t>
      </w:r>
      <w:r>
        <w:rPr>
          <w:rStyle w:val="FootnoteAnchor"/>
          <w:rtl w:val="true"/>
        </w:rPr>
        <w:footnoteReference w:id="376"/>
      </w:r>
      <w:r>
        <w:rPr>
          <w:rFonts w:ascii="IRNazanin" w:hAnsi="IRNazanin" w:eastAsia="IRNazanin"/>
          <w:color w:val="111111"/>
          <w:sz w:val="28"/>
          <w:sz w:val="28"/>
          <w:szCs w:val="28"/>
          <w:rtl w:val="true"/>
          <w:lang w:bidi="fa-IR"/>
        </w:rPr>
        <w:t>، أو فی خصوص الاشتباه بالقرحة کما هو ظاهره هنا ؟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 الخارج من الأیمن حال عدم وجود القرحة، فإنّه لا یحکم بالحیضة علی الأوّل ،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الأوّلی الأوّل </w:t>
      </w:r>
    </w:p>
    <w:p>
      <w:pPr>
        <w:pStyle w:val="BookText"/>
        <w:rPr/>
      </w:pPr>
      <w:r>
        <w:rPr>
          <w:rFonts w:ascii="IRNazanin" w:hAnsi="IRNazanin" w:eastAsia="IRNazanin"/>
          <w:color w:val="111111"/>
          <w:sz w:val="28"/>
          <w:sz w:val="28"/>
          <w:szCs w:val="28"/>
          <w:rtl w:val="true"/>
          <w:lang w:bidi="fa-IR"/>
        </w:rPr>
        <w:t>وفاقاً للجواهر</w:t>
      </w:r>
      <w:r>
        <w:rPr>
          <w:rStyle w:val="FootnoteAnchor"/>
          <w:rtl w:val="true"/>
        </w:rPr>
        <w:footnoteReference w:id="377"/>
      </w:r>
      <w:r>
        <w:rPr>
          <w:rFonts w:ascii="IRNazanin" w:hAnsi="IRNazanin" w:eastAsia="IRNazanin"/>
          <w:color w:val="111111"/>
          <w:sz w:val="28"/>
          <w:sz w:val="28"/>
          <w:szCs w:val="28"/>
          <w:rtl w:val="true"/>
          <w:lang w:bidi="fa-IR"/>
        </w:rPr>
        <w:t xml:space="preserve">، من الأخذ بظاهر الروایة المتقدّمة، واحتمال اختصاصها بذات القرحة بعید، وکون السؤال فیها عن ذلک لا یقضی بالاختصاص، لمکان ظهورها فی کون ذلک من لوازم الحیضة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 علی التقیّة ، أو إرادة بیان الغلبة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الوسائل محامل أخر،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قصور الدم عن أقلّ الحیض ، أو اختلال بعض شرائطه، أو علی کونه حکماً منسوخ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لنقله عن النبی صلی الله علیه وآله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المخالفة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عدم منافاة حمل هذا الخبر المفصّل علی التقیّة، مع حمل الخبر المطلق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عدم الحیض مع الحمل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إما بناءً علی تعدّد آراء العامّة وفتواهم فی المسألة، کما هو ظاهر نسبة الوسائل </w:t>
      </w:r>
      <w:r>
        <w:rPr>
          <w:rStyle w:val="FootnoteAnchor"/>
          <w:rtl w:val="true"/>
        </w:rPr>
        <w:footnoteReference w:id="379"/>
      </w:r>
      <w:r>
        <w:rPr>
          <w:rFonts w:ascii="IRNazanin" w:hAnsi="IRNazanin" w:eastAsia="IRNazanin"/>
          <w:color w:val="111111"/>
          <w:sz w:val="28"/>
          <w:sz w:val="28"/>
          <w:szCs w:val="28"/>
          <w:rtl w:val="true"/>
          <w:lang w:bidi="fa-IR"/>
        </w:rPr>
        <w:t xml:space="preserve">القول بعدم اجتماع الحیض والحبل مطلقا إلی أکثر فقهائهم وأشهر 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بناءً علی القول بعدم انحصار التقنیة فی موافقة العامّة فی أصل الفتوی ، و تحققها أیضاً فی مشابهة العامّة فی کیفیّة الفتوی بالتعدّد و اختلاف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التعلیلات الواردة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الشهرة والاستفاضة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تلک التعلیلات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الحبلی قد تقذف الدم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الدالّ علی تقلیل اجتماع الحیض ، وغلبة عدم اجتماعها معه، بحیث لا یصلح النادر القلیل للاهتمام فی تخصیصه بالخبر المفصل الدالّ علی القول الرابع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قد یتوهّم من الفقیه</w:t>
      </w:r>
      <w:r>
        <w:rPr>
          <w:rStyle w:val="FootnoteAnchor"/>
          <w:rtl w:val="true"/>
        </w:rPr>
        <w:footnoteReference w:id="381"/>
      </w:r>
      <w:r>
        <w:rPr>
          <w:rFonts w:ascii="IRNazanin" w:hAnsi="IRNazanin" w:eastAsia="IRNazanin"/>
          <w:color w:val="111111"/>
          <w:sz w:val="28"/>
          <w:sz w:val="28"/>
          <w:szCs w:val="28"/>
          <w:rtl w:val="true"/>
          <w:lang w:bidi="fa-IR"/>
        </w:rPr>
        <w:t>والمقنع</w:t>
      </w:r>
      <w:r>
        <w:rPr>
          <w:rStyle w:val="FootnoteAnchor"/>
          <w:rtl w:val="true"/>
        </w:rPr>
        <w:footnoteReference w:id="382"/>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یتوهّم 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دلالة مجرّد الأمر بترک الصلاة فی أیّام الدم الخمسة أو الأقلّ، وفعل الصلاة فی أیّام الطهر الخمسة أو الستّة الذی هو مظنون الخبرین</w:t>
      </w:r>
      <w:r>
        <w:rPr>
          <w:rStyle w:val="FootnoteAnchor"/>
          <w:rtl w:val="true"/>
        </w:rPr>
        <w:footnoteReference w:id="384"/>
      </w:r>
      <w:r>
        <w:rPr>
          <w:rFonts w:ascii="IRNazanin" w:hAnsi="IRNazanin" w:eastAsia="IRNazanin"/>
          <w:color w:val="111111"/>
          <w:sz w:val="28"/>
          <w:sz w:val="28"/>
          <w:szCs w:val="28"/>
          <w:rtl w:val="true"/>
          <w:lang w:bidi="fa-IR"/>
        </w:rPr>
        <w:t>، علی حصول الطهر بأقلّ من العشرة، لعدم الملازمة بین فعل الصلاة فی أقل من العشرة وحصول الطهر فیه ، ومن الاحتیاط عند اشتباه الحیض بالطهر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فلقرینة تصریح الفقیه</w:t>
      </w:r>
      <w:r>
        <w:rPr>
          <w:rStyle w:val="FootnoteAnchor"/>
          <w:rtl w:val="true"/>
        </w:rPr>
        <w:footnoteReference w:id="385"/>
      </w:r>
      <w:r>
        <w:rPr>
          <w:rFonts w:ascii="IRNazanin" w:hAnsi="IRNazanin" w:eastAsia="IRNazanin"/>
          <w:color w:val="111111"/>
          <w:sz w:val="28"/>
          <w:sz w:val="28"/>
          <w:szCs w:val="28"/>
          <w:rtl w:val="true"/>
          <w:lang w:bidi="fa-IR"/>
        </w:rPr>
        <w:t>وغیره قبل هذین الخبرین بأنّ أقلّ الطهر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فلتصریح الشیخ </w:t>
      </w:r>
      <w:r>
        <w:rPr>
          <w:rStyle w:val="FootnoteAnchor"/>
          <w:rtl w:val="true"/>
        </w:rPr>
        <w:footnoteReference w:id="386"/>
      </w:r>
      <w:r>
        <w:rPr>
          <w:rFonts w:ascii="IRNazanin" w:hAnsi="IRNazanin" w:eastAsia="IRNazanin"/>
          <w:color w:val="111111"/>
          <w:sz w:val="28"/>
          <w:sz w:val="28"/>
          <w:szCs w:val="28"/>
          <w:rtl w:val="true"/>
          <w:lang w:bidi="fa-IR"/>
        </w:rPr>
        <w:t>بعد نقل الخبرین بالتأویل المذکور فیها ، فلا</w:t>
      </w:r>
    </w:p>
    <w:p>
      <w:pPr>
        <w:pStyle w:val="BookText"/>
        <w:rPr/>
      </w:pPr>
      <w:r>
        <w:rPr>
          <w:rFonts w:ascii="IRNazanin" w:hAnsi="IRNazanin" w:eastAsia="IRNazanin"/>
          <w:color w:val="111111"/>
          <w:sz w:val="28"/>
          <w:sz w:val="28"/>
          <w:szCs w:val="28"/>
          <w:rtl w:val="true"/>
          <w:lang w:bidi="fa-IR"/>
        </w:rPr>
        <w:t>مجال لتوهّم خلاف ذلک فی کلامهم بعد تلک القرینة والتصریح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فسّر به المصنف کلام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المصنف إنما صدّق بتفسیر الشیخ لا أنه فسّر کلامه ، فإن الوسائل بعد ما نقل التفسیر المذکور عن الشیخ نقل عن المصنف فی المعتبر تصدیقه 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تأویل لا بأس به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لا یکون أقل من عشرة أیّام،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ولکن هذا لیس بطهر علی الیقین ولا حیضاً ، بل هو دم مشتبه ، فعمل فیه بالاحتیاط</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تبادره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التبادر مبنیّ علی ما قیل من الفرق بین ما یکون الزمان والمدّة ظرفاً لما من شأنه الاستمرار ، کالجلوس فی المسجد ثلاثة أیّام، وأمطرنا ثلاثة أیّام، وسال المیزاب ثلاثة أیام، وجری الوادی ثلاثة أیّام، وحم فلان ثلاثة أیام، و مشی ثلاثة أیّام، ونام ثلاثة أیّام، ومنه الحیض ثلاثة أیّام، فیتبادر منه التوالی، وبین ما یکون الزمان والمدة ظرفاً لمّا لیس من شأنه الاستمرار ، کما لو نذر صوم ثلاثة أیام، فلا یتبادر منه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ثبوت الفرق المذکور یندفع مقایسة مفاد أقلّ الحیض ثلاثة أیاّم بمفاد الصوم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ضعف هذا الأصل من وجوه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وجوه الضعف کون استصحاب شغل الذمّة بالصلاة ونحوه من الاستصحابات التعلیقیة المعلّقة علی دخول الوقت والخلوّ من الحیض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أصالة عدم الحیضة فی الدم غیر المتوالی بأصالة عدم الاستحاضة وعدم تعلّق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أیضاً بأصل لفظیّ وارد علیه وعلی سائر الأصول العملیّة ، وهو أصالة عدم اشتراط التوالی، وعدم تقیید إطلاق أقلّ الحیض ثلاثة وإطلاق أدلّة الصفات بالتوالی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یضعّف الأوّل بما قرر فی محلّه من حجّیة الاستصحاب التعلیقی ، وعدم معارضته باستصحاب البراءة، وعدم ثبوت ما یترتّب علیه ، لفرض تقدّمه علی ما یعارضه بعد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سلّمنا عدم حجیته ومعارضته بمثله کفانا سلامة أصالة عدم الحیضة ، وعدم حدوث الحدث المانع من الصلاة ، الذی هو من الأصول الموضوعیّة المقدّمة علی الأصل فی الأحکام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الثانی بأنه إن قلنا بثبوت الواسطة بین الحیض والاستحاضة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یستفاد من کلام بعض ، کما سیجیء فی باب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تنافی بین </w:t>
      </w:r>
    </w:p>
    <w:p>
      <w:pPr>
        <w:pStyle w:val="BookText"/>
        <w:rPr/>
      </w:pPr>
      <w:r>
        <w:rPr>
          <w:rFonts w:ascii="IRNazanin" w:hAnsi="IRNazanin" w:eastAsia="IRNazanin"/>
          <w:color w:val="111111"/>
          <w:sz w:val="28"/>
          <w:sz w:val="28"/>
          <w:szCs w:val="28"/>
          <w:rtl w:val="true"/>
          <w:lang w:bidi="fa-IR"/>
        </w:rPr>
        <w:t>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الواسطة بینهما فی دم لم یعلم أنه نفاس أو قرحة أو عذرة فأصالة عدم الحیضة حاکمة علی أصالة عدم الاستحاضة أیضاً، لأن المستفاد من الفتاوی والنصوص أن کلّ دم لم یحکم علیه بالحیض شرعاً ولم یعلم أنه لقرحة أو نحوها فهو محکوم علیه بأحکام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انتفی کونه حیضا بحکم الأصل تعیّن کونه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السرّ فی تقدّم أصالة عدم الحیضة علی أصالة عدم الاستحاضة کون حدث الحیض مانعاً من العبادة ، فتکون الآثار المترتّبة علیه أکثر ممّا یترتّب علی ما یعارضه من أصالة عدم الاستحاضة، فیتقدّم من الأصول المتعارضة ذو الأثر الکثیر علی ذی القلیل ، کما یتقدّم ذو الأثر علی غیر ذیّ الأثر، کتقّدم أصالة عدم بولیة البلل المشتبه بعد الاستبراء علی أصالة عدم المذّی والوذی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التأمّل فیما ذکرنا یظهر الجواب عن توهّم مثبتیة أصالة عدم الحیض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کون أصالة عدم الحیضة فی غیر المتوالی من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عدم ناقضیة سائر 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موضوعیّاً سلیماً عمّا یوهم المعارضة له من سائر الأصول الحکمیّة والموضوعیّة، ومقدّماً علیها إلا علی أصالة عدم اشتراط التوالی، وعدم تقیید إطلاق أقلّ الحیض ثلاثة، وعدم تقیید إطلاق أدلّة الوصف ، فإنّ هذا الأصل علی تقدّیر تحقّقه أصل لفظی ودلیل اجتهادی مقدّم علیه البتّة ، وإن تأمّل شیخنا العلامة فی تحقّقه من جهة التأمّل فی تحقّق الإطلاق المذکور ووروده مورد بیان حکم آخر، ولکنّه خلاف الظاهر والأصل المقرّر من أصالة الإطلاق وغلبة البیان إلی أن یثبت التقیید والاجمال والانصراف بمثبت معلوم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الکلام بالأخرة إلی ما قاله السیّد الشارح من عدم أصل عملیّ یقتضی عدم حیضة الدم غیر المتوالی واعتبار التوالی فیه ، بل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أصالة عدم التقیید والاشتراط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الدلیل علی اعتباره فی التبادر والنص</w:t>
      </w:r>
      <w:r>
        <w:rPr>
          <w:rStyle w:val="FootnoteAnchor"/>
          <w:rtl w:val="true"/>
        </w:rPr>
        <w:footnoteReference w:id="388"/>
      </w:r>
      <w:r>
        <w:rPr>
          <w:rFonts w:ascii="IRNazanin" w:hAnsi="IRNazanin" w:eastAsia="IRNazanin"/>
          <w:color w:val="111111"/>
          <w:sz w:val="28"/>
          <w:sz w:val="28"/>
          <w:szCs w:val="28"/>
          <w:rtl w:val="true"/>
          <w:lang w:bidi="fa-IR"/>
        </w:rPr>
        <w:t>الرضوی و الشهرة المحققة، وبها الکفایة حجة ومخصصة للأصل المذکور، إن لم یکتف بکل منها حجة ومخصصة له برأسه ،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الثانی یتوقّف صحّته علی ما لو ذهب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توالی الثلاثة من النص یتوقّف صحّته وثمرته فی إبطال حیضة الثلاثة المتفرّقة علی ما لو قال الخصم معها بأن النقاء المتخلّل بینها طهر، فإن ثلاثة الحیض حینئذ هی الدماء المتفرقة، وظاهر النصّ اعتبار توالیها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قال بأن الدماء المتفرّقة مع النقاء المتختل مجموعها حیض من جهة أن الطهر لا یکون أقلّ من عشرة مطلقا، فلا یبطله تبادر توالی ثلاثة أیّام أقلّ الحیض ، لأنّ هذا المجموع لیس أقل الحیض ، بل لا یکون ذلک من الأقل، وإنما الأقل حینئذ منحصر فی ثلاثة أیّام الدم المتوالیة ، فلا مانع من الحکم بحیضة الثلاثة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هذا الإیراد بأن التحدید بالثلاثة فی النصّ والفتوی ظاهراً إنما هو اللحیض الدمی لا الحکمی، فالخلاف إنما هو فی أن أقلّ زمان دم الحیض هو الثلاثة المتوالیة أو مطلق الثلاثة فی جملة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اندفع هذا الإیراد عن تبادر التوالی من أقلّ الحیض ثلاثة، کذلک یندفع النقض الآخر عنه، وهو أنّه لو کان التوالی مراداً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الحیض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مراد أیضاً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اعتباره فی تحقّق الأکثریّة قطعاً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دفعه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بذلک فی العشرة أیضاً لولا الصارف من الدلیل </w:t>
      </w:r>
    </w:p>
    <w:p>
      <w:pPr>
        <w:pStyle w:val="BookText"/>
        <w:rPr/>
      </w:pPr>
      <w:r>
        <w:rPr>
          <w:rFonts w:ascii="IRNazanin" w:hAnsi="IRNazanin" w:eastAsia="IRNazanin"/>
          <w:color w:val="111111"/>
          <w:sz w:val="28"/>
          <w:sz w:val="28"/>
          <w:szCs w:val="28"/>
          <w:rtl w:val="true"/>
          <w:lang w:bidi="fa-IR"/>
        </w:rPr>
        <w:t>الخارجی القائم علی تنزیل الشارع النقاء بین الدمین فی العشرة منزلة الدم ، وإلحاق حکمه به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یندفع إیراد آخر ثالث عن تبادر التوالی، بأن تبادره إنما یتمّ المطلوب لو کان التوالی قیداً لأقلّ الحیض، وکما یحتمله کذلک یحتمل کونه قیداً لأقلّ ما یتحقّق به الحیض من الزمان لا لأقلّ نفس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یحتمله النصّ کذلک یحتمله عبارة المشهور المفتین به ، فیرجع الخلاف بینهم فی اعتبار التوالی وعدمه إلی الخلاف فی اللفظ لا المعنی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الاحتمال المذکور خلاف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الحیض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فی فتوی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التوالی قیدأ لأقلّ الحیض لا لأقلّ ما یتحقّق به ، مضافاً إلی أن اللازم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النزاع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 ملزومه جدّاً، وخلاف الظاهر من دأب العلماء قطعاً ، سیّما مع تصریح جملة منهم بکونه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المرویّ فی المرسل أنه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الکلینی عن علیّ بن إبراهیم، عن أبیه ، عن إسماعیل بن مرّار ، عن یونس، عن بعض رجاله ،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الطهر عشرة أیّام، وذلک أن المرأة أوّل ما تحیض ربما کانت کثیرة الدم، ویکون حیضها عشرة أیام، فلا تزال کلّما کبرت نقصت حتّی یرجع إلی ثلاثة أیام، فإذا رجعت إلی ثلاثة أیّام ارتفع حیضها، ولا یکون أقلّ من ثلاثة أیّام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رأت المرأة الدم فی حیضها ترکت الصلاة، فإذا استمرّ بها الدم ثلاثة أیّام فهی حائض، وإن انقطع الدم بعد ما رأته یوما أو یومین اغتسلت وصلت، وانتظرت من یوم رأت الدم إلی عشرة أیّام، فإن رأت فی تلک العشرة أیام من یوم رأت الدم یوما أو یومین حتی یتم لها ثلاثة أیام، فذلک الذی رأته فی أول </w:t>
      </w:r>
    </w:p>
    <w:p>
      <w:pPr>
        <w:pStyle w:val="BookText"/>
        <w:rPr/>
      </w:pPr>
      <w:r>
        <w:rPr>
          <w:rFonts w:ascii="IRNazanin" w:hAnsi="IRNazanin" w:eastAsia="IRNazanin"/>
          <w:color w:val="111111"/>
          <w:sz w:val="28"/>
          <w:sz w:val="28"/>
          <w:szCs w:val="28"/>
          <w:rtl w:val="true"/>
          <w:lang w:bidi="fa-IR"/>
        </w:rPr>
        <w:t>الأمر مع هذا الذی رأته بعد ذلک فی العشرة فهو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مر بها یوم رأت عشرة أیّام ولم تر الدم، فذلک الیوم والیومان الذی رأته لم یکن من الحیض، إنّما کان من علّة، إما قرحة فی جوفها، وإما من الجوف، فعلیها أن تعید الصلاة تلک الیومین التی ترکتها، لأنها لم تکن حائضاً، فیجب أن تقضی ما ترکته من الصلاة فی الیوم والیومین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 لها ثلاثة أیّام فهو من الحیض، وهو أدنیّ الحیض، ولم یجب علیها القضاء، ولا یکون الطهّر أقلّ من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حاضت المرأة وکان حیضها خمسة أیّام، ثمّ انقطع الدم اغتسلت وصلت، فإنّ رأت بعد ذلک الدم ولم یتمّ لها من یوم طهرت عشرة أیّام فذلک من الحیض تدع الصلاة، وإن رأت الدم من أول ما رأت الثانی الذی رأته تمام العشرة أیّام ودام علیها، عدت من أوّل ما رأت الدم الأول والثانی عشرة أیّام، ثمّ هی مستحاضة تعمل ما تعمله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رأت المرأة فی أیّام حیضها من صفرة أو حمرة فهو من الحیض، وکلّ ما رأته بعد أیام حیضها فلیس من الحیض </w:t>
      </w:r>
      <w:r>
        <w:rPr>
          <w:rStyle w:val="FootnoteAnchor"/>
          <w:rtl w:val="true"/>
        </w:rPr>
        <w:footnoteReference w:id="3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الحدیث الشریف بطوله لاشتماله علی عمد أحکام الحیض، وتنبیهاً علی وقوع بعض السقط بنقله فی أکثر النسخ، ودلالته علی التلفیق بالصراحة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رأت فی تلک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وبالإطلاق فی غیره من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 ، لعدم معارضته بعد إرساله لما تقدّم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تضعیفه بضعف الدلالّة فمما لم یحتمله أحد، لمّا عرفت من دلالته علی التلفیق بالصراحة القاطعة ، لأصالة عدم الحیضة ، ولعموم ما دل ّعلی </w:t>
      </w:r>
    </w:p>
    <w:p>
      <w:pPr>
        <w:pStyle w:val="BookText"/>
        <w:rPr/>
      </w:pPr>
      <w:r>
        <w:rPr>
          <w:rFonts w:ascii="Amiri" w:hAnsi="Amiri" w:eastAsia="Amiri" w:cs="Amiri"/>
          <w:color w:val="111111"/>
          <w:sz w:val="28"/>
          <w:sz w:val="28"/>
          <w:szCs w:val="28"/>
          <w:rtl w:val="true"/>
          <w:lang w:bidi="ar-SA"/>
        </w:rPr>
        <w:t xml:space="preserve">وجوب الصلاة والصوم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تضعیفه بالطعن فی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یعقوب الکلینی، فهو أجلّ من أن یمدح فی إتقان الضبط وصحة النقل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بن إبراهیم الذی یروی عنه الکلینی غالباً فهو کالکلینی، صرّح أهل الرجال بأنه ثقة فی الحدیث ، ثبت معتمد ، له کتب ، صحیح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أبوه إبراهیم بن هاشم ، فصرحوا أیضاً بأنه کوفیّ کثیر الروایة، تلمیذ یونس بن عبد الرحمن من أصحاب الرضا، انتقل إلی قم، وأول مَن نشر حدیث الکوفیین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الکفایة فی جلالته ، وإن لم یصرح الکثیر من أهل الرجال بمدح ولاقدح فیه ، إلاّ أن کثرة الروایات عنه وسکون القمّیین إلیه مع إفراطهم فی القدح أقوی شاهد علی قبول روایته ، کما صرّح به العلاّمة </w:t>
      </w:r>
      <w:r>
        <w:rPr>
          <w:rStyle w:val="FootnoteAnchor"/>
          <w:rtl w:val="true"/>
        </w:rPr>
        <w:footnoteReference w:id="390"/>
      </w:r>
      <w:r>
        <w:rPr>
          <w:rFonts w:ascii="IRNazanin" w:hAnsi="IRNazanin" w:eastAsia="IRNazanin"/>
          <w:color w:val="111111"/>
          <w:sz w:val="28"/>
          <w:sz w:val="28"/>
          <w:szCs w:val="28"/>
          <w:rtl w:val="true"/>
          <w:lang w:bidi="fa-IR"/>
        </w:rPr>
        <w:t xml:space="preserve">فی الخلاصة ، بل وصحة حدیثه کما عن البهائی </w:t>
      </w:r>
      <w:r>
        <w:rPr>
          <w:rStyle w:val="FootnoteAnchor"/>
          <w:rtl w:val="true"/>
        </w:rPr>
        <w:footnoteReference w:id="391"/>
      </w:r>
      <w:r>
        <w:rPr>
          <w:rFonts w:ascii="IRNazanin" w:hAnsi="IRNazanin" w:eastAsia="IRNazanin"/>
          <w:color w:val="111111"/>
          <w:sz w:val="28"/>
          <w:sz w:val="28"/>
          <w:szCs w:val="28"/>
          <w:rtl w:val="true"/>
          <w:lang w:bidi="fa-IR"/>
        </w:rPr>
        <w:t>ووالده</w:t>
      </w:r>
      <w:r>
        <w:rPr>
          <w:rStyle w:val="FootnoteAnchor"/>
          <w:rtl w:val="true"/>
        </w:rPr>
        <w:footnoteReference w:id="392"/>
      </w:r>
      <w:r>
        <w:rPr>
          <w:rFonts w:ascii="IRNazanin" w:hAnsi="IRNazanin" w:eastAsia="IRNazanin"/>
          <w:color w:val="111111"/>
          <w:sz w:val="28"/>
          <w:sz w:val="28"/>
          <w:szCs w:val="28"/>
          <w:rtl w:val="true"/>
          <w:lang w:bidi="fa-IR"/>
        </w:rPr>
        <w:t xml:space="preserve">والمجلسی </w:t>
      </w:r>
      <w:r>
        <w:rPr>
          <w:rStyle w:val="FootnoteAnchor"/>
          <w:rtl w:val="true"/>
        </w:rPr>
        <w:footnoteReference w:id="393"/>
      </w:r>
      <w:r>
        <w:rPr>
          <w:rFonts w:ascii="IRNazanin" w:hAnsi="IRNazanin" w:eastAsia="IRNazanin"/>
          <w:color w:val="111111"/>
          <w:sz w:val="28"/>
          <w:sz w:val="28"/>
          <w:szCs w:val="28"/>
          <w:rtl w:val="true"/>
          <w:lang w:bidi="fa-IR"/>
        </w:rPr>
        <w:t>وصاحب الحدائق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إسماعیل بن مرار، فبواسطته وإن طعن السند فی الذخیرة</w:t>
      </w:r>
      <w:r>
        <w:rPr>
          <w:rStyle w:val="FootnoteAnchor"/>
          <w:rtl w:val="true"/>
        </w:rPr>
        <w:footnoteReference w:id="395"/>
      </w:r>
      <w:r>
        <w:rPr>
          <w:rFonts w:ascii="IRNazanin" w:hAnsi="IRNazanin" w:eastAsia="IRNazanin"/>
          <w:color w:val="111111"/>
          <w:sz w:val="28"/>
          <w:sz w:val="28"/>
          <w:szCs w:val="28"/>
          <w:rtl w:val="true"/>
          <w:lang w:bidi="fa-IR"/>
        </w:rPr>
        <w:t xml:space="preserve">بأنّه غیر موثّق ولا ممدوح ، وفی الوجیزة بعده فی المجاهیل، وفی غیره من کتب الرجال بعدم مدح ولا قدح ، إلاّ أنّ عدم الوقوف علی قدحه من أهل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من مثل القمیین المفرطین فی القدح بأدنیّ شائبة ، والمسرعین فی الاتهام بأدنی 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فی عدم قدح مثله ممّن هو من تلامذة یونس بن عبد الرحمن، ویروی </w:t>
      </w:r>
    </w:p>
    <w:p>
      <w:pPr>
        <w:pStyle w:val="BookText"/>
        <w:rPr/>
      </w:pPr>
      <w:r>
        <w:rPr>
          <w:rFonts w:ascii="IRNazanin" w:hAnsi="IRNazanin" w:eastAsia="IRNazanin"/>
          <w:color w:val="111111"/>
          <w:sz w:val="28"/>
          <w:sz w:val="28"/>
          <w:szCs w:val="28"/>
          <w:rtl w:val="true"/>
          <w:lang w:bidi="fa-IR"/>
        </w:rPr>
        <w:t>عن مثل یونس، ویروی عنه مثل إبراهیم بن هاشم ، الذی نقل أنه أول مَن نشر أحادیث الکوفیین بقم، فإن سکون القمّیین إلی روایته یستلزم سکونهم إلی روایة من یروی عنه ، خصوصاً بملاحظة أن الصدوق نقل عن شیخه ابن الولید أن ما تفرد به محمد بن عیسی من کتب یونس وحدیثه لا یعتمد علیه، لمجرد اتّهامه بالغلو، مع أنّه مَن أجل من روی عن یونس، ولم ینقل ذلک فی غیره من تلامذة یونس ومن روی عنه کإسماعیل بن مرار ومحمد بن سندی ، فإن مجرّد مثل ذلک کافی فی قبول روایة إسماعیل بن مرّار، خصوصاً علی ما نحن علیه معاشر المشهور من حجّیة مطلق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یونس بن عبدالرحمن، فهو من أجل مَن أجمعت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تضعیف السند بإرساله فی الریاض تبعاً للذخیرة فلعلّه من جهة اشتباهه بیونس بن یعقوب، کما وقع ذلک صریحاً فی نسخ الجواهر</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وهو اشتباه واضح ، لتقویة جملة منهم إیّاه ، وجوابهم عن إرساله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الجواهر </w:t>
      </w:r>
      <w:r>
        <w:rPr>
          <w:rStyle w:val="FootnoteAnchor"/>
          <w:rtl w:val="true"/>
        </w:rPr>
        <w:footnoteReference w:id="397"/>
      </w:r>
      <w:r>
        <w:rPr>
          <w:rFonts w:ascii="IRNazanin" w:hAnsi="IRNazanin" w:eastAsia="IRNazanin"/>
          <w:color w:val="111111"/>
          <w:sz w:val="28"/>
          <w:sz w:val="28"/>
          <w:szCs w:val="28"/>
          <w:rtl w:val="true"/>
          <w:lang w:bidi="fa-IR"/>
        </w:rPr>
        <w:t>بأن المرسل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علی الخبیر أن الذی من أصحاب الاجماع هو ابن عبدالرحمن لا ابن یعقوب، فنسبته مع ذلک إلی ابن یعقوب غفلة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فی الطریق إلی یونس إسماعیل بن مرار وإبراهیم بن هشام، وهما من تلامذة یونس بن عبدالرحمن، ویرویان عنه لا عن ابن یعقوب ، فإن تلمیذ ابن یعقوب والراوی عنه هو الحسن بن فضّال وابن أبی عمیر لا غیر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تضعیف الروایة مع ذلک بالشذوذ والندور ،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الشاذّ من الأخبار ما تفرّد فی رواینه بعض من لم یتفرّد فی روایة معارضة المشهور، وهو ما </w:t>
      </w:r>
    </w:p>
    <w:p>
      <w:pPr>
        <w:pStyle w:val="BookText"/>
        <w:rPr/>
      </w:pPr>
      <w:r>
        <w:rPr>
          <w:rFonts w:ascii="IRNazanin" w:hAnsi="IRNazanin" w:eastAsia="IRNazanin"/>
          <w:color w:val="111111"/>
          <w:sz w:val="28"/>
          <w:sz w:val="28"/>
          <w:szCs w:val="28"/>
          <w:rtl w:val="true"/>
          <w:lang w:bidi="fa-IR"/>
        </w:rPr>
        <w:t>اجتمع المتفرّد فی روایة مع غیره علی روایة ما یعارضه ، ومن البیّن أن روایة یونس المذکورة بالنسبة إلی روایة اعتبار التوالی فیما نحن فیه لیست من هذا القبیل، لانفراد کلّ منهما براو علی حدة غیر راوی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ینفرد روایة اعتبار التوالی بشهرة فتوائیّة، والشهرة الفتوائیّة لا توجب شذوذ مخالفها کما توجبه الشهرة الروایتیّة ، بل إنما توجب شذوذه بالإعراض والوهن، بناءً علی موهنیة الشهرة الفستوائیة المخالف وجابرینها الموافق، وکون اعتبار الأخبار من باب السببّیة المقیّدة بعدم الظنّ بالخلاف، لا السببیة المطلقة والتعبّد الصرف، کما هو أحد أقوال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ضعف المرسل المذکور منحصر فی إعراض المشهور، دون ضعف الدلالة، لأنها صریحة، ولا ضعف السند، لأنه فی حکم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ضعفه من جهة اشتمال بعض فقراته علی مخالفة الإجماع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بأنّ العشرة حیض ذات العادة المتجاوز دمها العشرة ، وهو خلاف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منع ظهوره فی ذات العادة ، بل وإمکان تأویله إلی غیر ذات العادة وکقوله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بطهر النقاء المستخلل فی الأقلّ المنافی للنصّ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مخالفته الإجماع أوّلاً، لوجود القائلین به من الأصحاب ، کصاحب الحدائق</w:t>
      </w:r>
      <w:r>
        <w:rPr>
          <w:rStyle w:val="FootnoteAnchor"/>
          <w:rtl w:val="true"/>
        </w:rPr>
        <w:footnoteReference w:id="398"/>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تلک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النصوص الظاهرة فی ما یخالف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للتأویل بقاعدة الجمع ، وسائر القرائن المفروضة من شهرة أو 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بعض فقرات النصّ لاجماع ونحوه لا یوجب القدح فی سائر فقراته الأخر السلیمة عن المعارضة، کالعام المخصَّص ، حیث إن التخصیص فیه لا یوجب سقوطه عن الحجّیة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فی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العشرة فهو من الحیضة الأولی ، وإذا رأته بعد عشرة أیّام فهو من حیضة أخری مستقبلة</w:t>
      </w:r>
      <w:r>
        <w:rPr>
          <w:rStyle w:val="FootnoteAnchor"/>
          <w:rtl w:val="true"/>
        </w:rPr>
        <w:footnoteReference w:id="399"/>
      </w:r>
      <w:r>
        <w:rPr>
          <w:rFonts w:ascii="IRNazanin" w:hAnsi="IRNazanin" w:eastAsia="IRNazanin"/>
          <w:color w:val="111111"/>
          <w:sz w:val="28"/>
          <w:sz w:val="28"/>
          <w:szCs w:val="28"/>
          <w:rtl w:val="true"/>
          <w:lang w:bidi="fa-IR"/>
        </w:rPr>
        <w:t xml:space="preserve">، ومثله الحسن </w:t>
      </w:r>
      <w:r>
        <w:rPr>
          <w:rStyle w:val="FootnoteAnchor"/>
          <w:rtl w:val="true"/>
        </w:rPr>
        <w:footnoteReference w:id="400"/>
      </w:r>
      <w:r>
        <w:rPr>
          <w:rFonts w:ascii="IRNazanin" w:hAnsi="IRNazanin" w:eastAsia="IRNazanin"/>
          <w:color w:val="111111"/>
          <w:sz w:val="28"/>
          <w:sz w:val="28"/>
          <w:szCs w:val="28"/>
          <w:rtl w:val="true"/>
          <w:lang w:bidi="fa-IR"/>
        </w:rPr>
        <w:t>، دلالة علیه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وجه دلالتهما علیه فمبنیّ علی ظهورهما فی إطلاق الحیضة الأولی علی الملفّق أقلّها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ثلاثة أیّام من الدمین المتخلل بینهما النقاء الأقلّ من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عدم دلالتهما علیه فلعدم ظهورهما إلاّ فی کون حیضة الدم الأوّل مفروغاً عنها ، ولا یسلّم حیضیتّها إلا بعد الثلاثة المتوالیة، فلا إطلاق فیهما علی الثلاثة الملفّقة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سلّم إطلاق فیهما فهو کسائر إطلاقات أقلّ الحیض ثلاثة مخصّص و مقیّد بما تقدّم من صریح الرضوی </w:t>
      </w:r>
      <w:r>
        <w:rPr>
          <w:rStyle w:val="FootnoteAnchor"/>
          <w:rtl w:val="true"/>
        </w:rPr>
        <w:footnoteReference w:id="401"/>
      </w:r>
      <w:r>
        <w:rPr>
          <w:rFonts w:ascii="Amiri" w:hAnsi="Amiri" w:eastAsia="Amiri" w:cs="Amiri"/>
          <w:color w:val="111111"/>
          <w:sz w:val="28"/>
          <w:sz w:val="28"/>
          <w:szCs w:val="28"/>
          <w:rtl w:val="true"/>
          <w:lang w:bidi="ar-SA"/>
        </w:rPr>
        <w:t xml:space="preserve">المعتضد بالشهرة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المسألة قولاّ ثالثاً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أحکام الراوندی</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اعتبار التوالی فی الحبلی المستبان حملها واعتباره فی غیرها، جمعاً بین ما دلّ علی اعتبار التوالی وما دلّ علی عدمه ، بشهادة الموثّقة عن المرأة الحبلی تری الدم الیوم والیومین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 عبیطة فلا تصلّ ذینک الیومین، وإن کان صفرة فلتغتسل عند کلّ صلاتین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بناء علی أنها تری الیوم والیومین أو ثم </w:t>
      </w:r>
    </w:p>
    <w:p>
      <w:pPr>
        <w:pStyle w:val="BookText"/>
        <w:rPr/>
      </w:pPr>
      <w:r>
        <w:rPr>
          <w:rFonts w:ascii="IRNazanin" w:hAnsi="IRNazanin" w:eastAsia="IRNazanin"/>
          <w:color w:val="111111"/>
          <w:sz w:val="28"/>
          <w:sz w:val="28"/>
          <w:szCs w:val="28"/>
          <w:rtl w:val="true"/>
          <w:lang w:bidi="fa-IR"/>
        </w:rPr>
        <w:t xml:space="preserve">تنقی ثم تری الثالث ، إذ لا یمکن الحیض أقلّ من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دلالة الشاهد، لاحتمال 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التحیضّ بمجرّد الرؤیة، لأصالة الحیضّ ، وإن کان بعد تبیّن الانقطاع علی ما دون الثلاثة یحکم بعدم الحیض من الأول، وقضاء مافات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الجمع فرع المکافأة المفقودة فی المقام، فلا مندوحة عن اعتبار التوالی مطلقا فی أقلّ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فالظاهر اشتراط ثلاثة أیّام کاملة بلا تلفیق فی العشرة، لکونه المتبادر من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 المتبادر من الأیّام هی الأیّام الکاملة دون الملفّقة ، إلّا أنّه لمّا کان أغلب أفراد أقلّ الحیض هو ثلاثة أیّام ملفّقة ، بحیث یکون مقارنة ابتداء الحیض لمبدأ الیوم الأول وانتهائه بانتهاء الیوم الثالث من الأفراد النادرة بل الأندر التی یتعذّر أو یتعسّر الاطلاع علیه کان ذلک قرینة صارفة عن إرادته بالخصوص من تحدید أقلّ الحیض به، ومعینّة لإرادة مطلق الثلاثة أیّام حتی الملفقة ولو کان الملقق یومّا مجازیا ، لوجود القرینّة المعیّنة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قرّرت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الأستاد بأنّ ندور مقارنة مبدأ الحیض لمبدأ الیوم الأول و انتهائه بانتهاء الیوم الثالث، وتعذر الاطلاع علیه غالبا، إنّما یکون صارفاً عین إرادة ذلک الفرد النادر اتّفاقه والاطّلاع علیه من أقلّ الحیض ثلاثة، ولکن لا یعین الاکتفاء بالملفّق ، بل یحتمل إرادة ثلاثة أیّام تامّة بإلغاء ما یتفّق فی طرفی ابتدائها و انتهائها من الکسور وعدم احتساب ذلک الکسر من الثلاثة، کما هو الأقوی والأحوط فی عشرة الإقامة والثلاثین القاطعین للسفر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فأجبت عنه بأنه یلزم من ذلک أن یکون المراد من تحدید أقلّ الحیض بثلاثة أیّام ثلاثة أیّام ونصف مثلاً، وهو مجاز أبعد إرادته من إرادة الثلاثة الملفّقة </w:t>
      </w:r>
    </w:p>
    <w:p>
      <w:pPr>
        <w:pStyle w:val="BookText"/>
        <w:rPr/>
      </w:pPr>
      <w:r>
        <w:rPr>
          <w:rFonts w:ascii="IRNazanin" w:hAnsi="IRNazanin" w:eastAsia="IRNazanin"/>
          <w:color w:val="111111"/>
          <w:sz w:val="28"/>
          <w:sz w:val="28"/>
          <w:szCs w:val="28"/>
          <w:rtl w:val="true"/>
          <w:lang w:bidi="fa-IR"/>
        </w:rPr>
        <w:t>جدّاً ، سیّما فی مقام تحدید الأقلّ به ، فتعیّن إرادة الملفقة بقاعدة إذا تعذّرت الحقیقة تعیّن أقرب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السرّ والوجه فی اکتفاء الجماعة فی أقلّ الحیض بثلاثة أیّام ملفّقة ، واحتسابهم کسری طرفی ابتدائه و انتهائه فیه ، وعدم اکتفائهم فی عدّد عدّة ذات العدّة ولا فی عشرة الإقامة والثلاثین من قواطع السفر بالملفّق، بل یلغون کسور طرفی الابتداء والانتهاء فی العدّد المعتبر فیها، ویعتبرون العدّد التامّ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إمکانةاً مستقراً غیر معارض بإمکان حیض آخر فهو حیض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قاعدة الإمکان تارة فی بیان موضوعها، وأخری فی بیان مدرکها ، وثالثة فی بیان النمرات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موضوعها فتفصیله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فی کلام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یمکن أن یکون حیضاً فهو حیض، لکن لمّا رأی المتأخّرون أن الحکم بکونه حیضاً لا یتمّ بحسب الأخبار مع مطلق الإمکان قیدوه بالاستقرار المحصّل من الجمع بین مطلقات الأخبار و مقیّداتها، لإخراج الإمکان المتزلزل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الماتن کلّ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یکون حیضاً فهو حیض ، إمکاناً مستقرّاً غیر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ممکن الحیضة بالإمکان المستقرّ غیر المعارض بإمکان حیض آخر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الإمکان لیس مجرّد الاحتمال فی مقابل الجزم والعلم، بل المراد الإمکان الواقعی بمعنی القابلیّة فی مقابل الامتناع الواقعی، لأنّه الظاهر المتبادر من لفظ الإمکان، دون الإمکان بمعنی عدم وجود المانع فی ذهن المحتمل والمتردد، لأنّ حیضة ما یحتمل الحیضة بهذا المعنی ممّا لا یفی به شیء من الأخبار ومعاقد الإجماعات المذکورة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المراد من عدم الامتناع لیس عدم الامتناع من جمیع الجهات،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 ذلک کان الحیضة واجبة لا ممکنة، إذ لا واسطة فی الممکنات بین الامتناع العرضی والوجوب العرضی، فتعیّن أن یراد به عدم الامتناع من جهة الموانع التی قرّرها الشارع، کالصغر والیأس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القاعدة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یمتنع من جهة الموانع المقررة فی الشریعة کونه حیضاً، بأن کان جامعاً الشرائطه وخالیة عن موانعه المقرّرة ، فهو حیض ، وإن لم نعلم کونه حیضاً من جهة بعض الخصوصیّات غیر المطلّع علیها إلا العالم بما فی الأرحام، فإن انتفاء الموانع و اجتماع الشرائط لا یوجب تحقّق المشروط، وإنما یلزم من وجودها أو عدمها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ما ذکرنا اعتبروا فی الإمکان تحقّق شرائط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متی أمکن کون الدم حیضاً بحسب حال المرأة ، بأن تکون بالغة غیر یائسة ، ومدّته بأن لا ینقص عن ثلاثة ولا یزید عن عشرة، ودوامه کتوالی الثلاثة ، ووصفه کالقویّ مع التمییز ، ومحلّه کالجانب إن اعتبرناه ، ونحو ذلک،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یعتبر الإمکان بعد استقراره فیما یتوقّف علیه کأیّام الاستظهار ، فإنّ الدم فیها یمکن کونه حیضاً، إلاّ أنّ الحکم به موقوف علی عدم عبور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القول فی أول رؤیته مع انقطاعه قبل الثلاثة</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 منه سائر عباراتهم المذکورة المنقولة فی کتاب شیخنا الأنصاری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فالمراد من الإمکان لیس الإمکان المتزلزل الدائر بین الاستقرار وعدمه ، بل الإمکان المستقر الخاصّ بما بعد الانقطاع علی العشرة فما دون، لأنّ إمکان الحیضة فی ما قبل انقطاع الدم علی العشرة فما دون متزلزل شرعاً، وفیما </w:t>
      </w:r>
    </w:p>
    <w:p>
      <w:pPr>
        <w:pStyle w:val="BookText"/>
        <w:rPr/>
      </w:pPr>
      <w:r>
        <w:rPr>
          <w:rFonts w:ascii="IRNazanin" w:hAnsi="IRNazanin" w:eastAsia="IRNazanin"/>
          <w:color w:val="111111"/>
          <w:sz w:val="28"/>
          <w:sz w:val="28"/>
          <w:szCs w:val="28"/>
          <w:rtl w:val="true"/>
          <w:lang w:bidi="fa-IR"/>
        </w:rPr>
        <w:t>بعد انقطاعه علیها مستقرّ شرعاً بالاستقرار غیر المعارض بإمکان حیضة أخری، وفیما بعد انقطاعه علی المتجاوز عنها من غیر تخلّل أقلّ الطهر ممتنع شرعاً ومعه ممکن لکن بالإمکان المعارض بإمکان حیض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فتقیید إمکان حیضة الدم المرئی فی العشرة بالاستقرار قید احترازی، احترز به عن إمکانه المتزلزل فیما قبل انقطاعه علی العشرة فما دون، بخلاف تقییده بغیر المعارض بإمکان حیض آخر، فإنه قید توضیحیّ لما ینقطع علی العشرة فما دون، واحترازیّ عن بعض صور التجاوز عنها ، وهی صورة تعقّب المتجاوز عنها لأقلّ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القاعدة إنما سمّیت بقاعدة الإمکان لا بأصالة الحیض، مع أن الأصل أیضاً فی دم المرأة أن یکون حیضاً إلا ما أخرجه الدلیل ، کما قبل الثلاثة وما بعد العشرة، من جهة تعلقها بالعمل بلا واسطة، والأصل ما یتعلّق بالعمل بواسطة لا بغیر 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هذه القاعدة علی تقدیر تمامیّتها بمنزلة أصل ثانویّ وارد علی أصالة عدم الحیض، فإذا ثبت من الشارع کون الدم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کالمتجاوز عن العادة إلی ما فوق العشرة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بحیض وإن استجمع سائر شرائط قابلیّته للحیض، فهذا الدلیل مخرج لذلک الدم عن موضوع الإمکان، لا مخصّص لقاعدة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حاصله إلی أن تجاوز الدم الزائد عن أیّام العادة وعن العشرة مانع شرعیّ عن کونه حیضاً، نظیر سائر الموانع من الصغر والیأس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جعل هذا الفرض فی الروضة</w:t>
      </w:r>
      <w:r>
        <w:rPr>
          <w:rStyle w:val="FootnoteAnchor"/>
          <w:rtl w:val="true"/>
        </w:rPr>
        <w:footnoteReference w:id="406"/>
      </w:r>
      <w:r>
        <w:rPr>
          <w:rFonts w:ascii="IRNazanin" w:hAnsi="IRNazanin" w:eastAsia="IRNazanin"/>
          <w:color w:val="111111"/>
          <w:sz w:val="28"/>
          <w:sz w:val="28"/>
          <w:szCs w:val="28"/>
          <w:rtl w:val="true"/>
          <w:lang w:bidi="fa-IR"/>
        </w:rPr>
        <w:t xml:space="preserve">وغیرها مثالا لعدم استقرار الإمکان، کدم المبتدأة قبل الثلاثة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 فساد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مخصَّصة بالمثال المفروض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وأفسد من ذلک جعل دم الخنثی والممسوخ وما شکّ فی خروجه عن </w:t>
      </w:r>
    </w:p>
    <w:p>
      <w:pPr>
        <w:pStyle w:val="BookText"/>
        <w:rPr/>
      </w:pPr>
      <w:r>
        <w:rPr>
          <w:rFonts w:ascii="IRNazanin" w:hAnsi="IRNazanin" w:eastAsia="IRNazanin"/>
          <w:color w:val="111111"/>
          <w:sz w:val="28"/>
          <w:sz w:val="28"/>
          <w:szCs w:val="28"/>
          <w:rtl w:val="true"/>
          <w:lang w:bidi="fa-IR"/>
        </w:rPr>
        <w:t>الرحم أو من الخارج من مستثنیات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مبنیّ علی جعل الإمکان بمعنی الاحتمال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أرید من الاستثناء والتخصیص الخروج الموضوعیّ المعبر عنه بالتخصّص لزم التزام دخول ما ینقطع علی الأقلّ والخارج من الیائسة والصغیرة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الدماء الفاقدة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المستثنیات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مدرکها المستدلّ به فوجوه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المتن </w:t>
      </w:r>
      <w:r>
        <w:rPr>
          <w:rStyle w:val="FootnoteAnchor"/>
          <w:rtl w:val="true"/>
        </w:rPr>
        <w:footnoteReference w:id="407"/>
      </w:r>
      <w:r>
        <w:rPr>
          <w:rFonts w:ascii="IRNazanin" w:hAnsi="IRNazanin" w:eastAsia="IRNazanin"/>
          <w:color w:val="111111"/>
          <w:sz w:val="28"/>
          <w:sz w:val="28"/>
          <w:szCs w:val="28"/>
          <w:rtl w:val="true"/>
          <w:lang w:bidi="fa-IR"/>
        </w:rPr>
        <w:t>من الشهرة وإجماعی المعتبر</w:t>
      </w:r>
      <w:r>
        <w:rPr>
          <w:rStyle w:val="FootnoteAnchor"/>
          <w:rtl w:val="true"/>
        </w:rPr>
        <w:footnoteReference w:id="408"/>
      </w:r>
      <w:r>
        <w:rPr>
          <w:rFonts w:ascii="IRNazanin" w:hAnsi="IRNazanin" w:eastAsia="IRNazanin"/>
          <w:color w:val="111111"/>
          <w:sz w:val="28"/>
          <w:sz w:val="28"/>
          <w:szCs w:val="28"/>
          <w:rtl w:val="true"/>
          <w:lang w:bidi="fa-IR"/>
        </w:rPr>
        <w:t>والمنتهی</w:t>
      </w:r>
      <w:r>
        <w:rPr>
          <w:rStyle w:val="FootnoteAnchor"/>
          <w:rtl w:val="true"/>
        </w:rPr>
        <w:footnoteReference w:id="409"/>
      </w:r>
      <w:r>
        <w:rPr>
          <w:rFonts w:ascii="IRNazanin" w:hAnsi="IRNazanin" w:eastAsia="IRNazanin"/>
          <w:color w:val="111111"/>
          <w:sz w:val="28"/>
          <w:sz w:val="28"/>
          <w:szCs w:val="28"/>
          <w:rtl w:val="true"/>
          <w:lang w:bidi="fa-IR"/>
        </w:rPr>
        <w:t xml:space="preserve">وفی غیره من دعوی سیرة المتشرعة علی جعل دم الرحم حیضاً ما لم یعلم لغیره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قد نوقش فیه بأن المتیقّن من معقد الإجماعین و السیرة هو الدم الموجود بعد تحقّق أقلّ الحیض لا قبله ، وبصفات الحیضّ ، أو فی أیّام العادة ، لا مطلقا 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الأصل فی دم النساء الحیض ، کما قال فی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الحیض فی دم النساء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فاحمل علیه ما تأتی الحمل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وفسر الأصل هنا فی جملة من الکتب</w:t>
      </w:r>
      <w:r>
        <w:rPr>
          <w:rStyle w:val="FootnoteAnchor"/>
          <w:rtl w:val="true"/>
        </w:rPr>
        <w:footnoteReference w:id="412"/>
      </w:r>
      <w:r>
        <w:rPr>
          <w:rFonts w:ascii="Amiri" w:hAnsi="Amiri" w:eastAsia="Amiri" w:cs="Amiri"/>
          <w:color w:val="111111"/>
          <w:sz w:val="28"/>
          <w:sz w:val="28"/>
          <w:szCs w:val="28"/>
          <w:rtl w:val="true"/>
          <w:lang w:bidi="ar-SA"/>
        </w:rPr>
        <w:t xml:space="preserve">بالظاهر الحاصل من الغلبة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ونوقش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غلبة الحیض کلّیة علی غیره بحیث یفید ظنّاً معتبراً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حجّیته فی الموضوعات، لأن غایته الظنّ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مدار حجیته الظنّ حینئنذ، وظنّ الحیضة فی جملة من الصور مفقود ، کالمبتدأة إذا لم یکن دمها بالصفة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وفره فی المتن تبعاً لما عن المفاتیح </w:t>
      </w:r>
      <w:r>
        <w:rPr>
          <w:rStyle w:val="FootnoteAnchor"/>
          <w:rtl w:val="true"/>
        </w:rPr>
        <w:footnoteReference w:id="413"/>
      </w:r>
      <w:r>
        <w:rPr>
          <w:rFonts w:ascii="IRNazanin" w:hAnsi="IRNazanin" w:eastAsia="IRNazanin"/>
          <w:color w:val="111111"/>
          <w:sz w:val="28"/>
          <w:sz w:val="28"/>
          <w:szCs w:val="28"/>
          <w:rtl w:val="true"/>
          <w:lang w:bidi="fa-IR"/>
        </w:rPr>
        <w:t xml:space="preserve">بأصالة عدم کونه من قرح أو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أصالة عدم ما عدا الحیض لا یثبت الحیض، بل أصالة عدم الحیض ینفیه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یعارض بأصالة عدم کونه من الحیض ، بناءً علی أن الأصل فی دم النساء أن یکون للحیض، کیف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أنها خلقت فیهنّ الغذاء الولد وتربیته وغیر ذلک ، بخلاف الاستحاضة، فإنّه من آفة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ونوقش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الآفة لا تثبت الصحة، ولا تثبت أن هذا الدم من الصحیح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خلق الحیض غذاءً لا یثبت أن هذا الدم هو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کون أصالة عدم الآفة وعدم ما عدا الحیض لا یثبت الحیضة هو المثبّتة ، وعدم حجّیة المثبت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 وجه ما قاله الماتن من عدم معارضة أصالة عدم ما عدا الحیض بأصالة عدم الحیض هو تقدّم ذی الأثر علی غیر ذی الأثر من الأصلین المتعارضین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عمدة أدلّتهم وأقواها المشار إلیه فی المتن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الأخبار </w:t>
      </w:r>
      <w:r>
        <w:rPr>
          <w:rStyle w:val="FootnoteAnchor"/>
          <w:rtl w:val="true"/>
        </w:rPr>
        <w:footnoteReference w:id="415"/>
      </w:r>
      <w:r>
        <w:rPr>
          <w:rFonts w:ascii="IRNazanin" w:hAnsi="IRNazanin" w:eastAsia="IRNazanin"/>
          <w:color w:val="111111"/>
          <w:sz w:val="28"/>
          <w:sz w:val="28"/>
          <w:szCs w:val="28"/>
          <w:rtl w:val="true"/>
          <w:lang w:bidi="fa-IR"/>
        </w:rPr>
        <w:t xml:space="preserve">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الاستدلال علی قاعدة الإمکان بعموم العلّة المنصوصة فی النصوص المستفیضة لحیضة الدم المتقدّم علی العادة یومین، معلّلاً </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یعجل بها الوقت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مع تصریح بعضها بکونه بصفة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ولحیضة ما تراه الحبلی من الدم، معلّلاً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قذفت المرأة بالدم وهی حبلی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فإن تعلیل حیضاً الدم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حیضأ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التقلیل دلیل علی أن مجرّد إمکان حیضاً الدم واحتماله کافی فی الحکم بحیضیّنه ، قضاء الحجیة عموم العلّة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حجّیة العلّة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المسلّمات عندنا معاشر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الصغری فربما ناقش فیه شیخنا العلّامة </w:t>
      </w:r>
      <w:r>
        <w:rPr>
          <w:rStyle w:val="FootnoteAnchor"/>
          <w:rtl w:val="true"/>
        </w:rPr>
        <w:footnoteReference w:id="418"/>
      </w:r>
      <w:r>
        <w:rPr>
          <w:rFonts w:ascii="IRNazanin" w:hAnsi="IRNazanin" w:eastAsia="IRNazanin"/>
          <w:color w:val="111111"/>
          <w:sz w:val="28"/>
          <w:sz w:val="28"/>
          <w:szCs w:val="28"/>
          <w:rtl w:val="true"/>
          <w:lang w:bidi="fa-IR"/>
        </w:rPr>
        <w:t xml:space="preserve">تبعا لشیخه الأنصاری وصاحب الجواهر، تارةً بمنع العلیة واستظهار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للتکثیر ورفع الاستبعاد، لا للتقلیل و تعلیل الحکم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بمنع العموم، إما بدعوی أن تقیید المورد بالمقدم یومین، مع قیام الاحتمال وجدانا فی المتأخر، وفی المقدّم بأزید من یومین ، قرینة عدم استناد الحکم بالحیضة إلی مجرّد إمکانه وعموم احتماله ، بل إلی خصوصیّة المورد القاضیة بالحیضة، کالخصوصیّة التی فی أیّام العادة القاضیة بحیضة ما تراه من صفرة فیها بالخصوص لافی غیرها، لتنزیله منزلة العادة کما فی البرهان </w:t>
      </w:r>
      <w:r>
        <w:rPr>
          <w:rStyle w:val="FootnoteAnchor"/>
          <w:rtl w:val="true"/>
        </w:rPr>
        <w:footnoteReference w:id="419"/>
      </w:r>
      <w:r>
        <w:rPr>
          <w:rFonts w:ascii="IRNazanin" w:hAnsi="IRNazanin" w:eastAsia="IRNazanin"/>
          <w:color w:val="111111"/>
          <w:sz w:val="28"/>
          <w:sz w:val="28"/>
          <w:szCs w:val="28"/>
          <w:rtl w:val="true"/>
          <w:lang w:bidi="fa-IR"/>
        </w:rPr>
        <w:t xml:space="preserve">عن بعض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بدعوی الجواهر</w:t>
      </w:r>
      <w:r>
        <w:rPr>
          <w:rStyle w:val="FootnoteAnchor"/>
          <w:rtl w:val="true"/>
        </w:rPr>
        <w:footnoteReference w:id="420"/>
      </w:r>
      <w:r>
        <w:rPr>
          <w:rFonts w:ascii="IRNazanin" w:hAnsi="IRNazanin" w:eastAsia="IRNazanin"/>
          <w:color w:val="111111"/>
          <w:sz w:val="28"/>
          <w:sz w:val="28"/>
          <w:szCs w:val="28"/>
          <w:rtl w:val="true"/>
          <w:lang w:bidi="fa-IR"/>
        </w:rPr>
        <w:t xml:space="preserve">أن حیضة الدم المشتمل منه علی التعلیل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لیس صریحة فی العاری من الصفة التی محلّ البحث ، بل هو بلفظ الدم الظاهر هنا </w:t>
      </w:r>
    </w:p>
    <w:p>
      <w:pPr>
        <w:pStyle w:val="BookText"/>
        <w:rPr/>
      </w:pPr>
      <w:r>
        <w:rPr>
          <w:rFonts w:ascii="IRNazanin" w:hAnsi="IRNazanin" w:eastAsia="IRNazanin"/>
          <w:color w:val="111111"/>
          <w:sz w:val="28"/>
          <w:sz w:val="28"/>
          <w:szCs w:val="28"/>
          <w:rtl w:val="true"/>
          <w:lang w:bidi="fa-IR"/>
        </w:rPr>
        <w:t xml:space="preserve">فیما کان بصفة الحیض، لمقابلته فی باب الحیض فی جملة من الأخبار </w:t>
      </w:r>
      <w:r>
        <w:rPr>
          <w:rStyle w:val="FootnoteAnchor"/>
          <w:rtl w:val="true"/>
        </w:rPr>
        <w:footnoteReference w:id="421"/>
      </w:r>
      <w:r>
        <w:rPr>
          <w:rFonts w:ascii="IRNazanin" w:hAnsi="IRNazanin" w:eastAsia="IRNazanin"/>
          <w:color w:val="111111"/>
          <w:sz w:val="28"/>
          <w:sz w:val="28"/>
          <w:szCs w:val="28"/>
          <w:rtl w:val="true"/>
          <w:lang w:bidi="fa-IR"/>
        </w:rPr>
        <w:t xml:space="preserve">بالصفرة، فلا یعارض به ما دلّ علی الإناطة بالصفة، والمعبر عنه بالصفرة ، الصریحة فی العاری من الوصف غیر معلّل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الجواب عن منع العلّیة بأنّ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فی المقام هو التقلیل والتعلیل، لا ما ذکر من التکثیر ورفع الاستبعاد ، کما لا یخفی علی الخبیر بمحاورات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منع عمومها بالوجه الأول بأن التقیید بقید لا یخص عموم الوارد ، کما أنّ خصوص المعلول بخصوصیة لا یخصص عموم العلّة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منع عمومها بالوجه الثانی بأنّ استظهار المتّصف بصفة الحیضّ من لفظ الدّم خلاف الظاهر، بل الظاهر منه الإطلاق والعموم، سیّما بملاحظة أن المعبر فیه بالصفرة صالح القرینیة کون المراد بالدم فی الآخر هو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 فتعلیل حیضة الدم فی بعض الموارد الخاصّة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بأقصر من تعلیل الأمر بالاستصحاب فی بعض الموارد الخاصة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الیقین لا ینقض بالشکّ</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فی إفادة العلّیة وعمومها، القاضی بعموم حجیة الاستصحاب، إن لم یکن أقوی بواسطة الاعتضاد بفهم المشهور والإجماعات المحکیة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أمر الماتن بالتأمّل فیه فلعلّ وجهه الإشارة إلی المناقشات المذکورة أو دفعها بما عرفت تفصیلاً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یشهد له أیضاً إطلاق الأخبار </w:t>
      </w:r>
      <w:r>
        <w:rPr>
          <w:rStyle w:val="FootnoteAnchor"/>
          <w:rtl w:val="true"/>
        </w:rPr>
        <w:footnoteReference w:id="423"/>
      </w:r>
      <w:r>
        <w:rPr>
          <w:rFonts w:ascii="Amiri" w:hAnsi="Amiri" w:eastAsia="Amiri" w:cs="Amiri"/>
          <w:color w:val="111111"/>
          <w:sz w:val="28"/>
          <w:sz w:val="28"/>
          <w:szCs w:val="28"/>
          <w:rtl w:val="true"/>
          <w:lang w:bidi="ar-SA"/>
        </w:rPr>
        <w:t xml:space="preserve">الدالّة علی ترتّب أحکام </w:t>
      </w:r>
    </w:p>
    <w:p>
      <w:pPr>
        <w:pStyle w:val="BookText"/>
        <w:rPr/>
      </w:pPr>
      <w:r>
        <w:rPr>
          <w:rFonts w:ascii="IRNazanin" w:hAnsi="IRNazanin" w:eastAsia="IRNazanin"/>
          <w:color w:val="111111"/>
          <w:sz w:val="28"/>
          <w:sz w:val="28"/>
          <w:szCs w:val="28"/>
          <w:rtl w:val="true"/>
          <w:lang w:bidi="fa-IR"/>
        </w:rPr>
        <w:t xml:space="preserve">الحائض علی مجرّد رؤیة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رابع ممّا استدلّ به هو وغیره</w:t>
      </w:r>
      <w:r>
        <w:rPr>
          <w:rStyle w:val="FootnoteAnchor"/>
          <w:rtl w:val="true"/>
        </w:rPr>
        <w:footnoteReference w:id="424"/>
      </w:r>
      <w:r>
        <w:rPr>
          <w:rFonts w:ascii="IRNazanin" w:hAnsi="IRNazanin" w:eastAsia="IRNazanin"/>
          <w:color w:val="111111"/>
          <w:sz w:val="28"/>
          <w:sz w:val="28"/>
          <w:szCs w:val="28"/>
          <w:rtl w:val="true"/>
          <w:lang w:bidi="fa-IR"/>
        </w:rPr>
        <w:t xml:space="preserve">علی صحّة قاعدة الإمکان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الاستدلال بالاستقراء فی النصوص الواردة فی أبواب الحیض، واستفادة القاعدة الکلّیة من ملاحظة ورود الحکم فیها بالحیضة فی الموارد الجزئیّة من دون ظنّ صفة ولا أمارة أخری، علی وجه یشرف الفقیه علی القطع أو الظن المعتبر باستناد الحکم فیها إلی مجرّد الإمکان وعدم مدخلیّة خصوصیّة الموارد فی الحکم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 محلّ لمناقشة الجواهر </w:t>
      </w:r>
      <w:r>
        <w:rPr>
          <w:rStyle w:val="FootnoteAnchor"/>
          <w:rtl w:val="true"/>
        </w:rPr>
        <w:footnoteReference w:id="425"/>
      </w:r>
      <w:r>
        <w:rPr>
          <w:rFonts w:ascii="IRNazanin" w:hAnsi="IRNazanin" w:eastAsia="IRNazanin"/>
          <w:color w:val="111111"/>
          <w:sz w:val="28"/>
          <w:sz w:val="28"/>
          <w:szCs w:val="28"/>
          <w:rtl w:val="true"/>
          <w:lang w:bidi="fa-IR"/>
        </w:rPr>
        <w:t>وغیره بأن الحکم بالحیضة فی موارد جزئیة لا یثبت الکلیة ، لأن الاستقراء هو تصفّح الجزئیّات لإثبات حکم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المناقشة فی الاستقراء بوجهین آخرین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فیه بدعوی مدخلیّة خصوصیة تلک الموارد الجزئیّة فی الحکم فیها بالحیضة ، کما ادعاه الشیخ الأنصاری طاب ثراه، بتقریب أن الحکم بالإفطار والحیضة فیما تجده الصائمة فی أول رؤیة الدم، وفی أیّام الاستظهار الواقعة بعد أیّام العادة، إنما هو لخصوصیّة انصراف الدم فیها إلی الدم المعهود المتصف بأوصاف الحیض لا مطلق الدم، فهی مسوقة لبیان إطلاق وجوب الإفطار فی وقت رأت دم الحیض لا لبیان إطلاق نفس الدم، کما أن رؤیة الدم براد به خروجه عن الموضع الطبیعی لا مطلق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فیما دلّ علی تمیز الحیض عن الاستحاضة والعذرة والقرحة فإنّما هو أیضاً للخصوصیة الخاصّة بموردها، وهو العلم من الخارج بانتفاء الثالث ودوران الأمر بین المشتبهین ، ولا شبهة فی وجوب الحکم بأحدهما عند انتفاء الآخر بانتفاء علامته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یمکن دفع هذه المناقشة بأن انصراف الدم إلی الدم المعهود خلاف الأصل والظاهر ، وکذا تخصیص الوارد بخصوصیّة المورد خلاف الأصل والظاهر ، بل وخلاف فتوی المشهور فی مسألة تمیّز الحیض عمّا عداه من الاستحاضة والعذرة والقرحة، حسبما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فی الاستقراء بکونه ناقصاً لا تامّاً ، لاشتماله علی تصفّح بعض الموارد الجزئیّة أو جلّها لا کلّها حتی یثبت الکلّیة، وذلک لانحصار تلک الموارد الجزئیّة المستقرأة منها نصوص الحکم بالحیضة فی خصوص ما إذا کان الشکّ فی الحیضة ناشئاً عن الشکّ فی مشخّصاته الجزئیّة المختلفة باختلاف آحاد النساء، غیر المنضبطة تحت ضابط واقع ولا معرّف ظاهری ، التی لا یطّلع علیها إلا العالم بما فی الأرحام، دون ما إذا کان الشکّ فیه ناشئاً عن الشکّ فی تحقّق شرطه الشرعی أو العادی، أو عن الشکّ فی شرطیّة شیء أو جزئیّة شیء مفقود فی ذلک الدم أو مانعیّة شیء موجود فیه، حسبما یأتی تفصیلها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 فلا یتمّ الاستدلال علی الکلّیة بمجرّد هذا الاستقراء الناقص وإن أفاد الظنّ بالکلّیة ، إلا أن یقال بعموم حجّیة الظنّ المستفاد من ظواهر الألفاظ ولو استنبط من مجموع مدالیل مرکّبة منضمّة بعضها إلی بعض ، کدلالة التنبیه والإشارة ، سیّما بملاحظة أن أستفادة الکلّیة من تلک الموارد الجزئیّة لیس بأقصر من استفادة کلّیة اعتبار الاستصحاب من موارد نصوصه الجزئیّة ، ولا من استفادة کلیة تنجس القلیل بمجرّد الملاقاة من استقراء موارده الجزئیّة المنصوصة ، إن لم یکن الاستفادة فیما نحن فیه أقوی بملاحظة بعض المعاضدات الخاصّة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لم یعتبر الإمکان لم یحکم بحیض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الدلیل الخامس ممّا استدلّ به الماتن تبعاً لما عن الکشف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علی تمامیّة قاعدة الإمکان ، بتقریب أنه لو لم یعتبر الإمکان لم یحکم بحیض حتّی بعد الاستقرار و مضیّ الثلاثة، لاحتمال تجاوزها العشرة ورؤیة الجامع للصفات بعده ، فیکون هو الحیض دونها، بل مقتضاه عدم حیضة المنقطع قبل العشرة، لاحتمال رؤیة ما تحیض به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فیه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الملازمة ، فإن عدم الحکم بالحیض فی المشکوک لا یستلزمه الاقتصار علی یقین الحیض ، بل یکفی المظنون بالصفات ، القیام الدلیل من النصّ </w:t>
      </w:r>
      <w:r>
        <w:rPr>
          <w:rStyle w:val="FootnoteAnchor"/>
          <w:rtl w:val="true"/>
        </w:rPr>
        <w:footnoteReference w:id="427"/>
      </w:r>
      <w:r>
        <w:rPr>
          <w:rFonts w:ascii="IRNazanin" w:hAnsi="IRNazanin" w:eastAsia="IRNazanin"/>
          <w:color w:val="111111"/>
          <w:sz w:val="28"/>
          <w:sz w:val="28"/>
          <w:szCs w:val="28"/>
          <w:rtl w:val="true"/>
          <w:lang w:bidi="fa-IR"/>
        </w:rPr>
        <w:t xml:space="preserve">والإجماع علی اعتبار ظنّ بالصفة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اختصاص اعتبار الصفات بصورة استمرار الدم المقصود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الحاجة</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منافیة الظاهر المتبادر من الأخبار ، بل ولظاهر الأصحاب أیضاً، لظهور اتّفاقهم علی اعتبار الصفات فی الحکم بوجود الحیض عند وجودها کما مرّ ، وإنّما تردّدهم فی اعتبار مجرّد الإمکان فی الخالی من الصفة ، 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الاعتبار الإمکان مزید بیان فی مسألة </w:t>
      </w:r>
      <w:r>
        <w:rPr>
          <w:rStyle w:val="FootnoteAnchor"/>
          <w:rtl w:val="true"/>
        </w:rPr>
        <w:footnoteReference w:id="429"/>
      </w:r>
      <w:r>
        <w:rPr>
          <w:rFonts w:ascii="IRNazanin" w:hAnsi="IRNazanin" w:eastAsia="IRNazanin"/>
          <w:color w:val="111111"/>
          <w:sz w:val="28"/>
          <w:sz w:val="28"/>
          <w:szCs w:val="28"/>
          <w:rtl w:val="true"/>
          <w:lang w:bidi="fa-IR"/>
        </w:rPr>
        <w:t>تحیض المبتدأة والمضطربة بمجرّد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بیان الملاک والأدلّة لتمامیّة قاعدة الإمکان و عدم تمامینه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الثمرات المترتّبة علی تمامیّته و عدم تمامیّته فی الحیض، فمنها ثمرات اتّفاقیة متیقّنة الدخول تحتها ، و ثمرات خلافیّة غیر متیقّن الدخول تحتها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حیضة ما تراه لا یخلو عن أحد أسباب ثلاثة ، لأنه إما ناشیء عن الشکّ فی تحقّق شرطه الشرعی أو العادی المتقدّم أو المتأخّر عن رؤیته ، کالدم الخارج من الخنثی والممسوح من مشکوک الأنوثیّة المشروط بتحقّقها وتقدّمها الحیضة عادة، وکالدم الخارج من مشکوک البلوغ المشروط </w:t>
      </w:r>
    </w:p>
    <w:p>
      <w:pPr>
        <w:pStyle w:val="BookText"/>
        <w:rPr/>
      </w:pPr>
      <w:r>
        <w:rPr>
          <w:rFonts w:ascii="IRNazanin" w:hAnsi="IRNazanin" w:eastAsia="IRNazanin"/>
          <w:color w:val="111111"/>
          <w:sz w:val="28"/>
          <w:sz w:val="28"/>
          <w:szCs w:val="28"/>
          <w:rtl w:val="true"/>
          <w:lang w:bidi="fa-IR"/>
        </w:rPr>
        <w:t>بتحقّقه وتقدّمه الحیضة شرعاً، وکأول الدم المشکوک بقاؤه إلی الثلاثة، الذی هو من الشروط المتأخّرة للتحیض بمجرّد الرؤیة، سیّما فی المبتدأة والمضطربة ، والدم المتجاوز عن العادة المشکوک انقطاعه علی العشرة، الذی هو أیضاً من الشروط المتأخّرة لحیضة ما تجاوز عن عادة ذات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ناشیء عن الشکّ فی شرطیة شیء أو جزئیّة شیء مفقود فی ذلک الدم، أو مانعة شیء موجود فیه ، کالشکّ فی الحیضة الناشیء عن الشکّ فی اشتراط التوالی أو جزئیّة انضمام اللیالی المفقود فیه ، أو مانعیّة الحمل الموجود فیه من الشروط والأجزاء والموانع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ناشیء عن الشکّ فی مشخصاته الجزئیّة المختلفة باختلاف آحاد النساء، غیر المنضبطة تحت ضابط واقع ولا معرّف ظاهری ، التی لا یطلع علیها إلا العالم بما فی الأرحام، کالدم المستمر فی ثلاثة أیام المستجمع جمیع الشرائط المقرّرة للحیض إلاّ أنّه مع ذلک مشکوک الحیضة من جهة بعض الخصوصیّات الجزئیّة الخاصّة، فإن اجتماع الشروط وفقد الموانع بمجردّه لا یوجب العلم بتحقّق المشروط، بل الشرط ما یلزم من عدمه العدم ولا یلزم من وجوده الوجود، والمانع ما یلزم من وجوده العدم ولا یلزم من عدمه الوجود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الأخیر فهو من الموارد المتیقّن المتّفق علی دخولها فی القاعدة ، ولکن لم یترتّب علی تمامیّة القاعدة وعدمها بالنسبة إلیه ثمرة عملیّة، لکون المفروض أن الحکم بالتحیّض فیه مورد النصوص والإجماعات ، فلم یبق لدخوله تحت القاعدة علی تقدیر تمامیّتها وعدم تمامیّتها ثمرة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الشیخ العلامة الأنصاری</w:t>
      </w:r>
      <w:r>
        <w:rPr>
          <w:rStyle w:val="FootnoteAnchor"/>
          <w:rtl w:val="true"/>
        </w:rPr>
        <w:footnoteReference w:id="430"/>
      </w:r>
      <w:r>
        <w:rPr>
          <w:rFonts w:ascii="IRNazanin" w:hAnsi="IRNazanin" w:eastAsia="IRNazanin"/>
          <w:color w:val="111111"/>
          <w:sz w:val="28"/>
          <w:sz w:val="28"/>
          <w:szCs w:val="28"/>
          <w:rtl w:val="true"/>
          <w:lang w:bidi="fa-IR"/>
        </w:rPr>
        <w:t xml:space="preserve">حیث حصر مورد القاعدة فی الفرض المذکور مع فرضه القاعدة من القواعد الخلافیّة غیر المسلّمة عنده ، فإن هذین الکلامین ممّا لا یکاد </w:t>
      </w:r>
    </w:p>
    <w:p>
      <w:pPr>
        <w:pStyle w:val="BookText"/>
        <w:rPr/>
      </w:pPr>
      <w:r>
        <w:rPr>
          <w:rFonts w:ascii="IRNazanin" w:hAnsi="IRNazanin" w:eastAsia="IRNazanin"/>
          <w:color w:val="111111"/>
          <w:sz w:val="28"/>
          <w:sz w:val="28"/>
          <w:szCs w:val="28"/>
          <w:rtl w:val="true"/>
          <w:lang w:bidi="fa-IR"/>
        </w:rPr>
        <w:t xml:space="preserve">یجتمعان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الأول من الشکّ فی الحیضة، فما کان الشکّ فیه ناشئاً عن تحقّق شرطه المتقدّم، کالخارج من الخنثی والممسوح من مشکوک الأنوثّیة المشروط بتحقّقها الحیضة، والخارج من مشکوک البلوغ المشروط بتحقّقه الحیضة ، فالظاهر المصرّح به خروجه عن مورد القاعدة ودخوله تحت أصالة عدم الحیض السلیمة عن أصالة عدم الآفة أو غلبة الحیض، لما عرفت من أن المتبادر من الإمکان القابلیّة الواقعیّة فی مقابل الامتناع، لا الاحتمال والتردّد المقابل للجزم، ومن البیّن أن القابلیّة لا یحرز من دون إحراز شرطه، ولهذا اعتبروا فی الإمکان تحقّق شرائط الحیض حسبما تقدّم من الروضة</w:t>
      </w:r>
      <w:r>
        <w:rPr>
          <w:rStyle w:val="FootnoteAnchor"/>
          <w:rtl w:val="true"/>
        </w:rPr>
        <w:footnoteReference w:id="431"/>
      </w:r>
      <w:r>
        <w:rPr>
          <w:rFonts w:ascii="IRNazanin" w:hAnsi="IRNazanin" w:eastAsia="IRNazanin"/>
          <w:color w:val="111111"/>
          <w:sz w:val="28"/>
          <w:sz w:val="28"/>
          <w:szCs w:val="28"/>
          <w:rtl w:val="true"/>
          <w:lang w:bidi="fa-IR"/>
        </w:rPr>
        <w:t>وغیرها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کان الشکّ فیه ناشئاً عن تحقّق شرطه المتأخّر، کبقائه إلی الثلاثة أو انقطاعه علی العشرة، فالظاهر دخوله فی مورد القاعدة، کما عن المختلف</w:t>
      </w:r>
      <w:r>
        <w:rPr>
          <w:rStyle w:val="FootnoteAnchor"/>
          <w:rtl w:val="true"/>
        </w:rPr>
        <w:footnoteReference w:id="433"/>
      </w:r>
      <w:r>
        <w:rPr>
          <w:rFonts w:ascii="IRNazanin" w:hAnsi="IRNazanin" w:eastAsia="IRNazanin"/>
          <w:color w:val="111111"/>
          <w:sz w:val="28"/>
          <w:sz w:val="28"/>
          <w:szCs w:val="28"/>
          <w:rtl w:val="true"/>
          <w:lang w:bidi="fa-IR"/>
        </w:rPr>
        <w:t>والمنتهی</w:t>
      </w:r>
      <w:r>
        <w:rPr>
          <w:rStyle w:val="FootnoteAnchor"/>
          <w:rtl w:val="true"/>
        </w:rPr>
        <w:footnoteReference w:id="434"/>
      </w:r>
      <w:r>
        <w:rPr>
          <w:rFonts w:ascii="IRNazanin" w:hAnsi="IRNazanin" w:eastAsia="IRNazanin"/>
          <w:color w:val="111111"/>
          <w:sz w:val="28"/>
          <w:sz w:val="28"/>
          <w:szCs w:val="28"/>
          <w:rtl w:val="true"/>
          <w:lang w:bidi="fa-IR"/>
        </w:rPr>
        <w:t xml:space="preserve">الاستدلال بها علی تحیض المبتدأة بمجرّد الرؤیة، وکما علیه إطلاق نصوص </w:t>
      </w:r>
      <w:r>
        <w:rPr>
          <w:rStyle w:val="FootnoteAnchor"/>
          <w:rtl w:val="true"/>
        </w:rPr>
        <w:footnoteReference w:id="435"/>
      </w:r>
      <w:r>
        <w:rPr>
          <w:rFonts w:ascii="IRNazanin" w:hAnsi="IRNazanin" w:eastAsia="IRNazanin"/>
          <w:color w:val="111111"/>
          <w:sz w:val="28"/>
          <w:sz w:val="28"/>
          <w:szCs w:val="28"/>
          <w:rtl w:val="true"/>
          <w:lang w:bidi="fa-IR"/>
        </w:rPr>
        <w:t>تحیض المرأة بمجرّد رؤیة الدم، وإن أورد بعضهم علی الإطلاق بدعوی انصرافه إلی ذات العادة دون المبتدأة، وعلی الاستدلال بالإمکان بعدم استقراره بمجرّد الرؤیة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دعوی الانصراف فیمکن منعه بمخالفته الأصل، إذ الأصل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حکی عن المعتبر</w:t>
      </w:r>
      <w:r>
        <w:rPr>
          <w:rStyle w:val="FootnoteAnchor"/>
          <w:rtl w:val="true"/>
        </w:rPr>
        <w:footnoteReference w:id="436"/>
      </w:r>
      <w:r>
        <w:rPr>
          <w:rFonts w:ascii="IRNazanin" w:hAnsi="IRNazanin" w:eastAsia="IRNazanin"/>
          <w:color w:val="111111"/>
          <w:sz w:val="28"/>
          <w:sz w:val="28"/>
          <w:szCs w:val="28"/>
          <w:rtl w:val="true"/>
          <w:lang w:bidi="fa-IR"/>
        </w:rPr>
        <w:t xml:space="preserve">أن المراد من الدم فی أخبار </w:t>
      </w:r>
    </w:p>
    <w:p>
      <w:pPr>
        <w:pStyle w:val="BookText"/>
        <w:rPr/>
      </w:pPr>
      <w:r>
        <w:rPr>
          <w:rFonts w:ascii="IRNazanin" w:hAnsi="IRNazanin" w:eastAsia="IRNazanin"/>
          <w:color w:val="111111"/>
          <w:sz w:val="28"/>
          <w:sz w:val="28"/>
          <w:szCs w:val="28"/>
          <w:rtl w:val="true"/>
          <w:lang w:bidi="fa-IR"/>
        </w:rPr>
        <w:t xml:space="preserve">الفطر بمجرّد رؤیة الدم لیس مطلقه ، بل منصرفه إلی المعهود وهو دم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منع ، لأن اللام مع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عهد إما یحمل علی الجنسیّة أو الاستغراق، وکلاهما محصّل 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خروج بعض الأفراد بنصّ خاصّ بقی الاستغراق حجّة علی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حملها علی العهد لم یضرنّا، لأن المراد به ما یمکن کونه حیضاً لا ما تحقّق بالقطع، لأنّ تحقّق القطع لا یتفّق فی أول رؤیة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أیّام العادة، لإمکان انقطاعه قبل الثلاثة</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عدم استقرار الإمکان بمجرّد الرؤیة فبأنه إنّما یمنع من الحکم باستقرار الحیضة لا من التحیض المراعی باستمرار الدم إلی الثلاثة ، کما فی رؤیة ذات العادة ، وبعدم التجاوز عن العشرة ، کما فی حیضة أیّام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الباقی من الأقسام الثلانة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المصرّح به الأستاد</w:t>
      </w:r>
      <w:r>
        <w:rPr>
          <w:rStyle w:val="FootnoteAnchor"/>
          <w:rtl w:val="true"/>
        </w:rPr>
        <w:footnoteReference w:id="439"/>
      </w:r>
      <w:r>
        <w:rPr>
          <w:rFonts w:ascii="IRNazanin" w:hAnsi="IRNazanin" w:eastAsia="IRNazanin"/>
          <w:color w:val="111111"/>
          <w:sz w:val="28"/>
          <w:sz w:val="28"/>
          <w:szCs w:val="28"/>
          <w:rtl w:val="true"/>
          <w:lang w:bidi="fa-IR"/>
        </w:rPr>
        <w:t xml:space="preserve">من إطلاقهم إمکان الحیضة ومن عموم أدلته هو دخوله فی مورد قاعدة إمکان الحیضة، وتحت أصالة الحیضة المعاضدة بغلبة الحیضة، وإطلاق أدلّة صفات الحیضة ، وکون أقلّه ثلاثة ، السلیمة کلّ منها عن أصالة عدم الحیض ، لحکومة کلّ من القاعدة والغلبة والإطلاق علی أصالة عدم الحیض ، خلافا لما استظهره الشیخ الأنصاری </w:t>
      </w:r>
      <w:r>
        <w:rPr>
          <w:rStyle w:val="FootnoteAnchor"/>
          <w:rtl w:val="true"/>
        </w:rPr>
        <w:footnoteReference w:id="440"/>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هذا القسم أیضاً عن مورد القاعدة ، باستظهاره من الإمکان عدم الامتناع الواقعی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أرید من الإمکان عدم الامتناع الواقعی من جمیع الجهات لم یبق له مورد من موارد الشق الثلاث أصلاً ورأساً، حتی الشکّ فی الحیضة </w:t>
      </w:r>
    </w:p>
    <w:p>
      <w:pPr>
        <w:pStyle w:val="BookText"/>
        <w:rPr/>
      </w:pPr>
      <w:r>
        <w:rPr>
          <w:rFonts w:ascii="IRNazanin" w:hAnsi="IRNazanin" w:eastAsia="IRNazanin"/>
          <w:color w:val="111111"/>
          <w:sz w:val="28"/>
          <w:sz w:val="28"/>
          <w:szCs w:val="28"/>
          <w:rtl w:val="true"/>
          <w:lang w:bidi="fa-IR"/>
        </w:rPr>
        <w:t>الناشیء عن الشکّ فی مشخّصاته الجزئیّة المختلفة باختلاف آحاد النساء، الرجوع الشکّ فیه أیضاً إلی الشکّ فی الامتناع الواقعی من بعض الجهات لا محالة ، فلا یتحقّق الإمکان حینئذ إلا بعد العلم بانتفاء ما عدا الحیض، ومعه لا حاجة إلی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أرید منه عدم الامتناع الواقعی من جهة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ما صدر من الشارع واقعاً من الشرائط والموانع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وکونه کالتحکم البحت، لمساواة کلّ ما له مدخلیّة فی الحیضة، سیّما علی ما تقدّم</w:t>
      </w:r>
      <w:r>
        <w:rPr>
          <w:rStyle w:val="FootnoteAnchor"/>
          <w:rtl w:val="true"/>
        </w:rPr>
        <w:footnoteReference w:id="441"/>
      </w:r>
      <w:r>
        <w:rPr>
          <w:rFonts w:ascii="IRNazanin" w:hAnsi="IRNazanin" w:eastAsia="IRNazanin"/>
          <w:color w:val="111111"/>
          <w:sz w:val="28"/>
          <w:sz w:val="28"/>
          <w:szCs w:val="28"/>
          <w:rtl w:val="true"/>
          <w:lang w:bidi="fa-IR"/>
        </w:rPr>
        <w:t xml:space="preserve">من عدم جعل للشارع فی موضوعه ، وإنما هو کاشف عن موضوع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دعواه المعارضة بین مجری قاعدة إمکان الحیضة فی هذا القسم من الشک وبین أصالة عدم الحیضة أیضاً، فیه نقضاً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سلّمت المعارضة بینهما فی هذا القسم لم یسلم منها شیء من الأقسام أصلاً ورأساً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w:t>
      </w:r>
      <w:r>
        <w:rPr>
          <w:rStyle w:val="FootnoteAnchor"/>
          <w:rtl w:val="true"/>
        </w:rPr>
        <w:footnoteReference w:id="442"/>
      </w:r>
      <w:r>
        <w:rPr>
          <w:rFonts w:ascii="IRNazanin" w:hAnsi="IRNazanin" w:eastAsia="IRNazanin"/>
          <w:color w:val="111111"/>
          <w:sz w:val="28"/>
          <w:sz w:val="28"/>
          <w:szCs w:val="28"/>
          <w:rtl w:val="true"/>
          <w:lang w:bidi="fa-IR"/>
        </w:rPr>
        <w:t xml:space="preserve">من ورود تلک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المذکور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الاحتیاط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قول من أقوال المسألة محکیّ عن الشهید فی الذکری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الاحتیاط فی المقام فلا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استحبابه وحسنه العقلی فیه ف مبنی علی عدم احتمال الحرمة الذاتیّة فی عبادة الحائض ، و اختصاص حرمتها التشریعیّة بصورة قصد التشریع غیر المجامع لقصد الاحتیاط ، وإلا کان الاحتیاط مع احتمال الحرمة معارضاً بأولویّة دفع المفسدة من جلب المنفعة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حکمه النقاء المتخلّل بین الثلاثة والعشرة فما دون، </w:t>
      </w:r>
    </w:p>
    <w:p>
      <w:pPr>
        <w:pStyle w:val="BookText"/>
        <w:rPr/>
      </w:pPr>
      <w:r>
        <w:rPr>
          <w:rFonts w:ascii="IRNazanin" w:hAnsi="IRNazanin" w:eastAsia="IRNazanin"/>
          <w:color w:val="111111"/>
          <w:sz w:val="28"/>
          <w:sz w:val="28"/>
          <w:szCs w:val="28"/>
          <w:rtl w:val="true"/>
          <w:lang w:bidi="fa-IR"/>
        </w:rPr>
        <w:t>فالمجموع حیض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المجموع بصفة الحیض أم لا، وسواء کان من ذات العادة أم غیرها ، خلافاً لما عن المدارک </w:t>
      </w:r>
      <w:r>
        <w:rPr>
          <w:rStyle w:val="FootnoteAnchor"/>
          <w:rtl w:val="true"/>
        </w:rPr>
        <w:footnoteReference w:id="444"/>
      </w:r>
      <w:r>
        <w:rPr>
          <w:rFonts w:ascii="IRNazanin" w:hAnsi="IRNazanin" w:eastAsia="IRNazanin"/>
          <w:color w:val="111111"/>
          <w:sz w:val="28"/>
          <w:sz w:val="28"/>
          <w:szCs w:val="28"/>
          <w:rtl w:val="true"/>
          <w:lang w:bidi="fa-IR"/>
        </w:rPr>
        <w:t>من مخالفته فیما لم یکن بالصفة أو کان بعد أیّام العادة ، ولما عن الحدائق</w:t>
      </w:r>
      <w:r>
        <w:rPr>
          <w:rStyle w:val="FootnoteAnchor"/>
          <w:rtl w:val="true"/>
        </w:rPr>
        <w:footnoteReference w:id="445"/>
      </w:r>
      <w:r>
        <w:rPr>
          <w:rFonts w:ascii="IRNazanin" w:hAnsi="IRNazanin" w:eastAsia="IRNazanin"/>
          <w:color w:val="111111"/>
          <w:sz w:val="28"/>
          <w:sz w:val="28"/>
          <w:szCs w:val="28"/>
          <w:rtl w:val="true"/>
          <w:lang w:bidi="fa-IR"/>
        </w:rPr>
        <w:t xml:space="preserve">و نحوه ممّن لا یبالی بمخالفة الإجماع من الحکم بطهر النقاء المتخلّل بین الثلاثة والعشرة ، و تخصیص عموم نصوص </w:t>
      </w:r>
      <w:r>
        <w:rPr>
          <w:rStyle w:val="FootnoteAnchor"/>
          <w:rtl w:val="true"/>
        </w:rPr>
        <w:footnoteReference w:id="446"/>
      </w:r>
      <w:r>
        <w:rPr>
          <w:rFonts w:ascii="IRNazanin" w:hAnsi="IRNazanin" w:eastAsia="IRNazanin"/>
          <w:color w:val="111111"/>
          <w:sz w:val="28"/>
          <w:sz w:val="28"/>
          <w:szCs w:val="28"/>
          <w:rtl w:val="true"/>
          <w:lang w:bidi="fa-IR"/>
        </w:rPr>
        <w:t>أقل الطهر عشرة أیام بالطهر المتخلل بین الحیضتین المستقلّتین دون المتخلّل بین أجزاء حیضة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ودلیله علی هذا التخصیص إما إشعار قوله علیه السلام فی صحیحة عبد الرحمن </w:t>
      </w:r>
      <w:r>
        <w:rPr>
          <w:rStyle w:val="FootnoteAnchor"/>
          <w:rtl w:val="true"/>
        </w:rPr>
        <w:footnoteReference w:id="447"/>
      </w:r>
      <w:r>
        <w:rPr>
          <w:rFonts w:ascii="IRNazanin" w:hAnsi="IRNazanin" w:eastAsia="IRNazanin"/>
          <w:color w:val="111111"/>
          <w:sz w:val="28"/>
          <w:sz w:val="28"/>
          <w:szCs w:val="28"/>
          <w:rtl w:val="true"/>
          <w:lang w:bidi="fa-IR"/>
        </w:rPr>
        <w:t xml:space="preserve">المتقدمة الطویلة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فی تلک العشرة أیّام من یوم رأت الدم یوما أو یومین حتّی یتمّ لها ثلاثة، فذلک الذی رأته فی أوّل الأمر مع هذا الذی رأته بعد ذلک فی العشرة فهو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بتخصیص الحیضة بأیام الدم دون النقاء المتخلل بینهما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التخصیص مسوق لدفع توهّم الحیضة المستقلّة فی الأیّام الأخّر من الدم، لا لدفع حیضة النقاء المتخلّل بینهما حتّی یخصّص به عمومات أقل الطهر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إطلاق المرسلة بترک الصلاة بإقبال الدم والصلاة بإدباره ففیه عدم مکافئتها إطلاق أقل الطهر عشرة من جهات أعظمها الاعتضاد بالإجماعات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مع تجاوزه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صور تجاوز الدم عن العشرة فیجمعها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المتجاوزة دمها عن العشرة ذات عادة مستقرّة، أو مبتدأة، أو مضطربة الناسیة عادتها وقت وعدداً، أو عدد خاصّة، أو وقتاً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التقادیر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للدم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عشرة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أحکامها فذات العادة بقسمیها ترجع إلی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والمبتدأة إن کانت ذات تمیز فکالمضطربة ذات التمیّز فی الرجوع إلی التمیّز، وإلا رجعت إلی نسائها إن تمکنت من استعلام حالهنّ، وإلا فکالمضطربة غیر ذات التمیّز فی الرجوع إلی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إمکان منع غلبة دم المبتدأة بالغلبة الموجبة الانصراف اختصاص </w:t>
      </w:r>
      <w:r>
        <w:rPr>
          <w:rStyle w:val="FootnoteAnchor"/>
          <w:rtl w:val="true"/>
        </w:rPr>
        <w:footnoteReference w:id="449"/>
      </w:r>
      <w:r>
        <w:rPr>
          <w:rFonts w:ascii="IRNazanin" w:hAnsi="IRNazanin" w:eastAsia="IRNazanin"/>
          <w:color w:val="111111"/>
          <w:sz w:val="28"/>
          <w:sz w:val="28"/>
          <w:szCs w:val="28"/>
          <w:rtl w:val="true"/>
          <w:lang w:bidi="fa-IR"/>
        </w:rPr>
        <w:t>المرسلة بالمضطربة، فإن غلبة دم المضطربة وقلّة الاختلاف فیها أیضا لا یقصر جدا عن غلبة دم المبتدأة وقلّة الاختلاف فیها ، سیّما عن المبتدأة فی أوائل البلوغ، فإن وجود الدم فیها قلیل عادة ، والاختلاف فیها علی تقدیره کثیر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کون الشرطین الأخیرین استطرادیّاً فلان صریح المتن لمّا کان فی بیان حکم غیر ذات العادة المتجاوزة عن العشرة بالرجوع إلی التمیّز ، کان اشتراط التجاوز و عدم المعارضة بالعادة فی الرجوع إلی التمیز استطرادیّاً مستغنیً عن بیانه لمجرّد التأکید لا التأسیس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الأمر بالتدبّر فإشارة إلی دفع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الفرق بین </w:t>
      </w:r>
    </w:p>
    <w:p>
      <w:pPr>
        <w:pStyle w:val="BookText"/>
        <w:rPr/>
      </w:pPr>
      <w:r>
        <w:rPr>
          <w:rFonts w:ascii="IRNazanin" w:hAnsi="IRNazanin" w:eastAsia="IRNazanin"/>
          <w:color w:val="111111"/>
          <w:sz w:val="28"/>
          <w:sz w:val="28"/>
          <w:szCs w:val="28"/>
          <w:rtl w:val="true"/>
          <w:lang w:bidi="fa-IR"/>
        </w:rPr>
        <w:t>الشرطین الأولین والأخیرین، ووضوح الفرق بینهما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استظهرت بثلثی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استظهرت بعد الرجوع إلی بعض نسائها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بثلثی أیام أقراء نسائها ، وهو الیومان من ثلاثة وأربعة من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حکم الاستظهار خاصّ بذات العادة یرد علی الخبر</w:t>
      </w:r>
      <w:r>
        <w:rPr>
          <w:rStyle w:val="FootnoteAnchor"/>
          <w:rtl w:val="true"/>
        </w:rPr>
        <w:footnoteReference w:id="450"/>
      </w:r>
      <w:r>
        <w:rPr>
          <w:rFonts w:ascii="IRNazanin" w:hAnsi="IRNazanin" w:eastAsia="IRNazanin"/>
          <w:color w:val="111111"/>
          <w:sz w:val="28"/>
          <w:sz w:val="28"/>
          <w:szCs w:val="28"/>
          <w:rtl w:val="true"/>
          <w:lang w:bidi="fa-IR"/>
        </w:rPr>
        <w:t xml:space="preserve">مضافاً إلی إیرادی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ثالث ، وهو الدلالة علی الاستظهار فی المبتدأة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للتشتّت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 انحصار نسائها فی البعض أو عدم التمکّن من استعلام حال الباقیات کفاقدة الأقارب، ترجع إلی أقرانها أو الروایات، لا إلی البعض المفروض من أقاربها، فلا یجدی الحمل علیه نفع ، لعدم القائل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لحمنة بنت جحش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لحمنة جزء من المرسل </w:t>
      </w:r>
      <w:r>
        <w:rPr>
          <w:rStyle w:val="FootnoteAnchor"/>
          <w:rtl w:val="true"/>
        </w:rPr>
        <w:footnoteReference w:id="451"/>
      </w:r>
      <w:r>
        <w:rPr>
          <w:rFonts w:ascii="IRNazanin" w:hAnsi="IRNazanin" w:eastAsia="IRNazanin"/>
          <w:color w:val="111111"/>
          <w:sz w:val="28"/>
          <w:sz w:val="28"/>
          <w:szCs w:val="28"/>
          <w:rtl w:val="true"/>
          <w:lang w:bidi="fa-IR"/>
        </w:rPr>
        <w:t>الطویل لا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 ثم المیم ، ثم النون ، ثم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ثم 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سفیان ، وإن کان لغة اسم ولد الحمار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اجعلی موضع خروج الدم عصابة تمنع الدم، تشبیها باللجام فی فم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اللجمة خرقة عریضة تشدها المرأة ، ثم تشدّ بفضلها من إحدی طرفیها ما بین رجلیها إلی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سبق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المتطرّق إلیه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المضاف إنما هو بالنسبة إلی أفراده، وأما بالنسبة إلی أحوال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فعمومه إطلاقیّ یتأتیّ فیه تطرق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اتّحاد بلد </w:t>
      </w:r>
    </w:p>
    <w:p>
      <w:pPr>
        <w:pStyle w:val="BookText"/>
        <w:rPr/>
      </w:pPr>
      <w:r>
        <w:rPr>
          <w:rFonts w:ascii="IRNazanin" w:hAnsi="IRNazanin" w:eastAsia="IRNazanin"/>
          <w:color w:val="111111"/>
          <w:sz w:val="28"/>
          <w:sz w:val="28"/>
          <w:szCs w:val="28"/>
          <w:rtl w:val="true"/>
          <w:lang w:bidi="fa-IR"/>
        </w:rPr>
        <w:t>الأقارب وعدمه إنما هو من أحوال الأقارب الداخلة فی إطلاقه المتطرّق إلیه الانصراف إلی الأفراد الشائعة، لا من أفراده الداخلة فی عمومه غیر المتطرق إلیه الانصراف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هما إلا اجتهاد فی مقابلة النصّ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مضمون موثّقتی</w:t>
      </w:r>
      <w:r>
        <w:rPr>
          <w:rStyle w:val="FootnoteAnchor"/>
          <w:rtl w:val="true"/>
        </w:rPr>
        <w:footnoteReference w:id="452"/>
      </w:r>
      <w:r>
        <w:rPr>
          <w:rFonts w:ascii="IRNazanin" w:hAnsi="IRNazanin" w:eastAsia="IRNazanin"/>
          <w:color w:val="111111"/>
          <w:sz w:val="28"/>
          <w:sz w:val="28"/>
          <w:szCs w:val="28"/>
          <w:rtl w:val="true"/>
          <w:lang w:bidi="fa-IR"/>
        </w:rPr>
        <w:t xml:space="preserve">ابن بکیر الآتیتین فی الرجوع إلی الروایات، غایة الأمر تقیید الشیخ </w:t>
      </w:r>
      <w:r>
        <w:rPr>
          <w:rStyle w:val="FootnoteAnchor"/>
          <w:rtl w:val="true"/>
        </w:rPr>
        <w:footnoteReference w:id="453"/>
      </w:r>
      <w:r>
        <w:rPr>
          <w:rFonts w:ascii="IRNazanin" w:hAnsi="IRNazanin" w:eastAsia="IRNazanin"/>
          <w:color w:val="111111"/>
          <w:sz w:val="28"/>
          <w:sz w:val="28"/>
          <w:szCs w:val="28"/>
          <w:rtl w:val="true"/>
          <w:lang w:bidi="fa-IR"/>
        </w:rPr>
        <w:t>والمشهور إطلاقهما بصورة ما إذا لم یکن لها نساء أو کنّ مختلفات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تحقّق الإرسال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الإسناد إلی غیر واحد، فإن سند الروایة فی الوسائل عن علی بن إبراهیم، عن محمد بن عیسی، عن یونس، عن غیر واحد سألوا الصادق علیه السلام ، الحدیث</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المرسَل بمعناه الخاصّ ما سقطت رواته کلّاً أو بعض، وإن ذکر الساقط بلفظ مبهم کبعض أو رجل من أصحابنا ، دون ما إذا ذکر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أو عدّة من أصحابنا ، کما فیما نحن فیه ، فإن ذلک ممّا یعدّه من القریب إلی الاستفاضة لا الإرسال إلا بمعناه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الأربع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احتمال أن یکون ذکر الثلاث والعشرین أقصی من باب ذکر أحد الفردین اتکالاً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المراد من قوله علیه السلام</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إذا کان الحیض سبعاً ، کما یشعر به مقارنته 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أقصی بالنظر إلی ما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بالنسبة إلی الشهر الناقص لا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إرادة التفصیل منه یعیّن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إرادته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وقتها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بوجود مرتبة أخری 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فیقوی حینئذ إرادة العهد بما ذکره فی المضطربة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فستتها السبع، والثلاث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ذکره فی المبتدأة من کون السبعة أحد الفردین، سیما بعد تعلیله بتشبیهها بالمبتدأة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قضتها کقصة حمنة حین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أثجه ثجأ، فإن هذا التعلیل والتشبیه کالصریح فی اتحاد المرأتین ومشارکتهما فی التخییر بین العددین ، ورفع المخالفة عن البین، وخصوصاً بعد الاعتضاد بما عن الخلاف</w:t>
      </w:r>
      <w:r>
        <w:rPr>
          <w:rStyle w:val="FootnoteAnchor"/>
          <w:rtl w:val="true"/>
        </w:rPr>
        <w:footnoteReference w:id="456"/>
      </w:r>
      <w:r>
        <w:rPr>
          <w:rFonts w:ascii="IRNazanin" w:hAnsi="IRNazanin" w:eastAsia="IRNazanin"/>
          <w:color w:val="111111"/>
          <w:sz w:val="28"/>
          <w:sz w:val="28"/>
          <w:szCs w:val="28"/>
          <w:rtl w:val="true"/>
          <w:lang w:bidi="fa-IR"/>
        </w:rPr>
        <w:t xml:space="preserve">من الإجماع، وعن التذکرة </w:t>
      </w:r>
      <w:r>
        <w:rPr>
          <w:rStyle w:val="FootnoteAnchor"/>
          <w:rtl w:val="true"/>
        </w:rPr>
        <w:footnoteReference w:id="457"/>
      </w:r>
      <w:r>
        <w:rPr>
          <w:rFonts w:ascii="IRNazanin" w:hAnsi="IRNazanin" w:eastAsia="IRNazanin"/>
          <w:color w:val="111111"/>
          <w:sz w:val="28"/>
          <w:sz w:val="28"/>
          <w:szCs w:val="28"/>
          <w:rtl w:val="true"/>
          <w:lang w:bidi="fa-IR"/>
        </w:rPr>
        <w:t xml:space="preserve">من الشهرة علی روایة التخییر بین الستّ والسبع، وبما عن الذکری </w:t>
      </w:r>
      <w:r>
        <w:rPr>
          <w:rStyle w:val="FootnoteAnchor"/>
          <w:rtl w:val="true"/>
        </w:rPr>
        <w:footnoteReference w:id="458"/>
      </w:r>
      <w:r>
        <w:rPr>
          <w:rFonts w:ascii="IRNazanin" w:hAnsi="IRNazanin" w:eastAsia="IRNazanin"/>
          <w:color w:val="111111"/>
          <w:sz w:val="28"/>
          <w:sz w:val="28"/>
          <w:szCs w:val="28"/>
          <w:rtl w:val="true"/>
          <w:lang w:bidi="fa-IR"/>
        </w:rPr>
        <w:t>من الشهرة علی الفتوی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کلّه یندفع احتمال کون التخییر من الراوی، کما یندفع إشکال استلزام التخییر بین الأقل والأکثر التخییر بین الواجب و ترکه ، بأنه تخییر فی سبب الوجوب والحرمة ولا مانع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اختصاصها بالمبتدأة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قد یستفاد المساواة بین المرأتین فی هذا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استفیدت بینهما فی العدد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تعلیل حکم المضطربة فی المرسلة المتقدّمة بتشبیهها بالمبتدأة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قصّتها کقصّة حمنة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نسبة هذا الحکم إلی المشهور، بل وإلی الاجماع، ومن إطلاق المعتبرة الآتیة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المستحاضة کیف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الحیض ثلاثة، وأکثره عشرة </w:t>
      </w:r>
      <w:r>
        <w:rPr>
          <w:rStyle w:val="FootnoteAnchor"/>
          <w:rtl w:val="true"/>
        </w:rPr>
        <w:footnoteReference w:id="459"/>
      </w:r>
      <w:r>
        <w:rPr>
          <w:rFonts w:ascii="IRNazanin" w:hAnsi="IRNazanin" w:eastAsia="IRNazanin"/>
          <w:color w:val="111111"/>
          <w:sz w:val="28"/>
          <w:sz w:val="28"/>
          <w:szCs w:val="28"/>
          <w:rtl w:val="true"/>
          <w:lang w:bidi="fa-IR"/>
        </w:rPr>
        <w:t>، ومن قرب مدلول المرسل المتقدم لمدلول موثّفتی</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بالنسبة</w:t>
      </w:r>
    </w:p>
    <w:p>
      <w:pPr>
        <w:pStyle w:val="BookText"/>
        <w:rPr/>
      </w:pPr>
      <w:r>
        <w:rPr>
          <w:rFonts w:ascii="IRNazanin" w:hAnsi="IRNazanin" w:eastAsia="IRNazanin"/>
          <w:color w:val="111111"/>
          <w:sz w:val="28"/>
          <w:sz w:val="28"/>
          <w:szCs w:val="28"/>
          <w:rtl w:val="true"/>
          <w:lang w:bidi="fa-IR"/>
        </w:rPr>
        <w:t xml:space="preserve">إلی أیّام الحیض فی الشهرین ، إذ هی ثلاثة عشر أو أربعة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فیقوی حینئذ الظنّ بأن المراد قیام الثلاثة والعشرة فی الشهرین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موافقتهما للاعتبار فی الجملة ، بالجمع بین الأقلّ والأکثر الموافقین لقاعدة الإمکان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الستّة أو السبعة فی کلّ شهر شهر، أو الستّة فی شهر والسبعة فی آخر، فإن هذا کلّه ممّا یقتضی اتّحاد المرأتین ومشارکتهما فی التخیر بین هذین العددین ، کما اقتضاه بین العددین السابقین، خصوصاً بعد الاعتضاد بالاجماع والشهرة المحکین علی المساواة بینهما فی التخییر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ظاهرها الاختصاص بالدور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منع ظهور الاختصاص بالدور الأول منهما، بدعوی ظهورهما فی إرادة المثال ، مؤیّداً بظهور استفادته من إطلاق مضمرة سماعة</w:t>
      </w:r>
      <w:r>
        <w:rPr>
          <w:rStyle w:val="FootnoteAnchor"/>
          <w:rtl w:val="true"/>
        </w:rPr>
        <w:footnoteReference w:id="461"/>
      </w:r>
      <w:r>
        <w:rPr>
          <w:rFonts w:ascii="IRNazanin" w:hAnsi="IRNazanin" w:eastAsia="IRNazanin"/>
          <w:color w:val="111111"/>
          <w:sz w:val="28"/>
          <w:sz w:val="28"/>
          <w:szCs w:val="28"/>
          <w:rtl w:val="true"/>
          <w:lang w:bidi="fa-IR"/>
        </w:rPr>
        <w:t xml:space="preserve">وخبر الخزّاز </w:t>
      </w:r>
      <w:r>
        <w:rPr>
          <w:rStyle w:val="FootnoteAnchor"/>
          <w:rtl w:val="true"/>
        </w:rPr>
        <w:footnoteReference w:id="462"/>
      </w:r>
      <w:r>
        <w:rPr>
          <w:rFonts w:ascii="IRNazanin" w:hAnsi="IRNazanin" w:eastAsia="IRNazanin"/>
          <w:color w:val="111111"/>
          <w:sz w:val="28"/>
          <w:sz w:val="28"/>
          <w:szCs w:val="28"/>
          <w:rtl w:val="true"/>
          <w:lang w:bidi="fa-IR"/>
        </w:rPr>
        <w:t>الآتیتین فی المبتدأة والمستحاضة ، من أن أکثر جلوسها عشرة أیّام وأقلّه ثلاثة أیّام، بعد صرفهما عمّا یوهّم فیهما من إرادة التخییر من الثلاثة إلی العشرة، وإن نقل الفتوی به عن المرتضی</w:t>
      </w:r>
      <w:r>
        <w:rPr>
          <w:rStyle w:val="FootnoteAnchor"/>
          <w:rtl w:val="true"/>
        </w:rPr>
        <w:footnoteReference w:id="463"/>
      </w:r>
      <w:r>
        <w:rPr>
          <w:rFonts w:ascii="IRNazanin" w:hAnsi="IRNazanin" w:eastAsia="IRNazanin"/>
          <w:color w:val="111111"/>
          <w:sz w:val="28"/>
          <w:sz w:val="28"/>
          <w:szCs w:val="28"/>
          <w:rtl w:val="true"/>
          <w:lang w:bidi="fa-IR"/>
        </w:rPr>
        <w:t>، والصدوق</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معارضته المشهور والظاهر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تنزیلهما علی ما ذکر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عدم القول بالفرق بین الدور الأول وغیره فی التخییر المذکور، سوی ما نقل عن الاسکافی </w:t>
      </w:r>
      <w:r>
        <w:rPr>
          <w:rStyle w:val="FootnoteAnchor"/>
          <w:rtl w:val="true"/>
        </w:rPr>
        <w:footnoteReference w:id="465"/>
      </w:r>
      <w:r>
        <w:rPr>
          <w:rFonts w:ascii="IRNazanin" w:hAnsi="IRNazanin" w:eastAsia="IRNazanin"/>
          <w:color w:val="111111"/>
          <w:sz w:val="28"/>
          <w:sz w:val="28"/>
          <w:szCs w:val="28"/>
          <w:rtl w:val="true"/>
          <w:lang w:bidi="fa-IR"/>
        </w:rPr>
        <w:t xml:space="preserve">،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معارضته بما نقل عنه </w:t>
      </w:r>
      <w:r>
        <w:rPr>
          <w:rStyle w:val="FootnoteAnchor"/>
          <w:rtl w:val="true"/>
        </w:rPr>
        <w:footnoteReference w:id="466"/>
      </w:r>
      <w:r>
        <w:rPr>
          <w:rFonts w:ascii="IRNazanin" w:hAnsi="IRNazanin" w:eastAsia="IRNazanin"/>
          <w:color w:val="111111"/>
          <w:sz w:val="28"/>
          <w:sz w:val="28"/>
          <w:szCs w:val="28"/>
          <w:rtl w:val="true"/>
          <w:lang w:bidi="fa-IR"/>
        </w:rPr>
        <w:t xml:space="preserve">أیضاً من خلاف ذلک، وهو التحیّض بثلاثة ثلاثة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عن دلیله بین </w:t>
      </w:r>
    </w:p>
    <w:p>
      <w:pPr>
        <w:pStyle w:val="BookText"/>
        <w:rPr/>
      </w:pPr>
      <w:r>
        <w:rPr>
          <w:rFonts w:ascii="IRNazanin" w:hAnsi="IRNazanin" w:eastAsia="IRNazanin"/>
          <w:color w:val="111111"/>
          <w:sz w:val="28"/>
          <w:sz w:val="28"/>
          <w:szCs w:val="28"/>
          <w:rtl w:val="true"/>
          <w:lang w:bidi="fa-IR"/>
        </w:rPr>
        <w:t xml:space="preserve">الأصحاب، مع عدم ظهوره فیما ادّعاه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ذلک تضمنّها تقدیم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ظهورهما فی إرادة الإلزام من تقدّیم العشرة، بل لعلّ تقدّیم العشرة فی الدور الأوّل من جهة الاستظهار و انتظار انقطاع الدم و استمراره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عدم تکافئها للأول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عدم تکافؤ موثّقتی ابن بکیر للمرسلة</w:t>
      </w:r>
      <w:r>
        <w:rPr>
          <w:rStyle w:val="FootnoteAnchor"/>
          <w:rtl w:val="true"/>
        </w:rPr>
        <w:footnoteReference w:id="467"/>
      </w:r>
      <w:r>
        <w:rPr>
          <w:rFonts w:ascii="IRNazanin" w:hAnsi="IRNazanin" w:eastAsia="IRNazanin"/>
          <w:color w:val="111111"/>
          <w:sz w:val="28"/>
          <w:sz w:val="28"/>
          <w:szCs w:val="28"/>
          <w:rtl w:val="true"/>
          <w:lang w:bidi="fa-IR"/>
        </w:rPr>
        <w:t xml:space="preserve">ما عن الصدوق </w:t>
      </w:r>
      <w:r>
        <w:rPr>
          <w:rStyle w:val="FootnoteAnchor"/>
          <w:rtl w:val="true"/>
        </w:rPr>
        <w:footnoteReference w:id="468"/>
      </w:r>
      <w:r>
        <w:rPr>
          <w:rFonts w:ascii="IRNazanin" w:hAnsi="IRNazanin" w:eastAsia="IRNazanin"/>
          <w:color w:val="111111"/>
          <w:sz w:val="28"/>
          <w:sz w:val="28"/>
          <w:szCs w:val="28"/>
          <w:rtl w:val="true"/>
          <w:lang w:bidi="fa-IR"/>
        </w:rPr>
        <w:t>عن ابن الولید من أن ابن بکیر فطحیّ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دفع ذلک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مثل هذا القدح أیضاً فی المرسلة المتقدمة بالإرسال ، وبما عن الصدوق </w:t>
      </w:r>
      <w:r>
        <w:rPr>
          <w:rStyle w:val="FootnoteAnchor"/>
          <w:rtl w:val="true"/>
        </w:rPr>
        <w:footnoteReference w:id="469"/>
      </w:r>
      <w:r>
        <w:rPr>
          <w:rFonts w:ascii="IRNazanin" w:hAnsi="IRNazanin" w:eastAsia="IRNazanin"/>
          <w:color w:val="111111"/>
          <w:sz w:val="28"/>
          <w:sz w:val="28"/>
          <w:szCs w:val="28"/>
          <w:rtl w:val="true"/>
          <w:lang w:bidi="fa-IR"/>
        </w:rPr>
        <w:t>عن ابن الولید أیضاً من أن ما تفرّد به محمد بن عیسی عن یونس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القدح المذکور فی ابن بکیر إن سلّم فلیسلّم الذی مثله فی المرسلة، وإلا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أجیب عن إرسال المرسلة بما تقدّم من کون المرسل ثقة من أصحاب الإجماع، وعن قدح ابن الولید فیما تفرد به محمد بن عیسی عن یونس بمعارضته </w:t>
      </w:r>
      <w:r>
        <w:rPr>
          <w:rStyle w:val="FootnoteAnchor"/>
          <w:rtl w:val="true"/>
        </w:rPr>
        <w:footnoteReference w:id="470"/>
      </w:r>
      <w:r>
        <w:rPr>
          <w:rFonts w:ascii="IRNazanin" w:hAnsi="IRNazanin" w:eastAsia="IRNazanin"/>
          <w:color w:val="111111"/>
          <w:sz w:val="28"/>
          <w:sz w:val="28"/>
          <w:szCs w:val="28"/>
          <w:rtl w:val="true"/>
          <w:lang w:bidi="fa-IR"/>
        </w:rPr>
        <w:t>بمدح الآخرین له بأبلغ وجه وأتمّ، و تصریحهم بعدم الوقوف فی قدح ابن الولید فیه علی وجه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یجاب عن قدحه فی ابن بکیر بالفطحبة ، بأنّ الفطحیّة لا تمنع من العمل عندنا، بل وعند القادح أیضاً ، کما یعلم من ملاحظة کتابه ، مع معارضة نقله بما نقل عن النجاشی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جلیل فی أصحابنا ، ثقة، عین ، کثیر الروایة ، حسن </w:t>
      </w:r>
    </w:p>
    <w:p>
      <w:pPr>
        <w:pStyle w:val="BookText"/>
        <w:rPr/>
      </w:pPr>
      <w:r>
        <w:rPr>
          <w:rFonts w:ascii="IRNazanin" w:hAnsi="IRNazanin" w:eastAsia="IRNazanin"/>
          <w:color w:val="111111"/>
          <w:sz w:val="28"/>
          <w:sz w:val="28"/>
          <w:szCs w:val="28"/>
          <w:rtl w:val="true"/>
          <w:lang w:bidi="fa-IR"/>
        </w:rPr>
        <w:t>التصانیف</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بملاحظة أن فطحیّة ابن بکیر لا یزید علی ارتداد الشلمغانی الذی سئل الحسین بن روح عن کتبه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فیها ما قال العسکری علیه السلام فی کتب بنی فضّال ،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بکتبهم وبیوتنا منها ملاء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وذروا ما رأوا </w:t>
      </w:r>
      <w:r>
        <w:rPr>
          <w:rStyle w:val="FootnoteAnchor"/>
          <w:rtl w:val="true"/>
        </w:rPr>
        <w:footnoteReference w:id="472"/>
      </w:r>
      <w:r>
        <w:rPr>
          <w:rFonts w:ascii="IRNazanin" w:hAnsi="IRNazanin" w:eastAsia="IRNazanin"/>
          <w:color w:val="111111"/>
          <w:sz w:val="28"/>
          <w:sz w:val="28"/>
          <w:szCs w:val="28"/>
          <w:rtl w:val="true"/>
          <w:lang w:bidi="fa-IR"/>
        </w:rPr>
        <w:t>فإن هذا النصّ الشریف دالّ بمورده علی جواز الأخذ بکتب بنی فضّال، وبعدم الفصل علی کتب غیرهم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الشیخ الجلیل المذکور الذی لا یظنّ به القول فی الدین بغیر السماع من المعصوم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فی کتب الشلمغانی ما قال العسکریً علیه السلام فی کتب 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الکلام بظاهره قیاساً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نقل الاتّفاق قولاّ وفعلاً عن علماء الرجال والحدیث والفقه علی عدم قدح فطحیّة ابن بکیر، بل عن الشیخ فی الخلاف </w:t>
      </w:r>
      <w:r>
        <w:rPr>
          <w:rStyle w:val="FootnoteAnchor"/>
          <w:rtl w:val="true"/>
        </w:rPr>
        <w:footnoteReference w:id="473"/>
      </w:r>
      <w:r>
        <w:rPr>
          <w:rFonts w:ascii="IRNazanin" w:hAnsi="IRNazanin" w:eastAsia="IRNazanin"/>
          <w:color w:val="111111"/>
          <w:sz w:val="28"/>
          <w:sz w:val="28"/>
          <w:szCs w:val="28"/>
          <w:rtl w:val="true"/>
          <w:lang w:bidi="fa-IR"/>
        </w:rPr>
        <w:t xml:space="preserve">الإجماع علی مضمون روایته ، بل لعلّها أولی من المرسل، لمخالفتها للعامّة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ابن بکیر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لا یجدون منه بدّاً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مریداً به التعرّض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أفتی بمضمونها المشهور أیضاً إن لم یکن إجماع، کما صرّح به الجواهر</w:t>
      </w:r>
      <w:r>
        <w:rPr>
          <w:rStyle w:val="FootnoteAnchor"/>
          <w:rtl w:val="true"/>
        </w:rPr>
        <w:footnoteReference w:id="4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ما فیه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احتیاج الجمع المقتضی للتخییر إلی شاهد مبنیّ علی إرادة </w:t>
      </w:r>
    </w:p>
    <w:p>
      <w:pPr>
        <w:pStyle w:val="BookText"/>
        <w:rPr/>
      </w:pPr>
      <w:r>
        <w:rPr>
          <w:rFonts w:ascii="IRNazanin" w:hAnsi="IRNazanin" w:eastAsia="IRNazanin"/>
          <w:color w:val="111111"/>
          <w:sz w:val="28"/>
          <w:sz w:val="28"/>
          <w:szCs w:val="28"/>
          <w:rtl w:val="true"/>
          <w:lang w:bidi="fa-IR"/>
        </w:rPr>
        <w:t>التخییر الحکمی منه لا العملی، وذلک من جهة کفایة الأصل الکلّی وکذا النصّ العامّ المقتضیین للتخییر العملّی فی الخبرین المتعارضین الفاقدین للمرجّحات السندیّة والدلالتّیة، ولا یتوقّف علی ما یتوقّف علیه التخییر الحکمی من وجود شاهد جزئیّ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المراد منه التخییر الحکمی ، لکن لنا أن ندّعی کونه من مدالیل الجمع العرفی، لانتقال الذهن إلی التخییر عند الأمر بشیئین متضادّین فی وقت واحد من آمر واحد أو ما هو بمنزلته ، کالجمع بین العامّ والخاصّ والمطلق والمقیّد بالتخصیص والتقیید ، وبین الأمر والنهی بالحمل علی الرخصة والکراهة ، إلی غیر ذلک من الجموع العرفیّة التی قیاساتها معها ، وهی قاعدة تعیّن الأقرب فالأقرب إلی الحقیقة بعد تعذّرها، التی هی المراد من أولویّة الجمع مهما أمکن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التخییر الحکمی لیس من مدالیل الجمع العرفی بین الخبرین المذکورین ، وعدم انتقال الذهن إلیه بنفسه من دون شاهد خارجی وقرینة خارجیّة، إلاّ أنّه یکفی الشهرة المنقولة الفتوائیّة شاهداً خارجیّاً وقرینة خارجیّة علی التخییر الحکمی بین النصّین المذکورین فی المسألة، مضافاً إلی ما عرفت من قرب مدلولیهما جدّاً بالنسبة إلی أیّام الحیض فی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التمسّک بهما مع أعمیّة الثانی فی مقابل المرسل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بالشهرة والإجماع المحکیّ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العبارة انحصار وجه الإشکال فی أصحّیة سند</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المرسل المعتضد بالشهرة والإجماع المحکیّ من مضمرة سماعة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وخبر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الذی فی نظری القاصر أن وجه الإشکال من جهة أخری، وهی خفاء ظهورهما فی التحیض بثلاثة إلی العشرة، بل أظهریّتهما فی التخییر بین الثلاثة والعشرة ، کما هو مضمون موثّقتی ابن بکیر</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مضافةاً إلی ما فی ذلک من اتّحاد مضمون الأخبار الذی یقتضیه قاعدة أولویّة الجمع مهما أمکن من الطرح، وکون الأخبار کالقرآن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الوقت أخذت العدد کالروایات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المنسیّ الوقت أخذت العدد المعلوم عندها بالفرض کالروایات </w:t>
      </w:r>
      <w:r>
        <w:rPr>
          <w:rStyle w:val="FootnoteAnchor"/>
          <w:rtl w:val="true"/>
        </w:rPr>
        <w:footnoteReference w:id="479"/>
      </w:r>
      <w:r>
        <w:rPr>
          <w:rFonts w:ascii="IRNazanin" w:hAnsi="IRNazanin" w:eastAsia="IRNazanin"/>
          <w:color w:val="111111"/>
          <w:sz w:val="28"/>
          <w:sz w:val="28"/>
          <w:szCs w:val="28"/>
          <w:rtl w:val="true"/>
          <w:lang w:bidi="fa-IR"/>
        </w:rPr>
        <w:t xml:space="preserve">فی خصوص تخییرها فی وضع ذلک العدد المعلوم فی أول الدم أو غیره، لا فی تغییرها فی أصل العدد، کما یوهمه إطلاق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لنفس الأخذ لا المأخوذ، فالمشبه بالروایات فی التخییر لیس نفس العدد المعلوم بالفرض، بل وضعه المجهول ووقته المنسی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تعیّن السبع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علی هذا البناء الستّة لیست من العدد المرویّ، والثلاثة لا یمکن الأخذ بها، لعدم التطابق ، فتعیّن العمل بقاعدة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ذلک إما لعموم أدلّتی الاعتبار بالعادة والرجوع إلی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رجوع التاسیة للوقت أو العدد، المتیقّنة للآخر منهما، إلی الروایات فی منسیّها، وإلی العادة فی متیقّنها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لعموم أدلّتی اعتبار </w:t>
      </w:r>
    </w:p>
    <w:p>
      <w:pPr>
        <w:pStyle w:val="BookText"/>
        <w:rPr/>
      </w:pPr>
      <w:r>
        <w:rPr>
          <w:rFonts w:ascii="IRNazanin" w:hAnsi="IRNazanin" w:eastAsia="IRNazanin"/>
          <w:color w:val="111111"/>
          <w:sz w:val="28"/>
          <w:sz w:val="28"/>
          <w:szCs w:val="28"/>
          <w:rtl w:val="true"/>
          <w:lang w:bidi="fa-IR"/>
        </w:rPr>
        <w:t>العادة لمطلق ذات العادة ولو کانت وقتّیة أو عددیّة فقط ، وعموم أدلّة الرجوع إلی الروایات لمطلق المضطربة ولو کانت ناسیة العدد أو الوقت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لعدم القول بالفصل بین أقسام ذات العادة فی الرجوع إلی العادة، وبین أقسام المضطربة فی الرجوع إلی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لتخلّفها إجماعاًونصوصاً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کالصفرة قبل الحیض بیوم أو یومین بل مطلقاً ، فإنها حیض إجماعاً ونصوصاً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أیّام الحیض وفی أیّام الاستظهار بعد الحیض ما لم یتجاوز العشرة، فإنه حیض إجماعاً ونصوصاً، مع أنه من صفات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العادة بین الحاصلة بالأخذ والانقطاع والحاصلة بالتمیز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الرجوع إلی العادة دون التمیّز بین العادة الحاصلة باستواء الدم مرّتین مع التمیّز وعدمه، للعموم،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أدلّة الرجوع إلی العادة الشاملة لکلا العادتین الوجودیّة والوصفیّة ، خلافاً لما عن جامع المقاصد</w:t>
      </w:r>
      <w:r>
        <w:rPr>
          <w:rStyle w:val="FootnoteAnchor"/>
          <w:rtl w:val="true"/>
        </w:rPr>
        <w:footnoteReference w:id="480"/>
      </w:r>
      <w:r>
        <w:rPr>
          <w:rFonts w:ascii="IRNazanin" w:hAnsi="IRNazanin" w:eastAsia="IRNazanin"/>
          <w:color w:val="111111"/>
          <w:sz w:val="28"/>
          <w:sz w:val="28"/>
          <w:szCs w:val="28"/>
          <w:rtl w:val="true"/>
          <w:lang w:bidi="fa-IR"/>
        </w:rPr>
        <w:t>من تخصیصه تقدّم العادة علی التمیّز بالعادة الوجودیّة ، وأما الوصفیّة فقدّم فیها التمیّز علی العادة، بدعوی انصراف تقدّم العادة إلی العادة الوجودیّة دون الوصفیّة، وبأن العادة التمیّزیة إذا قدمت علی التمیّز عند معارضتهما لزم زیادة الفرع علی الأصل، لأن أصل اعتیادها جاء من الصفة ، فلا یبلغ مرتبة تقدّم علیها مع الخلوّ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تبادر الأول دون الثانی بعد تسلیمه غیر مجبر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انصراف نصوص تقدّم العادة إلی العادة الوجودیّة دون الوصفیّة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غیر مجیر فی مثل المقام، </w:t>
      </w:r>
    </w:p>
    <w:p>
      <w:pPr>
        <w:pStyle w:val="BookText"/>
        <w:rPr/>
      </w:pPr>
      <w:r>
        <w:rPr>
          <w:rFonts w:ascii="IRNazanin" w:hAnsi="IRNazanin" w:eastAsia="IRNazanin"/>
          <w:color w:val="111111"/>
          <w:sz w:val="28"/>
          <w:sz w:val="28"/>
          <w:szCs w:val="28"/>
          <w:rtl w:val="true"/>
          <w:lang w:bidi="fa-IR"/>
        </w:rPr>
        <w:t>لأن عموم نصوص الباب عمومات لغویّة لا یتطرّق إلیها الانصراف ، لا إطلاقات عرفیة حتی یتطرّق إلیها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نصوصه وإن کان إطلاقات قابلة لتطرّق الانصراف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کإطلاق قوله علیه السلام فی موثّقة </w:t>
      </w:r>
      <w:r>
        <w:rPr>
          <w:rStyle w:val="FootnoteAnchor"/>
          <w:rtl w:val="true"/>
        </w:rPr>
        <w:footnoteReference w:id="481"/>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اتّفق شهران عدّة أیّام سواء فتلک أیّامها أو عادتها، علی اختلاف النسخ، إلاّ أن فیه أیضاً عمومات لا یتطرّق إلیها الانصراف، کعموم قوله علیه السلام فی بعض مواضع المرسلة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تعرف أیامها ما احتاجت إلی معرفة لون الدم، لأن السنّة فی الحیض أن تکون الصفرة والکدرة فما فوقها فی أیّام الحیض إذا عرفت حیضاً کلّه إذا کان الدم أسودا وغیر ذلک، فبهذا تبین لک أن قلیل الدم وکثیره أیّام الحیض حیض کله إذا کانت الأیّام معلومة، فإذا جهلت الأیّام وعددها احتاجت إلی النظر حینئیذ إلی إقبال الدم وإدباره، وتغیر لونه من السواد، ثمّ تدع الصلاة قدر ذلک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ضعفه أن تفرّع الثالث علی الأولین لیس من جهة اتّصاف الأوّلین بالتمیّز حتی یلزم من إلغائه فی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مزّیة الفرّع علی الأصل، بل إنّما هو من جهة اتّصاف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التکرر وإن اعتبر فیه التمیّز، فلا یلزم من إلغاء التمیّز فی الثالث المتفرّع علی سبق التکتر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اعتبار التمیز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مزیة الفرع علی أصله، لأن عدم إلغاء التمیّز فی الأصل مع إلغائه فی الفرع من جهة عدم تحقّق سبق التکرّر فی الأصل و تحقّق سبقه فی الفرع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الوصف فی کلّ مرّة من المرّتین دلیل وجود ذات الحیض فیهما ، وتکرّر الذات مرتین دلیل وجود ذاته فی الثالث الخالی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القولین المخالفین للمشهور المنصور،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بإلحاق مطلق الدم المتقدّم والمتأخّر بالمبتدأة، والقول بإلحاق المتّصف منهما بصفة الاستحاضة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المجمل المذکور فی الأخبار </w:t>
      </w:r>
      <w:r>
        <w:rPr>
          <w:rStyle w:val="FootnoteAnchor"/>
          <w:rtl w:val="true"/>
        </w:rPr>
        <w:footnoteReference w:id="483"/>
      </w:r>
      <w:r>
        <w:rPr>
          <w:rFonts w:ascii="IRNazanin" w:hAnsi="IRNazanin" w:eastAsia="IRNazanin"/>
          <w:color w:val="111111"/>
          <w:sz w:val="28"/>
          <w:sz w:val="28"/>
          <w:szCs w:val="28"/>
          <w:rtl w:val="true"/>
          <w:lang w:bidi="fa-IR"/>
        </w:rPr>
        <w:t>من کون الصفرة بعد انقضاء العادة استحاضة منافی لنصوص الاستظهار بعد العادة بیوم ویومین و ثلاثة، بل وإلی العشرة، علی اختلاف النصوص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یقیّد المجمل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الصفرة بعد العادة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تجاوزها عن العشرة حتی یندفع المنافاة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حواشی النسخ </w:t>
      </w:r>
      <w:r>
        <w:rPr>
          <w:rStyle w:val="FootnoteAnchor"/>
          <w:rtl w:val="true"/>
        </w:rPr>
        <w:footnoteReference w:id="484"/>
      </w:r>
      <w:r>
        <w:rPr>
          <w:rFonts w:ascii="IRNazanin" w:hAnsi="IRNazanin" w:eastAsia="IRNazanin"/>
          <w:color w:val="111111"/>
          <w:sz w:val="28"/>
          <w:sz w:val="28"/>
          <w:szCs w:val="28"/>
          <w:rtl w:val="true"/>
          <w:lang w:bidi="fa-IR"/>
        </w:rPr>
        <w:t>المطبوعة من الریاض وجه مفصل آخر للتأمّل محکیّ عن المصنف،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والقاعدة المتفّق علیها من أن ما یمکن أن یکون حیضاً فهو 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أورد علیه الجواهر </w:t>
      </w:r>
      <w:r>
        <w:rPr>
          <w:rStyle w:val="FootnoteAnchor"/>
          <w:rtl w:val="true"/>
        </w:rPr>
        <w:footnoteReference w:id="485"/>
      </w:r>
      <w:r>
        <w:rPr>
          <w:rFonts w:ascii="IRNazanin" w:hAnsi="IRNazanin" w:eastAsia="IRNazanin"/>
          <w:color w:val="111111"/>
          <w:sz w:val="28"/>
          <w:sz w:val="28"/>
          <w:szCs w:val="28"/>
          <w:rtl w:val="true"/>
          <w:lang w:bidi="fa-IR"/>
        </w:rPr>
        <w:t>تبعاً لغیره من أن الاستدلال به مناف التقیید إمکانه بالاستقرار وهو مضیّ الثلاثة ، أو الاتّصاف بالصفات حتّی یخرج عن احتمال الاستحالة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فیدفعه أن تقیید المصنف الإمکان بالاستقرار إنما کان لمجرّد المتابعة </w:t>
      </w:r>
    </w:p>
    <w:p>
      <w:pPr>
        <w:pStyle w:val="BookText"/>
        <w:rPr/>
      </w:pPr>
      <w:r>
        <w:rPr>
          <w:rFonts w:ascii="IRNazanin" w:hAnsi="IRNazanin" w:eastAsia="IRNazanin"/>
          <w:color w:val="111111"/>
          <w:sz w:val="28"/>
          <w:sz w:val="28"/>
          <w:szCs w:val="28"/>
          <w:rtl w:val="true"/>
          <w:lang w:bidi="fa-IR"/>
        </w:rPr>
        <w:t>للجماعة قبل بیان أدلّته العامة، وأما بعد بیانها ثمّة</w:t>
      </w:r>
      <w:r>
        <w:rPr>
          <w:rStyle w:val="FootnoteAnchor"/>
          <w:rtl w:val="true"/>
        </w:rPr>
        <w:footnoteReference w:id="486"/>
      </w:r>
      <w:r>
        <w:rPr>
          <w:rFonts w:ascii="IRNazanin" w:hAnsi="IRNazanin" w:eastAsia="IRNazanin"/>
          <w:color w:val="111111"/>
          <w:sz w:val="28"/>
          <w:sz w:val="28"/>
          <w:szCs w:val="28"/>
          <w:rtl w:val="true"/>
          <w:lang w:bidi="fa-IR"/>
        </w:rPr>
        <w:t>وهاهنا فقد عدل وفاقاً للقدماء عن تقیید المتأخّرین إلی التعمیم والإطلاق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المناقشة فی الأخبار الأخیرة بالتدبّر فیها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المناقشة فی الثلاثة الأخیرة من الأخبار </w:t>
      </w:r>
      <w:r>
        <w:rPr>
          <w:rStyle w:val="FootnoteAnchor"/>
          <w:rtl w:val="true"/>
        </w:rPr>
        <w:footnoteReference w:id="487"/>
      </w:r>
      <w:r>
        <w:rPr>
          <w:rFonts w:ascii="IRNazanin" w:hAnsi="IRNazanin" w:eastAsia="IRNazanin"/>
          <w:color w:val="111111"/>
          <w:sz w:val="28"/>
          <w:sz w:val="28"/>
          <w:szCs w:val="28"/>
          <w:rtl w:val="true"/>
          <w:lang w:bidi="fa-IR"/>
        </w:rPr>
        <w:t xml:space="preserve">فبعدم ظهور مبدأ ترک الصلاة والتحیّض منها، مضافاً إلی ظهور الأولین منها فی مستمّرة الدم، بقرینة اشتراط الترک بالاستمرار فی أحدهما ، والأمر بعمل المستحاضة بعد العشرة فی ثانیهما، وظهور الثالث فی ذات العادة الوقتّیة المختلفة العدد خاصّة، بقرینة وقوع السؤال فیه عن الحیض والطمث المختلف عدد أیامه فی الأشهر ، الظاهر فی معرفة حیضته ووقته وأن الاختلاف فی عدده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الدفع، فبأن ظهور اختصاص الحکم بذات العادة أو المستمرّة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خاصّ بالثلاثة الأخیرة من نصوص الباب ، دون سائر النصوص المتقدّمة المعتبرة المستفیضة فی التحیضّ بمجرّد رؤیة الدم، العامة للمبتدأة والمضطربة أیضاً، بإطلاقها وترک الاستفصال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الجواهر</w:t>
      </w:r>
      <w:r>
        <w:rPr>
          <w:rStyle w:val="FootnoteAnchor"/>
          <w:rtl w:val="true"/>
        </w:rPr>
        <w:footnoteReference w:id="488"/>
      </w:r>
      <w:r>
        <w:rPr>
          <w:rFonts w:ascii="IRNazanin" w:hAnsi="IRNazanin" w:eastAsia="IRNazanin"/>
          <w:color w:val="111111"/>
          <w:sz w:val="28"/>
          <w:sz w:val="28"/>
          <w:szCs w:val="28"/>
          <w:rtl w:val="true"/>
          <w:lang w:bidi="fa-IR"/>
        </w:rPr>
        <w:t>من الإشکال فی دخول الصفرة تحت إطلاقات الدم، و دعوی انصرافها فی جمیع نصوص الباب إلی الحیض المعلوم أو الجامع الأوصافه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کون الأصل عند الشکّ فی الانصراف هو عدم الانصراف، أن الانصراف لو سلّم فلیس إلا من جهة غلبة وجود الحیض والجامع لأوصافه فی </w:t>
      </w:r>
    </w:p>
    <w:p>
      <w:pPr>
        <w:pStyle w:val="BookText"/>
        <w:rPr/>
      </w:pPr>
      <w:r>
        <w:rPr>
          <w:rFonts w:ascii="IRNazanin" w:hAnsi="IRNazanin" w:eastAsia="IRNazanin"/>
          <w:color w:val="111111"/>
          <w:sz w:val="28"/>
          <w:sz w:val="28"/>
          <w:szCs w:val="28"/>
          <w:rtl w:val="true"/>
          <w:lang w:bidi="fa-IR"/>
        </w:rPr>
        <w:t xml:space="preserve">دماء المرأة، وهی کما توجب انصراف لفظ الدم إلی الغالب عرفاً ، کذلک توجب إلحاق المشکوک به عقلاً و شرعاً ، نصّاً وإجماعاً فی الجملة ، کما هو أحد مدارک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أمکن أن یکون حیضاً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یوجب انصراف إطلاق الدم عرفاً إلی الغالب دون إلحاق المشکوک به عقلاً 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کون الغلبة الموجبة لانصراف لفظ الدم غلبة استعمالیة لا وجودیّة ، وهو خلاف الأصل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 الغیر المتّصف بها بعدم القول بالفصل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أورد علیه الجواهر</w:t>
      </w:r>
      <w:r>
        <w:rPr>
          <w:rStyle w:val="FootnoteAnchor"/>
          <w:rtl w:val="true"/>
        </w:rPr>
        <w:footnoteReference w:id="489"/>
      </w:r>
      <w:r>
        <w:rPr>
          <w:rFonts w:ascii="IRNazanin" w:hAnsi="IRNazanin" w:eastAsia="IRNazanin"/>
          <w:color w:val="111111"/>
          <w:sz w:val="28"/>
          <w:sz w:val="28"/>
          <w:szCs w:val="28"/>
          <w:rtl w:val="true"/>
          <w:lang w:bidi="fa-IR"/>
        </w:rPr>
        <w:t>من وجود القول بالفصل فی ظاهر بعض عبائر المقنعة</w:t>
      </w:r>
      <w:r>
        <w:rPr>
          <w:rStyle w:val="FootnoteAnchor"/>
          <w:rtl w:val="true"/>
        </w:rPr>
        <w:footnoteReference w:id="490"/>
      </w:r>
      <w:r>
        <w:rPr>
          <w:rFonts w:ascii="IRNazanin" w:hAnsi="IRNazanin" w:eastAsia="IRNazanin"/>
          <w:color w:val="111111"/>
          <w:sz w:val="28"/>
          <w:sz w:val="28"/>
          <w:szCs w:val="28"/>
          <w:rtl w:val="true"/>
          <w:lang w:bidi="fa-IR"/>
        </w:rPr>
        <w:t>والمختلف</w:t>
      </w:r>
      <w:r>
        <w:rPr>
          <w:rStyle w:val="FootnoteAnchor"/>
          <w:rtl w:val="true"/>
        </w:rPr>
        <w:footnoteReference w:id="491"/>
      </w:r>
      <w:r>
        <w:rPr>
          <w:rFonts w:ascii="IRNazanin" w:hAnsi="IRNazanin" w:eastAsia="IRNazanin"/>
          <w:color w:val="111111"/>
          <w:sz w:val="28"/>
          <w:sz w:val="28"/>
          <w:szCs w:val="28"/>
          <w:rtl w:val="true"/>
          <w:lang w:bidi="fa-IR"/>
        </w:rPr>
        <w:t>والمنتهی</w:t>
      </w:r>
      <w:r>
        <w:rPr>
          <w:rStyle w:val="FootnoteAnchor"/>
          <w:rtl w:val="true"/>
        </w:rPr>
        <w:footnoteReference w:id="492"/>
      </w:r>
      <w:r>
        <w:rPr>
          <w:rFonts w:ascii="IRNazanin" w:hAnsi="IRNazanin" w:eastAsia="IRNazanin"/>
          <w:color w:val="111111"/>
          <w:sz w:val="28"/>
          <w:sz w:val="28"/>
          <w:szCs w:val="28"/>
          <w:rtl w:val="true"/>
          <w:lang w:bidi="fa-IR"/>
        </w:rPr>
        <w:t xml:space="preserve">، وصریح المدارک </w:t>
      </w:r>
      <w:r>
        <w:rPr>
          <w:rStyle w:val="FootnoteAnchor"/>
          <w:rtl w:val="true"/>
        </w:rPr>
        <w:footnoteReference w:id="493"/>
      </w:r>
      <w:r>
        <w:rPr>
          <w:rFonts w:ascii="IRNazanin" w:hAnsi="IRNazanin" w:eastAsia="IRNazanin"/>
          <w:color w:val="111111"/>
          <w:sz w:val="28"/>
          <w:sz w:val="28"/>
          <w:szCs w:val="28"/>
          <w:rtl w:val="true"/>
          <w:lang w:bidi="fa-IR"/>
        </w:rPr>
        <w:t xml:space="preserve">والکفایة </w:t>
      </w:r>
      <w:r>
        <w:rPr>
          <w:rStyle w:val="FootnoteAnchor"/>
          <w:rtl w:val="true"/>
        </w:rPr>
        <w:footnoteReference w:id="494"/>
      </w:r>
      <w:r>
        <w:rPr>
          <w:rFonts w:ascii="IRNazanin" w:hAnsi="IRNazanin" w:eastAsia="IRNazanin"/>
          <w:color w:val="111111"/>
          <w:sz w:val="28"/>
          <w:sz w:val="28"/>
          <w:szCs w:val="28"/>
          <w:rtl w:val="true"/>
          <w:lang w:bidi="fa-IR"/>
        </w:rPr>
        <w:t>والذخیرة</w:t>
      </w:r>
      <w:r>
        <w:rPr>
          <w:rStyle w:val="FootnoteAnchor"/>
          <w:rtl w:val="true"/>
        </w:rPr>
        <w:footnoteReference w:id="495"/>
      </w:r>
      <w:r>
        <w:rPr>
          <w:rFonts w:ascii="IRNazanin" w:hAnsi="IRNazanin" w:eastAsia="IRNazanin"/>
          <w:color w:val="111111"/>
          <w:sz w:val="28"/>
          <w:sz w:val="28"/>
          <w:szCs w:val="28"/>
          <w:rtl w:val="true"/>
          <w:lang w:bidi="fa-IR"/>
        </w:rPr>
        <w:t>والمفاتیح</w:t>
      </w:r>
      <w:r>
        <w:rPr>
          <w:rStyle w:val="FootnoteAnchor"/>
          <w:rtl w:val="true"/>
        </w:rPr>
        <w:footnoteReference w:id="496"/>
      </w:r>
      <w:r>
        <w:rPr>
          <w:rFonts w:ascii="IRNazanin" w:hAnsi="IRNazanin" w:eastAsia="IRNazanin"/>
          <w:color w:val="111111"/>
          <w:sz w:val="28"/>
          <w:sz w:val="28"/>
          <w:szCs w:val="28"/>
          <w:rtl w:val="true"/>
          <w:lang w:bidi="fa-IR"/>
        </w:rPr>
        <w:t>، مقوّیاً إیّاه ، ومستظهراً له من إطلاق نصوص اعتبار الصفات ، و مفهوم بعضها ، کقوله علیه السلام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الحیض حازرّ عبیط أسود، له دفع وحرارة، ودم الاستحاضة اصفر بارد، فإذا کان للدم حرارة ودفع وسواد فلتدع الصلاة</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رأت الصفرة فی غیر أیّامها توضّأت وصلّت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لنا الجواب بأن ضعف مدرک هذا القول وشذوذ نفسه نزّله منزلة </w:t>
      </w:r>
    </w:p>
    <w:p>
      <w:pPr>
        <w:pStyle w:val="BookText"/>
        <w:rPr/>
      </w:pPr>
      <w:r>
        <w:rPr>
          <w:rFonts w:ascii="IRNazanin" w:hAnsi="IRNazanin" w:eastAsia="IRNazanin"/>
          <w:color w:val="111111"/>
          <w:sz w:val="28"/>
          <w:sz w:val="28"/>
          <w:szCs w:val="28"/>
          <w:rtl w:val="true"/>
          <w:lang w:bidi="fa-IR"/>
        </w:rPr>
        <w:t xml:space="preserve">العدم، وذلک لأن إطلاق نصوص اعتبار الصفات بأسرها مقیّدة بمستمرّة الدم، الوجوه من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السؤال فی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مستمرّة الدم، وصدور الجواب عنها بعد الحیضة بالاستحاضة، خصوصاً فی المرسلة </w:t>
      </w:r>
      <w:r>
        <w:rPr>
          <w:rStyle w:val="FootnoteAnchor"/>
          <w:rtl w:val="true"/>
        </w:rPr>
        <w:footnoteReference w:id="499"/>
      </w:r>
      <w:r>
        <w:rPr>
          <w:rFonts w:ascii="IRNazanin" w:hAnsi="IRNazanin" w:eastAsia="IRNazanin"/>
          <w:color w:val="111111"/>
          <w:sz w:val="28"/>
          <w:sz w:val="28"/>
          <w:szCs w:val="28"/>
          <w:rtl w:val="true"/>
          <w:lang w:bidi="fa-IR"/>
        </w:rPr>
        <w:t>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المنقولة فی الریاض </w:t>
      </w:r>
      <w:r>
        <w:rPr>
          <w:rStyle w:val="FootnoteAnchor"/>
          <w:rtl w:val="true"/>
        </w:rPr>
        <w:footnoteReference w:id="500"/>
      </w:r>
      <w:r>
        <w:rPr>
          <w:rFonts w:ascii="IRNazanin" w:hAnsi="IRNazanin" w:eastAsia="IRNazanin"/>
          <w:color w:val="111111"/>
          <w:sz w:val="28"/>
          <w:sz w:val="28"/>
          <w:szCs w:val="28"/>
          <w:rtl w:val="true"/>
          <w:lang w:bidi="fa-IR"/>
        </w:rPr>
        <w:t xml:space="preserve">والجواهر </w:t>
      </w:r>
      <w:r>
        <w:rPr>
          <w:rStyle w:val="FootnoteAnchor"/>
          <w:rtl w:val="true"/>
        </w:rPr>
        <w:footnoteReference w:id="501"/>
      </w:r>
      <w:r>
        <w:rPr>
          <w:rFonts w:ascii="IRNazanin" w:hAnsi="IRNazanin" w:eastAsia="IRNazanin"/>
          <w:color w:val="111111"/>
          <w:sz w:val="28"/>
          <w:sz w:val="28"/>
          <w:szCs w:val="28"/>
          <w:rtl w:val="true"/>
          <w:lang w:bidi="fa-IR"/>
        </w:rPr>
        <w:t xml:space="preserve">وعن شارح المفاتیح </w:t>
      </w:r>
      <w:r>
        <w:rPr>
          <w:rStyle w:val="FootnoteAnchor"/>
          <w:rtl w:val="true"/>
        </w:rPr>
        <w:footnoteReference w:id="502"/>
      </w:r>
      <w:r>
        <w:rPr>
          <w:rFonts w:ascii="IRNazanin" w:hAnsi="IRNazanin" w:eastAsia="IRNazanin"/>
          <w:color w:val="111111"/>
          <w:sz w:val="28"/>
          <w:sz w:val="28"/>
          <w:szCs w:val="28"/>
          <w:rtl w:val="true"/>
          <w:lang w:bidi="fa-IR"/>
        </w:rPr>
        <w:t xml:space="preserve">علی تحیض المبتدأة والمضطربة بمجرّد الرؤیة مطلقا ولو کان لهما تمیّز، وأن الرجوع إلی التمیّز خاصّ بمستمرّة الدم التی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إطلاق نصوص </w:t>
      </w:r>
      <w:r>
        <w:rPr>
          <w:rStyle w:val="FootnoteAnchor"/>
          <w:rtl w:val="true"/>
        </w:rPr>
        <w:footnoteReference w:id="503"/>
      </w:r>
      <w:r>
        <w:rPr>
          <w:rFonts w:ascii="IRNazanin" w:hAnsi="IRNazanin" w:eastAsia="IRNazanin"/>
          <w:color w:val="111111"/>
          <w:sz w:val="28"/>
          <w:sz w:val="28"/>
          <w:szCs w:val="28"/>
          <w:rtl w:val="true"/>
          <w:lang w:bidi="fa-IR"/>
        </w:rPr>
        <w:t>اعتبار الصفات بإطلاق ما هو أظهر منها إطلاقاً، وأقوی ارادة ، وأشهر فتویً، وأکثر عدداً ، وهی النصوص</w:t>
      </w:r>
      <w:r>
        <w:rPr>
          <w:rStyle w:val="FootnoteAnchor"/>
          <w:rtl w:val="true"/>
        </w:rPr>
        <w:footnoteReference w:id="504"/>
      </w:r>
      <w:r>
        <w:rPr>
          <w:rFonts w:ascii="IRNazanin" w:hAnsi="IRNazanin" w:eastAsia="IRNazanin"/>
          <w:color w:val="111111"/>
          <w:sz w:val="28"/>
          <w:sz w:val="28"/>
          <w:szCs w:val="28"/>
          <w:rtl w:val="true"/>
          <w:lang w:bidi="fa-IR"/>
        </w:rPr>
        <w:t xml:space="preserve">المذکورة مدرکاً لقاعدة الإمکان والحکم بحیضة الخالی من الصفات فیما تقدّم ، والنصوص </w:t>
      </w:r>
      <w:r>
        <w:rPr>
          <w:rStyle w:val="FootnoteAnchor"/>
          <w:rtl w:val="true"/>
        </w:rPr>
        <w:footnoteReference w:id="505"/>
      </w:r>
      <w:r>
        <w:rPr>
          <w:rFonts w:ascii="IRNazanin" w:hAnsi="IRNazanin" w:eastAsia="IRNazanin"/>
          <w:color w:val="111111"/>
          <w:sz w:val="28"/>
          <w:sz w:val="28"/>
          <w:szCs w:val="28"/>
          <w:rtl w:val="true"/>
          <w:lang w:bidi="fa-IR"/>
        </w:rPr>
        <w:t>المتقدّمة المستفیضة بأن الصفرة قبل الحیض حیض وفی أیّام الحیض حیض وبعد الحیض ما لم یتجاوز العشرة حیض، والنصوص</w:t>
      </w:r>
      <w:r>
        <w:rPr>
          <w:rStyle w:val="FootnoteAnchor"/>
          <w:rtl w:val="true"/>
        </w:rPr>
        <w:footnoteReference w:id="506"/>
      </w:r>
      <w:r>
        <w:rPr>
          <w:rFonts w:ascii="IRNazanin" w:hAnsi="IRNazanin" w:eastAsia="IRNazanin"/>
          <w:color w:val="111111"/>
          <w:sz w:val="28"/>
          <w:sz w:val="28"/>
          <w:szCs w:val="28"/>
          <w:rtl w:val="true"/>
          <w:lang w:bidi="fa-IR"/>
        </w:rPr>
        <w:t xml:space="preserve">الآتیة فی الاستظهار بعد العادة بیوم ویومین وثلاثة بل وإلی العشرة علی اختلافها ، والنصوص </w:t>
      </w:r>
      <w:r>
        <w:rPr>
          <w:rStyle w:val="FootnoteAnchor"/>
          <w:rtl w:val="true"/>
        </w:rPr>
        <w:footnoteReference w:id="507"/>
      </w:r>
      <w:r>
        <w:rPr>
          <w:rFonts w:ascii="IRNazanin" w:hAnsi="IRNazanin" w:eastAsia="IRNazanin"/>
          <w:color w:val="111111"/>
          <w:sz w:val="28"/>
          <w:sz w:val="28"/>
          <w:szCs w:val="28"/>
          <w:rtl w:val="true"/>
          <w:lang w:bidi="fa-IR"/>
        </w:rPr>
        <w:t xml:space="preserve">الدالّة علی التحیّض بمجرد انغماس القطنة وعدم تطوّقها عند اشتباه الدم بالعذرة، وبمجرّد الخروج من الأیسر عند اشتباهه بالقرحة، مع وجود </w:t>
      </w:r>
    </w:p>
    <w:p>
      <w:pPr>
        <w:pStyle w:val="BookText"/>
        <w:rPr/>
      </w:pPr>
      <w:r>
        <w:rPr>
          <w:rFonts w:ascii="IRNazanin" w:hAnsi="IRNazanin" w:eastAsia="IRNazanin"/>
          <w:color w:val="111111"/>
          <w:sz w:val="28"/>
          <w:sz w:val="28"/>
          <w:szCs w:val="28"/>
          <w:rtl w:val="true"/>
          <w:lang w:bidi="fa-IR"/>
        </w:rPr>
        <w:t>الواسطة بل الوسائط بین العذرة والحیض وبین الفرحة والحیض ، إلی غیر ذلک من النصوص المنافی إطلاقها لإطلاق اعتبار الصفات الدالة علی التحیّض بمجرّد الإمکان و احتمال الحیضة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مجرّد عدم بیان المعصومین التربص للمبتداة والمضطربة فی شیء من نصوص الباب مع کثرتها، وترک استفصالهم عنه، مع الحاجة إلی بیانه وعدم المانع منه ، کافی فی إثبات عدمه بعد عدم جواز 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الاکتفاء فی بیانه بأصالة الاشتغال، أو إطلاق بعض نصوص الصفات، أو مفهوم بعضها ، مع معارضتها بما هو أظهر منها ، منافی الدیدنهم علیهم السلام وبلاغتهم فی مثل ما هو من المسائل العامة البلوی،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کما توهّم من الاختصاص بالأول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المتوهّم علی ما حکاه الجواهر </w:t>
      </w:r>
      <w:r>
        <w:rPr>
          <w:rStyle w:val="FootnoteAnchor"/>
          <w:rtl w:val="true"/>
        </w:rPr>
        <w:footnoteReference w:id="508"/>
      </w:r>
      <w:r>
        <w:rPr>
          <w:rFonts w:ascii="IRNazanin" w:hAnsi="IRNazanin" w:eastAsia="IRNazanin"/>
          <w:color w:val="111111"/>
          <w:sz w:val="28"/>
          <w:sz w:val="28"/>
          <w:szCs w:val="28"/>
          <w:rtl w:val="true"/>
          <w:lang w:bidi="fa-IR"/>
        </w:rPr>
        <w:t>هو صاحب المدارک</w:t>
      </w:r>
      <w:r>
        <w:rPr>
          <w:rStyle w:val="FootnoteAnchor"/>
          <w:rtl w:val="true"/>
        </w:rPr>
        <w:footnoteReference w:id="509"/>
      </w:r>
      <w:r>
        <w:rPr>
          <w:rFonts w:ascii="IRNazanin" w:hAnsi="IRNazanin" w:eastAsia="IRNazanin"/>
          <w:color w:val="111111"/>
          <w:sz w:val="28"/>
          <w:sz w:val="28"/>
          <w:szCs w:val="28"/>
          <w:rtl w:val="true"/>
          <w:lang w:bidi="fa-IR"/>
        </w:rPr>
        <w:t>، حیث حکی عنه التصریح بأنّ محلّ النزاع بینهم إنّما هو فی الجامع ، ناسباً له إلی صریح المختلف</w:t>
      </w:r>
      <w:r>
        <w:rPr>
          <w:rStyle w:val="FootnoteAnchor"/>
          <w:rtl w:val="true"/>
        </w:rPr>
        <w:footnoteReference w:id="510"/>
      </w:r>
      <w:r>
        <w:rPr>
          <w:rFonts w:ascii="IRNazanin" w:hAnsi="IRNazanin" w:eastAsia="IRNazanin"/>
          <w:color w:val="111111"/>
          <w:sz w:val="28"/>
          <w:sz w:val="28"/>
          <w:szCs w:val="28"/>
          <w:rtl w:val="true"/>
          <w:lang w:bidi="fa-IR"/>
        </w:rPr>
        <w:t>والمنتهی</w:t>
      </w:r>
      <w:r>
        <w:rPr>
          <w:rStyle w:val="FootnoteAnchor"/>
          <w:rtl w:val="true"/>
        </w:rPr>
        <w:footnoteReference w:id="511"/>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یمکن حمل عبارات الأصحاب علیه ، لانصراف لفظ الدم إلیه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منع الانصراف أولاً ، وعدم إثباته المدّعی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 قولان آخران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أقوال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الجامع للصفات فتتحیّض بمجرّد </w:t>
      </w:r>
    </w:p>
    <w:p>
      <w:pPr>
        <w:pStyle w:val="BookText"/>
        <w:rPr/>
      </w:pPr>
      <w:r>
        <w:rPr>
          <w:rFonts w:ascii="IRNazanin" w:hAnsi="IRNazanin" w:eastAsia="IRNazanin"/>
          <w:color w:val="111111"/>
          <w:sz w:val="28"/>
          <w:sz w:val="28"/>
          <w:szCs w:val="28"/>
          <w:rtl w:val="true"/>
          <w:lang w:bidi="fa-IR"/>
        </w:rPr>
        <w:t xml:space="preserve">الرؤیة، وغیره فلا، کما عن ظاهر بعض عبائر المقنعة </w:t>
      </w:r>
      <w:r>
        <w:rPr>
          <w:rStyle w:val="FootnoteAnchor"/>
          <w:rtl w:val="true"/>
        </w:rPr>
        <w:footnoteReference w:id="513"/>
      </w:r>
      <w:r>
        <w:rPr>
          <w:rFonts w:ascii="IRNazanin" w:hAnsi="IRNazanin" w:eastAsia="IRNazanin"/>
          <w:color w:val="111111"/>
          <w:sz w:val="28"/>
          <w:sz w:val="28"/>
          <w:szCs w:val="28"/>
          <w:rtl w:val="true"/>
          <w:lang w:bidi="fa-IR"/>
        </w:rPr>
        <w:t xml:space="preserve">والمختلف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 المدارک </w:t>
      </w:r>
      <w:r>
        <w:rPr>
          <w:rStyle w:val="FootnoteAnchor"/>
          <w:rtl w:val="true"/>
        </w:rPr>
        <w:footnoteReference w:id="515"/>
      </w:r>
      <w:r>
        <w:rPr>
          <w:rFonts w:ascii="IRNazanin" w:hAnsi="IRNazanin" w:eastAsia="IRNazanin"/>
          <w:color w:val="111111"/>
          <w:sz w:val="28"/>
          <w:sz w:val="28"/>
          <w:szCs w:val="28"/>
          <w:rtl w:val="true"/>
          <w:lang w:bidi="fa-IR"/>
        </w:rPr>
        <w:t xml:space="preserve">، والکفایة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والذخیرة </w:t>
      </w:r>
      <w:r>
        <w:rPr>
          <w:rStyle w:val="FootnoteAnchor"/>
          <w:rtl w:val="true"/>
        </w:rPr>
        <w:footnoteReference w:id="516"/>
      </w:r>
      <w:r>
        <w:rPr>
          <w:rFonts w:ascii="IRNazanin" w:hAnsi="IRNazanin" w:eastAsia="IRNazanin"/>
          <w:color w:val="111111"/>
          <w:sz w:val="28"/>
          <w:sz w:val="28"/>
          <w:szCs w:val="28"/>
          <w:rtl w:val="true"/>
          <w:lang w:bidi="fa-IR"/>
        </w:rPr>
        <w:t>، والمفاتیح</w:t>
      </w:r>
      <w:r>
        <w:rPr>
          <w:rStyle w:val="FootnoteAnchor"/>
          <w:rtl w:val="true"/>
        </w:rPr>
        <w:footnoteReference w:id="517"/>
      </w:r>
      <w:r>
        <w:rPr>
          <w:rFonts w:ascii="IRNazanin" w:hAnsi="IRNazanin" w:eastAsia="IRNazanin"/>
          <w:color w:val="111111"/>
          <w:sz w:val="28"/>
          <w:sz w:val="28"/>
          <w:szCs w:val="28"/>
          <w:rtl w:val="true"/>
          <w:lang w:bidi="fa-IR"/>
        </w:rPr>
        <w:t xml:space="preserve">واختاره الجواهر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المبتدأة والمضطربة ، کما عن البیان </w:t>
      </w:r>
      <w:r>
        <w:rPr>
          <w:rStyle w:val="FootnoteAnchor"/>
          <w:rtl w:val="true"/>
        </w:rPr>
        <w:footnoteReference w:id="519"/>
      </w:r>
      <w:r>
        <w:rPr>
          <w:rFonts w:ascii="IRNazanin" w:hAnsi="IRNazanin" w:eastAsia="IRNazanin"/>
          <w:color w:val="111111"/>
          <w:sz w:val="28"/>
          <w:sz w:val="28"/>
          <w:szCs w:val="28"/>
          <w:rtl w:val="true"/>
          <w:lang w:bidi="fa-IR"/>
        </w:rPr>
        <w:t>والدروس</w:t>
      </w:r>
      <w:r>
        <w:rPr>
          <w:rStyle w:val="FootnoteAnchor"/>
          <w:rtl w:val="true"/>
        </w:rPr>
        <w:footnoteReference w:id="520"/>
      </w:r>
      <w:r>
        <w:rPr>
          <w:rFonts w:ascii="IRNazanin" w:hAnsi="IRNazanin" w:eastAsia="IRNazanin"/>
          <w:color w:val="111111"/>
          <w:sz w:val="28"/>
          <w:sz w:val="28"/>
          <w:szCs w:val="28"/>
          <w:rtl w:val="true"/>
          <w:lang w:bidi="fa-IR"/>
        </w:rPr>
        <w:t>جعل تحیضّ المضطربة بما ظنّته أنه حیض ، وإن قلنا بالتربّص للمبتدأة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الأفعال والتروک ، کما عن ظاهر البیان</w:t>
      </w:r>
      <w:r>
        <w:rPr>
          <w:rStyle w:val="FootnoteAnchor"/>
          <w:rtl w:val="true"/>
        </w:rPr>
        <w:footnoteReference w:id="521"/>
      </w:r>
      <w:r>
        <w:rPr>
          <w:rFonts w:ascii="IRNazanin" w:hAnsi="IRNazanin" w:eastAsia="IRNazanin"/>
          <w:color w:val="111111"/>
          <w:sz w:val="28"/>
          <w:sz w:val="28"/>
          <w:szCs w:val="28"/>
          <w:rtl w:val="true"/>
          <w:lang w:bidi="fa-IR"/>
        </w:rPr>
        <w:t>والدروس</w:t>
      </w:r>
      <w:r>
        <w:rPr>
          <w:rStyle w:val="FootnoteAnchor"/>
          <w:rtl w:val="true"/>
        </w:rPr>
        <w:footnoteReference w:id="522"/>
      </w:r>
      <w:r>
        <w:rPr>
          <w:rFonts w:ascii="IRNazanin" w:hAnsi="IRNazanin" w:eastAsia="IRNazanin"/>
          <w:color w:val="111111"/>
          <w:sz w:val="28"/>
          <w:sz w:val="28"/>
          <w:szCs w:val="28"/>
          <w:rtl w:val="true"/>
          <w:lang w:bidi="fa-IR"/>
        </w:rPr>
        <w:t>وغیرهما، ولعلّه لأصالة الاشتغال فی الأفعال والبراءة فی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شاذّة مخالفة للمشهور المنصور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لتصادم الأخبار من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تعلیل للنفی، لا بیان للمنفیّ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تصادم الأدلّة من الطرفین تصادم النصوص </w:t>
      </w:r>
      <w:r>
        <w:rPr>
          <w:rStyle w:val="FootnoteAnchor"/>
          <w:rtl w:val="true"/>
        </w:rPr>
        <w:footnoteReference w:id="523"/>
      </w:r>
      <w:r>
        <w:rPr>
          <w:rFonts w:ascii="Amiri" w:hAnsi="Amiri" w:eastAsia="Amiri" w:cs="Amiri"/>
          <w:color w:val="111111"/>
          <w:sz w:val="28"/>
          <w:sz w:val="28"/>
          <w:szCs w:val="28"/>
          <w:rtl w:val="true"/>
          <w:lang w:bidi="ar-SA"/>
        </w:rPr>
        <w:t>المثبتة للاستظهار مع النصوص</w:t>
      </w:r>
      <w:r>
        <w:rPr>
          <w:rStyle w:val="FootnoteAnchor"/>
          <w:rtl w:val="true"/>
        </w:rPr>
        <w:footnoteReference w:id="524"/>
      </w:r>
      <w:r>
        <w:rPr>
          <w:rFonts w:ascii="IRNazanin" w:hAnsi="IRNazanin" w:eastAsia="IRNazanin"/>
          <w:color w:val="111111"/>
          <w:sz w:val="28"/>
          <w:sz w:val="28"/>
          <w:szCs w:val="28"/>
          <w:rtl w:val="true"/>
          <w:lang w:bidi="fa-IR"/>
        </w:rPr>
        <w:t>النافیة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ذات عادة تقعد أیّام عادتها، ثم تعمل عمل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الصفرة والحمرة بعد أیّام الحیض لیستا من الحیض</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تصادمهما مبنیّ علی ما ذکره المصنّف من عدم مرجحّ ظاهر بینهما سوی التقیّة فی النصوص النافیة للاستظهار المرجحّة للمثبتة له، واختلاف نصوص تقادیره المرجّحة للعکس ، فیتصادمان من حیث التعارض والتراجیح بما ذکر، بل وبظهور کلّ من المثبنة والنافیة للاستظهار فی إرادة الحتمیّة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للأصل السلیم عن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وبالشهرة الفتوائیّة المنقولة علی الاستحباب ، حتی إن صاحب الوسائل</w:t>
      </w:r>
      <w:r>
        <w:rPr>
          <w:rStyle w:val="FootnoteAnchor"/>
          <w:rtl w:val="true"/>
        </w:rPr>
        <w:footnoteReference w:id="526"/>
      </w:r>
      <w:r>
        <w:rPr>
          <w:rFonts w:ascii="IRNazanin" w:hAnsi="IRNazanin" w:eastAsia="IRNazanin"/>
          <w:color w:val="111111"/>
          <w:sz w:val="28"/>
          <w:sz w:val="28"/>
          <w:szCs w:val="28"/>
          <w:rtl w:val="true"/>
          <w:lang w:bidi="fa-IR"/>
        </w:rPr>
        <w:t>عقد لنصوصه باب استحباب الاستظهار من غیر احتمال الوجوب فی شیء من 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لظاهر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النصوص المثبتة وإبقاؤها علی ظاهرها وهو الوجوب، لأنها أظهر دلالة ، وأشهر سنداً ، وأکثر عدداً ، وأبعد تقیّة ، وأقوی اعتضادة باستصحاب الحیضة وأصالة الحیض، وبقاعدة الإمکان، وبکثیر من أدلّتها ، وبکثیر من النصوص الدالّة علی حیضة ما لم یتجاوز العشرة وحیضة العشرة مطلقا وحیضة المتجاوز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احتمال أن یکون نصوص الاستظهار مقیّدة لإطلاق نصوص الرجوع إلی العادة والنافیة لحیضة ما عداها بخصوص المتجاوز عن العشرة ، فیرتفع المنافاة حینئذ بکون الاستظهار محلّه عند تجاوز العادة، والاقتصار علی العادة محلّه بعد التجاوز عن العشرة، کما عن المشهور وإجماعی المعتبر</w:t>
      </w:r>
      <w:r>
        <w:rPr>
          <w:rStyle w:val="FootnoteAnchor"/>
          <w:rtl w:val="true"/>
        </w:rPr>
        <w:footnoteReference w:id="527"/>
      </w:r>
      <w:r>
        <w:rPr>
          <w:rFonts w:ascii="IRNazanin" w:hAnsi="IRNazanin" w:eastAsia="IRNazanin"/>
          <w:color w:val="111111"/>
          <w:sz w:val="28"/>
          <w:sz w:val="28"/>
          <w:szCs w:val="28"/>
          <w:rtl w:val="true"/>
          <w:lang w:bidi="fa-IR"/>
        </w:rPr>
        <w:t>والتذکرة</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عدم المنافاة بین عموم حیضة ما تراه المبتدأة والمضطربة فی العشرة، وبین رجوعهما بعد التجاوز عن العشرة إلی تعیین بعض أیّام العشرة الماضیة بموجب التمیّز أو عادة الأهل أو الروایات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أقوی المحامل واقرب وجوه الجمع بین نصوص الاستظهار والرجوع إلی العادة، لأنّ النسبة بینهما من قبیل المطلق والمقیّد، خلافاً لرفع المنافاة بینهما بسائر المحامل التی منها تقیید نصوص الرجوع إلی العادة بما بعد العادة مع انقضاء أیام الاستظهار، تغلیباً لإطلاق أیّام العادة علیها ، إذ هی مثلها فی ترک العادة وغیره ، فإنه خلاف المشهور فتوئ، ولا شاهد علیه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نصوص الاستظهار علی ما کان الدم بصفة الحیض، ونصوص النفی علی ما کان بصفة الاستحاضة، مؤیّداً بعموم نصوص الصفات کما استقر به البرهان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ویبعّده أن حمل نصوص الاستظهار علی ما کان الدم بصفة الحیض حمل للمطلق علی الفرد النادر ، وهو خلاف الظاهر، سیما مع کثرة تلک المطلقات واستفاضتها بل وتواترها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نصوص الاستظهار بغیر مستقیمة العادة ممّن یزید دمها علی العادة وینقص بحیث لا ینافی بقاء العادة ، ونصوص الأخذ بالعادة بمستقیمة العادة ، کما استظهره البرهان </w:t>
      </w:r>
      <w:r>
        <w:rPr>
          <w:rStyle w:val="FootnoteAnchor"/>
          <w:rtl w:val="true"/>
        </w:rPr>
        <w:footnoteReference w:id="530"/>
      </w:r>
      <w:r>
        <w:rPr>
          <w:rFonts w:ascii="IRNazanin" w:hAnsi="IRNazanin" w:eastAsia="IRNazanin"/>
          <w:color w:val="111111"/>
          <w:sz w:val="28"/>
          <w:sz w:val="28"/>
          <w:szCs w:val="28"/>
          <w:rtl w:val="true"/>
          <w:lang w:bidi="fa-IR"/>
        </w:rPr>
        <w:t>أیضاً من بعض نصوص الاستظهار ، کموثّقة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قرؤها مستقیماً فلتأخذ به، وإن کان فیه خلاف فلتحتط بیوم أو یومین</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نصوص الرجوع إلی العادة وفیما بعدها إلی عمل المستحاضة بالمستحاضة المستمرّة الدم من الدور الأول إلی الدور الثانی، دون مطلق المتجاوز دمها عن العادة فی الدور الأول، کما استظهره البرهان </w:t>
      </w:r>
      <w:r>
        <w:rPr>
          <w:rStyle w:val="FootnoteAnchor"/>
          <w:rtl w:val="true"/>
        </w:rPr>
        <w:footnoteReference w:id="532"/>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عن شرح المفاتیح </w:t>
      </w:r>
      <w:r>
        <w:rPr>
          <w:rStyle w:val="FootnoteAnchor"/>
          <w:rtl w:val="true"/>
        </w:rPr>
        <w:footnoteReference w:id="533"/>
      </w:r>
      <w:r>
        <w:rPr>
          <w:rFonts w:ascii="IRNazanin" w:hAnsi="IRNazanin" w:eastAsia="IRNazanin"/>
          <w:color w:val="111111"/>
          <w:sz w:val="28"/>
          <w:sz w:val="28"/>
          <w:szCs w:val="28"/>
          <w:rtl w:val="true"/>
          <w:lang w:bidi="fa-IR"/>
        </w:rPr>
        <w:t>من أکثر نصوصه المعبّرة عن موضوع الحکم فیه بالمستحاضة، الظاهرة فی مستمرّة الدم غیر المتحقّقه إلا بالدور الثانی 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ینافیه بعضه الظاهر فی غیر الدمیّة ، وبعضه الظاهر فی المستحاضة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نصوص الاستظهار بمن لها رجاء انقطاع الدم لدون العشرة، ونصوص الرجوع إلی العادة بالیائسة من ذلک، بناءً علی أن الاستظهار هو استکشاف حال الدم بأنه یتجاوز العشرة أو ینقطع، فلا موقع له مع الیأس عن </w:t>
      </w:r>
    </w:p>
    <w:p>
      <w:pPr>
        <w:pStyle w:val="BookText"/>
        <w:rPr/>
      </w:pP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المتن أیضا من حمل أحد النصین المتعارضین فی المسألة علی الاستحباب أو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المناقشة بورود مثله فی الأدلّة غیر مسموعة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المناقشة بورود نصوص الاستظهار فی مقام توهّم الحظر من 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عمود الدین ، وتارکه بمنزلة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للإباحة ، مثل ما قلت من ورود نصوص الرجوع إلی العادة فی مقام توهّم الحظر من فعل الصلاة بعدها کما کان قبلها، غیر مسموعة، للفرق بین التوهمّین من حیث الموافقة للاستصحاب فیعتبر والمخالفة له فلا یعتبر ، فإن توهّم الحظر من فعل الصلاة بعد العادة ناشیء عن استصحاب حظره قبلها ، فیعتبر فی صرف نصوص الرجوع إلی العادة عن الوجوب إلی الاباحة، بخلاف توهّم الحظر من ترک الصلاة بعد العادة ، فإنّه مخالف للاستصحاب، فلا منشأ له حتی یوجب صرف نصوص الاستظهار عن ظهورها إلی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فتعیّن القول بالأول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الجواهر وغیره حیث رجّح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الاستظهار إلی العشرة</w:t>
      </w:r>
      <w:r>
        <w:rPr>
          <w:rStyle w:val="FootnoteAnchor"/>
          <w:rtl w:val="true"/>
        </w:rPr>
        <w:footnoteReference w:id="534"/>
      </w:r>
      <w:r>
        <w:rPr>
          <w:rFonts w:ascii="IRNazanin" w:hAnsi="IRNazanin" w:eastAsia="IRNazanin"/>
          <w:color w:val="111111"/>
          <w:sz w:val="28"/>
          <w:sz w:val="28"/>
          <w:szCs w:val="28"/>
          <w:rtl w:val="true"/>
          <w:lang w:bidi="fa-IR"/>
        </w:rPr>
        <w:t xml:space="preserve">بأنه مقتضی الجمع بین الأخبار، مؤیّداً باستصحاب أحکام الحیض، وبقاعدة الإمکان المنقول علیها الإجماع فی المقام، وبأصالة الحیض ، وبإطلاق الاستظهار المراد به طلب ظهور الحال من الحیض وعدمه الحاصل بالعشرة، وبعموم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تراه قبل العشرة فهو من الحیضة السابقة</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وقد نوقش فی کلّ من وجوهه المذکورة فی البرهان</w:t>
      </w:r>
      <w:r>
        <w:rPr>
          <w:rStyle w:val="FootnoteAnchor"/>
          <w:rtl w:val="true"/>
        </w:rPr>
        <w:footnoteReference w:id="536"/>
      </w:r>
      <w:r>
        <w:rPr>
          <w:rFonts w:ascii="IRNazanin" w:hAnsi="IRNazanin" w:eastAsia="IRNazanin"/>
          <w:color w:val="111111"/>
          <w:sz w:val="28"/>
          <w:sz w:val="28"/>
          <w:szCs w:val="28"/>
          <w:rtl w:val="true"/>
          <w:lang w:bidi="fa-IR"/>
        </w:rPr>
        <w:t xml:space="preserve">وغیره بما لا یخلو من نظر، إلا أنّ 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الترجیح فالمرجّحات السندیّة من الأصحیّة والأشهریّة والأکثریّة مع ما عدا العشرة من نصوص الاستظهار ، کالیوم والیومین والثلاثة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الأصول والقواعد فاستصحاب الحیضة وأصالة الحیض وقاعدتا الإمکان والجمع مع نصوص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الظنّ فمقتضی حمل نصوص الاستظهار علی الغالب هو الجمع بینها، بحمل اختلاف عددها و تقادیرها علی اختلاف ما هو الغالب أیضاً من حال النساء فی حصول الیأس أو الظنّ بانقطاع الدم بانتظار یوم فلا تنتظر بعده ، وعدم الیأس والظنّ بانقطاعه فتنظر بعده إلی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أفهم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المستند وجوه سدیدة ذکرها الجواهر </w:t>
      </w:r>
      <w:r>
        <w:rPr>
          <w:rStyle w:val="FootnoteAnchor"/>
          <w:rtl w:val="true"/>
        </w:rPr>
        <w:footnoteReference w:id="537"/>
      </w:r>
      <w:r>
        <w:rPr>
          <w:rFonts w:ascii="IRNazanin" w:hAnsi="IRNazanin" w:eastAsia="IRNazanin"/>
          <w:color w:val="111111"/>
          <w:sz w:val="28"/>
          <w:sz w:val="28"/>
          <w:szCs w:val="28"/>
          <w:rtl w:val="true"/>
          <w:lang w:bidi="fa-IR"/>
        </w:rPr>
        <w:t>وغیره 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w:t>
      </w:r>
      <w:r>
        <w:rPr>
          <w:rStyle w:val="FootnoteAnchor"/>
          <w:rtl w:val="true"/>
        </w:rPr>
        <w:footnoteReference w:id="538"/>
      </w:r>
      <w:r>
        <w:rPr>
          <w:rFonts w:ascii="IRNazanin" w:hAnsi="IRNazanin" w:eastAsia="IRNazanin"/>
          <w:color w:val="111111"/>
          <w:sz w:val="28"/>
          <w:sz w:val="28"/>
          <w:szCs w:val="28"/>
          <w:rtl w:val="true"/>
          <w:lang w:bidi="fa-IR"/>
        </w:rPr>
        <w:t>المستفیضة المتقدّمة المتضمنّة لقعود ذات العادة أیّام عادتها ثمّ تعمل عمل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ومناقشة الأستاد فیها تبعاً لغیره بظهورها فی الرجوع إلی العادة بالنسبة إلی الدور الثانی لمن استمرّ دمها من الدور الأوّل، لا بالنسبة إلیها مطلقا ولو فی الدور الأول، کما هو محلّ الکلام، بناءً علی ظهور المستحاضة فی المستحاضة من أول أیّام العادة لا مطلق من استمرّ دمها بعد العادة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ضعیفة المبنی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ظهور المستحاضة فی المستحاضة من أول </w:t>
      </w:r>
    </w:p>
    <w:p>
      <w:pPr>
        <w:pStyle w:val="BookText"/>
        <w:rPr/>
      </w:pPr>
      <w:r>
        <w:rPr>
          <w:rFonts w:ascii="IRNazanin" w:hAnsi="IRNazanin" w:eastAsia="IRNazanin"/>
          <w:color w:val="111111"/>
          <w:sz w:val="28"/>
          <w:sz w:val="28"/>
          <w:szCs w:val="28"/>
          <w:rtl w:val="true"/>
          <w:lang w:bidi="fa-IR"/>
        </w:rPr>
        <w:t>أیّام العادة الخاصة بالدور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بمنافاته للاستظهار المجمع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 إمعان النظر فی المرسلة </w:t>
      </w:r>
      <w:r>
        <w:rPr>
          <w:rStyle w:val="FootnoteAnchor"/>
          <w:rtl w:val="true"/>
        </w:rPr>
        <w:footnoteReference w:id="539"/>
      </w:r>
      <w:r>
        <w:rPr>
          <w:rFonts w:ascii="IRNazanin" w:hAnsi="IRNazanin" w:eastAsia="IRNazanin"/>
          <w:color w:val="111111"/>
          <w:sz w:val="28"/>
          <w:sz w:val="28"/>
          <w:szCs w:val="28"/>
          <w:rtl w:val="true"/>
          <w:lang w:bidi="fa-IR"/>
        </w:rPr>
        <w:t xml:space="preserve">المعوّل علیها فی المقام یقتضی بأنّ السنن الثلاث المذکورة فیها لذات العادة والمبتدأة والمضطربة إنما هی أحکام اختلاط الحیض بالاستحاضة، فهو ثابت متی تحقّق ، وحیث إنه لا یتحقّق بمجرّد التجاوز من العادة لهذا وجب الانتظار فی الدور الأول إلی العشرة باستظهار أو بغیره ، فإذا تجاوز و تحقّق الاختلاط ثبت فیه حینئیذ حکم الدور الثانی، واقتضی البناء فیه حینئذ علی حیضة عدد العادة منها خاصّة، فترجع ذات العادة بمجرّد التجاوز عن العشرة إلی حیضة أیّام العادة خاصة من الأیّام الماضیة ، کما ترجع المبتدأة والمضطربة بمجرّد التجاوز عن العشرة أیضاً إلی تعیین بعض أیّام العشرة الماضیة بموجب التمیّز أو عادة الأهل أو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ارتفع منافاة هذه المستفیضة للاستظهار ، بأن الاستظهار محلّه عند تجاوز العادة، والاقتصار علی العادة محلّه بعد التجاوز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عدم المنافاة بین عموم حیضة ما تراه قبل العشرة، وبین رجوع المبتدأة والمضطربة بعد التجاوز إلی تعیین بعض أیّام العشرة الماضیة بموجب التمیّز أو عادة الأهل أو الروایات، علی التفصیل المتقدّم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العظیمة المقاربة للإجماع علی وجوب قضاء ما ترکته فی أیام الاستظهار عند تجاوز الدم العشرة ، بل المنقول علیه الاجماع عن المعتبر </w:t>
      </w:r>
      <w:r>
        <w:rPr>
          <w:rStyle w:val="FootnoteAnchor"/>
          <w:rtl w:val="true"/>
        </w:rPr>
        <w:footnoteReference w:id="540"/>
      </w:r>
      <w:r>
        <w:rPr>
          <w:rFonts w:ascii="IRNazanin" w:hAnsi="IRNazanin" w:eastAsia="IRNazanin"/>
          <w:color w:val="111111"/>
          <w:sz w:val="28"/>
          <w:sz w:val="28"/>
          <w:szCs w:val="28"/>
          <w:rtl w:val="true"/>
          <w:lang w:bidi="fa-IR"/>
        </w:rPr>
        <w:t>والتذکرة</w:t>
      </w:r>
      <w:r>
        <w:rPr>
          <w:rStyle w:val="FootnoteAnchor"/>
          <w:rtl w:val="true"/>
        </w:rPr>
        <w:footnoteReference w:id="541"/>
      </w:r>
      <w:r>
        <w:rPr>
          <w:rFonts w:ascii="IRNazanin" w:hAnsi="IRNazanin" w:eastAsia="IRNazanin"/>
          <w:color w:val="111111"/>
          <w:sz w:val="28"/>
          <w:sz w:val="28"/>
          <w:szCs w:val="28"/>
          <w:rtl w:val="true"/>
          <w:lang w:bidi="fa-IR"/>
        </w:rPr>
        <w:t xml:space="preserve">ولعلّه کذلک، لعدم خلاف صریح إلاّ من المصنف فی الریاض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وعن المدارک </w:t>
      </w:r>
      <w:r>
        <w:rPr>
          <w:rStyle w:val="FootnoteAnchor"/>
          <w:rtl w:val="true"/>
        </w:rPr>
        <w:footnoteReference w:id="543"/>
      </w:r>
      <w:r>
        <w:rPr>
          <w:rFonts w:ascii="IRNazanin" w:hAnsi="IRNazanin" w:eastAsia="IRNazanin"/>
          <w:color w:val="111111"/>
          <w:sz w:val="28"/>
          <w:sz w:val="28"/>
          <w:szCs w:val="28"/>
          <w:rtl w:val="true"/>
          <w:lang w:bidi="fa-IR"/>
        </w:rPr>
        <w:t xml:space="preserve">ونهایة الاحکام </w:t>
      </w:r>
      <w:r>
        <w:rPr>
          <w:rStyle w:val="FootnoteAnchor"/>
          <w:rtl w:val="true"/>
        </w:rPr>
        <w:footnoteReference w:id="544"/>
      </w:r>
      <w:r>
        <w:rPr>
          <w:rFonts w:ascii="IRNazanin" w:hAnsi="IRNazanin" w:eastAsia="IRNazanin"/>
          <w:color w:val="111111"/>
          <w:sz w:val="28"/>
          <w:sz w:val="28"/>
          <w:szCs w:val="28"/>
          <w:rtl w:val="true"/>
          <w:lang w:bidi="fa-IR"/>
        </w:rPr>
        <w:t xml:space="preserve">لکن لا یساعده دلیل، لعموم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مافات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 وعدم صلاحیة ما استند إلیه للسقوط، من عدم وجوب أدائه بل حرمته ، إذ لا یستلزم ذلک السقوط ، کما لم یسقط قضاء الصوم مع حرمة أدائه ، ومن خلوّ النصوص، لأنّ غایته عدم التعرّض، ولعلّه لإیکال بیانه إلی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کإیکاله إلیه فی النصوص المتقدّمة المتضمنّة لترک العبادة بمجرّد الرؤیة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تفطر ساعة تری الدم</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العقل والعادة من انتقال الدم من الحیض إلی الاستحاضة بمجرّد تمامیّة العشرة، بل هو کالمقطوع عدمه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البعد جار فی کلّ أن متّصل بالعشرة إلی أجزاء العادة و عنده یحصل التبّدل، لاقتضاء العادة التحدید ، فیحکم باستحاضته فی الآن الأوّل ما بعد العادة ، وهکذا ما اتّصل به ممّا تأخر إلی آخر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الاستظهار علی تقدیر کونه استکشاف تجاوز العشرة وعدمه ظاهر فی إلحاق أیّامه بالاستحاضة بعد التجاوز، إذ لو حکم علی تقدیر التجاوز بحیضة الجمیع لم یکن للاستظهار فائدة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وإن استظهره الجواهر</w:t>
      </w:r>
      <w:r>
        <w:rPr>
          <w:rStyle w:val="FootnoteAnchor"/>
          <w:rtl w:val="true"/>
        </w:rPr>
        <w:footnoteReference w:id="547"/>
      </w:r>
      <w:r>
        <w:rPr>
          <w:rFonts w:ascii="IRNazanin" w:hAnsi="IRNazanin" w:eastAsia="IRNazanin"/>
          <w:color w:val="111111"/>
          <w:sz w:val="28"/>
          <w:sz w:val="28"/>
          <w:szCs w:val="28"/>
          <w:rtl w:val="true"/>
          <w:lang w:bidi="fa-IR"/>
        </w:rPr>
        <w:t>وغیره من الاستظهار ، إلا أنه یضعّف ، لکن لا بما فی البرهان</w:t>
      </w:r>
      <w:r>
        <w:rPr>
          <w:rStyle w:val="FootnoteAnchor"/>
          <w:rtl w:val="true"/>
        </w:rPr>
        <w:footnoteReference w:id="548"/>
      </w:r>
      <w:r>
        <w:rPr>
          <w:rFonts w:ascii="IRNazanin" w:hAnsi="IRNazanin" w:eastAsia="IRNazanin"/>
          <w:color w:val="111111"/>
          <w:sz w:val="28"/>
          <w:sz w:val="28"/>
          <w:szCs w:val="28"/>
          <w:rtl w:val="true"/>
          <w:lang w:bidi="fa-IR"/>
        </w:rPr>
        <w:t>من أن هذا المعنی لا یتبّین حقیقة إلا بانتظار العشرة ، ولم یبق وجه لانتظار الیوم والیومین والثلاثة فی النصوص الکثیرة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لاندفاعه بأن غلبة الظنّ وغلبة تطابقها مع العشرة کاف فی وجه ذکرها وخصوصیّتها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لاحتمال کون المقصود من الاستظهار احتیاط کون الدم المتجاوز عن العادة بمقدار أیّام الاستظهار حیض ، کما یتفق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التعبیر أیضاً عن الاستظهار فی بعض النصوص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تحتاط</w:t>
      </w:r>
      <w:r>
        <w:rPr>
          <w:rStyle w:val="FootnoteAnchor"/>
          <w:rtl w:val="true"/>
        </w:rPr>
        <w:footnoteReference w:id="549"/>
      </w:r>
      <w:r>
        <w:rPr>
          <w:rFonts w:ascii="IRNazanin" w:hAnsi="IRNazanin" w:eastAsia="IRNazanin"/>
          <w:color w:val="111111"/>
          <w:sz w:val="28"/>
          <w:sz w:val="28"/>
          <w:szCs w:val="28"/>
          <w:rtl w:val="true"/>
          <w:lang w:bidi="fa-IR"/>
        </w:rPr>
        <w:t xml:space="preserve">وبقوله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فلتحتط بیوم ویومین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یضعّف باستلزامه بقاء مطلوبیّة الاستظهار فی الدور الثانی وما بعده إذا استمرّ الدم إلیها ، وعدم انتقاض حکم التحیّض فی أیّام الاستظهار بعد التجاوز، وقد عرفت بطلان اللازمین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لاحتمال أن یکون المقصود من الاستظهار معنئً ثالثاً، وهو انتظار انقطاع الحیض بما فیه مظنة الانقطاع غالباً بأیّام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ویفترق عن السابق بعدم استلزامه البقاء فی الصورتین السابقتین، لارتفاع ظّن الانقطاع باستمراره من الدور الأول، وعدم بقاءً محلّ له بعد التجاوز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تعقل التخییر بین الأقلّ والأکثر الآتی والماضی وجه تعقّله فی الأصول و غیره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تشمل حینئذ المقام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 نصوص مستحاضیّة ما بعد الاستظهار المحمولة بالغلبة علی ما بعد التجاوز عن العشرة مقام عدم التجاوز عنها المفروض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یشمل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نصوص</w:t>
      </w:r>
      <w:r>
        <w:rPr>
          <w:rStyle w:val="FootnoteAnchor"/>
          <w:rtl w:val="true"/>
        </w:rPr>
        <w:footnoteReference w:id="551"/>
      </w:r>
      <w:r>
        <w:rPr>
          <w:rFonts w:ascii="IRNazanin" w:hAnsi="IRNazanin" w:eastAsia="IRNazanin"/>
          <w:color w:val="111111"/>
          <w:sz w:val="28"/>
          <w:sz w:val="28"/>
          <w:szCs w:val="28"/>
          <w:rtl w:val="true"/>
          <w:lang w:bidi="fa-IR"/>
        </w:rPr>
        <w:t xml:space="preserve">الاستظهار علی التخییر مقام </w:t>
      </w:r>
    </w:p>
    <w:p>
      <w:pPr>
        <w:pStyle w:val="BookText"/>
        <w:rPr/>
      </w:pPr>
      <w:r>
        <w:rPr>
          <w:rFonts w:ascii="IRNazanin" w:hAnsi="IRNazanin" w:eastAsia="IRNazanin"/>
          <w:color w:val="111111"/>
          <w:sz w:val="28"/>
          <w:sz w:val="28"/>
          <w:szCs w:val="28"/>
          <w:rtl w:val="true"/>
          <w:lang w:bidi="fa-IR"/>
        </w:rPr>
        <w:t>حملها علی الغالب المفروض، إذ لا یعقل التخییر الواقعی بین إیجاب الصلاة علیها فی الیوم الزائد وعدم إیجابها، ولا بین جعله حیض أو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التخییر الظاهری فی الحکم بین إیجاب الصلاة علیها وعدم إیجابها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التخییر الظاهری فی الموضوع بین جعله حیضاً أو استحاضة، من جهة الجهل حینئذ بأن الحیض المتجاوز عن العادة هل بلغ الزائد من الیوم مثلاً أم لا؟ فهو وإن أمکن کما هو المشهور، إلا أنه لا یناسب المفروض من حمل نصوص الاستظهار بالیوم والیومین والثلاثة علی الغالب ، إذ المناسب لحملها علی الغالب حمل اختلاف عدد المقادیر فیها أیضاً علی اختلاف ما هو الغالب من حال النساء، فی حصول الیأس أو الظنّ بانقطاع الدم علی انتظار الیوم فلا تنتظر بعده ، وعدم الیأس والظن بانقطاعه فتنتظر بعده إلی العاشر، کما علیه الجواهر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تفصیل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نصوص حیضة المنقطع علی العشرة وإن کانت معارضة بنصوص استحاضة ما بعد الاستظهار، إلا أن العمل والترجیح للحکم بالحیضة وقضاء ما صامته فی أیّام الاستحاضة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أن یکون تعارضهما من قبیل تعارض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أعمِیّة نصوص استحاضة ما بعد الاستظهار للمنقطع علی العشرة والمتجاوز عنها ، وأعمیّة نصوص حیضة المنقطع علی العشرة الأیّام الاستحاضة ولما قبلها من أیّام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فلترجیح عموم نصوص الحیضة بالشهرة المحصلة والإجماعات المنقولة علی عموم نصوص استحاضة ما بعد الاستظهار فی مادة اجتماعهما، وهو استحاضة ما بعد الاستظهار المنقطع علی العشرة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تقدیر أخصّیة نصوص الحکم بحیضة المنقطع علی العشرة واختصاصها بما بعد الاستظهار دون أیّام الاستظهار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معلومیّة دخول </w:t>
      </w:r>
    </w:p>
    <w:p>
      <w:pPr>
        <w:pStyle w:val="BookText"/>
        <w:rPr/>
      </w:pPr>
      <w:r>
        <w:rPr>
          <w:rFonts w:ascii="IRNazanin" w:hAnsi="IRNazanin" w:eastAsia="IRNazanin"/>
          <w:color w:val="111111"/>
          <w:sz w:val="28"/>
          <w:sz w:val="28"/>
          <w:szCs w:val="28"/>
          <w:rtl w:val="true"/>
          <w:lang w:bidi="fa-IR"/>
        </w:rPr>
        <w:t xml:space="preserve">أیّام الاستظهار بخصوص نصوص الاستظهار، لا بعموم حیضة المجموع المنقطع علی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فلتحکّم الخاصّ علی العامّ ذاتاً ، وإن لم یکن فی البین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نصوص استحاضة ما بعد الاستظهار فی التقیید بحال الجهل بالانقطاع علی العشرة وعدمه ، وبما دام لم یتبیّن الانقطاع وعدمه ، کما یستظهر من قوله فی بعض تلک النصوص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احتاطت بیوم أو یومین ثمّ هی مستحاضة</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ما تصنعه المستحاضة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فلتحکیم نصوص حیضة المتبیّن انقطاعه علی العشرة علی نصوص الاستحاضة قبل التبین ، کتحکیم الأدلّة الواقعیّة علی الأدلّة الظاهریّة المقیّدة بحال الجهل بالواقع ومادام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اختصاص نصوص استحاضة ما بعد الاستظهار بصورة التجاوز عن العشرة وعدم الانقطاع علیها دون الانقطاع ۔ حملاً لإطلاقها علی ما هو الغالب من تجاوز ما بعد الاستظهار عن العشرة ، کما اختاره السید الشارح </w:t>
      </w:r>
      <w:r>
        <w:rPr>
          <w:rStyle w:val="FootnoteAnchor"/>
          <w:rtl w:val="true"/>
        </w:rPr>
        <w:footnoteReference w:id="555"/>
      </w:r>
      <w:r>
        <w:rPr>
          <w:rFonts w:ascii="IRNazanin" w:hAnsi="IRNazanin" w:eastAsia="IRNazanin"/>
          <w:color w:val="111111"/>
          <w:sz w:val="28"/>
          <w:sz w:val="28"/>
          <w:szCs w:val="28"/>
          <w:rtl w:val="true"/>
          <w:lang w:bidi="fa-IR"/>
        </w:rPr>
        <w:t>فلانتفاء التعارض عن البین ، وسلامة نصوص حیضة المنقطع عن الرین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أورد علیه الأستاد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أصل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ما بعد استظهار الیوم والیومین المحکوم علیه بقوله علیه السلام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التجاوز عن العشرة یفتضی أولویّة حمل ما بعد استظهار الثلاثة علی صورة التجاوز ، وهو منافی لظاهر الحکم علی ما بعد استظهار الیوم والیومین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هی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ما بعد استظهار الثلاثة بقولهعلیه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تصنع ما تصنعه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فی الحکم علی الأول بأنها مستحاضة من الإشعار بکون استحاضتها حکماً واقعیّاً ، وعلی الثانی بأنها تصنع صنع المستحاضة من الإشعار بنوع من التعبّد والحکم الظاهری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اندفاع التنافی بین التعبیرین بإرجاع أحدهما إلی الآخر، وحمل اختلافهما علی اختلاف التعبیر ومقتضی الحال فی المقال والسؤال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الحکم بتحیّضها الجمیع حذر من جهتها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نصوص مستحاضّیة ما بعد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منافاتها لتحیّض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أنها بحکم المستحاضة لا من موضوعها، لأن موضوعها المتجاوز دمها أکثر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فلم یبق لعدم القضاء إلا دعوی إجزاء الأمر الظاهری ، کما استدلّ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مدفوع بما حقّق فی محلّه من عدم إجزاء امتثال الأمر الظاهری عن الواقع مطلقاً، أو فی خصوص مثل المقام، ممّا هو ظاهر کون الأمر به مقیّداً بما دام لم یظهر الحال، لا مطلقاً حتی بعد 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نظره إلی عدّة المسترابة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اتّفاق النصوص</w:t>
      </w:r>
      <w:r>
        <w:rPr>
          <w:rStyle w:val="FootnoteAnchor"/>
          <w:rtl w:val="true"/>
        </w:rPr>
        <w:footnoteReference w:id="556"/>
      </w:r>
      <w:r>
        <w:rPr>
          <w:rFonts w:ascii="IRNazanin" w:hAnsi="IRNazanin" w:eastAsia="IRNazanin"/>
          <w:color w:val="111111"/>
          <w:sz w:val="28"/>
          <w:sz w:val="28"/>
          <w:szCs w:val="28"/>
          <w:rtl w:val="true"/>
          <w:lang w:bidi="fa-IR"/>
        </w:rPr>
        <w:t>والفتاوی علی تحدید عدّة</w:t>
      </w:r>
    </w:p>
    <w:p>
      <w:pPr>
        <w:pStyle w:val="BookText"/>
        <w:rPr/>
      </w:pPr>
      <w:r>
        <w:rPr>
          <w:rFonts w:ascii="IRNazanin" w:hAnsi="IRNazanin" w:eastAsia="IRNazanin"/>
          <w:color w:val="111111"/>
          <w:sz w:val="28"/>
          <w:sz w:val="28"/>
          <w:szCs w:val="28"/>
          <w:rtl w:val="true"/>
          <w:lang w:bidi="fa-IR"/>
        </w:rPr>
        <w:t>المسترابة بثلاثة أشهر زعم أن الثلاثة أشهر حدّ أکثریّة الطهر دائماً، ولم یلتفت إلی احتمال کونه حدّاً غالبیةاًکتفی به الشارع فی خصوص مورد العدد دون غیره ، فلا یقاس علیه غیره إلا بتنقیح مناط قطعیّ، وإذ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الثلاثة أشهر حدّ أکثریّة الطهر دائماً مخالف لضرورة الوجدان، إذ کثیراً ما یتفّق الطهر بعروض مرض أو علاج أکثر من ثلاثة سنین فضلاً عن ثلاثة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علّل به فیه حرمة الأولین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حرمتهما فی کتاب العلل بالخبر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صوم لمن لا صلاة له</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الخبر ما فی الوسائل </w:t>
      </w:r>
      <w:r>
        <w:rPr>
          <w:rStyle w:val="FootnoteAnchor"/>
          <w:rtl w:val="true"/>
        </w:rPr>
        <w:footnoteReference w:id="558"/>
      </w:r>
      <w:r>
        <w:rPr>
          <w:rFonts w:ascii="IRNazanin" w:hAnsi="IRNazanin" w:eastAsia="IRNazanin"/>
          <w:color w:val="111111"/>
          <w:sz w:val="28"/>
          <w:sz w:val="28"/>
          <w:szCs w:val="28"/>
          <w:rtl w:val="true"/>
          <w:lang w:bidi="fa-IR"/>
        </w:rPr>
        <w:t xml:space="preserve">عن الصدوق فی عیون </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559"/>
      </w:r>
      <w:r>
        <w:rPr>
          <w:rFonts w:ascii="IRNazanin" w:hAnsi="IRNazanin" w:eastAsia="IRNazanin"/>
          <w:color w:val="111111"/>
          <w:sz w:val="28"/>
          <w:sz w:val="28"/>
          <w:szCs w:val="28"/>
          <w:rtl w:val="true"/>
          <w:lang w:bidi="fa-IR"/>
        </w:rPr>
        <w:t>والعلل باسناده عن الفضل بن شاذان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فلا تصوم ولا تصلّی، لأنها فی حدّ نجاسة، فأحبّ الله أن لا یعبد إلا طاهراً، ولأنه لا صوم لمن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عن مثل ما رواه الصدوق فی مثل الکتابین بإسناده إلی مثل الفضل بن شاذان فی مثل هذا الحکم الاتّفاقی بالخبر لا یخلو من نظر، إذ کان الأنسب التعبیر عنه لا أقلّ بالمعتبر أو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اقتصاره علی نقل التعلیل الثانی دون التعلیل الأول، مع أنه أصرح دلالة علی الحرمة، لعلّه لأجل التنبیه علی جبر دلالّة الثانی بتعلیل المعصوم به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قول آخر بالتفصیل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قول آخر بالتفصیل بین انقطاع الدم فیصحّ الصوم قبل الطهارة، وبین عدمه فلا ، کما عن العلامة فی النهایة </w:t>
      </w:r>
      <w:r>
        <w:rPr>
          <w:rStyle w:val="FootnoteAnchor"/>
          <w:rtl w:val="true"/>
        </w:rPr>
        <w:footnoteReference w:id="560"/>
      </w:r>
      <w:r>
        <w:rPr>
          <w:rFonts w:ascii="IRNazanin" w:hAnsi="IRNazanin" w:eastAsia="IRNazanin"/>
          <w:color w:val="111111"/>
          <w:sz w:val="28"/>
          <w:sz w:val="28"/>
          <w:szCs w:val="28"/>
          <w:rtl w:val="true"/>
          <w:lang w:bidi="fa-IR"/>
        </w:rPr>
        <w:t>وبعض متأخّری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المصنف فی المعتبر</w:t>
      </w:r>
      <w:r>
        <w:rPr>
          <w:rStyle w:val="FootnoteAnchor"/>
          <w:rtl w:val="true"/>
        </w:rPr>
        <w:footnoteReference w:id="561"/>
      </w:r>
      <w:r>
        <w:rPr>
          <w:rFonts w:ascii="IRNazanin" w:hAnsi="IRNazanin" w:eastAsia="IRNazanin"/>
          <w:color w:val="111111"/>
          <w:sz w:val="28"/>
          <w:sz w:val="28"/>
          <w:szCs w:val="28"/>
          <w:rtl w:val="true"/>
          <w:lang w:bidi="fa-IR"/>
        </w:rPr>
        <w:t>التردّد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الکلام یأتی فی 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الفترة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التطهّر فی زمان سکون الدم فی الباطن وانکساره وضعفه من الخروج إلی الظاهر، أو فی زمان انقطاعه والنقاء بین الدمین الملحق بالحیض، وذلک لبقاء موجب الحدث الحقیقی حالة وجود الدم ولو فی الباطن ، والحکمی حالة النقاء المتخلّل بین الدمین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 الشیء، إذا سکن وانکسر وضعف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نسخ الریاض </w:t>
      </w:r>
    </w:p>
    <w:p>
      <w:pPr>
        <w:pStyle w:val="BookText"/>
        <w:rPr/>
      </w:pPr>
      <w:r>
        <w:rPr>
          <w:rFonts w:ascii="IRNazanin" w:hAnsi="IRNazanin" w:eastAsia="IRNazanin"/>
          <w:color w:val="111111"/>
          <w:sz w:val="28"/>
          <w:sz w:val="28"/>
          <w:szCs w:val="28"/>
          <w:rtl w:val="true"/>
          <w:lang w:bidi="fa-IR"/>
        </w:rPr>
        <w:t xml:space="preserve">تبدیل الفترة بلفظ العشرة، وهو لا یناسب الترقّی والتوصّل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التطهّر فیها ، إلا بتأویل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مصادفة فقد الماء علی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نستعهد قولاً بل ولا وجهاً لمشروعیّة التیممّ مع وجود الماء وعدم مشروعیتّه مع عدم الماء ، بل المعهود فتویً ونصاً</w:t>
      </w:r>
      <w:r>
        <w:rPr>
          <w:rStyle w:val="FootnoteAnchor"/>
          <w:rtl w:val="true"/>
        </w:rPr>
        <w:footnoteReference w:id="562"/>
      </w:r>
      <w:r>
        <w:rPr>
          <w:rFonts w:ascii="IRNazanin" w:hAnsi="IRNazanin" w:eastAsia="IRNazanin"/>
          <w:color w:val="111111"/>
          <w:sz w:val="28"/>
          <w:sz w:val="28"/>
          <w:szCs w:val="28"/>
          <w:rtl w:val="true"/>
          <w:lang w:bidi="fa-IR"/>
        </w:rPr>
        <w:t xml:space="preserve">هو العکس، فتعیّن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مصادفة فقد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استدراکاً من استحباب الوضوء لها لا من استحباب التیممّ، أو من طغیان قلم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جمیع ذلک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مفید لإباحة الخروج فقط، أو التخفیف فی الحدث ، دون رفعه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تذکر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ما فی الاستدلال بالحسن </w:t>
      </w:r>
      <w:r>
        <w:rPr>
          <w:rStyle w:val="FootnoteAnchor"/>
          <w:rtl w:val="true"/>
        </w:rPr>
        <w:footnoteReference w:id="563"/>
      </w:r>
      <w:r>
        <w:rPr>
          <w:rFonts w:ascii="IRNazanin" w:hAnsi="IRNazanin" w:eastAsia="IRNazanin"/>
          <w:color w:val="111111"/>
          <w:sz w:val="28"/>
          <w:sz w:val="28"/>
          <w:szCs w:val="28"/>
          <w:rtl w:val="true"/>
          <w:lang w:bidi="fa-IR"/>
        </w:rPr>
        <w:t>من کونه أخصّ من المدّعی ، لظهور اختصاصه بعدم ارتفاع حدث الحیض خاصّة ، والمدّعی أعمّ منه ومن حدث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عدم إمکان رفع الأخصّیة بعدم القول بالفصل بین الحدثین، لوجود النصّ بل القول عن الشیخ فی کتابی الأخبار </w:t>
      </w:r>
      <w:r>
        <w:rPr>
          <w:rStyle w:val="FootnoteAnchor"/>
          <w:rtl w:val="true"/>
        </w:rPr>
        <w:footnoteReference w:id="564"/>
      </w:r>
      <w:r>
        <w:rPr>
          <w:rFonts w:ascii="IRNazanin" w:hAnsi="IRNazanin" w:eastAsia="IRNazanin"/>
          <w:color w:val="111111"/>
          <w:sz w:val="28"/>
          <w:sz w:val="28"/>
          <w:szCs w:val="28"/>
          <w:rtl w:val="true"/>
          <w:lang w:bidi="fa-IR"/>
        </w:rPr>
        <w:t>بالتفصیل بین حدث الجنابة فیرتفع عنها والحیض فلا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 دفع معارضة عموم</w:t>
      </w:r>
      <w:r>
        <w:rPr>
          <w:rStyle w:val="FootnoteAnchor"/>
          <w:rtl w:val="true"/>
        </w:rPr>
        <w:footnoteReference w:id="565"/>
      </w:r>
      <w:r>
        <w:rPr>
          <w:rFonts w:ascii="IRNazanin" w:hAnsi="IRNazanin" w:eastAsia="IRNazanin"/>
          <w:color w:val="111111"/>
          <w:sz w:val="28"/>
          <w:sz w:val="28"/>
          <w:szCs w:val="28"/>
          <w:rtl w:val="true"/>
          <w:lang w:bidi="fa-IR"/>
        </w:rPr>
        <w:t xml:space="preserve">نفی ارتفاع الطهر عنها یوم الجمعة بصریح ما </w:t>
      </w:r>
    </w:p>
    <w:p>
      <w:pPr>
        <w:pStyle w:val="BookText"/>
        <w:rPr/>
      </w:pPr>
      <w:r>
        <w:rPr>
          <w:rFonts w:ascii="IRNazanin" w:hAnsi="IRNazanin" w:eastAsia="IRNazanin"/>
          <w:color w:val="111111"/>
          <w:sz w:val="28"/>
          <w:sz w:val="28"/>
          <w:szCs w:val="28"/>
          <w:rtl w:val="true"/>
          <w:lang w:bidi="fa-IR"/>
        </w:rPr>
        <w:t>فی الجواهر</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لما عن صریح السرائر </w:t>
      </w:r>
      <w:r>
        <w:rPr>
          <w:rStyle w:val="FootnoteAnchor"/>
          <w:rtl w:val="true"/>
        </w:rPr>
        <w:footnoteReference w:id="567"/>
      </w:r>
      <w:r>
        <w:rPr>
          <w:rFonts w:ascii="IRNazanin" w:hAnsi="IRNazanin" w:eastAsia="IRNazanin"/>
          <w:color w:val="111111"/>
          <w:sz w:val="28"/>
          <w:sz w:val="28"/>
          <w:szCs w:val="28"/>
          <w:rtl w:val="true"/>
          <w:lang w:bidi="fa-IR"/>
        </w:rPr>
        <w:t xml:space="preserve">والمعتبر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 وظاهر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الأغسال المندوبة لها ، نظراً إلی عدم سقوط الخطاب بها حال الحیض ، بما عن المشهور المنصور من عدم کون الأغسال المندوبة رافعة للحدث، وأن التعارض المذکور بین عموم النصّ وما ذکر من الفتاوی مبنیّ علی القول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لبعض النصوص</w:t>
      </w:r>
      <w:r>
        <w:rPr>
          <w:rStyle w:val="FootnoteAnchor"/>
          <w:rtl w:val="true"/>
        </w:rPr>
        <w:footnoteReference w:id="569"/>
      </w:r>
      <w:r>
        <w:rPr>
          <w:rFonts w:ascii="IRNazanin" w:hAnsi="IRNazanin" w:eastAsia="IRNazanin"/>
          <w:color w:val="111111"/>
          <w:sz w:val="28"/>
          <w:sz w:val="28"/>
          <w:szCs w:val="28"/>
          <w:rtl w:val="true"/>
          <w:lang w:bidi="fa-IR"/>
        </w:rPr>
        <w:t xml:space="preserve">الشاذّة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الحدث بکلّ غسل، وهو بمعزل عن الصواب عندنا معاشر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الفقیه</w:t>
      </w:r>
      <w:r>
        <w:rPr>
          <w:rStyle w:val="FootnoteAnchor"/>
          <w:rtl w:val="true"/>
        </w:rPr>
        <w:footnoteReference w:id="570"/>
      </w:r>
      <w:r>
        <w:rPr>
          <w:rFonts w:ascii="IRNazanin" w:hAnsi="IRNazanin" w:eastAsia="IRNazanin"/>
          <w:color w:val="111111"/>
          <w:sz w:val="28"/>
          <w:sz w:val="28"/>
          <w:szCs w:val="28"/>
          <w:rtl w:val="true"/>
          <w:lang w:bidi="fa-IR"/>
        </w:rPr>
        <w:t xml:space="preserve">والمقنع </w:t>
      </w:r>
      <w:r>
        <w:rPr>
          <w:rStyle w:val="FootnoteAnchor"/>
          <w:rtl w:val="true"/>
        </w:rPr>
        <w:footnoteReference w:id="571"/>
      </w:r>
      <w:r>
        <w:rPr>
          <w:rFonts w:ascii="IRNazanin" w:hAnsi="IRNazanin" w:eastAsia="IRNazanin"/>
          <w:color w:val="111111"/>
          <w:sz w:val="28"/>
          <w:sz w:val="28"/>
          <w:szCs w:val="28"/>
          <w:rtl w:val="true"/>
          <w:lang w:bidi="fa-IR"/>
        </w:rPr>
        <w:t xml:space="preserve">والجمل والعقود </w:t>
      </w:r>
      <w:r>
        <w:rPr>
          <w:rStyle w:val="FootnoteAnchor"/>
          <w:rtl w:val="true"/>
        </w:rPr>
        <w:footnoteReference w:id="572"/>
      </w:r>
      <w:r>
        <w:rPr>
          <w:rFonts w:ascii="IRNazanin" w:hAnsi="IRNazanin" w:eastAsia="IRNazanin"/>
          <w:color w:val="111111"/>
          <w:sz w:val="28"/>
          <w:sz w:val="28"/>
          <w:szCs w:val="28"/>
          <w:rtl w:val="true"/>
          <w:lang w:bidi="fa-IR"/>
        </w:rPr>
        <w:t xml:space="preserve">و الوسیلة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الفقیه فلفظه فی بحث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للحائض والجنب أن یدخلا المسجد إلا مجتازین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کما تری صریحة فی موافقة المشهور فی استثناء الاجتیاز من حرمة الدخول، ولم أقف له علی ما نسب إلیه المصنف و الجواهر </w:t>
      </w:r>
      <w:r>
        <w:rPr>
          <w:rStyle w:val="FootnoteAnchor"/>
          <w:rtl w:val="true"/>
        </w:rPr>
        <w:footnoteReference w:id="574"/>
      </w:r>
      <w:r>
        <w:rPr>
          <w:rFonts w:ascii="IRNazanin" w:hAnsi="IRNazanin" w:eastAsia="IRNazanin"/>
          <w:color w:val="111111"/>
          <w:sz w:val="28"/>
          <w:sz w:val="28"/>
          <w:szCs w:val="28"/>
          <w:rtl w:val="true"/>
          <w:lang w:bidi="fa-IR"/>
        </w:rPr>
        <w:t>من القول بحرمة الدخول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الکتب المنسوب إلیها هذا القول فلم یحضرنی الآن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الصور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صورة الزنا بالحائض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أولویة ثبوت الحکم بالکفّارة فیه فناظر إلی أشدّیة حرمة وطء الحائض بالزنا من وطیها بغیر زنا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وجه التأمّل فیه فناظر إلی أن أشدّیة حرمة الزنا لا یقتضی الکفّارة ، إذ لعلّه بأشدّیته لاکفّارة له، أو له کفّارة غیر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مالک</w:t>
      </w:r>
      <w:r>
        <w:rPr>
          <w:rStyle w:val="FootnoteAnchor"/>
          <w:rtl w:val="true"/>
        </w:rPr>
        <w:footnoteReference w:id="575"/>
      </w:r>
      <w:r>
        <w:rPr>
          <w:rFonts w:ascii="IRNazanin" w:hAnsi="IRNazanin" w:eastAsia="IRNazanin"/>
          <w:color w:val="111111"/>
          <w:sz w:val="28"/>
          <w:sz w:val="28"/>
          <w:szCs w:val="28"/>
          <w:rtl w:val="true"/>
          <w:lang w:bidi="fa-IR"/>
        </w:rPr>
        <w:t xml:space="preserve">وأبو حنیفة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الشافعی</w:t>
      </w:r>
      <w:r>
        <w:rPr>
          <w:rStyle w:val="FootnoteAnchor"/>
          <w:rtl w:val="true"/>
        </w:rPr>
        <w:footnoteReference w:id="577"/>
      </w:r>
      <w:r>
        <w:rPr>
          <w:rFonts w:ascii="IRNazanin" w:hAnsi="IRNazanin" w:eastAsia="IRNazanin"/>
          <w:color w:val="111111"/>
          <w:sz w:val="28"/>
          <w:sz w:val="28"/>
          <w:szCs w:val="28"/>
          <w:rtl w:val="true"/>
          <w:lang w:bidi="fa-IR"/>
        </w:rPr>
        <w:t xml:space="preserve">وأصحاب أبی حنیفة </w:t>
      </w:r>
      <w:r>
        <w:rPr>
          <w:rStyle w:val="FootnoteAnchor"/>
          <w:rtl w:val="true"/>
        </w:rPr>
        <w:footnoteReference w:id="578"/>
      </w:r>
      <w:r>
        <w:rPr>
          <w:rFonts w:ascii="IRNazanin" w:hAnsi="IRNazanin" w:eastAsia="IRNazanin"/>
          <w:color w:val="111111"/>
          <w:sz w:val="28"/>
          <w:sz w:val="28"/>
          <w:szCs w:val="28"/>
          <w:rtl w:val="true"/>
          <w:lang w:bidi="fa-IR"/>
        </w:rPr>
        <w:t xml:space="preserve">وربیعة </w:t>
      </w:r>
      <w:r>
        <w:rPr>
          <w:rStyle w:val="FootnoteAnchor"/>
          <w:rtl w:val="true"/>
        </w:rPr>
        <w:footnoteReference w:id="579"/>
      </w:r>
      <w:r>
        <w:rPr>
          <w:rFonts w:ascii="IRNazanin" w:hAnsi="IRNazanin" w:eastAsia="IRNazanin"/>
          <w:color w:val="111111"/>
          <w:sz w:val="28"/>
          <w:sz w:val="28"/>
          <w:szCs w:val="28"/>
          <w:rtl w:val="true"/>
          <w:lang w:bidi="fa-IR"/>
        </w:rPr>
        <w:t>ولیث بن سعد</w:t>
      </w:r>
      <w:r>
        <w:rPr>
          <w:rStyle w:val="FootnoteAnchor"/>
          <w:rtl w:val="true"/>
        </w:rPr>
        <w:footnoteReference w:id="580"/>
      </w:r>
      <w:r>
        <w:rPr>
          <w:rFonts w:ascii="IRNazanin" w:hAnsi="IRNazanin" w:eastAsia="IRNazanin"/>
          <w:color w:val="111111"/>
          <w:sz w:val="28"/>
          <w:sz w:val="28"/>
          <w:szCs w:val="28"/>
          <w:rtl w:val="true"/>
          <w:lang w:bidi="fa-IR"/>
        </w:rPr>
        <w:t xml:space="preserve">، علی ما حکاه الجواهر </w:t>
      </w:r>
      <w:r>
        <w:rPr>
          <w:rStyle w:val="FootnoteAnchor"/>
          <w:rtl w:val="true"/>
        </w:rPr>
        <w:footnoteReference w:id="581"/>
      </w:r>
      <w:r>
        <w:rPr>
          <w:rFonts w:ascii="IRNazanin" w:hAnsi="IRNazanin" w:eastAsia="IRNazanin"/>
          <w:color w:val="111111"/>
          <w:sz w:val="28"/>
          <w:sz w:val="28"/>
          <w:szCs w:val="28"/>
          <w:rtl w:val="true"/>
          <w:lang w:bidi="fa-IR"/>
        </w:rPr>
        <w:t xml:space="preserve">عن الانتصار </w:t>
      </w:r>
      <w:r>
        <w:rPr>
          <w:rStyle w:val="FootnoteAnchor"/>
          <w:rtl w:val="true"/>
        </w:rPr>
        <w:footnoteReference w:id="582"/>
      </w:r>
      <w:r>
        <w:rPr>
          <w:rFonts w:ascii="IRNazanin" w:hAnsi="IRNazanin" w:eastAsia="IRNazanin"/>
          <w:color w:val="111111"/>
          <w:sz w:val="28"/>
          <w:sz w:val="28"/>
          <w:szCs w:val="28"/>
          <w:rtl w:val="true"/>
          <w:lang w:bidi="fa-IR"/>
        </w:rPr>
        <w:t>ومنه یظهر ضعف ما توهمه الوسائل</w:t>
      </w:r>
      <w:r>
        <w:rPr>
          <w:rStyle w:val="FootnoteAnchor"/>
          <w:rtl w:val="true"/>
        </w:rPr>
        <w:footnoteReference w:id="583"/>
      </w:r>
      <w:r>
        <w:rPr>
          <w:rFonts w:ascii="IRNazanin" w:hAnsi="IRNazanin" w:eastAsia="IRNazanin"/>
          <w:color w:val="111111"/>
          <w:sz w:val="28"/>
          <w:sz w:val="28"/>
          <w:szCs w:val="28"/>
          <w:rtl w:val="true"/>
          <w:lang w:bidi="fa-IR"/>
        </w:rPr>
        <w:t xml:space="preserve">من نسبة القول بالوجوب إلی موافقة جماعة من العامة وصریح أحادیثهم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الرجحان المطلق کما عن المنتهی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الوجوب،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لاشتراط العلم فی وجوب الکفّارة علی القول بوجوبها، أو فی رجحان الکفارة علی القول برجحانها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فی المعطوف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الخلاف</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عن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للخلاف فی وجوب الکفّارة أو رجحانها ، لا بیان للخلاف فی اشتراط العلم فی تحقّقها کما توهّمه العبارة ، إذ لا خلاف فی اشتراط العلم فی تحقّق الکفّارة فی المسألة، وإنما الخلاف فی وجوبها أو رجحانها المطلق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مثل الخبر </w:t>
      </w:r>
      <w:r>
        <w:rPr>
          <w:rStyle w:val="FootnoteAnchor"/>
          <w:rtl w:val="true"/>
        </w:rPr>
        <w:footnoteReference w:id="586"/>
      </w:r>
      <w:r>
        <w:rPr>
          <w:rFonts w:ascii="IRNazanin" w:hAnsi="IRNazanin" w:eastAsia="IRNazanin"/>
          <w:color w:val="111111"/>
          <w:sz w:val="28"/>
          <w:sz w:val="28"/>
          <w:szCs w:val="28"/>
          <w:rtl w:val="true"/>
          <w:lang w:bidi="fa-IR"/>
        </w:rPr>
        <w:t>الثالث الوارد فی الخاطیء من أدلّة الاستحباب واضح الفساد، إما لکونه خارجاً عن المبحث، أو أخصّ من المدّعی ، مع عدم إمکان الإتمام بعدم القول بالفصل،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شاذّة لا 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الجمع والعمل بها تبرّعاً ، بحملها علی بعض المحامل من الترتّب والعجز عن النقد ونحوه ، کما ارتکبه بعض الحاملین لها علی الاستحباب کصاحب الوسائل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ذکر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الخبر </w:t>
      </w:r>
      <w:r>
        <w:rPr>
          <w:rStyle w:val="FootnoteAnchor"/>
          <w:rtl w:val="true"/>
        </w:rPr>
        <w:footnoteReference w:id="588"/>
      </w:r>
      <w:r>
        <w:rPr>
          <w:rFonts w:ascii="IRNazanin" w:hAnsi="IRNazanin" w:eastAsia="IRNazanin"/>
          <w:color w:val="111111"/>
          <w:sz w:val="28"/>
          <w:sz w:val="28"/>
          <w:szCs w:val="28"/>
          <w:rtl w:val="true"/>
          <w:lang w:bidi="fa-IR"/>
        </w:rPr>
        <w:t>خاصّة ذکر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روایة داوود بن فرقد</w:t>
      </w:r>
      <w:r>
        <w:rPr>
          <w:rStyle w:val="FootnoteAnchor"/>
          <w:rtl w:val="true"/>
        </w:rPr>
        <w:footnoteReference w:id="589"/>
      </w:r>
      <w:r>
        <w:rPr>
          <w:rFonts w:ascii="IRNazanin" w:hAnsi="IRNazanin" w:eastAsia="IRNazanin"/>
          <w:color w:val="111111"/>
          <w:sz w:val="28"/>
          <w:sz w:val="28"/>
          <w:szCs w:val="28"/>
          <w:rtl w:val="true"/>
          <w:lang w:bidi="fa-IR"/>
        </w:rPr>
        <w:t>والرضوی</w:t>
      </w:r>
      <w:r>
        <w:rPr>
          <w:rStyle w:val="FootnoteAnchor"/>
          <w:rtl w:val="true"/>
        </w:rPr>
        <w:footnoteReference w:id="590"/>
      </w:r>
      <w:r>
        <w:rPr>
          <w:rFonts w:ascii="IRNazanin" w:hAnsi="IRNazanin" w:eastAsia="IRNazanin"/>
          <w:color w:val="111111"/>
          <w:sz w:val="28"/>
          <w:sz w:val="28"/>
          <w:szCs w:val="28"/>
          <w:rtl w:val="true"/>
          <w:lang w:bidi="fa-IR"/>
        </w:rPr>
        <w:t>ففیهما ذکر الآخر کذکر الأول والوسط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ولو لم یکن فیهما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الآخر لأمکن الاکتفاء بما فیهما من ذکر حکم الأول والوسط، استشعاراًمن تنصیف کفّارة الأوّل فی الوسط تنصیف کفّارة الوسط فی الآخر، أو استنباطأ من تنصیف کفّارة الأول فی الوسط کون علّة التنصیف هو أشدّیة حرص الواطیء فی الوسط من حرصه فی الأوّل، بواسطة أبعدیّة اعتزاله فی الوسط من اعتزاله فی الأول غالباً، ومن البین أن مقتضی ذلک هو تنصیف کفّارة الوسط فی الآخر، لأشدّیة الحرص علی الوطء فی الآخر من الحرص علیه فی الوسط ، کأشدیّة الحرص علیه فی الوسط من </w:t>
      </w:r>
    </w:p>
    <w:p>
      <w:pPr>
        <w:pStyle w:val="BookText"/>
        <w:rPr/>
      </w:pPr>
      <w:r>
        <w:rPr>
          <w:rFonts w:ascii="IRNazanin" w:hAnsi="IRNazanin" w:eastAsia="IRNazanin"/>
          <w:color w:val="111111"/>
          <w:sz w:val="28"/>
          <w:sz w:val="28"/>
          <w:szCs w:val="28"/>
          <w:rtl w:val="true"/>
          <w:lang w:bidi="fa-IR"/>
        </w:rPr>
        <w:t xml:space="preserve">الحرص علیه فی الأول ، بواسطة قرب عهده إلیه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ذلک من قبیل الاستحسانات والاستنباطات التی لا یکتفی فی الحکم بمضمونها إلا بضمیمة النصّ والإجماع، ولولاهما لم یعوّل علی تلک العلّة المستنبطة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ویجلسن قریباً من المسجد</w:t>
      </w:r>
      <w:r>
        <w:rPr>
          <w:rStyle w:val="FootnoteAnchor"/>
          <w:rtl w:val="true"/>
        </w:rPr>
        <w:footnoteReference w:id="591"/>
      </w:r>
      <w:r>
        <w:rPr>
          <w:rFonts w:ascii="IRNazanin" w:hAnsi="IRNazanin" w:eastAsia="IRNazanin"/>
          <w:color w:val="111111"/>
          <w:sz w:val="28"/>
          <w:sz w:val="28"/>
          <w:szCs w:val="28"/>
          <w:rtl w:val="true"/>
          <w:lang w:bidi="fa-IR"/>
        </w:rPr>
        <w:t>، دلالة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لعل التقیید بقرب المسجد من جهة عدم جواز المکث فی المسجد ، فیکون المراد بقرب المسجد مطلق ما عدا المسجد، لا خصوص المصلی والمحراب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المراد من المسجد فیها محلّ السجود، فیکون القریب إنّما هو المصلی،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الجلوس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غلبة عدم المکان المخصوص للصلاة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الخبر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کالحسن</w:t>
      </w:r>
      <w:r>
        <w:rPr>
          <w:rStyle w:val="FootnoteAnchor"/>
          <w:rtl w:val="true"/>
        </w:rPr>
        <w:footnoteReference w:id="593"/>
      </w:r>
      <w:r>
        <w:rPr>
          <w:rFonts w:ascii="IRNazanin" w:hAnsi="IRNazanin" w:eastAsia="IRNazanin"/>
          <w:color w:val="111111"/>
          <w:sz w:val="28"/>
          <w:sz w:val="28"/>
          <w:szCs w:val="28"/>
          <w:rtl w:val="true"/>
          <w:lang w:bidi="fa-IR"/>
        </w:rPr>
        <w:t>الآتی دلالة علی شیء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لإشعار سیاقهما بإرادة التمثیل من التسبیح والتهلیل ومطلق المشغولیة بذکر الله من غیر 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المسامحة فی ادلّة السنن ، وعدم حمل المطلق علی المقیّد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المعتبر زمان الصلاة السابقة علی الحیض ، أو المقدّرة حاله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الثمرة فی اختلاف حالتیها بالقصر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انصراف الإطلاق إلی التمام فی کلا حالتیها، سیّما بالنسبة إلی النساء، کما أن حکمة القصر وفحوی أدلّته یقتضی القصر فیها إذا کان حالها المقدّرة القصر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کان علی المصنف تقیید الجلوس بالاستقبال کالشارح</w:t>
      </w:r>
      <w:r>
        <w:rPr>
          <w:rStyle w:val="FootnoteAnchor"/>
          <w:rtl w:val="true"/>
        </w:rPr>
        <w:footnoteReference w:id="594"/>
      </w:r>
      <w:r>
        <w:rPr>
          <w:rFonts w:ascii="Amiri" w:hAnsi="Amiri" w:eastAsia="Amiri" w:cs="Amiri"/>
          <w:color w:val="111111"/>
          <w:sz w:val="28"/>
          <w:sz w:val="28"/>
          <w:szCs w:val="28"/>
          <w:rtl w:val="true"/>
          <w:lang w:bidi="ar-SA"/>
        </w:rPr>
        <w:t xml:space="preserve">، لدلالة بعض الأخبار </w:t>
      </w:r>
      <w:r>
        <w:rPr>
          <w:rStyle w:val="FootnoteAnchor"/>
          <w:rtl w:val="true"/>
        </w:rPr>
        <w:footnoteReference w:id="595"/>
      </w:r>
      <w:r>
        <w:rPr>
          <w:rFonts w:ascii="IRNazanin" w:hAnsi="IRNazanin" w:eastAsia="IRNazanin"/>
          <w:color w:val="111111"/>
          <w:sz w:val="28"/>
          <w:sz w:val="28"/>
          <w:szCs w:val="28"/>
          <w:rtl w:val="true"/>
          <w:lang w:bidi="fa-IR"/>
        </w:rPr>
        <w:t>علیه ، بل وعلی التحشّی</w:t>
      </w:r>
      <w:r>
        <w:rPr>
          <w:rStyle w:val="FootnoteAnchor"/>
          <w:rtl w:val="true"/>
        </w:rPr>
        <w:footnoteReference w:id="59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لعلّ حملهما علی المستحب لا الشرطیّة أقرب، سیّما بالنسبة إلی التحشّی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المسألة فروعاً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نیّة هذا الوضوء کنیّة وضوء الجنب محض التقرّب والتعبّد والإطاعة للغایة المقصودة لها شرعاً، من کمال ذکر و تسبیح و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ینوی به رفع حدث ولا 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به أحدهما ففی الصحة وعدمها وجهان ، مبنیّان علی انضمام إحدی الغابات المسوّغة إلیه فیصحّ، وعدمه فلا، لأن ما قصد لم یصحّ وما یصحّ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تأثیر فی تخفیف الحدث کما له تأثیر فی الثواب علیه وکمال الذکر معه، أم لیس له تخفیفه کما لیس له رفعه ؟ وجهان ، من عموم مانعیّة الحیض من الطهر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w:t>
      </w:r>
      <w:r>
        <w:rPr>
          <w:rStyle w:val="FootnoteAnchor"/>
          <w:rtl w:val="true"/>
        </w:rPr>
        <w:footnoteReference w:id="597"/>
      </w:r>
      <w:r>
        <w:rPr>
          <w:rFonts w:ascii="IRNazanin" w:hAnsi="IRNazanin" w:eastAsia="IRNazanin"/>
          <w:color w:val="111111"/>
          <w:sz w:val="28"/>
          <w:sz w:val="28"/>
          <w:szCs w:val="28"/>
          <w:rtl w:val="true"/>
          <w:lang w:bidi="fa-IR"/>
        </w:rPr>
        <w:t xml:space="preserve">، ومن أن المتیقن مانعته من رفع مقدار الحدث المبتنی رفعه علی الغسل، وأما المقدار الآخر المبتنی رفعه علی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إجزاء الغسل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رفعه بهذا الوضوء لو صادف انقطاع الحیض وعدم تجدّده بعده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وضوء الحائض هل ینتقض بالنواقض المعهودة غیر الحیض إلی الفراغ من الذکر ؟ وجهان ، من إطلاق </w:t>
      </w:r>
      <w:r>
        <w:rPr>
          <w:rStyle w:val="FootnoteAnchor"/>
          <w:rtl w:val="true"/>
        </w:rPr>
        <w:footnoteReference w:id="598"/>
      </w:r>
      <w:r>
        <w:rPr>
          <w:rFonts w:ascii="IRNazanin" w:hAnsi="IRNazanin" w:eastAsia="IRNazanin"/>
          <w:color w:val="111111"/>
          <w:sz w:val="28"/>
          <w:sz w:val="28"/>
          <w:szCs w:val="28"/>
          <w:rtl w:val="true"/>
          <w:lang w:bidi="fa-IR"/>
        </w:rPr>
        <w:t>أو عموم ما دل علی ناقضّیتها، ومن ظهورها فی الوضوء الرافع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الأقوی الأوّل، سیّما إن قلنا إن فیه </w:t>
      </w:r>
    </w:p>
    <w:p>
      <w:pPr>
        <w:pStyle w:val="BookText"/>
        <w:rPr/>
      </w:pPr>
      <w:r>
        <w:rPr>
          <w:rFonts w:ascii="IRNazanin" w:hAnsi="IRNazanin" w:eastAsia="IRNazanin"/>
          <w:color w:val="111111"/>
          <w:sz w:val="28"/>
          <w:sz w:val="28"/>
          <w:szCs w:val="28"/>
          <w:rtl w:val="true"/>
          <w:lang w:bidi="fa-IR"/>
        </w:rPr>
        <w:t>نوعاً من الرفع ، إذ رفع کلّ وضوء بحسب حاله ، فهو رافع لحکم الحدث بالنسبة إلی هذا الذکر، بل حدث الحیض فضلا عن غیره ، ولا ینافیه دوامه کما فی المسلول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یقوم التیممّ مقام هذا الوضوء عند فقد الماء مثلاً؟ وجهان بل قولان، من عموم تنزیل التراب منزلة الماء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وفاقاً للکرکی</w:t>
      </w:r>
      <w:r>
        <w:rPr>
          <w:rStyle w:val="FootnoteAnchor"/>
          <w:rtl w:val="true"/>
        </w:rPr>
        <w:footnoteReference w:id="600"/>
      </w:r>
      <w:r>
        <w:rPr>
          <w:rFonts w:ascii="IRNazanin" w:hAnsi="IRNazanin" w:eastAsia="IRNazanin"/>
          <w:color w:val="111111"/>
          <w:sz w:val="28"/>
          <w:sz w:val="28"/>
          <w:szCs w:val="28"/>
          <w:rtl w:val="true"/>
          <w:lang w:bidi="fa-IR"/>
        </w:rPr>
        <w:t xml:space="preserve">فی بحث الغابات، ومنه ینقدح جواز التیمم بدل الأغسال المندوبة ونحوها ، و من أن التیمم طهارة اضطراریّة ، ولا اضطرار هنا کما عن صریح التحریر </w:t>
      </w:r>
      <w:r>
        <w:rPr>
          <w:rStyle w:val="FootnoteAnchor"/>
          <w:rtl w:val="true"/>
        </w:rPr>
        <w:footnoteReference w:id="601"/>
      </w:r>
      <w:r>
        <w:rPr>
          <w:rFonts w:ascii="IRNazanin" w:hAnsi="IRNazanin" w:eastAsia="IRNazanin"/>
          <w:color w:val="111111"/>
          <w:sz w:val="28"/>
          <w:sz w:val="28"/>
          <w:szCs w:val="28"/>
          <w:rtl w:val="true"/>
          <w:lang w:bidi="fa-IR"/>
        </w:rPr>
        <w:t>والمنتهی</w:t>
      </w:r>
      <w:r>
        <w:rPr>
          <w:rStyle w:val="FootnoteAnchor"/>
          <w:rtl w:val="true"/>
        </w:rPr>
        <w:footnoteReference w:id="602"/>
      </w:r>
      <w:r>
        <w:rPr>
          <w:rFonts w:ascii="IRNazanin" w:hAnsi="IRNazanin" w:eastAsia="IRNazanin"/>
          <w:color w:val="111111"/>
          <w:sz w:val="28"/>
          <w:sz w:val="28"/>
          <w:szCs w:val="28"/>
          <w:rtl w:val="true"/>
          <w:lang w:bidi="fa-IR"/>
        </w:rPr>
        <w:t xml:space="preserve">والمدارک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قیام الغسل مقام هذا الوضوء وعدمه أیضاً وجهان، من بطلان القیاس ووجود الفارق، وعدم صدق أحدهما علی الآخر، وعموم منعها عن الغسل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 ولکن تتوضّأ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أولویّة الغسل السائغ وأعمیّته وأفدیّته من الوضوء، لما فی الغسل من الإحاطة بجمیع البدن، ومن الأجزاء عن الوضوء ولو فی الجملة، بخلاف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الجواهر </w:t>
      </w:r>
      <w:r>
        <w:rPr>
          <w:rStyle w:val="FootnoteAnchor"/>
          <w:rtl w:val="true"/>
        </w:rPr>
        <w:footnoteReference w:id="604"/>
      </w:r>
      <w:r>
        <w:rPr>
          <w:rFonts w:ascii="IRNazanin" w:hAnsi="IRNazanin" w:eastAsia="IRNazanin"/>
          <w:color w:val="111111"/>
          <w:sz w:val="28"/>
          <w:sz w:val="28"/>
          <w:szCs w:val="28"/>
          <w:rtl w:val="true"/>
          <w:lang w:bidi="fa-IR"/>
        </w:rPr>
        <w:t>من منع إجزاء الغسل عن هذا الوضوء حتی علی القول بإجزاء المندوب منه عن الوضوء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هذا القائل إجزاؤه عن الوضوء الرافع لا عن هذا الوضوء غیر الرافع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إجزاءه عن الوضوء الرافع یقتضی أولویّة إجزائه عن الوضوء غیر </w:t>
      </w:r>
    </w:p>
    <w:p>
      <w:pPr>
        <w:pStyle w:val="BookText"/>
        <w:rPr/>
      </w:pPr>
      <w:r>
        <w:rPr>
          <w:rFonts w:ascii="IRNazanin" w:hAnsi="IRNazanin" w:eastAsia="IRNazanin"/>
          <w:color w:val="111111"/>
          <w:sz w:val="28"/>
          <w:sz w:val="28"/>
          <w:szCs w:val="28"/>
          <w:rtl w:val="true"/>
          <w:lang w:bidi="fa-IR"/>
        </w:rPr>
        <w:t xml:space="preserve">الرافع لا عدم إجزائه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عموم منعها عن الغسل حال الحیض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المراد منعها عن الغسل الرافع لحدث الحیض حال الحیض ، لا الرافع لسائر الأحداث کالجنابة فضلا عن غیر الرافع کالجمعة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فیحتمل شدّة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الاحتمال تعلیل قوله فی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للحائض أن تختضب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یخاف علیها من الشیطان</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وقوله فی باب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یختضب الجنب، ویجنب وهو مختضب</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مع اشتراک الجنب والحائض فی أکثر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المسامحة فی أدلّة السنن تقتضیه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المناقشة فی اقتضائها العموم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الشکّ والتردید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مجرّد الفتوی بالعموم، فإن أخبار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تثبت المسامحة فی أدلّة السنن إنما تصححّ سند السنن لا دلالتها المشکوکة بالفرض ، إذا فرضنا الفتوی بدلالتها وصدق البلوغ علی مجرّده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التسامح فی أدلّة السنن إنما تثبت المستحبّات لا المکروهات، وذلک لأن مجرّد ترتّب الثواب الموعود به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الخضاب مثلاً لا یستلزم کراهة فعله المدعی، نظراً إلی أن ترک المستحب أعمّ من فعل المکروه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مجرّد ترتّب الثواب علی فعل شیء أو ترکه برجاء </w:t>
      </w:r>
    </w:p>
    <w:p>
      <w:pPr>
        <w:pStyle w:val="BookText"/>
        <w:rPr/>
      </w:pPr>
      <w:r>
        <w:rPr>
          <w:rFonts w:ascii="IRNazanin" w:hAnsi="IRNazanin" w:eastAsia="IRNazanin"/>
          <w:color w:val="111111"/>
          <w:sz w:val="28"/>
          <w:sz w:val="28"/>
          <w:szCs w:val="28"/>
          <w:rtl w:val="true"/>
          <w:lang w:bidi="fa-IR"/>
        </w:rPr>
        <w:t>استحبابه أو کراهته لا یستلزم استحباب ذلک الفعل أو کراهته شرعاً ، إلا إذا ثبت ترتّب ذلک الثواب والأجر علی نفس ذلک الفعل أو الترک، لا علی خصوص الرجاء المقارن له ، ولا علی المجموع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عموم فی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نصوص النهی عن الاختضاب الواردة فی الباب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تختضب الحائض والجنب</w:t>
      </w:r>
      <w:r>
        <w:rPr>
          <w:rStyle w:val="FootnoteAnchor"/>
          <w:rtl w:val="true"/>
        </w:rPr>
        <w:footnoteReference w:id="608"/>
      </w:r>
      <w:r>
        <w:rPr>
          <w:rFonts w:ascii="IRNazanin" w:hAnsi="IRNazanin" w:eastAsia="IRNazanin"/>
          <w:color w:val="111111"/>
          <w:sz w:val="28"/>
          <w:sz w:val="28"/>
          <w:szCs w:val="28"/>
          <w:rtl w:val="true"/>
          <w:lang w:bidi="fa-IR"/>
        </w:rPr>
        <w:t>من قبیل النکرة فی سیاق النفی المتفّق علی عمومه عندنا معاشر المشهور، فلا یتطرّق إلیها الانصراف، فضلا عن الانصراف إلی خصوص الحاء دون الوسمة، إذ الاختضاب بها لیس بأقلّ من الاختضاب بالحنّاء علی الوجه الموجب لانصرافه عنها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کراهة تعلیقه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ضعف دلالة کلّ من الصحیح</w:t>
      </w:r>
      <w:r>
        <w:rPr>
          <w:rStyle w:val="FootnoteAnchor"/>
          <w:rtl w:val="true"/>
        </w:rPr>
        <w:footnoteReference w:id="609"/>
      </w:r>
      <w:r>
        <w:rPr>
          <w:rFonts w:ascii="IRNazanin" w:hAnsi="IRNazanin" w:eastAsia="IRNazanin"/>
          <w:color w:val="111111"/>
          <w:sz w:val="28"/>
          <w:sz w:val="28"/>
          <w:szCs w:val="28"/>
          <w:rtl w:val="true"/>
          <w:lang w:bidi="fa-IR"/>
        </w:rPr>
        <w:t xml:space="preserve">، والإجماع علی المدّعی من کراهة حمل المصحف ولمس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الصحیح فلأن غایته الدلالّة علی استحباب فتحهما المصحف من وراء الثیاب، وهو أعمّ من کراهة المت، نظراً إلی أن استحباب الشیء أعمّ من کراهة ترکه، فضلاً عن الدلالّة علی کراهة حمله غیر المستلزم لمس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 المنقول علی کراهة تعلیقه فلأنه أیضاً أعم من کراهة حمله ولمس هامشه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للتصریح بحلیّة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تعلیل لقرب الصحیح </w:t>
      </w:r>
      <w:r>
        <w:rPr>
          <w:rStyle w:val="FootnoteAnchor"/>
          <w:rtl w:val="true"/>
        </w:rPr>
        <w:footnoteReference w:id="610"/>
      </w:r>
      <w:r>
        <w:rPr>
          <w:rFonts w:ascii="IRNazanin" w:hAnsi="IRNazanin" w:eastAsia="IRNazanin"/>
          <w:color w:val="111111"/>
          <w:sz w:val="28"/>
          <w:sz w:val="28"/>
          <w:szCs w:val="28"/>
          <w:rtl w:val="true"/>
          <w:lang w:bidi="fa-IR"/>
        </w:rPr>
        <w:t>، إلی الموثّق</w:t>
      </w:r>
      <w:r>
        <w:rPr>
          <w:rStyle w:val="FootnoteAnchor"/>
          <w:rtl w:val="true"/>
        </w:rPr>
        <w:footnoteReference w:id="611"/>
      </w:r>
      <w:r>
        <w:rPr>
          <w:rFonts w:ascii="IRNazanin" w:hAnsi="IRNazanin" w:eastAsia="IRNazanin"/>
          <w:color w:val="111111"/>
          <w:sz w:val="28"/>
          <w:sz w:val="28"/>
          <w:szCs w:val="28"/>
          <w:rtl w:val="true"/>
          <w:lang w:bidi="fa-IR"/>
        </w:rPr>
        <w:t xml:space="preserve">فی الصراحة باختصاص المنع بموضع الدم، لا تعلیل لمنع الإیقاب ، فإنه جزء من الصحیح لا فتوی حتی </w:t>
      </w:r>
    </w:p>
    <w:p>
      <w:pPr>
        <w:pStyle w:val="BookText"/>
        <w:rPr/>
      </w:pPr>
      <w:r>
        <w:rPr>
          <w:rFonts w:ascii="IRNazanin" w:hAnsi="IRNazanin" w:eastAsia="IRNazanin"/>
          <w:color w:val="111111"/>
          <w:sz w:val="28"/>
          <w:sz w:val="28"/>
          <w:szCs w:val="28"/>
          <w:rtl w:val="true"/>
          <w:lang w:bidi="fa-IR"/>
        </w:rPr>
        <w:t>یحتاج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بالاجماع 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الفصل بین الدبر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الفصل فی الدبر بین حالتی الحیض والطهر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جوز الاستمتاع فی غیر دبر الحائض ممّا بین السرّة والرکبة جوزه فی الدبر أیضاً ، ومَن منعه فی غیره منعه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جوز الاستمتاع فی دبر الحائض حال الطهر جوزه حال الحیض أیضاً، ومَن منعه حال الطهر منعه حال الحیض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اعتضاد الإجماع المرکّب المذکور بانصراف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إیقاب القبل لا الدبر ، لکونه المعهود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النکرة فی سیاق النفی المفید للعموم، لا الإطلاق حتی یتطرّق إلیه الانصراف، فلولا الإجماع المرکّب المذکور لم یکن للخروج عن عمومه مناص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لزم الإضمار أو التخصیص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اسم مکان ، فإن کان مصدراً استلزم الإضمار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المحیض بحال الحیض أو ذات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اسم زمان استلزم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المراد لزوم تخصیص الحرمة بغیر ما بین الرکبة والسرة حتی یمنع الملازمة علی مذهب المرتضی</w:t>
      </w:r>
      <w:r>
        <w:rPr>
          <w:rStyle w:val="FootnoteAnchor"/>
          <w:rtl w:val="true"/>
        </w:rPr>
        <w:footnoteReference w:id="612"/>
      </w:r>
      <w:r>
        <w:rPr>
          <w:rFonts w:ascii="IRNazanin" w:hAnsi="IRNazanin" w:eastAsia="IRNazanin"/>
          <w:color w:val="111111"/>
          <w:sz w:val="28"/>
          <w:sz w:val="28"/>
          <w:szCs w:val="28"/>
          <w:rtl w:val="true"/>
          <w:lang w:bidi="fa-IR"/>
        </w:rPr>
        <w:t>، لعدم التزامه بهذا اللازم، بل المراد لزوم تخصیص حرمة المقاربة وقت الحیض وزمانه بما عدا مثل التقبیل والفم والمعانقة ممّا یلتزم به المرتضی لا محالة ، فإذا کان کل من الإضمار اللازم علی تقدّیر مصدریة المحیض والتخصیص اللازم علی تقدیر کونه اسم زمان مخالفاً للأصل تعن کونه أسم 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لاشعار الموثّقین المتضمّنین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هذین الموثّقین موثّقة أبی بصیر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امرأة حاضت فی السفر ثم طهرت فلم تجد ماء یوما أو اثنین، أیحل لزوجها أن یجامعها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تغتسل</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وموثّقة ابن یسار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تحرم علیها الصلاة ثمّ تطهر فتتوضّاًمن غیر أن تغتسل، أفلزوجها أن یأتیها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تغتسل</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لاشعار الموثّقین المتضمّنین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بها،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تضمّن الموثقین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صریحاً فی أحدهما وظاهراً فی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بالکراهة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نسخ الریاض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المتضمّنین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المتضمّنین الاسناد یصلحّ بها</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ویبعّده عن الصحّة إلی الغلطیّة عدم وجود قصور فی سند الموثّقین المتقدّمین علی وجه یشعر ویصلح بالکراهة تسامحاً فی أدلّة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الموثّق الثانی فلأن راویه الشیخ، عن أیّوب بن نوح، عن صفوان بن یحیی، عن سعید بن یسار ، عن الصادقعلیه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لأحد فی توثیق السند المشتمل علی مثل هؤلاء الثقات الأخیار، سیّما صفوان بن یحیی الذی هو من أصحاب الإجماع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الموثّق الأول فلأن راویه الشیخ أیضاً عن علی بن أسباط ، عن عمّه یعقوب الأحمر ، عن أبی بصیر ،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کلام لأحد أیضاً فی وثاقة السند المشتمل علیّ مثل هؤلاء الأجلّة من الثقات ، سوی ما قیل فی علی بن </w:t>
      </w:r>
    </w:p>
    <w:p>
      <w:pPr>
        <w:pStyle w:val="BookText"/>
        <w:rPr/>
      </w:pPr>
      <w:r>
        <w:rPr>
          <w:rFonts w:ascii="IRNazanin" w:hAnsi="IRNazanin" w:eastAsia="IRNazanin"/>
          <w:color w:val="111111"/>
          <w:sz w:val="28"/>
          <w:sz w:val="28"/>
          <w:szCs w:val="28"/>
          <w:rtl w:val="true"/>
          <w:lang w:bidi="fa-IR"/>
        </w:rPr>
        <w:t xml:space="preserve">أسباط من أنه کان فطحیّاً فرجع، فیتوقّف فیما لم یعلم أنه رواه بعد 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قادح بعد معارضته بما هو أقوی من تصریح جملة من أهل الرجال </w:t>
      </w:r>
      <w:r>
        <w:rPr>
          <w:rStyle w:val="FootnoteAnchor"/>
          <w:rtl w:val="true"/>
        </w:rPr>
        <w:footnoteReference w:id="616"/>
      </w:r>
      <w:r>
        <w:rPr>
          <w:rFonts w:ascii="IRNazanin" w:hAnsi="IRNazanin" w:eastAsia="IRNazanin"/>
          <w:color w:val="111111"/>
          <w:sz w:val="28"/>
          <w:sz w:val="28"/>
          <w:szCs w:val="28"/>
          <w:rtl w:val="true"/>
          <w:lang w:bidi="fa-IR"/>
        </w:rPr>
        <w:t>بوثاقته ، والاعتماد علی روایاته مطلقا، من غیر فرق بین ما علم روایته بعد الرجوع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ویبعده عن الغلطیّة إلی الصحّة إمکان أن یراد من الموثّقین المتضمّنین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بشعر ویصلحّ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بالکراهة غیر الموثّقین المتقدّمین الناهیین عن الوطء قبل الغسل ، بل الموتقان الآتیان المجوزان له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الغسل لا بأس، وبعده أحب إلی</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بناءً علی أن المراد من إسنادهما المشعر والصالح بالکراهة إسناد الوطء بعد الغسل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قصور سندهما، إذ لا قصور فی سندهما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بسند الشیخ عن معاویة بن حکیم، عن عبدالله بن المغیرة، عمن سمعه عمّن الکاظم علیه السلام، فهو وإن قیل باشتراک عبدالله بن المغیرة فیه بین البجلیّ الثقة والخراز المهمل، إلا أن روایة معاویة بن حکیم عنه تعین کونه البجلی الثقة ، ویدفع هذا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إرساله فلا یضّر بعد تعیّن کونه هو البجلیّ الثقة، لکونه من أصحاب الإجماع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بسند الشیخ والکلینی عن محمد بن أبی حمزة ، عن علیّ بن یقطین ، عن الکاظم مال ، فهو وإن قیل باشتراک محمد بن أبی حمزة فیه بین الثمالیّ الثقة والتیملیّ المجهول، ولکن روایة أیوب بن نوح عنه فی سند الشیخ وعلی بن الحسن الطاطری عنه فی سند الکلّینی یرفع هذا الاشتراک ، و تعیّن کونه الثمالی الثقة لا التیملی المجهول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مع أنه لو سلّم قصور فی سند نصوص جواز الوطء قبل الغسل لم یشعر ولم یصلح بحمل نصوص النهی عنه علی الکراهة ، بل اقتضی العکس، وهو حملها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هنا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ووقوعه غایة للاعتزال وعدم المقاربة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 ولا تقربوهن حتّی یطهرنه</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یؤیّد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المقابل للمحیض وهو انقطاع الدم، لا الطهر المقابل للحدث وهو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الآیات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التأمّل إما إشارة إلی قوله بعد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القراءة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إشارة إلی إمکان منع تأیّد دلالّة الطهر علی انقطاع الدم بکل من السیاق والمعتبرة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منع تأیده بالسیاق فبأن تأیید السیاق لدلالة الطهر علی النقاء معارض بتأیید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للعکس، وهو دلالّة الطهر علی الغسل، أو بما قیل من ثبوت الحقیقة الشرعیّة فی مادّة الطهارة وسائر مشتقاتها فی رفع الحدث بالغسل لا رفع الخبث بمجرّد النقاء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منع تأیّده بالمعتبرة المقتضیة لکون غسل الحیض سنّة لا فریضة مستفادة من القرآن، فبأن معنی کونه سنّة لیس عدم ورود ذکره فی القرآن أصلاً، بل معناه عدم ورود الحکم بوجوبه فی القرآن علی نحو ورود الحکم فیه بوجوب </w:t>
      </w:r>
    </w:p>
    <w:p>
      <w:pPr>
        <w:pStyle w:val="BookText"/>
        <w:rPr/>
      </w:pPr>
      <w:r>
        <w:rPr>
          <w:rFonts w:ascii="Amiri" w:hAnsi="Amiri" w:eastAsia="Amiri" w:cs="Amiri"/>
          <w:color w:val="111111"/>
          <w:sz w:val="28"/>
          <w:sz w:val="28"/>
          <w:szCs w:val="28"/>
          <w:rtl w:val="true"/>
          <w:lang w:bidi="ar-SA"/>
        </w:rPr>
        <w:t xml:space="preserve">الوضوء وغسل الجنابة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الآیة، وهو لا ینافی ذکره فی القرآن غایة التحریم المقاربة ، أو موضوعاً لحکم غیر الوجوب من الأحکام الأخر، فإن وروده بهذا الوجه فی القرآن غیر ورود الحکم بوجوبه فیه ، فلا ینافی کونه سنّة لا فریضة ذکره غایة لتحریم المقاربة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اعترض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ذکر فی القرآن غایة لتحریم الوطء إلا أن ذلک یستلزم دلالة القرآن علی وجوبه بالالتزام، وبذلک الکفایة فی عدّه من فرائض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بکون الطهارة غایة لمسّ کتابة القرآن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 مع أنه لا یستلزم وجوب الطهارة مطلقا قطعاً واتّفاقاً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کون الشیء غایة لتحریم وتوقّف التخلّص عن التحریم علیه لا یستلزم وجوب ذلک الشیء، إلا إذا فرض وجوب فعل ذلک الحرام الذی یتوقّف التخلّص عن تحریمه علی تلک الغایة ، کما لو وجب الوطه والمس المذکوران بندر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استلزام تحریم الشیء المغیّا بغایة لوجوب غایته وإن لم یجب التخلّص عن مغیّاه، إلا أن هذا الوجوب علی تقدّیر تسلیمه وجوب تبعی صرف لا یصدق علیه فرض القرآن فی عرف المتشرّعة والشارع، الاختصاص صدقه فیه بالواجبات الأصلیة المستفاد وجوبها الأصلیّ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لمجیء تفعّل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بمعنی 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 کمجیء تطعمّ وتبیّن بالتشدید بمعنی طعّم و بان بالتخفیف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المتکبّر فی أسمائه تعالی بمعنی </w:t>
      </w:r>
    </w:p>
    <w:p>
      <w:pPr>
        <w:pStyle w:val="BookText"/>
        <w:rPr/>
      </w:pP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فیحتمل إرادة المعنی اللغوی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النظافة والنزاهة، أو خصوص رفع الخبث شرعاً، فإن إطلاق التطهّر علی رفع الخبث فی لسان الشارع کإطلاقه علی رفع الحدث حقیقة شائعة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بناء ًعلی ما قیل من أنها نزلت فیمن أستنجی بالماء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فیصدق التطهّر فی قراءة التشدید علی مجرّد رفع خبث الحیض بغسل الفرج منه ، کما یصدق علی رفع حدثه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غایته 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الآیة شرطیّة الغسل بالفتح للوطء قبل الغسل بالضمّ، وأما کونه شرطاً لجوازه حتی یکون واجباً فلا، لاحتمال کونه شرطاً لرفع کراهته حتی یکون مستحبّاً ، کما یحتمل کونه مستحباً مستقلاً لمرید الوطء قبل الغسل ، وغایة مدلول الآیة هو الشرطیّة ، وأما تعیین أحد قسمیه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تامّ الدلیلیّة ، وإلا فقد اعترف آنفاً بدلالّة الآیة </w:t>
      </w:r>
      <w:r>
        <w:rPr>
          <w:rStyle w:val="FootnoteAnchor"/>
          <w:rtl w:val="true"/>
        </w:rPr>
        <w:footnoteReference w:id="624"/>
      </w:r>
      <w:r>
        <w:rPr>
          <w:rFonts w:ascii="IRNazanin" w:hAnsi="IRNazanin" w:eastAsia="IRNazanin"/>
          <w:color w:val="111111"/>
          <w:sz w:val="28"/>
          <w:sz w:val="28"/>
          <w:szCs w:val="28"/>
          <w:rtl w:val="true"/>
          <w:lang w:bidi="fa-IR"/>
        </w:rPr>
        <w:t xml:space="preserve">فی قراءة التشدید والروایة </w:t>
      </w:r>
      <w:r>
        <w:rPr>
          <w:rStyle w:val="FootnoteAnchor"/>
          <w:rtl w:val="true"/>
        </w:rPr>
        <w:footnoteReference w:id="625"/>
      </w:r>
      <w:r>
        <w:rPr>
          <w:rFonts w:ascii="IRNazanin" w:hAnsi="IRNazanin" w:eastAsia="IRNazanin"/>
          <w:color w:val="111111"/>
          <w:sz w:val="28"/>
          <w:sz w:val="28"/>
          <w:szCs w:val="28"/>
          <w:rtl w:val="true"/>
          <w:lang w:bidi="fa-IR"/>
        </w:rPr>
        <w:t>الصحیحة علی وجوب غسل الفرج فی الجملة لمرید الوطء قبل الغسل، إلا أنه مع ذلک نزلّ منزلة العدم، بواسطة مخالفته الأصل والعامّة</w:t>
      </w:r>
      <w:r>
        <w:rPr>
          <w:rStyle w:val="FootnoteAnchor"/>
          <w:rtl w:val="true"/>
        </w:rPr>
        <w:footnoteReference w:id="626"/>
      </w:r>
      <w:r>
        <w:rPr>
          <w:rFonts w:ascii="IRNazanin" w:hAnsi="IRNazanin" w:eastAsia="IRNazanin"/>
          <w:color w:val="111111"/>
          <w:sz w:val="28"/>
          <w:sz w:val="28"/>
          <w:szCs w:val="28"/>
          <w:rtl w:val="true"/>
          <w:lang w:bidi="fa-IR"/>
        </w:rPr>
        <w:t>و الشهرة، وخلوّ أکثر الأخبار</w:t>
      </w:r>
      <w:r>
        <w:rPr>
          <w:rStyle w:val="FootnoteAnchor"/>
          <w:rtl w:val="true"/>
        </w:rPr>
        <w:footnoteReference w:id="627"/>
      </w:r>
      <w:r>
        <w:rPr>
          <w:rFonts w:ascii="IRNazanin" w:hAnsi="IRNazanin" w:eastAsia="IRNazanin"/>
          <w:color w:val="111111"/>
          <w:sz w:val="28"/>
          <w:sz w:val="28"/>
          <w:szCs w:val="28"/>
          <w:rtl w:val="true"/>
          <w:lang w:bidi="fa-IR"/>
        </w:rPr>
        <w:t xml:space="preserve">المجوزة الواردة فی مقام الحاجة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وجوب الغسل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کخلوّها عن وجوب الغسل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الفقیه</w:t>
      </w:r>
      <w:r>
        <w:rPr>
          <w:rStyle w:val="FootnoteAnchor"/>
          <w:rtl w:val="true"/>
        </w:rPr>
        <w:footnoteReference w:id="628"/>
      </w:r>
      <w:r>
        <w:rPr>
          <w:rFonts w:ascii="IRNazanin" w:hAnsi="IRNazanin" w:eastAsia="IRNazanin"/>
          <w:color w:val="111111"/>
          <w:sz w:val="28"/>
          <w:sz w:val="28"/>
          <w:szCs w:val="28"/>
          <w:rtl w:val="true"/>
          <w:lang w:bidi="fa-IR"/>
        </w:rPr>
        <w:t xml:space="preserve">بالمنع فیما عدا الشبق شاذّ، کالصحیح </w:t>
      </w:r>
      <w:r>
        <w:rPr>
          <w:rStyle w:val="FootnoteAnchor"/>
          <w:rtl w:val="true"/>
        </w:rPr>
        <w:footnoteReference w:id="629"/>
      </w:r>
      <w:r>
        <w:rPr>
          <w:rFonts w:ascii="IRNazanin" w:hAnsi="IRNazanin" w:eastAsia="IRNazanin"/>
          <w:color w:val="111111"/>
          <w:sz w:val="28"/>
          <w:sz w:val="28"/>
          <w:szCs w:val="28"/>
          <w:rtl w:val="true"/>
          <w:lang w:bidi="fa-IR"/>
        </w:rPr>
        <w:t>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شذوذ القول بالمنع فیما عدا الشبق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قضاء تقیید الصحیح الجواز بالشبق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ورود قید الشبق فیه مورد الغالب، حیث إن الداعی غالباً إلی المباشرة فی تلک الحالة المنفّرة الشبق ، فلا مفهوم له کما لا مفهوم لسائر القیود الواردة مورد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فعل الطهارة خاصّة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عن ظاهر الشرائع</w:t>
      </w:r>
      <w:r>
        <w:rPr>
          <w:rStyle w:val="FootnoteAnchor"/>
          <w:rtl w:val="true"/>
        </w:rPr>
        <w:footnoteReference w:id="630"/>
      </w:r>
      <w:r>
        <w:rPr>
          <w:rFonts w:ascii="IRNazanin" w:hAnsi="IRNazanin" w:eastAsia="IRNazanin"/>
          <w:color w:val="111111"/>
          <w:sz w:val="28"/>
          <w:sz w:val="28"/>
          <w:szCs w:val="28"/>
          <w:rtl w:val="true"/>
          <w:lang w:bidi="fa-IR"/>
        </w:rPr>
        <w:t>وعن القواعد</w:t>
      </w:r>
      <w:r>
        <w:rPr>
          <w:rStyle w:val="FootnoteAnchor"/>
          <w:rtl w:val="true"/>
        </w:rPr>
        <w:footnoteReference w:id="631"/>
      </w:r>
      <w:r>
        <w:rPr>
          <w:rFonts w:ascii="IRNazanin" w:hAnsi="IRNazanin" w:eastAsia="IRNazanin"/>
          <w:color w:val="111111"/>
          <w:sz w:val="28"/>
          <w:sz w:val="28"/>
          <w:szCs w:val="28"/>
          <w:rtl w:val="true"/>
          <w:lang w:bidi="fa-IR"/>
        </w:rPr>
        <w:t>والدروس</w:t>
      </w:r>
      <w:r>
        <w:rPr>
          <w:rStyle w:val="FootnoteAnchor"/>
          <w:rtl w:val="true"/>
        </w:rPr>
        <w:footnoteReference w:id="632"/>
      </w:r>
      <w:r>
        <w:rPr>
          <w:rFonts w:ascii="IRNazanin" w:hAnsi="IRNazanin" w:eastAsia="IRNazanin"/>
          <w:color w:val="111111"/>
          <w:sz w:val="28"/>
          <w:sz w:val="28"/>
          <w:szCs w:val="28"/>
          <w:rtl w:val="true"/>
          <w:lang w:bidi="fa-IR"/>
        </w:rPr>
        <w:t>من الاقتصار علی ذکر الطهارة، لکن لعلّه منزّل علی الغالب من فعلیّة إحرازها لغیر الطهارة دونها ، وإلا فلا فرق ظاهرة بین الطهارة وسائر الشروط فی توقّف صدق اسم الفوت علی التمکّن منها نصاً، وامتناع قصور الوقت عمّا کلّف فیه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حدوث الحیض أو غیره من سائر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العنوان الجامع للمسألتین هو حدوث العذر المسقط للفرض بعد دخول الوقت وارتفاعه قبل خروجه ، کالعاقل جنّ بعد دخول الوقت، أو المجنون عقل قبل خروجه، والصبیّ بلغ، أو الصحیح مرض، أو المریض بریء،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أخضیّته من المدّعی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الأخصّیة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بمضیّ ما یسع الرکعتین من ذی </w:t>
      </w:r>
    </w:p>
    <w:p>
      <w:pPr>
        <w:pStyle w:val="BookText"/>
        <w:rPr/>
      </w:pPr>
      <w:r>
        <w:rPr>
          <w:rFonts w:ascii="IRNazanin" w:hAnsi="IRNazanin" w:eastAsia="IRNazanin"/>
          <w:color w:val="111111"/>
          <w:sz w:val="28"/>
          <w:sz w:val="28"/>
          <w:szCs w:val="28"/>
          <w:rtl w:val="true"/>
          <w:lang w:bidi="fa-IR"/>
        </w:rPr>
        <w:t>الرکعات الثلاث، لا مضیّ ما یسع لمطلق أکثر الصلاة الذی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افتی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فی الفقیه</w:t>
      </w:r>
      <w:r>
        <w:rPr>
          <w:rStyle w:val="FootnoteAnchor"/>
          <w:rtl w:val="true"/>
        </w:rPr>
        <w:footnoteReference w:id="633"/>
      </w:r>
      <w:r>
        <w:rPr>
          <w:rFonts w:ascii="IRNazanin" w:hAnsi="IRNazanin" w:eastAsia="IRNazanin"/>
          <w:color w:val="111111"/>
          <w:sz w:val="28"/>
          <w:sz w:val="28"/>
          <w:szCs w:val="28"/>
          <w:rtl w:val="true"/>
          <w:lang w:bidi="fa-IR"/>
        </w:rPr>
        <w:t xml:space="preserve">ولعلّ المقنع </w:t>
      </w:r>
      <w:r>
        <w:rPr>
          <w:rStyle w:val="FootnoteAnchor"/>
          <w:rtl w:val="true"/>
        </w:rPr>
        <w:footnoteReference w:id="634"/>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بعین الخبر لا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فیحتمل فی فتواهما ما یحتمل فی نفس الخبر من إرادة المفرطة فی المغرب دون الظهر، مع إرادته بقضاء الرکعة قضاء تمام المغرب مجازة، إذ لا یتمّ قضاء الرکعة إلا بقضاء الباقی ، کما نقل هذا المحمل فی الخبر عن المختلف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البراءة، نظراً إلی انتفاء مجری الاشتغال و استصحابه ، بواسطة أن عمومات</w:t>
      </w:r>
      <w:r>
        <w:rPr>
          <w:rStyle w:val="FootnoteAnchor"/>
          <w:rtl w:val="true"/>
        </w:rPr>
        <w:footnoteReference w:id="636"/>
      </w:r>
      <w:r>
        <w:rPr>
          <w:rFonts w:ascii="IRNazanin" w:hAnsi="IRNazanin" w:eastAsia="IRNazanin"/>
          <w:color w:val="111111"/>
          <w:sz w:val="28"/>
          <w:sz w:val="28"/>
          <w:szCs w:val="28"/>
          <w:rtl w:val="true"/>
          <w:lang w:bidi="fa-IR"/>
        </w:rPr>
        <w:t>الأداء بالنظر إلی انتفاء شرطها وهو سعة الزمان لمقدار الأداء منتفیة، لأن أمر الآمر مع العلم بانتفاء شرطه قبیح، وعمومات</w:t>
      </w:r>
      <w:r>
        <w:rPr>
          <w:rStyle w:val="FootnoteAnchor"/>
          <w:rtl w:val="true"/>
        </w:rPr>
        <w:footnoteReference w:id="637"/>
      </w:r>
      <w:r>
        <w:rPr>
          <w:rFonts w:ascii="IRNazanin" w:hAnsi="IRNazanin" w:eastAsia="IRNazanin"/>
          <w:color w:val="111111"/>
          <w:sz w:val="28"/>
          <w:sz w:val="28"/>
          <w:szCs w:val="28"/>
          <w:rtl w:val="true"/>
          <w:lang w:bidi="fa-IR"/>
        </w:rPr>
        <w:t>قضاء مافات أیضا غیر صادقة علی الفائت بفوات شرطه، وخصوص نصّ أو إجماع خارجی وراء العمومین المذکورین مفروض الانتفاء أیضأ، فتعین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الطهارة لکلّ صلاة یومیّة بوقتها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یعارضه إمکان کونه قد تطهّر لغیرها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صدق اسم الفوات مع إمکان فعل الطهارة قبل الوقت ممنوعة ، </w:t>
      </w:r>
    </w:p>
    <w:p>
      <w:pPr>
        <w:pStyle w:val="BookText"/>
        <w:rPr/>
      </w:pPr>
      <w:r>
        <w:rPr>
          <w:rFonts w:ascii="IRNazanin" w:hAnsi="IRNazanin" w:eastAsia="IRNazanin"/>
          <w:color w:val="111111"/>
          <w:sz w:val="28"/>
          <w:sz w:val="28"/>
          <w:szCs w:val="28"/>
          <w:rtl w:val="true"/>
          <w:lang w:bidi="fa-IR"/>
        </w:rPr>
        <w:t>لعدم الوجوب علیها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کتقیید المجموع بمفهوم النبویّ </w:t>
      </w:r>
      <w:r>
        <w:rPr>
          <w:rStyle w:val="FootnoteAnchor"/>
          <w:rtl w:val="true"/>
        </w:rPr>
        <w:footnoteReference w:id="638"/>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وکتقیید الجمیع منطوق النبویّ المتقدّم أیضاً بإدراک الرکعة من آخر الوقت لا من أوله ، فمن تلبّس بالعذر المسقط بعد الزوال بقدر رکعة فلا صلاة ظهر علیه ، لاختصاص أکثر النصوص المتقدّمة </w:t>
      </w:r>
      <w:r>
        <w:rPr>
          <w:rStyle w:val="FootnoteAnchor"/>
          <w:rtl w:val="true"/>
        </w:rPr>
        <w:footnoteReference w:id="639"/>
      </w:r>
      <w:r>
        <w:rPr>
          <w:rFonts w:ascii="IRNazanin" w:hAnsi="IRNazanin" w:eastAsia="IRNazanin"/>
          <w:color w:val="111111"/>
          <w:sz w:val="28"/>
          <w:sz w:val="28"/>
          <w:szCs w:val="28"/>
          <w:rtl w:val="true"/>
          <w:lang w:bidi="fa-IR"/>
        </w:rPr>
        <w:t>بالآخر، فتخصص عموم النبوی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إمکان الصلاة المدرکة رکعة من أول وقتها، إذ الرکعة إن جعلت أولا فقد أتتها متلبّساً بالمسقط ، وإن جعلت آخر، فقد دخل فی الصلاة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 الفقیه</w:t>
      </w:r>
      <w:r>
        <w:rPr>
          <w:rStyle w:val="FootnoteAnchor"/>
          <w:rtl w:val="true"/>
        </w:rPr>
        <w:footnoteReference w:id="640"/>
      </w:r>
      <w:r>
        <w:rPr>
          <w:rFonts w:ascii="IRNazanin" w:hAnsi="IRNazanin" w:eastAsia="IRNazanin"/>
          <w:color w:val="111111"/>
          <w:sz w:val="28"/>
          <w:sz w:val="28"/>
          <w:szCs w:val="28"/>
          <w:rtl w:val="true"/>
          <w:lang w:bidi="fa-IR"/>
        </w:rPr>
        <w:t>من وجوب الظهرین بإدراک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نقلت هذه الفتوی عن الفقیه هنا وفی الجواهر </w:t>
      </w:r>
      <w:r>
        <w:rPr>
          <w:rStyle w:val="FootnoteAnchor"/>
          <w:rtl w:val="true"/>
        </w:rPr>
        <w:footnoteReference w:id="641"/>
      </w:r>
      <w:r>
        <w:rPr>
          <w:rFonts w:ascii="IRNazanin" w:hAnsi="IRNazanin" w:eastAsia="IRNazanin"/>
          <w:color w:val="111111"/>
          <w:sz w:val="28"/>
          <w:sz w:val="28"/>
          <w:szCs w:val="28"/>
          <w:rtl w:val="true"/>
          <w:lang w:bidi="fa-IR"/>
        </w:rPr>
        <w:t>والبرهان</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أیضاً، إلا أنّا کلّما سبرنا باب الحیض من الفقیه من أوله إلی آخره مرارة متعدّدة لم تعثر علی عین ولا أثر لهذه الفتوی فیه ، وإنّما الموجود فیه هو الفتوی بمضمون بعض نصوص الباب المشهورة المذکورة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والمرأة التی تطهر من حیضها عند العصر فلیس علیها أن تصلّی الظهر ، إنّما تصلّی الصلاة التی تطهر عندها</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 الظاهر والأصل أن جملة الوقت بإزاء الجملة من دون توزیع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جزء من دلیل القول الثالث لا علاوة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رد القول الثانی ، کما أن المقصود بجزئه السابق ردّ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فیهما</w:t>
      </w:r>
      <w:r>
        <w:rPr>
          <w:rStyle w:val="FootnoteAnchor"/>
          <w:rtl w:val="true"/>
        </w:rPr>
        <w:footnoteReference w:id="644"/>
      </w:r>
      <w:r>
        <w:rPr>
          <w:rFonts w:ascii="IRNazanin" w:hAnsi="IRNazanin" w:eastAsia="IRNazanin"/>
          <w:color w:val="111111"/>
          <w:sz w:val="28"/>
          <w:sz w:val="28"/>
          <w:szCs w:val="28"/>
          <w:rtl w:val="true"/>
          <w:lang w:bidi="fa-IR"/>
        </w:rPr>
        <w:t>دلالة علی اعتبار إدراک مقدار الطهارة فی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دلالتهما علیه مبنیّ علی أن یکون المراد من الاشتغال فی شأنها المفوّت للظهر والمسقط لقضائه هو الاشتغال بطهارتها، دون سائر لوازمها من رفع الخبث وتحصیل الساتر ونحوهما من سائر الشروط، نظراً إلی أن الاشتغال فی شأنها المفوت للصلاة هو الاشتغال فی طهارتها غالباً دون سائر شروطها، لغلبة تقدّم ما عداً الطهارة من سائر الشروط علی انقطاع الحیض ، بخلاف الطهارة، فإنّها متأخّرة الحصول عنه دائماً، فیحمل علیها الاشتغال فی شأنها، حملاً للمطلق علی أغلب أفراده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غلبة وجودیّة لا استعمالیة حتی توجب انصراف المطلق إلیها ، فلا دلالّة فیهما علی اعتبار إدراک مقدار الطهارة خاصّة دون سائر الشروط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اشتغالها بشأنها قضیة فی واقعاً، و من قبیل قضایا الأحوال التی إذا طرأ علیها الاحتمال کساها الإجمال، وسقط عن العموم والاستدلال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أقف علی دلیل اعتبار سائر الشروط الملحقة بها فیه أیضاً</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الدلیل علیه ما تقدّم </w:t>
      </w:r>
      <w:r>
        <w:rPr>
          <w:rStyle w:val="FootnoteAnchor"/>
          <w:rtl w:val="true"/>
        </w:rPr>
        <w:footnoteReference w:id="645"/>
      </w:r>
      <w:r>
        <w:rPr>
          <w:rFonts w:ascii="IRNazanin" w:hAnsi="IRNazanin" w:eastAsia="IRNazanin"/>
          <w:color w:val="111111"/>
          <w:sz w:val="28"/>
          <w:sz w:val="28"/>
          <w:szCs w:val="28"/>
          <w:rtl w:val="true"/>
          <w:lang w:bidi="fa-IR"/>
        </w:rPr>
        <w:t xml:space="preserve">من عدم الفرق بین الطهارة وسائر الشروط فی توقّف صدق أسم الفوات علی التمکّن منها نصّاً، وفی امتناع قصور الوقت عمّا کلّف به فیه عقلاً، وفی عدم التصریح من غیر الشارح بالفرق، بل </w:t>
      </w:r>
    </w:p>
    <w:p>
      <w:pPr>
        <w:pStyle w:val="BookText"/>
        <w:rPr/>
      </w:pPr>
      <w:r>
        <w:rPr>
          <w:rFonts w:ascii="IRNazanin" w:hAnsi="IRNazanin" w:eastAsia="IRNazanin"/>
          <w:color w:val="111111"/>
          <w:sz w:val="28"/>
          <w:sz w:val="28"/>
          <w:szCs w:val="28"/>
          <w:rtl w:val="true"/>
          <w:lang w:bidi="fa-IR"/>
        </w:rPr>
        <w:t>تصریح مَن عداه بعدم الفرق بینهما فیما یعتبر فی وجوب القضاء، سوی ما عن الشرائع</w:t>
      </w:r>
      <w:r>
        <w:rPr>
          <w:rStyle w:val="FootnoteAnchor"/>
          <w:rtl w:val="true"/>
        </w:rPr>
        <w:footnoteReference w:id="646"/>
      </w:r>
      <w:r>
        <w:rPr>
          <w:rFonts w:ascii="IRNazanin" w:hAnsi="IRNazanin" w:eastAsia="IRNazanin"/>
          <w:color w:val="111111"/>
          <w:sz w:val="28"/>
          <w:sz w:val="28"/>
          <w:szCs w:val="28"/>
          <w:rtl w:val="true"/>
          <w:lang w:bidi="fa-IR"/>
        </w:rPr>
        <w:t>والقواعد</w:t>
      </w:r>
      <w:r>
        <w:rPr>
          <w:rStyle w:val="FootnoteAnchor"/>
          <w:rtl w:val="true"/>
        </w:rPr>
        <w:footnoteReference w:id="647"/>
      </w:r>
      <w:r>
        <w:rPr>
          <w:rFonts w:ascii="IRNazanin" w:hAnsi="IRNazanin" w:eastAsia="IRNazanin"/>
          <w:color w:val="111111"/>
          <w:sz w:val="28"/>
          <w:sz w:val="28"/>
          <w:szCs w:val="28"/>
          <w:rtl w:val="true"/>
          <w:lang w:bidi="fa-IR"/>
        </w:rPr>
        <w:t xml:space="preserve">والدروس </w:t>
      </w:r>
      <w:r>
        <w:rPr>
          <w:rStyle w:val="FootnoteAnchor"/>
          <w:rtl w:val="true"/>
        </w:rPr>
        <w:footnoteReference w:id="648"/>
      </w:r>
      <w:r>
        <w:rPr>
          <w:rFonts w:ascii="IRNazanin" w:hAnsi="IRNazanin" w:eastAsia="IRNazanin"/>
          <w:color w:val="111111"/>
          <w:sz w:val="28"/>
          <w:sz w:val="28"/>
          <w:szCs w:val="28"/>
          <w:rtl w:val="true"/>
          <w:lang w:bidi="fa-IR"/>
        </w:rPr>
        <w:t>من الاقتصار علی ذکر الطهارة، المنزل منزلة الغالب من فعلیّة إحرازها لغیر الطهارة دونها ، کنتصریحهم بعدم الفرق بین حدوث الحیض أو غیره من سائر الموانع، وأن العنوان الجامع للمسألتین هو حدوث العذر المسقط للفرض بعد دخول الوقت وارتفاعه قبل خروجه، کالعاقل جنّ بعد دخول الوقت، أو المجنون عقل قبل خروجه، والصبیّ بلغ، والصحیح مرض، أو المریض بریء،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الفرق بکون الطهارة عن الحدث من الشروط الواقعیة التی ینتفی المشروط بانتفائها ،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الطهورین تسقط معه الصلاة ، بخلاف الطهارة الخبثیّة ومعرفة القبلة وسائر الشروط ، فلا تسقط الصلاة بفقدها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العلامة فی النهایة</w:t>
      </w:r>
      <w:r>
        <w:rPr>
          <w:rStyle w:val="FootnoteAnchor"/>
          <w:rtl w:val="true"/>
        </w:rPr>
        <w:footnoteReference w:id="649"/>
      </w:r>
      <w:r>
        <w:rPr>
          <w:rFonts w:ascii="IRNazanin" w:hAnsi="IRNazanin" w:eastAsia="IRNazanin"/>
          <w:color w:val="111111"/>
          <w:sz w:val="28"/>
          <w:sz w:val="28"/>
          <w:szCs w:val="28"/>
          <w:rtl w:val="true"/>
          <w:lang w:bidi="fa-IR"/>
        </w:rPr>
        <w:t>بناءً علی عدم اختصاصها بوقت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المبنی ومما تقدم</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التعلیقة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النهایة من تعلیله عدم اعتبار وقت الطهارة بإمکان تقدّمها هو اختصاص عدم اعتبار وقتها فی وجوب القضاء بما لو حدث الحیض بعد دخول الوقت، لا ما إذا ارتفع قبل خروجه الذی نحن فیه، لعدم نهوض تعلیله المتقدّم ثمّة هنا، فلا یعمّ مخالفته المسألتین ، بل تختصّ بالأولی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قد تقدّم الجواب عنه بأبلغ وجه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أدلّته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سنداً فلضعف خبر</w:t>
      </w:r>
      <w:r>
        <w:rPr>
          <w:rStyle w:val="FootnoteAnchor"/>
          <w:rtl w:val="true"/>
        </w:rPr>
        <w:footnoteReference w:id="651"/>
      </w:r>
      <w:r>
        <w:rPr>
          <w:rFonts w:ascii="IRNazanin" w:hAnsi="IRNazanin" w:eastAsia="IRNazanin"/>
          <w:color w:val="111111"/>
          <w:sz w:val="28"/>
          <w:sz w:val="28"/>
          <w:szCs w:val="28"/>
          <w:rtl w:val="true"/>
          <w:lang w:bidi="fa-IR"/>
        </w:rPr>
        <w:t>الصفّار بأنها مکاتبة لم تذکر</w:t>
      </w:r>
      <w:r>
        <w:rPr>
          <w:rStyle w:val="FootnoteAnchor"/>
          <w:rtl w:val="true"/>
        </w:rPr>
        <w:footnoteReference w:id="652"/>
      </w:r>
      <w:r>
        <w:rPr>
          <w:rFonts w:ascii="IRNazanin" w:hAnsi="IRNazanin" w:eastAsia="IRNazanin"/>
          <w:color w:val="111111"/>
          <w:sz w:val="28"/>
          <w:sz w:val="28"/>
          <w:szCs w:val="28"/>
          <w:rtl w:val="true"/>
          <w:lang w:bidi="fa-IR"/>
        </w:rPr>
        <w:t>حتی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ممّن لیس دأبه المناقشة فی سند الروایات ، وإن کان محمد بن الحسن الصفار من الموثّقین جدّاً، ولا فرق فی الحجیة عندنا معاشر المشهور بین المکاتبات وغیرها من أخبار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سند الآخر</w:t>
      </w:r>
      <w:r>
        <w:rPr>
          <w:rStyle w:val="FootnoteAnchor"/>
          <w:rtl w:val="true"/>
        </w:rPr>
        <w:footnoteReference w:id="653"/>
      </w:r>
      <w:r>
        <w:rPr>
          <w:rFonts w:ascii="IRNazanin" w:hAnsi="IRNazanin" w:eastAsia="IRNazanin"/>
          <w:color w:val="111111"/>
          <w:sz w:val="28"/>
          <w:sz w:val="28"/>
          <w:szCs w:val="28"/>
          <w:rtl w:val="true"/>
          <w:lang w:bidi="fa-IR"/>
        </w:rPr>
        <w:t>بمحمدبن فضیل المشترک بین الثقة والضعیف والمجهول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موافقة الخبرین لما تقدّم عن النهایة </w:t>
      </w:r>
      <w:r>
        <w:rPr>
          <w:rStyle w:val="FootnoteAnchor"/>
          <w:rtl w:val="true"/>
        </w:rPr>
        <w:footnoteReference w:id="654"/>
      </w:r>
      <w:r>
        <w:rPr>
          <w:rFonts w:ascii="IRNazanin" w:hAnsi="IRNazanin" w:eastAsia="IRNazanin"/>
          <w:color w:val="111111"/>
          <w:sz w:val="28"/>
          <w:sz w:val="28"/>
          <w:szCs w:val="28"/>
          <w:rtl w:val="true"/>
          <w:lang w:bidi="fa-IR"/>
        </w:rPr>
        <w:t>إلا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اعتبار الزیادة فی الإسباغ والفضل أو فی مقدّمات غسلها لا فی نفس غسلها، حیث یتوقف غسلها علی إسباغ فی شعرها وإزالة الأقذار والنجاسات العارضة لها أیام جلوسها فی الحیض ، إلی غیر ذلک ممّا لا یتوقّف علیه غسل الجنابة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ما تقدّم من أدلّة التداخل المقتضی للتساوی فی جمیع الواجبات والمندوبات، بل وفی الترتیب والارتماس أیضاً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ما عن المنتهی</w:t>
      </w:r>
      <w:r>
        <w:rPr>
          <w:rStyle w:val="FootnoteAnchor"/>
          <w:rtl w:val="true"/>
        </w:rPr>
        <w:footnoteReference w:id="655"/>
      </w:r>
      <w:r>
        <w:rPr>
          <w:rFonts w:ascii="IRNazanin" w:hAnsi="IRNazanin" w:eastAsia="IRNazanin"/>
          <w:color w:val="111111"/>
          <w:sz w:val="28"/>
          <w:sz w:val="28"/>
          <w:szCs w:val="28"/>
          <w:rtl w:val="true"/>
          <w:lang w:bidi="fa-IR"/>
        </w:rPr>
        <w:t xml:space="preserve">من الإجماع علی وجوب الترتیب هنا، لقوله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جمیع الأحکام المذکورة فی غسل الجنابة آتیة هنا، لتحقّق الوحدة ، إلا واحدة، وهو الاکتفاء به عن الوضوء، فإن فیه خلافاً </w:t>
      </w:r>
      <w:r>
        <w:rPr>
          <w:rFonts w:eastAsia="IRNazanin" w:cs="IRNazanin"/>
          <w:color w:val="111111"/>
          <w:sz w:val="28"/>
          <w:szCs w:val="28"/>
          <w:rtl w:val="true"/>
          <w:lang w:bidi="fa-IR"/>
        </w:rPr>
        <w:t xml:space="preserve">». </w:t>
      </w:r>
      <w:bookmarkStart w:id="63" w:name="pg1905_24588"/>
    </w:p>
    <w:p>
      <w:pPr>
        <w:pStyle w:val="Heading3"/>
        <w:numPr>
          <w:ilvl w:val="2"/>
          <w:numId w:val="1"/>
        </w:numPr>
        <w:rPr/>
      </w:pPr>
      <w:bookmarkStart w:id="64" w:name="__RefHeading___Toc3268773_3650668749"/>
      <w:bookmarkStart w:id="65" w:name="_Toc24"/>
      <w:bookmarkEnd w:id="63"/>
      <w:bookmarkEnd w:id="64"/>
      <w:r>
        <w:rPr>
          <w:rtl w:val="true"/>
        </w:rPr>
        <w:t xml:space="preserve">الثالث </w:t>
      </w:r>
      <w:r>
        <w:rPr>
          <w:rtl w:val="true"/>
        </w:rPr>
        <w:t xml:space="preserve">: </w:t>
      </w:r>
      <w:r>
        <w:rPr>
          <w:rtl w:val="true"/>
        </w:rPr>
        <w:t>غسل الاستحاضة</w:t>
      </w:r>
      <w:bookmarkEnd w:id="6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ثبوت العفو عن مثله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المتیقّن من العفو عمّا دون الدرهم من الدماء هو ممّا عدا الدماء الثلاثة، ومن خصوص دم الاستحاضة هو ما یتجدّد بعد تبدیل القطنة إلی أن یتمّ الصلاة ، لأنه المتعسر اجتنابه ، بخلاف ما قبله وما بعده ، فیجب اجتنابه بالتطهّر والتبدیل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دلالة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الصحیح فهو صحیح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تغتسل عند صلاة الظهر وتصلّی الظهر والعصر، ثم تغتسل عند المغرب فتصلی المغرب والعشاء، ثم تغتسل عند الصبح</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وأما موهم دلالته فمن حیث ترک التعرّض لما یوجب الوضوء منها ، مع أنه فی مقام البیان، فدلّ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عدم دلالته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لخروجه عن المقام، لتقییده بغیر القلیلة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ثبوت الوضوء فیه لکلّ صلاة لا ینافی الثبوت بغیره من النصوص</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ضعفه وعدم صراحته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ضعفه فلما فی سنده </w:t>
      </w:r>
      <w:r>
        <w:rPr>
          <w:rStyle w:val="FootnoteAnchor"/>
          <w:rtl w:val="true"/>
        </w:rPr>
        <w:footnoteReference w:id="658"/>
      </w:r>
      <w:r>
        <w:rPr>
          <w:rFonts w:ascii="IRNazanin" w:hAnsi="IRNazanin" w:eastAsia="IRNazanin"/>
          <w:color w:val="111111"/>
          <w:sz w:val="28"/>
          <w:sz w:val="28"/>
          <w:szCs w:val="28"/>
          <w:rtl w:val="true"/>
          <w:lang w:bidi="fa-IR"/>
        </w:rPr>
        <w:t xml:space="preserve">القاسم، عن أبان ، عن إسماعیل الجعفی ، عن الباقرعلیه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ملاحظة الطبقة وسائر القرائن کونه القاسم بن محمد الجوهری الواقفی الضعیف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وجه عدم صراحته فلأن عدم إیجاب الوضوء إلی أن یظهر الدم علی الکرسف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فتوی العمانی </w:t>
      </w:r>
      <w:r>
        <w:rPr>
          <w:rStyle w:val="FootnoteAnchor"/>
          <w:rtl w:val="true"/>
        </w:rPr>
        <w:footnoteReference w:id="659"/>
      </w:r>
      <w:r>
        <w:rPr>
          <w:rFonts w:ascii="IRNazanin" w:hAnsi="IRNazanin" w:eastAsia="IRNazanin"/>
          <w:color w:val="111111"/>
          <w:sz w:val="28"/>
          <w:sz w:val="28"/>
          <w:szCs w:val="28"/>
          <w:rtl w:val="true"/>
          <w:lang w:bidi="fa-IR"/>
        </w:rPr>
        <w:t>محتمل لإرادة الظهور علی باطن الکرسف الملاصق بالفرج، لا علی ظاهره الملاصق للخرقة، وحینئذ یدلّ علی المطلوب لا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لمعارضة ما تقدّم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ندوره وشذوذه ووهنه بإعراض الأصحاب، بل المشهور، بل الاجماع ، بل النصوص</w:t>
      </w:r>
      <w:r>
        <w:rPr>
          <w:rStyle w:val="FootnoteAnchor"/>
          <w:rtl w:val="true"/>
        </w:rPr>
        <w:footnoteReference w:id="660"/>
      </w:r>
      <w:r>
        <w:rPr>
          <w:rFonts w:ascii="IRNazanin" w:hAnsi="IRNazanin" w:eastAsia="IRNazanin"/>
          <w:color w:val="111111"/>
          <w:sz w:val="28"/>
          <w:sz w:val="28"/>
          <w:szCs w:val="28"/>
          <w:rtl w:val="true"/>
          <w:lang w:bidi="fa-IR"/>
        </w:rPr>
        <w:t xml:space="preserve">المستفیضة الصریحة علی خلافه المعاضدة بالاحتیاط القاضی بالوضوء لکلّ صلاة، واستصحاب الاشتغال بالمشروط بالطهارة لو جمع بین الصلاتین بوضوء واحد، وبالاقتصار علی المتیقّن من العفو عن حدثیّة دم الاستحاضة، بتقریب أن المستحاضة باتّفاق النصوص والفتاوی مستمرة الحدث، ومقتضاه الوضوء لکلّ ما یخرج من الدم إلی الخارج، لکن استمراره أوجب العفو عمّا یوجب العسر والحرج، والمتیقّن من العفو هو ما یخرج فی أثناء الوضوء، أو بینه وبین العبادة ، أو فی أثناء العبادة الواحدة، لأنه الذی یؤدّی التجدید من أجله إلی العسر والحرج، فیقتصر علیه دون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 ینقطع أصالة عدم الحدث ، ویخصص عموم حصر النواقض فی غیر هذا الدم، لو استند إلیهما المخالف، مع کون الحصر إضافیّاً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ضعفه بالإضمار غیر ظاهر الدلالة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إضماره</w:t>
      </w:r>
      <w:r>
        <w:rPr>
          <w:rStyle w:val="FootnoteAnchor"/>
          <w:rtl w:val="true"/>
        </w:rPr>
        <w:footnoteReference w:id="661"/>
      </w:r>
      <w:r>
        <w:rPr>
          <w:rFonts w:ascii="IRNazanin" w:hAnsi="IRNazanin" w:eastAsia="IRNazanin"/>
          <w:color w:val="111111"/>
          <w:sz w:val="28"/>
          <w:sz w:val="28"/>
          <w:szCs w:val="28"/>
          <w:rtl w:val="true"/>
          <w:lang w:bidi="fa-IR"/>
        </w:rPr>
        <w:t xml:space="preserve">فمن سماعة، وهو غیر ضارّ ، لأنه بمنزلة الإظهار ، بعد اتّفاقهم علی توثیقه وجلالته وقبول روایاته حتی عند القمّیین، حتی ابن الولید </w:t>
      </w:r>
    </w:p>
    <w:p>
      <w:pPr>
        <w:pStyle w:val="BookText"/>
        <w:rPr/>
      </w:pPr>
      <w:r>
        <w:rPr>
          <w:rFonts w:ascii="IRNazanin" w:hAnsi="IRNazanin" w:eastAsia="IRNazanin"/>
          <w:color w:val="111111"/>
          <w:sz w:val="28"/>
          <w:sz w:val="28"/>
          <w:szCs w:val="28"/>
          <w:rtl w:val="true"/>
          <w:lang w:bidi="fa-IR"/>
        </w:rPr>
        <w:t>وأحمد بن محمد بن عیسی</w:t>
      </w:r>
      <w:r>
        <w:rPr>
          <w:rStyle w:val="FootnoteAnchor"/>
          <w:rtl w:val="true"/>
        </w:rPr>
        <w:footnoteReference w:id="662"/>
      </w:r>
      <w:r>
        <w:rPr>
          <w:rFonts w:ascii="IRNazanin" w:hAnsi="IRNazanin" w:eastAsia="IRNazanin"/>
          <w:color w:val="111111"/>
          <w:sz w:val="28"/>
          <w:sz w:val="28"/>
          <w:szCs w:val="28"/>
          <w:rtl w:val="true"/>
          <w:lang w:bidi="fa-IR"/>
        </w:rPr>
        <w:t>، حتی ادّعی الشیخ</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أن الطائفة عملت بما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 ولا یروی إلا عن ثقة ، وروی عنه أیضاً مَن لا یروی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حاله دون ذلک لم یقدح إضماره، بل کان شأنه آبیاً من الإسناد إلی غیر المعصوم، فکیف إضمار مَن شأنه أجلّ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عدم ظهوره فی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الغسل علی ذات الاستحاضة القلیلة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فلإمکان تنزیل فقرته الوسطی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یجز الدم الکرسف فعلیها الغسل لکلّ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المتوسّطة لا القلیلة ، سیّما بقرینة إشعار عدم الجواز بنفسه أو بتوسّطه بین الفقرات الثلاث بحصول الثقب الخاص بالمتوسّطة لا القلیلة، ولا سیّما بقرینة تصریح فقرته الأخیرة بوجوب الوضوء للصفرة الخاصّة بالقلیلة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الموٍّثّق حینئیذ بیانة لأقسامها الثلاثة ، کلّ بفقرة من فقراته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ثقب الدم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للکثیرة، بناء علی الغالب من وصول الدم الثاقب إلی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یجز الدم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للمتوسّط، لأن عدم جوازه إلی الخرقة وإن عمّ القلیلة إلا أنه بإشعار التوسّط وتعقب ذکر الصفرة الخاصة بالقلیلة یتعیّن للمتوسّطة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أبیت من تعیین عدم الجواز فی المتوسطة وإخراج القلیلة منها بتلک الإشعارات ، فلا أقلّ من تخصیص عمومه بها وإخراج القلیلة منه بالمخصصات الأخر الخارجیّة ، من سائر النصوص والشهرات والإجماعات المخصّصة لعموم وجوب الغسل بغیر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المشارک له فی قصور السند بذلک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الإضمار فی هذا الخبر من زرارة</w:t>
      </w:r>
      <w:r>
        <w:rPr>
          <w:rStyle w:val="FootnoteAnchor"/>
          <w:rtl w:val="true"/>
        </w:rPr>
        <w:footnoteReference w:id="664"/>
      </w:r>
      <w:r>
        <w:rPr>
          <w:rFonts w:ascii="IRNazanin" w:hAnsi="IRNazanin" w:eastAsia="IRNazanin"/>
          <w:color w:val="111111"/>
          <w:sz w:val="28"/>
          <w:sz w:val="28"/>
          <w:szCs w:val="28"/>
          <w:rtl w:val="true"/>
          <w:lang w:bidi="fa-IR"/>
        </w:rPr>
        <w:t xml:space="preserve">وإذا </w:t>
      </w:r>
    </w:p>
    <w:p>
      <w:pPr>
        <w:pStyle w:val="BookText"/>
        <w:rPr/>
      </w:pPr>
      <w:r>
        <w:rPr>
          <w:rFonts w:ascii="IRNazanin" w:hAnsi="IRNazanin" w:eastAsia="IRNazanin"/>
          <w:color w:val="111111"/>
          <w:sz w:val="28"/>
          <w:sz w:val="28"/>
          <w:szCs w:val="28"/>
          <w:rtl w:val="true"/>
          <w:lang w:bidi="fa-IR"/>
        </w:rPr>
        <w:t>کان الإضمار السابق من سماعة غیر موجب لقصور السند، لاباء شأنه عن الإسناد إلی غیر المعصوم، فإضمار مثل زرارة أولی بعدم قصور السند، لأن جلالة شأنه أشدّ إباءُ من الإسناد إلی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بدخول نوافل کلّ فرض فی اسمه، حتی لا ینافیه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بوضوء</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سیّما بعد احتمال إرادة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واُیّد بسهولة الملّة وسماحتها، إذ فی التجدید لکلّ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التعمیم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المشقّة 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دل</w:t>
      </w:r>
      <w:r>
        <w:rPr>
          <w:rStyle w:val="FootnoteAnchor"/>
          <w:rtl w:val="true"/>
        </w:rPr>
        <w:footnoteReference w:id="666"/>
      </w:r>
      <w:r>
        <w:rPr>
          <w:rFonts w:ascii="IRNazanin" w:hAnsi="IRNazanin" w:eastAsia="IRNazanin"/>
          <w:color w:val="111111"/>
          <w:sz w:val="28"/>
          <w:sz w:val="28"/>
          <w:szCs w:val="28"/>
          <w:rtl w:val="true"/>
          <w:lang w:bidi="fa-IR"/>
        </w:rPr>
        <w:t>فی غیر هذه الحالة علی جواز صلاتها الفریضة والنافلة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ستسمعه من أن المستحاضة متی فعلت ما هو واجب علیها کانت بحکم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 بالإجماع 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علی أن کلّ من قال بوجوب الوضوء مع کلّ غسل من أغسال المستحاضة قال بوجوبه لکلّ صلاة من صلوات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غیر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کتاب الناصریّة </w:t>
      </w:r>
      <w:r>
        <w:rPr>
          <w:rStyle w:val="FootnoteAnchor"/>
          <w:rtl w:val="true"/>
        </w:rPr>
        <w:footnoteReference w:id="667"/>
      </w:r>
      <w:r>
        <w:rPr>
          <w:rFonts w:ascii="IRNazanin" w:hAnsi="IRNazanin" w:eastAsia="IRNazanin"/>
          <w:color w:val="111111"/>
          <w:sz w:val="28"/>
          <w:sz w:val="28"/>
          <w:szCs w:val="28"/>
          <w:rtl w:val="true"/>
          <w:lang w:bidi="fa-IR"/>
        </w:rPr>
        <w:t xml:space="preserve">والتأمل لعله إشارة إلی أن احتمال اکتفاء کلّ مَن لم یوجب الوضوء لصلاة الغداة فی المتوسّطة بوجوبه مع غسل الغداة لها ، لا یأتی فیما عن السید فی الناصریّة </w:t>
      </w:r>
      <w:r>
        <w:rPr>
          <w:rStyle w:val="FootnoteAnchor"/>
          <w:rtl w:val="true"/>
        </w:rPr>
        <w:footnoteReference w:id="668"/>
      </w:r>
      <w:r>
        <w:rPr>
          <w:rFonts w:ascii="IRNazanin" w:hAnsi="IRNazanin" w:eastAsia="IRNazanin"/>
          <w:color w:val="111111"/>
          <w:sz w:val="28"/>
          <w:sz w:val="28"/>
          <w:szCs w:val="28"/>
          <w:rtl w:val="true"/>
          <w:lang w:bidi="fa-IR"/>
        </w:rPr>
        <w:t>من عدم إیجابه الوضوء لصلاة الغداة فیها لعدم إیجابه الوضوء مع کل غسل، حتی یحتمل اکتفاؤه به هنا عن إیجابه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إیجابه الوضوء لصلاة الغداة فی المتوسّطة منافی للإجماع </w:t>
      </w:r>
    </w:p>
    <w:p>
      <w:pPr>
        <w:pStyle w:val="BookText"/>
        <w:rPr/>
      </w:pPr>
      <w:r>
        <w:rPr>
          <w:rFonts w:ascii="IRNazanin" w:hAnsi="IRNazanin" w:eastAsia="IRNazanin"/>
          <w:color w:val="111111"/>
          <w:sz w:val="28"/>
          <w:sz w:val="28"/>
          <w:szCs w:val="28"/>
          <w:rtl w:val="true"/>
          <w:lang w:bidi="fa-IR"/>
        </w:rPr>
        <w:t xml:space="preserve">المحکیّ علی وجوبه فیها ، إلا أن یمنع المنافاة بمعلومیّة نسب المخالف، أو بوهن مخالفته بمخالفة المشهور، أو بنفی مخالفته بقرینة عدم الفرق بین صلاة الغداة وغیرها من سائر الصلوات، فالموجب له فی غیر الغداة یوجبه فیها لامحالة ، أو بقرینة الفحوی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غیر القلیلة بکلّ ما وجب فی القلیلة ، من تبدیل القطنة والوضوء لکلّ صلاة، فالموجب له فی القلیلة یوجبه فی غیرها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بفحوی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بیان الأولویّة، بأن الخرقة أولی من القطنة قطعاً ، الصغرها، أو لکونها کالملحق بالبواطن ، بخلافها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توجیه عدم المنافاة بمعلومیّة نسب المخالف، أو بوهن مخالفته بمخالفة الشهرة والنصوص</w:t>
      </w:r>
      <w:r>
        <w:rPr>
          <w:rStyle w:val="FootnoteAnchor"/>
          <w:rtl w:val="true"/>
        </w:rPr>
        <w:footnoteReference w:id="669"/>
      </w:r>
      <w:r>
        <w:rPr>
          <w:rFonts w:ascii="IRNazanin" w:hAnsi="IRNazanin" w:eastAsia="IRNazanin"/>
          <w:color w:val="111111"/>
          <w:sz w:val="28"/>
          <w:sz w:val="28"/>
          <w:szCs w:val="28"/>
          <w:rtl w:val="true"/>
          <w:lang w:bidi="fa-IR"/>
        </w:rPr>
        <w:t>أو باحتمال عدم المخالفة بقرینة عدم الفرق بین القطنة والخرقة فی وجوب التغییر ، بل وأولویّة الخرقة من القطنة بالتغییر، حسبما 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لاشعاره بالمتوسّطة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من مضمرة زرارة </w:t>
      </w:r>
      <w:r>
        <w:rPr>
          <w:rStyle w:val="FootnoteAnchor"/>
          <w:rtl w:val="true"/>
        </w:rPr>
        <w:footnoteReference w:id="670"/>
      </w:r>
      <w:r>
        <w:rPr>
          <w:rFonts w:ascii="IRNazanin" w:hAnsi="IRNazanin" w:eastAsia="IRNazanin"/>
          <w:color w:val="111111"/>
          <w:sz w:val="28"/>
          <w:sz w:val="28"/>
          <w:szCs w:val="28"/>
          <w:rtl w:val="true"/>
          <w:lang w:bidi="fa-IR"/>
        </w:rPr>
        <w:t>السابقة من إشعار عدم الجواز فیها بنفسه أو بمعونة مقابلته للجواز بحصول الثقب الخاص بالمتوسّطة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أبیت من تخصیص عموم عدم الجواز بالمتوسّطة فإخراج القلیلة منه لسائر المخصّصات الخارجیّة، من الشهرات و النصوص </w:t>
      </w:r>
      <w:r>
        <w:rPr>
          <w:rStyle w:val="FootnoteAnchor"/>
          <w:rtl w:val="true"/>
        </w:rPr>
        <w:footnoteReference w:id="671"/>
      </w:r>
      <w:r>
        <w:rPr>
          <w:rFonts w:ascii="IRNazanin" w:hAnsi="IRNazanin" w:eastAsia="IRNazanin"/>
          <w:color w:val="111111"/>
          <w:sz w:val="28"/>
          <w:sz w:val="28"/>
          <w:szCs w:val="28"/>
          <w:rtl w:val="true"/>
          <w:lang w:bidi="fa-IR"/>
        </w:rPr>
        <w:t xml:space="preserve">والاجماعات الصریحة فی تخصیص عموم وجوب الغسل بغیر القلیلة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توهّم عدمها جماعة</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الصحاح </w:t>
      </w:r>
      <w:r>
        <w:rPr>
          <w:rStyle w:val="FootnoteAnchor"/>
          <w:rtl w:val="true"/>
        </w:rPr>
        <w:footnoteReference w:id="672"/>
      </w:r>
      <w:r>
        <w:rPr>
          <w:rFonts w:ascii="IRNazanin" w:hAnsi="IRNazanin" w:eastAsia="IRNazanin"/>
          <w:color w:val="111111"/>
          <w:sz w:val="28"/>
          <w:sz w:val="28"/>
          <w:szCs w:val="28"/>
          <w:rtl w:val="true"/>
          <w:lang w:bidi="fa-IR"/>
        </w:rPr>
        <w:t>الموجبة للأغسال الثلاثة بالکثیرة، وشمولها المتوسّطة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والجماعة المتوهمون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عقیل </w:t>
      </w:r>
      <w:r>
        <w:rPr>
          <w:rStyle w:val="FootnoteAnchor"/>
          <w:rtl w:val="true"/>
        </w:rPr>
        <w:footnoteReference w:id="673"/>
      </w:r>
      <w:r>
        <w:rPr>
          <w:rFonts w:ascii="IRNazanin" w:hAnsi="IRNazanin" w:eastAsia="IRNazanin"/>
          <w:color w:val="111111"/>
          <w:sz w:val="28"/>
          <w:sz w:val="28"/>
          <w:szCs w:val="28"/>
          <w:rtl w:val="true"/>
          <w:lang w:bidi="fa-IR"/>
        </w:rPr>
        <w:t>والجنید</w:t>
      </w:r>
      <w:r>
        <w:rPr>
          <w:rStyle w:val="FootnoteAnchor"/>
          <w:rtl w:val="true"/>
        </w:rPr>
        <w:footnoteReference w:id="674"/>
      </w:r>
      <w:r>
        <w:rPr>
          <w:rFonts w:ascii="IRNazanin" w:hAnsi="IRNazanin" w:eastAsia="IRNazanin"/>
          <w:color w:val="111111"/>
          <w:sz w:val="28"/>
          <w:sz w:val="28"/>
          <w:szCs w:val="28"/>
          <w:rtl w:val="true"/>
          <w:lang w:bidi="fa-IR"/>
        </w:rPr>
        <w:t xml:space="preserve">، والماتن فی المعتبر </w:t>
      </w:r>
      <w:r>
        <w:rPr>
          <w:rStyle w:val="FootnoteAnchor"/>
          <w:rtl w:val="true"/>
        </w:rPr>
        <w:footnoteReference w:id="675"/>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676"/>
      </w:r>
      <w:r>
        <w:rPr>
          <w:rFonts w:ascii="IRNazanin" w:hAnsi="IRNazanin" w:eastAsia="IRNazanin"/>
          <w:color w:val="111111"/>
          <w:sz w:val="28"/>
          <w:sz w:val="28"/>
          <w:szCs w:val="28"/>
          <w:rtl w:val="true"/>
          <w:lang w:bidi="fa-IR"/>
        </w:rPr>
        <w:t>، والمدارک</w:t>
      </w:r>
      <w:r>
        <w:rPr>
          <w:rStyle w:val="FootnoteAnchor"/>
          <w:rtl w:val="true"/>
        </w:rPr>
        <w:footnoteReference w:id="677"/>
      </w:r>
      <w:r>
        <w:rPr>
          <w:rFonts w:ascii="IRNazanin" w:hAnsi="IRNazanin" w:eastAsia="IRNazanin"/>
          <w:color w:val="111111"/>
          <w:sz w:val="28"/>
          <w:sz w:val="28"/>
          <w:szCs w:val="28"/>
          <w:rtl w:val="true"/>
          <w:lang w:bidi="fa-IR"/>
        </w:rPr>
        <w:t>، وشیخه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خروج البعض عن الحجّیة غیر ملازم لخروج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البعض الخارج عن الحجّیة فقرتان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ثلاثون یوما قرأت دماً صبیباً اغتسلت</w:t>
      </w:r>
      <w:r>
        <w:rPr>
          <w:rStyle w:val="FootnoteAnchor"/>
          <w:rtl w:val="true"/>
        </w:rPr>
        <w:footnoteReference w:id="679"/>
      </w:r>
      <w:r>
        <w:rPr>
          <w:rFonts w:ascii="IRNazanin" w:hAnsi="IRNazanin" w:eastAsia="IRNazanin"/>
          <w:color w:val="111111"/>
          <w:sz w:val="28"/>
          <w:sz w:val="28"/>
          <w:szCs w:val="28"/>
          <w:rtl w:val="true"/>
          <w:lang w:bidi="fa-IR"/>
        </w:rPr>
        <w:t>فی اعتبار عمل المستحاضة بعد الثلاثین، ولم یقل به أحد، إلابصرف ظهور شرطیّة مضیّ الثلاثین فی اعتبار عمل المستحاضة إلی بیان موضوعها ومحلّ اعتبار عمل المستحاضة، فیکون الثلاثون مح لإعمال أحکام المستحاضة فیه لا شرطاً لاعتبار أحکامها فیما بعده ، نظیر الشروط المحقّقة لموضوع الحکم لا الاعتبار الحکم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والفقرة الأخری ظهور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اغتسلت وقت کلّ صلاة </w:t>
      </w:r>
      <w:r>
        <w:rPr>
          <w:rStyle w:val="FootnoteAnchor"/>
          <w:rtl w:val="true"/>
        </w:rPr>
        <w:footnoteReference w:id="680"/>
      </w:r>
      <w:r>
        <w:rPr>
          <w:rFonts w:ascii="IRNazanin" w:hAnsi="IRNazanin" w:eastAsia="IRNazanin"/>
          <w:color w:val="111111"/>
          <w:sz w:val="28"/>
          <w:sz w:val="28"/>
          <w:szCs w:val="28"/>
          <w:rtl w:val="true"/>
          <w:lang w:bidi="fa-IR"/>
        </w:rPr>
        <w:t xml:space="preserve">فی وجوب الغسل لکلّ صلاة، ولم یقل به أحد أیضاً، إلا بتأویل وقت کلّ صلاة بوقت کلّ صلاتین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فمقّید بما ذکر ، کتقیید الأولین </w:t>
      </w:r>
      <w:r>
        <w:rPr>
          <w:rStyle w:val="FootnoteAnchor"/>
          <w:rtl w:val="true"/>
        </w:rPr>
        <w:footnoteReference w:id="681"/>
      </w:r>
      <w:r>
        <w:rPr>
          <w:rFonts w:ascii="IRNazanin" w:hAnsi="IRNazanin" w:eastAsia="IRNazanin"/>
          <w:color w:val="111111"/>
          <w:sz w:val="28"/>
          <w:sz w:val="28"/>
          <w:szCs w:val="28"/>
          <w:rtl w:val="true"/>
          <w:lang w:bidi="fa-IR"/>
        </w:rPr>
        <w:t>بالقلیلة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الأغسال الثلاثة فی مطلق المستحاضة کما فی الصحیحین</w:t>
      </w:r>
      <w:r>
        <w:rPr>
          <w:rStyle w:val="FootnoteAnchor"/>
          <w:rtl w:val="true"/>
        </w:rPr>
        <w:footnoteReference w:id="682"/>
      </w:r>
      <w:r>
        <w:rPr>
          <w:rFonts w:ascii="IRNazanin" w:hAnsi="IRNazanin" w:eastAsia="IRNazanin"/>
          <w:color w:val="111111"/>
          <w:sz w:val="28"/>
          <w:sz w:val="28"/>
          <w:szCs w:val="28"/>
          <w:rtl w:val="true"/>
          <w:lang w:bidi="fa-IR"/>
        </w:rPr>
        <w:t xml:space="preserve">، أو مع الثقب کما فی صحیح </w:t>
      </w:r>
      <w:r>
        <w:rPr>
          <w:rStyle w:val="FootnoteAnchor"/>
          <w:rtl w:val="true"/>
        </w:rPr>
        <w:footnoteReference w:id="683"/>
      </w:r>
      <w:r>
        <w:rPr>
          <w:rFonts w:ascii="IRNazanin" w:hAnsi="IRNazanin" w:eastAsia="IRNazanin"/>
          <w:color w:val="111111"/>
          <w:sz w:val="28"/>
          <w:sz w:val="28"/>
          <w:szCs w:val="28"/>
          <w:rtl w:val="true"/>
          <w:lang w:bidi="fa-IR"/>
        </w:rPr>
        <w:t>ثالث ، مقد عندنا إطلاقها بالکثیرة وإخراج المتوسّطة، کما أن إطلاق الصحیحین مقیّد عند جماعة الخصم بغیر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إطلاق المطلق للأغسال الثلاثة فی مطلق المستحاضة مقیّد عند الخصم بإخراج القلیلة ، کذلک عندنا مقیّد بإخراج المتوسطة أیضاً، لما سمعت من النصوص المقیّدة والإجماعات المنقولة والشهرات المحققة المعاضدة بالأصل وغیره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المعتبرة </w:t>
      </w:r>
      <w:r>
        <w:rPr>
          <w:rStyle w:val="FootnoteAnchor"/>
          <w:rtl w:val="true"/>
        </w:rPr>
        <w:footnoteReference w:id="68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غلبة الکثیرة لو سلّمت فهی غلبة وجودیّة لا استعمالیّة حتی توجب انصراف المطلقات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أن دعوی انصراف مطلقات الباب إلی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الاستدلال علی المطلوب بمفهوم مقیّداته ، إذ کما أن مطلقات الباب الواردة مورد الغالب لا إطلاق لها، کذلک مقیّداته الواردة موارد الغالب لا مفهوم لها ، لکن لعلّ فی غیر المفاهیم من المناطیق والإجماعات وغیرها ممّا لا یتأتی فیه ذلک کفایة علی المطلوب و ثبوت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خلو النصوص </w:t>
      </w:r>
      <w:r>
        <w:rPr>
          <w:rStyle w:val="FootnoteAnchor"/>
          <w:rtl w:val="true"/>
        </w:rPr>
        <w:footnoteReference w:id="685"/>
      </w:r>
      <w:r>
        <w:rPr>
          <w:rFonts w:ascii="IRNazanin" w:hAnsi="IRNazanin" w:eastAsia="IRNazanin"/>
          <w:color w:val="111111"/>
          <w:sz w:val="28"/>
          <w:sz w:val="28"/>
          <w:szCs w:val="28"/>
          <w:rtl w:val="true"/>
          <w:lang w:bidi="fa-IR"/>
        </w:rPr>
        <w:t>عنه مع الأصل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خلوّ النصوص بل وخلو بعض الفتاوی عنه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أنّها مسوّقة لبیان ما یجب من جهة السیلان من تثلیث الأغسال، دون ما یجب </w:t>
      </w:r>
    </w:p>
    <w:p>
      <w:pPr>
        <w:pStyle w:val="BookText"/>
        <w:rPr/>
      </w:pPr>
      <w:r>
        <w:rPr>
          <w:rFonts w:ascii="IRNazanin" w:hAnsi="IRNazanin" w:eastAsia="IRNazanin"/>
          <w:color w:val="111111"/>
          <w:sz w:val="28"/>
          <w:sz w:val="28"/>
          <w:szCs w:val="28"/>
          <w:rtl w:val="true"/>
          <w:lang w:bidi="fa-IR"/>
        </w:rPr>
        <w:t>بمجرّد اللطخ والنقب ، کالوضوء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یؤیّده خلوّها من ذکر واجبات أخر أیضاً تجب بمجرّد اللطخ والنقب، من تغییر القطنة والخرقة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لخلوّها فی عدم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معارض بما ذکر دلیلاً للوجوب، سیّما الأولویّة القطعیّة ، وإن نوقش فی کلّ منها بما عرفت ، إلا أنّها مع ذلک حاکمة بالنسبة إلی الخلوّ وأصالة العدم، سیما مع تحقق اشتهاره کما عن الفاضل</w:t>
      </w:r>
      <w:r>
        <w:rPr>
          <w:rStyle w:val="FootnoteAnchor"/>
          <w:rtl w:val="true"/>
        </w:rPr>
        <w:footnoteReference w:id="686"/>
      </w:r>
      <w:r>
        <w:rPr>
          <w:rFonts w:ascii="IRNazanin" w:hAnsi="IRNazanin" w:eastAsia="IRNazanin"/>
          <w:color w:val="111111"/>
          <w:sz w:val="28"/>
          <w:sz w:val="28"/>
          <w:szCs w:val="28"/>
          <w:rtl w:val="true"/>
          <w:lang w:bidi="fa-IR"/>
        </w:rPr>
        <w:t>، وغیره، بل ونقل الإجماع علیه عن الخلاف</w:t>
      </w:r>
      <w:r>
        <w:rPr>
          <w:rStyle w:val="FootnoteAnchor"/>
          <w:rtl w:val="true"/>
        </w:rPr>
        <w:footnoteReference w:id="687"/>
      </w:r>
      <w:r>
        <w:rPr>
          <w:rFonts w:ascii="IRNazanin" w:hAnsi="IRNazanin" w:eastAsia="IRNazanin"/>
          <w:color w:val="111111"/>
          <w:sz w:val="28"/>
          <w:sz w:val="28"/>
          <w:szCs w:val="28"/>
          <w:rtl w:val="true"/>
          <w:lang w:bidi="fa-IR"/>
        </w:rPr>
        <w:t>، ونفی الخلافی عنه عن المنتهی</w:t>
      </w:r>
      <w:r>
        <w:rPr>
          <w:rStyle w:val="FootnoteAnchor"/>
          <w:rtl w:val="true"/>
        </w:rPr>
        <w:footnoteReference w:id="688"/>
      </w:r>
      <w:r>
        <w:rPr>
          <w:rFonts w:ascii="IRNazanin" w:hAnsi="IRNazanin" w:eastAsia="IRNazanin"/>
          <w:color w:val="111111"/>
          <w:sz w:val="28"/>
          <w:sz w:val="28"/>
          <w:szCs w:val="28"/>
          <w:rtl w:val="true"/>
          <w:lang w:bidi="fa-IR"/>
        </w:rPr>
        <w:t>، واستظهاره من علمائنا عن التذکرة</w:t>
      </w:r>
      <w:r>
        <w:rPr>
          <w:rStyle w:val="FootnoteAnchor"/>
          <w:rtl w:val="true"/>
        </w:rPr>
        <w:footnoteReference w:id="689"/>
      </w:r>
      <w:r>
        <w:rPr>
          <w:rFonts w:ascii="IRNazanin" w:hAnsi="IRNazanin" w:eastAsia="IRNazanin"/>
          <w:color w:val="111111"/>
          <w:sz w:val="28"/>
          <w:sz w:val="28"/>
          <w:szCs w:val="28"/>
          <w:rtl w:val="true"/>
          <w:lang w:bidi="fa-IR"/>
        </w:rPr>
        <w:t xml:space="preserve">، وإن أنکره المعتبر </w:t>
      </w:r>
      <w:r>
        <w:rPr>
          <w:rStyle w:val="FootnoteAnchor"/>
          <w:rtl w:val="true"/>
        </w:rPr>
        <w:footnoteReference w:id="690"/>
      </w:r>
      <w:r>
        <w:rPr>
          <w:rFonts w:ascii="IRNazanin" w:hAnsi="IRNazanin" w:eastAsia="IRNazanin"/>
          <w:color w:val="111111"/>
          <w:sz w:val="28"/>
          <w:sz w:val="28"/>
          <w:szCs w:val="28"/>
          <w:rtl w:val="true"/>
          <w:lang w:bidi="fa-IR"/>
        </w:rPr>
        <w:t>، إلا أن إنکاره یعارض بظهور إقراره به فی المتن</w:t>
      </w:r>
      <w:r>
        <w:rPr>
          <w:rStyle w:val="FootnoteAnchor"/>
          <w:rtl w:val="true"/>
        </w:rPr>
        <w:footnoteReference w:id="691"/>
      </w:r>
      <w:r>
        <w:rPr>
          <w:rFonts w:ascii="IRNazanin" w:hAnsi="IRNazanin" w:eastAsia="IRNazanin"/>
          <w:color w:val="111111"/>
          <w:sz w:val="28"/>
          <w:sz w:val="28"/>
          <w:szCs w:val="28"/>
          <w:rtl w:val="true"/>
          <w:lang w:bidi="fa-IR"/>
        </w:rPr>
        <w:t xml:space="preserve">وفی الشرائع </w:t>
      </w:r>
      <w:r>
        <w:rPr>
          <w:rStyle w:val="FootnoteAnchor"/>
          <w:rtl w:val="true"/>
        </w:rPr>
        <w:footnoteReference w:id="692"/>
      </w:r>
      <w:r>
        <w:rPr>
          <w:rFonts w:ascii="IRNazanin" w:hAnsi="IRNazanin" w:eastAsia="IRNazanin"/>
          <w:color w:val="111111"/>
          <w:sz w:val="28"/>
          <w:sz w:val="28"/>
          <w:szCs w:val="28"/>
          <w:rtl w:val="true"/>
          <w:lang w:bidi="fa-IR"/>
        </w:rPr>
        <w:t xml:space="preserve">فإذن القول بوجوب الوضوء لکل صلاة فی الکثیرة کما فی سابقها أقوی وأظهر کما هو أولی وأشهر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غیر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لإطلاق النصوص </w:t>
      </w:r>
      <w:r>
        <w:rPr>
          <w:rStyle w:val="FootnoteAnchor"/>
          <w:rtl w:val="true"/>
        </w:rPr>
        <w:footnoteReference w:id="693"/>
      </w:r>
      <w:r>
        <w:rPr>
          <w:rFonts w:ascii="IRNazanin" w:hAnsi="IRNazanin" w:eastAsia="IRNazanin"/>
          <w:color w:val="111111"/>
          <w:sz w:val="28"/>
          <w:sz w:val="28"/>
          <w:szCs w:val="28"/>
          <w:rtl w:val="true"/>
          <w:lang w:bidi="fa-IR"/>
        </w:rPr>
        <w:t>والفتاوی ، ولأن دم الاستحاضة کغیره من الأحداث التی لا یشترط فی تأثیرها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تدلّ علیه خبر الصحّاف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خبر الصحّاف فتفصیله ما فی الوسائل عن محمد بن یحیی ، عن أحمد بن محمد، عن الحسن بن محبوب ، عن الحسین بن نعیم الصحّاف، عن </w:t>
      </w:r>
    </w:p>
    <w:p>
      <w:pPr>
        <w:pStyle w:val="BookText"/>
        <w:rPr/>
      </w:pPr>
      <w:r>
        <w:rPr>
          <w:rFonts w:ascii="IRNazanin" w:hAnsi="IRNazanin" w:eastAsia="IRNazanin"/>
          <w:color w:val="111111"/>
          <w:sz w:val="28"/>
          <w:sz w:val="28"/>
          <w:szCs w:val="28"/>
          <w:rtl w:val="true"/>
          <w:lang w:bidi="fa-IR"/>
        </w:rPr>
        <w:t xml:space="preserve">الصادق علیه السلام ،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ینقطع الدم عنها إلا بعد ما تمضی الأیّام التی کانت تری الدم فیها بیوم أو یومین، فلتغتسل ثم تحتشی وتصلّی الظهر والعصر، ثم التنظر فإنّ کان الدّم فیما بینها وبین المغرب لا یسیل من خلف الکرسف فلتوضّأاً ولتصل عند وقت کلّ صلاة ما لم تطرح الکرسف عنها، فإنّ طرحت الکرسف عنها فسال الدّم وجب علیها الغسل، وإن طرحت الکرسف ولم یسل فلتوضّاً ولتصّل ولا غسل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الدم إذا أمسکت الکرسف یسیل من خلف الکرسف صبیباًلا یرقأ فإن علیها أن تغتسل فی کلّ یّوم ولیلة ثلاث مرّات، وتحتشی وتصلّی وتغتسل للفجر، وتغتسل للظهر والعصر، وتغتسل للمغرب والعشاء الآخرة</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سند خبر الصحّاف فهو وإن عبّر عنه الشارح وغیره بالخبر المشعر بضعفه إلا أنه موثّق بل صحیح، إذ لا کلام لأحد فی توثیق الحسین بن نعیم الصحاف، ولا فی توثیق الحسن بن محبوب وکونه من أصحاب الإجماع، ولا فی توثیق أحمد بن محمد ، لأنه بقرینة وقوعه فی وسط السند هو أحمد بن محمد بن عیسی الثقة الجلیل شیخ القتیین ورئیسهم، کما أن روایة محمد بن یحیی عنه أیضا قرینة ذلک، وقرینة کون الراوی عنه هو محمد بن یحیی العطّار الثقة لا غیره من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دلالته فلظهور مفهوم الشرط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الدم فیما بینها وبین المغرب لا یسیل فلتتوضّأ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السیلان یوجب حکمه مطلقاً ولو کان قبل الوقت، ولا یعتبر فی تأثیره الحدوث بعد الوقت کما توهّم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قیل باعتبار وقت الصلوات ، ولا شاهد له منه کما توهّم ، ولا من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القائل بذلک فهو ما عن ظاهر الدروس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والاعتبار بکمیّة الدم بأوقات الصلاة، فی ظاهر خبر الصحاف</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الذکری بعد ذکر خبر الصحّاف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مشعر بأن الاعتبار بوقت الصلاة ، فلا أثر لما قبله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عدم شهادة الخبر به بل شهادته بالعکس فقد عرفته، إلا أن یرید استفادته من اشتراط کونه دماً صبیباً لا یرقاً ، أو من نحو ذلک ممّا یشکل إفادته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تستنجی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أعمیّة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وطء المستحاضة حتی تستنجی</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من المدعی، وهو توقّف الوطء علی الغسل والاستحشاء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الاستحشاء لغة هو استدخال شیء من القطن ونحوه فی الفرج لیمنع الدم من القطر، ولا ریب أنه بهذا المعنی مانع من فعل الوطء فکیف یکون غایة لجواز فعله کالوضوء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الاحتشاء المتوقف علیه الوطء هو الاحتشاء الموظف للصلاة، فإنه الذی یصلحّ أن یکون له مدخلیّة فی صحّة الطهارة الصلاتیة علی وجه لا یحلّ الوطء بتلک الطهارة الخالیة عن الاحتشاء، وهو غیر مانع من الوطء ، إذ لو کانت القطنة باقیة ترفع عند الوطء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وضعف خبر عبد الرحمان بأبان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فی الوسائل عن الشیخ، عن موسی بن القاسم ، عن عبّاس بن عامر، عن أبان بن عثمان، عن عبد الرحمان البصری، عن</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الخبر المتقدّم المعبّر عنه الشارح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 أو الصحیح</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رجاله المذکورین کلّهم عدول ثقات موصوفون بصحة الحدیث إلا أبان بن عثمان ، فهو وإن ضعف سند الخبر به من جهة ما نسب إلیه من فساد المذهب إلا أنه لیس فی محلّه ، المعارضة تلک النسبة بما هو أقوی من إنکارها، مضافاً إلی أنه علی کلّ من تقدیری صحّة النسبة وعدمها هو من أصحاب الإجماع، فهو علی تقدیر عدم صحّة النسبة صحیحّ، وعلی تقدیر صحّتها کالصحیح، لا ضعیف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تضعیف الخبر المذکور من حیث الدلالة بأنها من المفهوم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الجواهر </w:t>
      </w:r>
      <w:r>
        <w:rPr>
          <w:rStyle w:val="FootnoteAnchor"/>
          <w:rtl w:val="true"/>
        </w:rPr>
        <w:footnoteReference w:id="700"/>
      </w:r>
      <w:r>
        <w:rPr>
          <w:rFonts w:ascii="IRNazanin" w:hAnsi="IRNazanin" w:eastAsia="IRNazanin"/>
          <w:color w:val="111111"/>
          <w:sz w:val="28"/>
          <w:sz w:val="28"/>
          <w:szCs w:val="28"/>
          <w:rtl w:val="true"/>
          <w:lang w:bidi="fa-IR"/>
        </w:rPr>
        <w:t>أوجه من تضعیف سنده ، وإن کان مرفوعاً أیضاً بأنه من المفهوم المتبادر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منافاة بینها وبین ما دلّ علی الإطلاق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عدم المنافاة الموجب للحمل مع کونها من باب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توقّف وطء المستحاضة مطلقا أو مقیّداً بالکثیرة علی الطهارة ، وشرطیة الطهارة فی استباحة وطیها مطلقاً أو مقیّداً بالکثیراً، حکم وضعی کالحکم التکلیفی غیر الالزامی فی عدم استشعار اتّحاد ما یترتّب منه علیّ کلّ من المطلق والمقیّد ، حتی یکون ذلک قرینة حمل أحدهما علی الآخر، کما فی الأحکام التکلیفیّة الإلزامیّة المترتّبة علی المطلق والمقیّد ، فإن إحراز اتّحاد المطلوب منهما فیه قرینة حمل أحدهما علی الآخر، بخلاف المرتّب علیهما من الأحکام الوضعیّة والتکلیفیّة غیر الإلزامیة </w:t>
      </w:r>
      <w:r>
        <w:rPr>
          <w:rFonts w:eastAsia="IRNazanin" w:cs="IRNazanin"/>
          <w:color w:val="111111"/>
          <w:sz w:val="28"/>
          <w:szCs w:val="28"/>
          <w:rtl w:val="true"/>
          <w:lang w:bidi="fa-IR"/>
        </w:rPr>
        <w:t xml:space="preserve">. </w:t>
      </w:r>
      <w:bookmarkStart w:id="66" w:name="pg1905_24611"/>
    </w:p>
    <w:p>
      <w:pPr>
        <w:pStyle w:val="Heading3"/>
        <w:numPr>
          <w:ilvl w:val="2"/>
          <w:numId w:val="1"/>
        </w:numPr>
        <w:rPr/>
      </w:pPr>
      <w:bookmarkStart w:id="67" w:name="__RefHeading___Toc3268775_3650668749"/>
      <w:bookmarkStart w:id="68" w:name="_Toc25"/>
      <w:bookmarkEnd w:id="66"/>
      <w:bookmarkEnd w:id="67"/>
      <w:r>
        <w:rPr>
          <w:rtl w:val="true"/>
        </w:rPr>
        <w:t xml:space="preserve">الرابع </w:t>
      </w:r>
      <w:r>
        <w:rPr>
          <w:rtl w:val="true"/>
        </w:rPr>
        <w:t xml:space="preserve">: </w:t>
      </w:r>
      <w:r>
        <w:rPr>
          <w:rtl w:val="true"/>
        </w:rPr>
        <w:t>غسل النفاس</w:t>
      </w:r>
      <w:bookmarkEnd w:id="6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النفس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نفس سائلة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تنفّس الرحم و تفرجها من المضایقة ، کما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منفّس الهمّ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النفس بمعنی الوند، لمقارنتها خروج النفّس الآدمی، وإن أنکر المطرّزی کونه مأخوذاً من الأخیرین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والنفاس أیضاً بمعنی الحیض ، والفعل حینئیر بفتح النون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والولد منفوس، والمرأة نفساء بضم ّالنون وفتح الفاء، وجمعها نفاس، کعشراء وعشار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مثل المضغة و العلقة والنطفة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المضغة فهی قطعة لحم مبدأ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العلقة فهی قطعة دم 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النطفة فهی مجرّد دم لا یثبت منها مبدأ الخلق بوجه معتبر ، بل لولا قرینة المقام لکانت عبارة عن مجرّد المنّی الکائن فی الرحم، إلا أنه قبل انعقاده وتکونه دمأ لما لم یحبس دم الحیض الخارج مع الولادة، ولم یقبل النزاع فی إلحاقه بدم الولادة، تعین کون المراد بها حالة انعقاده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أیضاً أن النزاع إنما هو فی إلحاق الدم الخارج مع هذه الثلاثة بالنفاس لافی إلحاق أنفسها به ، للاجماع علی أنّه لا نفاس لنفس الولادة ولو ولدت تاما ، فضلاً عن سقط مثل المضغة والعلقة والنطفة ما لم یخرج معها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 کلّ منهما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 کلّ منهما أنه نفاس ، لصدق دم الولادة علی کلّ منهما، وینبع کلّ منهما حکمه، وهو انتفاء الحدّ لأقلّه وثبوت الحد لأکثره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 امتناع تعاقب النفاسین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دفع لإشکال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کالجواهر </w:t>
      </w:r>
      <w:r>
        <w:rPr>
          <w:rStyle w:val="FootnoteAnchor"/>
          <w:rtl w:val="true"/>
        </w:rPr>
        <w:footnoteReference w:id="702"/>
      </w:r>
      <w:r>
        <w:rPr>
          <w:rFonts w:ascii="IRNazanin" w:hAnsi="IRNazanin" w:eastAsia="IRNazanin"/>
          <w:color w:val="111111"/>
          <w:sz w:val="28"/>
          <w:sz w:val="28"/>
          <w:szCs w:val="28"/>
          <w:rtl w:val="true"/>
          <w:lang w:bidi="fa-IR"/>
        </w:rPr>
        <w:t xml:space="preserve">فی إمکان تعاقب النفاسین من غیر تخلل أقلّ الطهر بینهما لولا الإجماع، مع عموم نصوص </w:t>
      </w:r>
      <w:r>
        <w:rPr>
          <w:rStyle w:val="FootnoteAnchor"/>
          <w:rtl w:val="true"/>
        </w:rPr>
        <w:footnoteReference w:id="703"/>
      </w:r>
      <w:r>
        <w:rPr>
          <w:rFonts w:ascii="IRNazanin" w:hAnsi="IRNazanin" w:eastAsia="IRNazanin"/>
          <w:color w:val="111111"/>
          <w:sz w:val="28"/>
          <w:sz w:val="28"/>
          <w:szCs w:val="28"/>
          <w:rtl w:val="true"/>
          <w:lang w:bidi="fa-IR"/>
        </w:rPr>
        <w:t xml:space="preserve">عدم قصور أقلّ الطهّر من العشرة، ومساواة النفاس للحیض عندهم فی الأحکام، فکما لا یتواصل حیضان من غیر تخلّل أقلّ الطهّر بینهما ، فکذلک النفاسان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دفعه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أخبار أقلّ الطهر فبدعوی عدم انصرافها إلی ما بین النفاسین، بل منع حیضة الدم المتقدّم علی الولادة بأقلّ من عشرة والمتأخّر عن عشرة النفاس بأقلّ منها لعلّه للنصوص </w:t>
      </w:r>
      <w:r>
        <w:rPr>
          <w:rStyle w:val="FootnoteAnchor"/>
          <w:rtl w:val="true"/>
        </w:rPr>
        <w:footnoteReference w:id="704"/>
      </w:r>
      <w:r>
        <w:rPr>
          <w:rFonts w:ascii="Amiri" w:hAnsi="Amiri" w:eastAsia="Amiri" w:cs="Amiri"/>
          <w:color w:val="111111"/>
          <w:sz w:val="28"/>
          <w:sz w:val="28"/>
          <w:szCs w:val="28"/>
          <w:rtl w:val="true"/>
          <w:lang w:bidi="ar-SA"/>
        </w:rPr>
        <w:t>الخاصّة مع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قضیّة مساواة النفاس للحیض فبأن عمدة سندها فتاوی الأصحاب ، وهم مصرّحون بعدم المساواة فی ذلک، فیکشف عن تخصیص المساواة هنا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 کما لا خلاف فی أنها إذا رأت الدم من وضع الأول، واستمرّ إلی ما بعد وضع الثانی، کان نفاساً من أول الرؤیة إلی تمام العشرة من 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لم تضع الثانی إلا بعد انقضاء عشرة من أول دم الأول، فلا إشکال کما لا خلاف فی أنهما نفاسان مستقلاّن، وإن لم یتخلّل بین عشرة الأول و مبدأ الثانی نقاء بأقلّ الطهّر أو أقلّ أو لم یکن نقاءً أصلاً، لأنه مستثنی من عموم أقلّ الطهّر عشرة إن سلّم شمول أخباره له، وتقلّ الشارح وغیره الإجماع علیه عن جماعة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المختار من ثبوت النفاس مع الولادة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غیر المختار من عدم ثبوت النفاس إلا بعد الولادة فلا یکون المتقطّع کالتوأمین فی تعدّد النفاس بتعدّده ، فلا یحکم بنفاسیّة الدم الخارج مع القطع إلا بعد خروج مجموعها ، إلا إذا کانت لولدین فبعد خروج مجموع ما هو لولد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یتعدّد النفاس إلا بتعدّد مجموع ما یخرج من أعضاء ولد واحد، لا بتعدد القطع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والدروس</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المبنیّ علی المختار من ثبوت النفاس مع الولادة دون ما بعدها خاصّة إنّما هو الحکم بنفاسیة الدم الخارج مع القطع من مبدأ خروجه، لا من بعد خروج قطعات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بتعدّد النفاس بتعدد ما یخرج من قطع الولد کالتوأمین وعدم تعدّده بتعدّده فلیس بمبنیّ علی المختار المذکور، بل هو مبنیّ علی صدق دم الولادة علی کل من الدمین مستقلاً کما یصدق علی کلّ من التوأمین مستقلا، أو عدم صدقه کذلک إلا علی مجموع ما یخرج من أعضاء ولد واحد، فلا یتعدّد نفاس الخارج الواحد بتعدّد خروجه ، کما لعلّه الأظهر والأقوی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 عن أکثر الحیض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هذا الإطلاق التفصیل الآتی</w:t>
      </w:r>
      <w:r>
        <w:rPr>
          <w:rStyle w:val="FootnoteAnchor"/>
          <w:rtl w:val="true"/>
        </w:rPr>
        <w:footnoteReference w:id="706"/>
      </w:r>
      <w:r>
        <w:rPr>
          <w:rFonts w:ascii="IRNazanin" w:hAnsi="IRNazanin" w:eastAsia="IRNazanin"/>
          <w:color w:val="111111"/>
          <w:sz w:val="28"/>
          <w:sz w:val="28"/>
          <w:szCs w:val="28"/>
          <w:rtl w:val="true"/>
          <w:lang w:bidi="fa-IR"/>
        </w:rPr>
        <w:t xml:space="preserve">بین ذات العادة فأکثره عشرة، وغیرها فثمانیة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ویؤمی إلیه استدلال مَن صرّح بها بالأخبار </w:t>
      </w:r>
      <w:r>
        <w:rPr>
          <w:rStyle w:val="FootnoteAnchor"/>
          <w:rtl w:val="true"/>
        </w:rPr>
        <w:footnoteReference w:id="707"/>
      </w:r>
      <w:r>
        <w:rPr>
          <w:rFonts w:ascii="Amiri" w:hAnsi="Amiri" w:eastAsia="Amiri" w:cs="Amiri"/>
          <w:color w:val="111111"/>
          <w:sz w:val="28"/>
          <w:sz w:val="28"/>
          <w:szCs w:val="28"/>
          <w:rtl w:val="true"/>
          <w:lang w:bidi="ar-SA"/>
        </w:rPr>
        <w:t>المزبورة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ویؤمی إلی أن المراد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النفاس لا یزید عن </w:t>
      </w:r>
    </w:p>
    <w:p>
      <w:pPr>
        <w:pStyle w:val="BookText"/>
        <w:rPr/>
      </w:pP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ازدیاده عن العشرة لا نفی أقلیّته عنه ، استدلال مَن صرّح بنفی ازدیاده عن العشرة الأخبار المزبورة المصرّحة بالرجوع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یرشد إلیه أیضاً استدلالهم علیه بأنه حیض احتبس لتغذیة الولد، وتشبیهه بالحیض فی النصّ والفتوی، وأن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النفاس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الحیض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المراد من أکثر الحیض عشرة نفی ازدیاده عن العشرة دون تنفی أقلیّته عنها، کذلک المراد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النفاس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ازدیاده عنها لا نفی أقلیّته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کثیر ممّن صرح بأن أکثر النفاس عشرة صرّح بأن ذات العادة تأخذ فی النفاس بعدد عادتها فی الحیض ، إلا الماتن فی المعتبر ، فإنه مع اختیاره کون أقصی النفاس عشرة قال فی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 النفساء مع تجاوز الدم إلی</w:t>
      </w:r>
    </w:p>
    <w:p>
      <w:pPr>
        <w:pStyle w:val="BookText"/>
        <w:rPr/>
      </w:pPr>
      <w:r>
        <w:rPr>
          <w:rFonts w:ascii="IRNazanin" w:hAnsi="IRNazanin" w:eastAsia="IRNazanin"/>
          <w:color w:val="111111"/>
          <w:sz w:val="28"/>
          <w:sz w:val="28"/>
          <w:szCs w:val="28"/>
          <w:rtl w:val="true"/>
          <w:lang w:bidi="fa-IR"/>
        </w:rPr>
        <w:t>عادتها فی النفاس، ولا إلی عادتها فی الحیض، ولا إلی عادة نسائها، بل تجعل العشرة نفاسأ، ومازاد استحاضة</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بما روی من أن النفساء تقعد أیام قرئها ثم تستظهر بعشرة</w:t>
      </w:r>
      <w:r>
        <w:rPr>
          <w:rStyle w:val="FootnoteAnchor"/>
          <w:rtl w:val="true"/>
        </w:rPr>
        <w:footnoteReference w:id="709"/>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أخبار </w:t>
      </w:r>
      <w:r>
        <w:rPr>
          <w:rStyle w:val="FootnoteAnchor"/>
          <w:rtl w:val="true"/>
        </w:rPr>
        <w:footnoteReference w:id="710"/>
      </w:r>
      <w:r>
        <w:rPr>
          <w:rFonts w:ascii="IRNazanin" w:hAnsi="IRNazanin" w:eastAsia="IRNazanin"/>
          <w:color w:val="111111"/>
          <w:sz w:val="28"/>
          <w:sz w:val="28"/>
          <w:szCs w:val="28"/>
          <w:rtl w:val="true"/>
          <w:lang w:bidi="fa-IR"/>
        </w:rPr>
        <w:t>الرجوع إلی العادة ، ثمّ قیدها بصورة انقطاع النفاس علی العادة ، دون استمراره إلی ما بعد العشرة الذی هو مفروض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 ذلک فتوی من المعتبر، لا فهمه من فتوی الأصحاب بأنّ أکثر الناس عشرة، ولهذا خصه المنتهی</w:t>
      </w:r>
      <w:r>
        <w:rPr>
          <w:rStyle w:val="FootnoteAnchor"/>
          <w:rtl w:val="true"/>
        </w:rPr>
        <w:footnoteReference w:id="711"/>
      </w:r>
      <w:r>
        <w:rPr>
          <w:rFonts w:ascii="Amiri" w:hAnsi="Amiri" w:eastAsia="Amiri" w:cs="Amiri"/>
          <w:color w:val="111111"/>
          <w:sz w:val="28"/>
          <w:sz w:val="28"/>
          <w:szCs w:val="28"/>
          <w:rtl w:val="true"/>
          <w:lang w:bidi="ar-SA"/>
        </w:rPr>
        <w:t xml:space="preserve">بهذه المقالة وغلطه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 نسبة المصنف مفاد العبارة إلی الأشهر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مرادهم بالعبارة نفی ازدیاد أکثر الناس عن العشرة لا تفی أقلیته عنه ، کذلک المراد بنسبة مفادها إلی الأشهر کون المشهور أن أکثر </w:t>
      </w:r>
    </w:p>
    <w:p>
      <w:pPr>
        <w:pStyle w:val="BookText"/>
        <w:rPr/>
      </w:pPr>
      <w:r>
        <w:rPr>
          <w:rFonts w:ascii="IRNazanin" w:hAnsi="IRNazanin" w:eastAsia="IRNazanin"/>
          <w:color w:val="111111"/>
          <w:sz w:val="28"/>
          <w:sz w:val="28"/>
          <w:szCs w:val="28"/>
          <w:rtl w:val="true"/>
          <w:lang w:bidi="fa-IR"/>
        </w:rPr>
        <w:t>النفاس کأکثر الحیض لا یزید عن العشرة، لا أنه عشرة مهما أمکن بحیث لا ینقص عنها مطلقا حتی فی ذات العادة ، کما عن الشهید فی الذکری</w:t>
      </w:r>
      <w:r>
        <w:rPr>
          <w:rStyle w:val="FootnoteAnchor"/>
          <w:rtl w:val="true"/>
        </w:rPr>
        <w:footnoteReference w:id="712"/>
      </w:r>
      <w:r>
        <w:rPr>
          <w:rFonts w:ascii="IRNazanin" w:hAnsi="IRNazanin" w:eastAsia="IRNazanin"/>
          <w:color w:val="111111"/>
          <w:sz w:val="28"/>
          <w:sz w:val="28"/>
          <w:szCs w:val="28"/>
          <w:rtl w:val="true"/>
          <w:lang w:bidi="fa-IR"/>
        </w:rPr>
        <w:t>توهّمه من المشهور، حیث أورد علیهم بأنه منافی للأخبار الصحیحة المشهورة الناصة بالرجوع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سوی ما ذکرنا من الأخبار ممّا یؤمی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التنصیص بالرجوع إلی العشرة عین ولا أثر سوی الرضویّ</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نصّ البرهان </w:t>
      </w:r>
      <w:r>
        <w:rPr>
          <w:rStyle w:val="FootnoteAnchor"/>
          <w:rtl w:val="true"/>
        </w:rPr>
        <w:footnoteReference w:id="714"/>
      </w:r>
      <w:r>
        <w:rPr>
          <w:rFonts w:ascii="IRNazanin" w:hAnsi="IRNazanin" w:eastAsia="IRNazanin"/>
          <w:color w:val="111111"/>
          <w:sz w:val="28"/>
          <w:sz w:val="28"/>
          <w:szCs w:val="28"/>
          <w:rtl w:val="true"/>
          <w:lang w:bidi="fa-IR"/>
        </w:rPr>
        <w:t>أیضاًکالریاض بعدم ورود التنصیص بالرجوع إلی العشرة، إلا أنیّ قد ظفرت بعد استقراء نصوص الباب بنصّ واحد فی المعتبر</w:t>
      </w:r>
      <w:r>
        <w:rPr>
          <w:rStyle w:val="FootnoteAnchor"/>
          <w:rtl w:val="true"/>
        </w:rPr>
        <w:footnoteReference w:id="715"/>
      </w:r>
      <w:r>
        <w:rPr>
          <w:rFonts w:ascii="IRNazanin" w:hAnsi="IRNazanin" w:eastAsia="IRNazanin"/>
          <w:color w:val="111111"/>
          <w:sz w:val="28"/>
          <w:sz w:val="28"/>
          <w:szCs w:val="28"/>
          <w:rtl w:val="true"/>
          <w:lang w:bidi="fa-IR"/>
        </w:rPr>
        <w:t>، مستدلاً علی ما تفرّد به من الرجوع إلی العشرة مطلقا، وفی شرح المسألة الآتیة معبّراً عنه بالموثّق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الوسائل عن المفید ، عن أحمد بن محمد ، عن أبیه، عن سعد بن عبدالله ، عن أحمد بن محمد بن عیسی ، عن محمد بن عمرو، عن یونس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عن امرأة ولدت فرأت الدم أکثر مما کانت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فلتقعد</w:t>
      </w:r>
    </w:p>
    <w:p>
      <w:pPr>
        <w:pStyle w:val="BookText"/>
        <w:rPr/>
      </w:pPr>
      <w:r>
        <w:rPr>
          <w:rFonts w:ascii="IRNazanin" w:hAnsi="IRNazanin" w:eastAsia="IRNazanin"/>
          <w:color w:val="111111"/>
          <w:sz w:val="28"/>
          <w:sz w:val="28"/>
          <w:szCs w:val="28"/>
          <w:rtl w:val="true"/>
          <w:lang w:bidi="fa-IR"/>
        </w:rPr>
        <w:t>أیام قرئها التی کانت تجلس ثم تستظهر بعشرة أیام</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دلالته فمبنیّ علی ما نقله الوسائل وغیره عن الشیخ</w:t>
      </w:r>
      <w:r>
        <w:rPr>
          <w:rStyle w:val="FootnoteAnchor"/>
          <w:rtl w:val="true"/>
        </w:rPr>
        <w:footnoteReference w:id="717"/>
      </w:r>
      <w:r>
        <w:rPr>
          <w:rFonts w:ascii="IRNazanin" w:hAnsi="IRNazanin" w:eastAsia="IRNazanin"/>
          <w:color w:val="111111"/>
          <w:sz w:val="28"/>
          <w:sz w:val="28"/>
          <w:szCs w:val="28"/>
          <w:rtl w:val="true"/>
          <w:lang w:bidi="fa-IR"/>
        </w:rPr>
        <w:t xml:space="preserve">من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تستظهر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عشرة 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سنده فموثّق، بل صحیح، لأن أحمد بن محمد بقرینة وقوعه فی أول السند، وروایة المفید عنه ، وروایته عن أبیه عن سعد، هو أحمد بن محمد بن الحسن بن الولید شیخ المفید ، و من مشائخ الإجازة الذی لم یتأمّل أحد فی توثیقه وصحّة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أبوه فجلیل 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سعد بن عبدالله فهو الأشعریّ القمیّ الثقة الجلیل، شیخ هذه الطائفة وفقیهها ووجهها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عمرو فبقرینة روایة أحمد بن محمد بن عیسی عنه هو مصحف ابن أبی عمیر ، الثقة الجلیل الذی هو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روایته عن یونس یحتمله ، ویحتمل کونه محمد بن عمر بن سعید الزیّات الثقة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یونس فالظاهر أنه یونس بن یعقوب الموثّق بل الثقة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إرادة المصنف إیاه منه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 لعلّه من جهة خفاء سند الرضویّ</w:t>
      </w:r>
      <w:r>
        <w:rPr>
          <w:rStyle w:val="FootnoteAnchor"/>
          <w:rtl w:val="true"/>
        </w:rPr>
        <w:footnoteReference w:id="718"/>
      </w:r>
      <w:r>
        <w:rPr>
          <w:rFonts w:ascii="IRNazanin" w:hAnsi="IRNazanin" w:eastAsia="IRNazanin"/>
          <w:color w:val="111111"/>
          <w:sz w:val="28"/>
          <w:sz w:val="28"/>
          <w:szCs w:val="28"/>
          <w:rtl w:val="true"/>
          <w:lang w:bidi="fa-IR"/>
        </w:rPr>
        <w:t>فیما قبل المجلسی من زمان المصنّف، فضلاً عن اشتهاره فی زمانه علی وجه یصحّ اتّصافه بأشهر الروایات، إلا أن یراد بأشهرها أشهرها فتوی لا روایة ، علی الاستخدام المخالف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الإجماع المرکّب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قال برجوع ذات العادة إلیها لا إلی الثمانیة عشر، قال برجوع المبتدأة والمضطربة إلی العشرة لا إلی الثمانیة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کلّ من قال بأن أقصی العادة فی ذات العادة عشرة، قال بأن أقصی حد النفاس فی غیر ذات العادة أیضاً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إمکان المصیر إلی القول بالعشرة مطلقا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ذات العادة التی تنقص عادتها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تعلیل لما سبق من عدم منافاة وجود الأقلّ لنفی الأکثر، لا تعلیل لما یلیه، لعدم ملائمته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القائل به ، لعدم الدلیل علیه سوی الرضوی</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تقدّم وجود القائل به وهو المصنف فی المعتبر</w:t>
      </w:r>
      <w:r>
        <w:rPr>
          <w:rStyle w:val="FootnoteAnchor"/>
          <w:rtl w:val="true"/>
        </w:rPr>
        <w:footnoteReference w:id="720"/>
      </w:r>
      <w:r>
        <w:rPr>
          <w:rFonts w:ascii="IRNazanin" w:hAnsi="IRNazanin" w:eastAsia="IRNazanin"/>
          <w:color w:val="111111"/>
          <w:sz w:val="28"/>
          <w:sz w:val="28"/>
          <w:szCs w:val="28"/>
          <w:rtl w:val="true"/>
          <w:lang w:bidi="fa-IR"/>
        </w:rPr>
        <w:t xml:space="preserve">ووجود الدلیل علیه أیضاً سوی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بل الصحیح</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الفتوی به خلاف المشهور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فالأقوال فی النفاس المتجاوز عن العشرة کالأخبار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برجوعها إلی العشرة مطلقاً، ولو کان لنفاسها </w:t>
      </w:r>
      <w:r>
        <w:rPr>
          <w:rStyle w:val="FootnoteAnchor"/>
          <w:rtl w:val="true"/>
        </w:rPr>
        <w:footnoteReference w:id="722"/>
      </w:r>
      <w:r>
        <w:rPr>
          <w:rFonts w:ascii="IRNazanin" w:hAnsi="IRNazanin" w:eastAsia="IRNazanin"/>
          <w:color w:val="111111"/>
          <w:sz w:val="28"/>
          <w:sz w:val="28"/>
          <w:szCs w:val="28"/>
          <w:rtl w:val="true"/>
          <w:lang w:bidi="fa-IR"/>
        </w:rPr>
        <w:t>عادة ناقصة عن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المصنّف فی المعتبر </w:t>
      </w:r>
      <w:r>
        <w:rPr>
          <w:rStyle w:val="FootnoteAnchor"/>
          <w:rtl w:val="true"/>
        </w:rPr>
        <w:footnoteReference w:id="723"/>
      </w:r>
      <w:r>
        <w:rPr>
          <w:rFonts w:ascii="Amiri" w:hAnsi="Amiri" w:eastAsia="Amiri" w:cs="Amiri"/>
          <w:color w:val="111111"/>
          <w:sz w:val="28"/>
          <w:sz w:val="28"/>
          <w:szCs w:val="28"/>
          <w:rtl w:val="true"/>
          <w:lang w:bidi="ar-SA"/>
        </w:rPr>
        <w:t>والدلیل علیه إطلاق الرضوی والموثّق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أشذّ الأقوالّ فتوئً ، وأقلّها نصّاً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برجوع ذات العادة إلی عادتها، وغیرها إلی العشرة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أشهر الأقوال فتوئً ونصّاً</w:t>
      </w:r>
      <w:r>
        <w:rPr>
          <w:rStyle w:val="FootnoteAnchor"/>
          <w:rtl w:val="true"/>
        </w:rPr>
        <w:footnoteReference w:id="724"/>
      </w:r>
      <w:r>
        <w:rPr>
          <w:rFonts w:ascii="IRNazanin" w:hAnsi="IRNazanin" w:eastAsia="IRNazanin"/>
          <w:color w:val="111111"/>
          <w:sz w:val="28"/>
          <w:sz w:val="28"/>
          <w:szCs w:val="28"/>
          <w:rtl w:val="true"/>
          <w:lang w:bidi="fa-IR"/>
        </w:rPr>
        <w:t xml:space="preserve">عند الخاصّة، وأبعدها عن التقنیة وموافقة العامة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برجوع ذات العادة إلی عادتها، وغیرها إلی عادة نسائها، ثم تستظهر بثلثی ذلک ، ثم تعمل عمل المستحاضة، وهو الظاهر من عنوان </w:t>
      </w:r>
    </w:p>
    <w:p>
      <w:pPr>
        <w:pStyle w:val="BookText"/>
        <w:rPr/>
      </w:pPr>
      <w:r>
        <w:rPr>
          <w:rFonts w:ascii="IRNazanin" w:hAnsi="IRNazanin" w:eastAsia="IRNazanin"/>
          <w:color w:val="111111"/>
          <w:sz w:val="28"/>
          <w:sz w:val="28"/>
          <w:szCs w:val="28"/>
          <w:rtl w:val="true"/>
          <w:lang w:bidi="fa-IR"/>
        </w:rPr>
        <w:t>الوسائل</w:t>
      </w:r>
      <w:r>
        <w:rPr>
          <w:rStyle w:val="FootnoteAnchor"/>
          <w:rtl w:val="true"/>
        </w:rPr>
        <w:footnoteReference w:id="726"/>
      </w:r>
      <w:r>
        <w:rPr>
          <w:rFonts w:ascii="Amiri" w:hAnsi="Amiri" w:eastAsia="Amiri" w:cs="Amiri"/>
          <w:color w:val="111111"/>
          <w:sz w:val="28"/>
          <w:sz w:val="28"/>
          <w:szCs w:val="28"/>
          <w:rtl w:val="true"/>
          <w:lang w:bidi="ar-SA"/>
        </w:rPr>
        <w:t xml:space="preserve">، ومن نقله نصّاً </w:t>
      </w:r>
      <w:r>
        <w:rPr>
          <w:rStyle w:val="FootnoteAnchor"/>
          <w:rtl w:val="true"/>
        </w:rPr>
        <w:footnoteReference w:id="727"/>
      </w:r>
      <w:r>
        <w:rPr>
          <w:rFonts w:ascii="Amiri" w:hAnsi="Amiri" w:eastAsia="Amiri" w:cs="Amiri"/>
          <w:color w:val="111111"/>
          <w:sz w:val="28"/>
          <w:sz w:val="28"/>
          <w:szCs w:val="28"/>
          <w:rtl w:val="true"/>
          <w:lang w:bidi="ar-SA"/>
        </w:rPr>
        <w:t xml:space="preserve">صریحاً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أکثر النفاس أحد وعشرون، کما عن العمانی</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بالثمانیة عشر، کما فی الفقیه </w:t>
      </w:r>
      <w:r>
        <w:rPr>
          <w:rStyle w:val="FootnoteAnchor"/>
          <w:rtl w:val="true"/>
        </w:rPr>
        <w:footnoteReference w:id="729"/>
      </w:r>
      <w:r>
        <w:rPr>
          <w:rFonts w:ascii="IRNazanin" w:hAnsi="IRNazanin" w:eastAsia="IRNazanin"/>
          <w:color w:val="111111"/>
          <w:sz w:val="28"/>
          <w:sz w:val="28"/>
          <w:szCs w:val="28"/>
          <w:rtl w:val="true"/>
          <w:lang w:bidi="fa-IR"/>
        </w:rPr>
        <w:t>، وعن المفید</w:t>
      </w:r>
      <w:r>
        <w:rPr>
          <w:rStyle w:val="FootnoteAnchor"/>
          <w:rtl w:val="true"/>
        </w:rPr>
        <w:footnoteReference w:id="730"/>
      </w:r>
      <w:r>
        <w:rPr>
          <w:rFonts w:ascii="IRNazanin" w:hAnsi="IRNazanin" w:eastAsia="IRNazanin"/>
          <w:color w:val="111111"/>
          <w:sz w:val="28"/>
          <w:sz w:val="28"/>
          <w:szCs w:val="28"/>
          <w:rtl w:val="true"/>
          <w:lang w:bidi="fa-IR"/>
        </w:rPr>
        <w:t>والمرتضی</w:t>
      </w:r>
      <w:r>
        <w:rPr>
          <w:rStyle w:val="FootnoteAnchor"/>
          <w:rtl w:val="true"/>
        </w:rPr>
        <w:footnoteReference w:id="731"/>
      </w:r>
      <w:r>
        <w:rPr>
          <w:rFonts w:ascii="Amiri" w:hAnsi="Amiri" w:eastAsia="Amiri" w:cs="Amiri"/>
          <w:color w:val="111111"/>
          <w:sz w:val="28"/>
          <w:sz w:val="28"/>
          <w:szCs w:val="28"/>
          <w:rtl w:val="true"/>
          <w:lang w:bidi="ar-SA"/>
        </w:rPr>
        <w:t>وسلّار</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أخبار</w:t>
      </w:r>
      <w:r>
        <w:rPr>
          <w:rStyle w:val="FootnoteAnchor"/>
          <w:rtl w:val="true"/>
        </w:rPr>
        <w:footnoteReference w:id="733"/>
      </w:r>
      <w:r>
        <w:rPr>
          <w:rFonts w:ascii="IRNazanin" w:hAnsi="IRNazanin" w:eastAsia="IRNazanin"/>
          <w:color w:val="111111"/>
          <w:sz w:val="28"/>
          <w:sz w:val="28"/>
          <w:szCs w:val="28"/>
          <w:rtl w:val="true"/>
          <w:lang w:bidi="fa-IR"/>
        </w:rPr>
        <w:t>کثیرة، إلا أنها موافقة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ذات العادة فترجع إلی عادتها، وغیرها إلی الثمانیة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المحکیّ عن المختلف</w:t>
      </w:r>
      <w:r>
        <w:rPr>
          <w:rStyle w:val="FootnoteAnchor"/>
          <w:rtl w:val="true"/>
        </w:rPr>
        <w:footnoteReference w:id="734"/>
      </w:r>
      <w:r>
        <w:rPr>
          <w:rFonts w:ascii="IRNazanin" w:hAnsi="IRNazanin" w:eastAsia="IRNazanin"/>
          <w:color w:val="111111"/>
          <w:sz w:val="28"/>
          <w:sz w:val="28"/>
          <w:szCs w:val="28"/>
          <w:rtl w:val="true"/>
          <w:lang w:bidi="fa-IR"/>
        </w:rPr>
        <w:t xml:space="preserve">والتنقیح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بالثلاثین أو الأربعین، کما عن التذکرة </w:t>
      </w:r>
      <w:r>
        <w:rPr>
          <w:rStyle w:val="FootnoteAnchor"/>
          <w:rtl w:val="true"/>
        </w:rPr>
        <w:footnoteReference w:id="736"/>
      </w:r>
      <w:r>
        <w:rPr>
          <w:rFonts w:ascii="IRNazanin" w:hAnsi="IRNazanin" w:eastAsia="IRNazanin"/>
          <w:color w:val="111111"/>
          <w:sz w:val="28"/>
          <w:sz w:val="28"/>
          <w:szCs w:val="28"/>
          <w:rtl w:val="true"/>
          <w:lang w:bidi="fa-IR"/>
        </w:rPr>
        <w:t xml:space="preserve">عن أبی حنیفة </w:t>
      </w:r>
      <w:r>
        <w:rPr>
          <w:rStyle w:val="FootnoteAnchor"/>
          <w:rtl w:val="true"/>
        </w:rPr>
        <w:footnoteReference w:id="737"/>
      </w:r>
      <w:r>
        <w:rPr>
          <w:rFonts w:ascii="IRNazanin" w:hAnsi="IRNazanin" w:eastAsia="IRNazanin"/>
          <w:color w:val="111111"/>
          <w:sz w:val="28"/>
          <w:sz w:val="28"/>
          <w:szCs w:val="28"/>
          <w:rtl w:val="true"/>
          <w:lang w:bidi="fa-IR"/>
        </w:rPr>
        <w:t>والثوری</w:t>
      </w:r>
      <w:r>
        <w:rPr>
          <w:rStyle w:val="FootnoteAnchor"/>
          <w:rtl w:val="true"/>
        </w:rPr>
        <w:footnoteReference w:id="738"/>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عبید</w:t>
      </w:r>
      <w:r>
        <w:rPr>
          <w:rStyle w:val="FootnoteAnchor"/>
          <w:rtl w:val="true"/>
        </w:rPr>
        <w:footnoteReference w:id="739"/>
      </w: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الکافی فی فقه أحمد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الخمسین، کما عن البصری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الستّین ، کما عن الشافعی </w:t>
      </w:r>
      <w:r>
        <w:rPr>
          <w:rStyle w:val="FootnoteAnchor"/>
          <w:rtl w:val="true"/>
        </w:rPr>
        <w:footnoteReference w:id="742"/>
      </w:r>
      <w:r>
        <w:rPr>
          <w:rFonts w:ascii="IRNazanin" w:hAnsi="IRNazanin" w:eastAsia="IRNazanin"/>
          <w:color w:val="111111"/>
          <w:sz w:val="28"/>
          <w:sz w:val="28"/>
          <w:szCs w:val="28"/>
          <w:rtl w:val="true"/>
          <w:lang w:bidi="fa-IR"/>
        </w:rPr>
        <w:t>وعطاء</w:t>
      </w:r>
      <w:r>
        <w:rPr>
          <w:rStyle w:val="FootnoteAnchor"/>
          <w:rtl w:val="true"/>
        </w:rPr>
        <w:footnoteReference w:id="743"/>
      </w:r>
      <w:r>
        <w:rPr>
          <w:rFonts w:ascii="IRNazanin" w:hAnsi="IRNazanin" w:eastAsia="IRNazanin"/>
          <w:color w:val="111111"/>
          <w:sz w:val="28"/>
          <w:sz w:val="28"/>
          <w:szCs w:val="28"/>
          <w:rtl w:val="true"/>
          <w:lang w:bidi="fa-IR"/>
        </w:rPr>
        <w:t>والشعبی</w:t>
      </w:r>
      <w:r>
        <w:rPr>
          <w:rStyle w:val="FootnoteAnchor"/>
          <w:rtl w:val="true"/>
        </w:rPr>
        <w:footnoteReference w:id="744"/>
      </w:r>
      <w:r>
        <w:rPr>
          <w:rFonts w:ascii="IRNazanin" w:hAnsi="IRNazanin" w:eastAsia="IRNazanin"/>
          <w:color w:val="111111"/>
          <w:sz w:val="28"/>
          <w:sz w:val="28"/>
          <w:szCs w:val="28"/>
          <w:rtl w:val="true"/>
          <w:lang w:bidi="fa-IR"/>
        </w:rPr>
        <w:t>أو السبعین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عن بعض العامّة </w:t>
      </w:r>
      <w:r>
        <w:rPr>
          <w:rStyle w:val="FootnoteAnchor"/>
          <w:rtl w:val="true"/>
        </w:rPr>
        <w:footnoteReference w:id="745"/>
      </w:r>
      <w:r>
        <w:rPr>
          <w:rFonts w:ascii="IRNazanin" w:hAnsi="IRNazanin" w:eastAsia="IRNazanin"/>
          <w:color w:val="111111"/>
          <w:sz w:val="28"/>
          <w:sz w:val="28"/>
          <w:szCs w:val="28"/>
          <w:rtl w:val="true"/>
          <w:lang w:bidi="fa-IR"/>
        </w:rPr>
        <w:t xml:space="preserve">أیضاً، ناقلین علی کلّ منها روایة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عدا الخامس من الستّة الأُول خاصّةُ بالخاصّة، والخامس مشترک ، والبقیّة خاصةُ بالعامّة ، وإن نقل </w:t>
      </w:r>
      <w:r>
        <w:rPr>
          <w:rStyle w:val="FootnoteAnchor"/>
          <w:rtl w:val="true"/>
        </w:rPr>
        <w:footnoteReference w:id="746"/>
      </w:r>
      <w:r>
        <w:rPr>
          <w:rFonts w:ascii="IRNazanin" w:hAnsi="IRNazanin" w:eastAsia="IRNazanin"/>
          <w:color w:val="111111"/>
          <w:sz w:val="28"/>
          <w:sz w:val="28"/>
          <w:szCs w:val="28"/>
          <w:rtl w:val="true"/>
          <w:lang w:bidi="fa-IR"/>
        </w:rPr>
        <w:t>علی بعضها بعض نصوص الخاصّة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کالمرویّ فی العلل</w:t>
      </w:r>
      <w:r>
        <w:rPr>
          <w:rStyle w:val="FootnoteAnchor"/>
          <w:rtl w:val="true"/>
        </w:rPr>
        <w:footnoteReference w:id="747"/>
      </w:r>
      <w:r>
        <w:rPr>
          <w:rFonts w:ascii="IRNazanin" w:hAnsi="IRNazanin" w:eastAsia="IRNazanin"/>
          <w:color w:val="111111"/>
          <w:sz w:val="28"/>
          <w:sz w:val="28"/>
          <w:szCs w:val="28"/>
          <w:rtl w:val="true"/>
          <w:lang w:bidi="fa-IR"/>
        </w:rPr>
        <w:t xml:space="preserve">والعیون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المرویّ فی العلل فتفصیله ما فی الوسائل عن العلل، عن علیّ بن حاتم، عن القاسم بن محمد، عن حمدان بن الحسین ، عن الحسین بن الولید ، عن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أعطیت النفساء ثمانیة عشر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أقلّ أیّام الدم ثلاثة أیّام، وأکثرها عشرة، وأوسطها خمسة أیّام، فجعل الله عزّوجلّ للنفساء أقلّ الحیض وأوسطه وأکثره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ضعف سنده فمضافاً إلی ما فیه من القطع والوقف توسط قاسم بن محمد المشترک بین الجوهریّ الضعیف وغیره ، وتوسّط حمدان بن الحسین والحسین بن الولید وحنان بن سدیر من المجاهیل ، ولهذا لم یتعرض لحالهم أبو علی ولا الشیخ الحرّ فی رجالهما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المرویّ فی العیون فتفصیله ما فی الوسائل عن العیون بإسناده عن الفضل بن شاذان ، عن الرضاعلیه السلام فی کتابه إلی المأمون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النفساء لا تقعد عن الصلاة أکثر من ثمانیة عشر یوماً الخبر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ضعف سنده فلعلّ من جهة أنها مکاتبة إلی المأمون، وإلا فلم نظفر بضعف فی أستاد الصدوق إلی الفضل بن شاذان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ضعف دلالته فلعدم التصریح فیه بحکم الثمانیة عشر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 الخبر المرویّ فی المنتقی</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الشیخ حسن بن الشیخ زین الدین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قضیة أسماء نقلاً عن کتاب الأغسال لأحمد بن محمد بن عیّاش فی الموثّق کالصحیح، مصرّحاً فی ذیله بما مرّ فی الأخبار المتقدّمة المعلّلة بتأخّر سؤالها، وأنها لو سألته قبل ذلک لأمرها بالاغتسال قبله ، مع تصریح صاحب المنتقی بان المعتمد من هذه الأخبار ما دلّ علی الرجوع إلی العادة، لبعده عن التأویل، واشتراک سائر الأخبار للحمل </w:t>
      </w:r>
      <w:r>
        <w:rPr>
          <w:rStyle w:val="FootnoteAnchor"/>
          <w:rtl w:val="true"/>
        </w:rPr>
        <w:footnoteReference w:id="752"/>
      </w:r>
      <w:r>
        <w:rPr>
          <w:rFonts w:ascii="IRNazanin" w:hAnsi="IRNazanin" w:eastAsia="IRNazanin"/>
          <w:color w:val="111111"/>
          <w:sz w:val="28"/>
          <w:sz w:val="28"/>
          <w:szCs w:val="28"/>
          <w:rtl w:val="true"/>
          <w:lang w:bidi="fa-IR"/>
        </w:rPr>
        <w:t>علی التقیة ، بل احتمل حمل قضّیة أسماء علی محمل آخر، وهو کون الحکم فیه منسوّخاً لتقدّمه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مثل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المناقشة فی دلالة الصحیح</w:t>
      </w:r>
      <w:r>
        <w:rPr>
          <w:rStyle w:val="FootnoteAnchor"/>
          <w:rtl w:val="true"/>
        </w:rPr>
        <w:footnoteReference w:id="753"/>
      </w:r>
      <w:r>
        <w:rPr>
          <w:rFonts w:ascii="IRNazanin" w:hAnsi="IRNazanin" w:eastAsia="IRNazanin"/>
          <w:color w:val="111111"/>
          <w:sz w:val="28"/>
          <w:sz w:val="28"/>
          <w:szCs w:val="28"/>
          <w:rtl w:val="true"/>
          <w:lang w:bidi="fa-IR"/>
        </w:rPr>
        <w:t>المذکور، من جهة تشبیه الحائض فیه بالنفساء، لا تشبیه النفساء بالحائض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أن عموم المثلیة وحذف المتعلّق إنّما یصیر إلیهما مع عدم أظهریّة أحد الخواصّ، وإلا انصرف عموم المثلیّة إلیه، ولعلّ أصل القعود عن العبادة من أظهر خواصّ الحائض ، فتنصرف إلیه المثلیّة ، ولا یشمل مقدار القعود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إلا أن یمنع الأظهریّة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تّحاد حکمهما فی الأغلب إلا ما شذّ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کتفارقهما فی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علی البلوغ، فإنه مختصّ بالحیض ، بخلاف النفاس ، لحصول الدلالة قبله بالحمل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انقضاء العدّة بالحیض، وسبق انقضائه بنفس الولادة فی النفاس ، إلا فی حمل الزنا والشبهة وما لو طلّقت بعد الوضع وقبل رؤیة الدم، فلا عبرة </w:t>
      </w:r>
    </w:p>
    <w:p>
      <w:pPr>
        <w:pStyle w:val="BookText"/>
        <w:rPr/>
      </w:pPr>
      <w:r>
        <w:rPr>
          <w:rFonts w:ascii="IRNazanin" w:hAnsi="IRNazanin" w:eastAsia="IRNazanin"/>
          <w:color w:val="111111"/>
          <w:sz w:val="28"/>
          <w:sz w:val="28"/>
          <w:szCs w:val="28"/>
          <w:rtl w:val="true"/>
          <w:lang w:bidi="fa-IR"/>
        </w:rPr>
        <w:t>بالولادة فی هذه المواضع الثلاثة، بل یعدّ النفاس فیها قرءًا تنقضی به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رجوع الحائض إلی عادتها أو عادة نسائها أو التمیّز أو الروایات علی الترتیب ، بخلاف النفساء، فلا ترجع إلی التمیّز ولا الروایات باتفّاق النصوص والفتاوی، ولا إلی عادة أهلها إلا علی روایة شاذّة تقدّم</w:t>
      </w:r>
      <w:r>
        <w:rPr>
          <w:rStyle w:val="FootnoteAnchor"/>
          <w:rtl w:val="true"/>
        </w:rPr>
        <w:footnoteReference w:id="754"/>
      </w:r>
      <w:r>
        <w:rPr>
          <w:rFonts w:ascii="IRNazanin" w:hAnsi="IRNazanin" w:eastAsia="IRNazanin"/>
          <w:color w:val="111111"/>
          <w:sz w:val="28"/>
          <w:sz w:val="28"/>
          <w:szCs w:val="28"/>
          <w:rtl w:val="true"/>
          <w:lang w:bidi="fa-IR"/>
        </w:rPr>
        <w:t>إلیها الإشارة فی ضمن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اشتراط انفصال أقلّ الطهّر بین الحیضتین بإجماع النصّ </w:t>
      </w:r>
      <w:r>
        <w:rPr>
          <w:rStyle w:val="FootnoteAnchor"/>
          <w:rtl w:val="true"/>
        </w:rPr>
        <w:footnoteReference w:id="755"/>
      </w:r>
      <w:r>
        <w:rPr>
          <w:rFonts w:ascii="IRNazanin" w:hAnsi="IRNazanin" w:eastAsia="IRNazanin"/>
          <w:color w:val="111111"/>
          <w:sz w:val="28"/>
          <w:sz w:val="28"/>
          <w:szCs w:val="28"/>
          <w:rtl w:val="true"/>
          <w:lang w:bidi="fa-IR"/>
        </w:rPr>
        <w:t xml:space="preserve">والفتوی ، بخلاف النفاسین کالتوأمین المتعاقبین، فلا یشترط بینهما انفصال أقلّ الطهر باتّفاق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الحیض والنفاس المتعاقبین لا یشترط انفصال أقلّ الطهر بینهما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ثبوت العادة الشرعیّة بالتکرّر مرتین سواءً، علی وجه ترجع إلیها فیما بعد، بخلاف تکرر النفاس ، فلا تثبت به عادة معتبرة ، بل ترجع فیه إلی عادة الحیض </w:t>
      </w:r>
      <w:r>
        <w:rPr>
          <w:rFonts w:eastAsia="IRNazanin" w:cs="IRNazanin"/>
          <w:color w:val="111111"/>
          <w:sz w:val="28"/>
          <w:szCs w:val="28"/>
          <w:rtl w:val="true"/>
          <w:lang w:bidi="fa-IR"/>
        </w:rPr>
        <w:t xml:space="preserve">. </w:t>
      </w:r>
      <w:bookmarkStart w:id="69" w:name="pg1905_24633"/>
    </w:p>
    <w:p>
      <w:pPr>
        <w:pStyle w:val="Heading3"/>
        <w:numPr>
          <w:ilvl w:val="2"/>
          <w:numId w:val="1"/>
        </w:numPr>
        <w:rPr/>
      </w:pPr>
      <w:bookmarkStart w:id="70" w:name="__RefHeading___Toc3268777_3650668749"/>
      <w:bookmarkStart w:id="71" w:name="_Toc26"/>
      <w:bookmarkEnd w:id="69"/>
      <w:bookmarkEnd w:id="70"/>
      <w:r>
        <w:rPr>
          <w:rtl w:val="true"/>
        </w:rPr>
        <w:t xml:space="preserve">الخامس </w:t>
      </w:r>
      <w:r>
        <w:rPr>
          <w:rtl w:val="true"/>
        </w:rPr>
        <w:t xml:space="preserve">: </w:t>
      </w:r>
      <w:r>
        <w:rPr>
          <w:rtl w:val="true"/>
        </w:rPr>
        <w:t>غسل الأموات</w:t>
      </w:r>
      <w:bookmarkEnd w:id="7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الفرض فیه کفایةً استقبال المیّت بالقبلة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وجوبه الکفائی دون العینی علی الولیّ الإجماع و عموم النصوص الآمرة به ، من قوله علیة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لأحدکم میّت فسجوه إلی القبلة</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خلافاً لما عن الحدائق</w:t>
      </w:r>
      <w:r>
        <w:rPr>
          <w:rStyle w:val="FootnoteAnchor"/>
          <w:rtl w:val="true"/>
        </w:rPr>
        <w:footnoteReference w:id="757"/>
      </w:r>
      <w:r>
        <w:rPr>
          <w:rFonts w:ascii="IRNazanin" w:hAnsi="IRNazanin" w:eastAsia="IRNazanin"/>
          <w:color w:val="111111"/>
          <w:sz w:val="28"/>
          <w:sz w:val="28"/>
          <w:szCs w:val="28"/>
          <w:rtl w:val="true"/>
          <w:lang w:bidi="fa-IR"/>
        </w:rPr>
        <w:t>من استظهاره الوجوب العینیّ علی الولیّ من أخبار التجهیز، إلا فیما لو أخلّ الولیّ به ولم یکن هناک حاکم شرع یجبره علی القیام بذلک ، أو لم یکن ثمّة ولیّ، انتقل الحکم إلی سائر المکلّفین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الذی ألجأه إلی ذلک الاشکال فی الجمع بین وجوبه الکفائی عسلی الجمیع مع عدم الصحّة بغیر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 لکن لا بما عن اللوامع من أن إذن الولیّ واجب تعبدّی لا شرطی، فلو باشر غیره بغیر إذنه صح ّوفعل حراماً ، لأنه خلاف ظاهرهم فی باب الصلاة ، بل عن الجواهر </w:t>
      </w:r>
      <w:r>
        <w:rPr>
          <w:rStyle w:val="FootnoteAnchor"/>
          <w:rtl w:val="true"/>
        </w:rPr>
        <w:footnoteReference w:id="7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 به قائلاً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بما عن بعض حواشی الإرشاد</w:t>
      </w:r>
      <w:r>
        <w:rPr>
          <w:rStyle w:val="FootnoteAnchor"/>
          <w:rtl w:val="true"/>
        </w:rPr>
        <w:footnoteReference w:id="759"/>
      </w:r>
      <w:r>
        <w:rPr>
          <w:rFonts w:ascii="IRNazanin" w:hAnsi="IRNazanin" w:eastAsia="IRNazanin"/>
          <w:color w:val="111111"/>
          <w:sz w:val="28"/>
          <w:sz w:val="28"/>
          <w:szCs w:val="28"/>
          <w:rtl w:val="true"/>
          <w:lang w:bidi="fa-IR"/>
        </w:rPr>
        <w:t xml:space="preserve">من أن الوجوب علی غیر الولیّ إنما هو مع عدم ظنّ قیام الولیّ وتوجّهه إلی الفعل، لأنه خلاف قاعدة الواجب الکفائی من عدم السقوط إلاّ بتمام الفعل من أحد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کاحتمال کون الوجوب علی غیر الولی مشروطاً بحصول الإذن من الولیّ أو امتناعه منه ومن الفعل، لأنه خلاف ظاهر جملة و تصریح آخرین بأنه واجب علی الجمیع بنحو الکفایة لا مشروط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إنما یرتفع الإشکال بالتزام أن یکون إذن الولیّ أو امتناعه منه ومن الفعل شرطاً فی مباشرة غیر الواجب، لا فی وجوبه علیه الذی هو أعمّ من مباشرته له، أو شرطاً فی صحّته من الغیر لا فی 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کالحسن</w:t>
      </w:r>
      <w:r>
        <w:rPr>
          <w:rStyle w:val="FootnoteAnchor"/>
          <w:rtl w:val="true"/>
        </w:rPr>
        <w:footnoteReference w:id="760"/>
      </w:r>
      <w:r>
        <w:rPr>
          <w:rFonts w:ascii="IRNazanin" w:hAnsi="IRNazanin" w:eastAsia="IRNazanin"/>
          <w:color w:val="111111"/>
          <w:sz w:val="28"/>
          <w:sz w:val="28"/>
          <w:szCs w:val="28"/>
          <w:rtl w:val="true"/>
          <w:lang w:bidi="fa-IR"/>
        </w:rPr>
        <w:t>، بل الصحیح علی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سنده محمد بن یعقوب ، عن علیّ بن إبراهیم ، عن أبیه ، عن ابن أبی عمیر ، عن هشام بن سالم، عن سلیمان بن خالد، عن الصادق علیة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واتّصافه بالحسن نظراً إلی أن إبراهیم القمیّ إمامیّ ممدوح بأنه أوّل من نشر حدیث الکوفیّین بقم ، من غیر قدح فیه، ولا تنصیص علی 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وبالصحیح نظراً إلی أن مدحه بما ذکر مشعر بقبول روایاته وصحّتها ، کما صرّح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اتّصافه بالحسن تبعاً لما عن المدارک</w:t>
      </w:r>
      <w:r>
        <w:rPr>
          <w:rStyle w:val="FootnoteAnchor"/>
          <w:rtl w:val="true"/>
        </w:rPr>
        <w:footnoteReference w:id="761"/>
      </w:r>
      <w:r>
        <w:rPr>
          <w:rFonts w:ascii="IRNazanin" w:hAnsi="IRNazanin" w:eastAsia="IRNazanin"/>
          <w:color w:val="111111"/>
          <w:sz w:val="28"/>
          <w:sz w:val="28"/>
          <w:szCs w:val="28"/>
          <w:rtl w:val="true"/>
          <w:lang w:bidi="fa-IR"/>
        </w:rPr>
        <w:t>فی بحث توجیه المیّت من عدم ثبوت توثیق سلیمان بن خالد، بناءً علی ما هو طریقته فی رجال الحدیث وحجّیة الأخبار من الاقتصار علی الصحیح الأعلائی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وبالصحیح نظراً إلی تصریح </w:t>
      </w:r>
      <w:r>
        <w:rPr>
          <w:rStyle w:val="FootnoteAnchor"/>
          <w:rtl w:val="true"/>
        </w:rPr>
        <w:footnoteReference w:id="762"/>
      </w:r>
      <w:r>
        <w:rPr>
          <w:rFonts w:ascii="IRNazanin" w:hAnsi="IRNazanin" w:eastAsia="IRNazanin"/>
          <w:color w:val="111111"/>
          <w:sz w:val="28"/>
          <w:sz w:val="28"/>
          <w:szCs w:val="28"/>
          <w:rtl w:val="true"/>
          <w:lang w:bidi="fa-IR"/>
        </w:rPr>
        <w:t>جملة بتوثیقه وجلالته علی وجه یکفی فی صحّته علی طریقة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الجواب عن المناقشة فی سند الروایة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المناقشة فی دلالته بأن المأمور به التسجیة ، وهی تغطیة المیّت غیر الواجبة قطعاً ، فالتوجیه الذی قیّد به کذلک، مع أن التغطیة إنما تکون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فمدفوعة بما عن المصابیح</w:t>
      </w:r>
      <w:r>
        <w:rPr>
          <w:rStyle w:val="FootnoteAnchor"/>
          <w:rtl w:val="true"/>
        </w:rPr>
        <w:footnoteReference w:id="764"/>
      </w:r>
      <w:r>
        <w:rPr>
          <w:rFonts w:ascii="IRNazanin" w:hAnsi="IRNazanin" w:eastAsia="IRNazanin"/>
          <w:color w:val="111111"/>
          <w:sz w:val="28"/>
          <w:sz w:val="28"/>
          <w:szCs w:val="28"/>
          <w:rtl w:val="true"/>
          <w:lang w:bidi="fa-IR"/>
        </w:rPr>
        <w:t>من أن التسجیة تجاه القبلة فی هذه الروایة کنایة عن التوجیه إلیها، ولیست بمعنی التغطیة ، لأن استحباب التغطیة مطلق ولیس بمقیّد بالاستقبال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إذا غسل یحفر له تجاه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أن الحکم السابق معه هو التوجیه إلی القبلة دون التغطیة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کالمرسل المصرح بزمان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المرویّ عن العلل مسنداً، وفی الفقیه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 الله علیه وآله وسلم علی رجل من ولد عبدالمطلب وهو فی السَّوق وقد وجه لغیر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أقبلت علیه الملائکة، وأقبل الله عزّوجلّ علیه بوجهه، فلم یزل کذلک حتی یقبض</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تعلیله بإقبال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بعد الاستناد إلی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 لا إلی مجرّد حکایة الحال المجمل کونه للوجوب أو الندب، ولا سیما بعد عموم قاعدة الاشتراک فی التکلیف، وعدم القول بالفرق بین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ردّ لما عن المعتبر</w:t>
      </w:r>
      <w:r>
        <w:rPr>
          <w:rStyle w:val="FootnoteAnchor"/>
          <w:rtl w:val="true"/>
        </w:rPr>
        <w:footnoteReference w:id="766"/>
      </w:r>
      <w:r>
        <w:rPr>
          <w:rFonts w:ascii="IRNazanin" w:hAnsi="IRNazanin" w:eastAsia="IRNazanin"/>
          <w:color w:val="111111"/>
          <w:sz w:val="28"/>
          <w:sz w:val="28"/>
          <w:szCs w:val="28"/>
          <w:rtl w:val="true"/>
          <w:lang w:bidi="fa-IR"/>
        </w:rPr>
        <w:t>من أن المرسل أمر فی واقعة خاصّة لا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فیه إشعار بالاستحباب</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أیضاً ردّ لما أورد علیه من إشعار تعلیله بالاستحباب والفضیلة لا الوجوب والحتم المدّعی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عدم إشعار تعلیل الاستقبال بإقبال الله تعالی والملائکة بالاستحباب إلا علی تقدیر کون الاستقبال المأمور به توصّلیاً لا تعبّدیاً ، وهو خلاف أصالة التعبّد فی الأوامر، وعلی تقدیر أن یکون المقصود بالإقبال المعلّل </w:t>
      </w:r>
    </w:p>
    <w:p>
      <w:pPr>
        <w:pStyle w:val="BookText"/>
        <w:rPr/>
      </w:pPr>
      <w:r>
        <w:rPr>
          <w:rFonts w:ascii="IRNazanin" w:hAnsi="IRNazanin" w:eastAsia="IRNazanin"/>
          <w:color w:val="111111"/>
          <w:sz w:val="28"/>
          <w:sz w:val="28"/>
          <w:szCs w:val="28"/>
          <w:rtl w:val="true"/>
          <w:lang w:bidi="fa-IR"/>
        </w:rPr>
        <w:t xml:space="preserve">به الاستقبال مجرّد إکرام المیّت ، دون ما هو لازمه من إدبار الشیاطین الموکّلین بارتداده و تشکیکه فی الدین وإلقائه فی خطرات المهالک، التی یکون التحفّظ عنها واستنقاذ المحتضر منها من أعظم الواجبات جدّاً و أهمّ الفرائض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 مع اعتضاده بالشهرة وعمل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وبمخالفة العامّة </w:t>
      </w:r>
      <w:r>
        <w:rPr>
          <w:rStyle w:val="FootnoteAnchor"/>
          <w:rtl w:val="true"/>
        </w:rPr>
        <w:footnoteReference w:id="768"/>
      </w:r>
      <w:r>
        <w:rPr>
          <w:rFonts w:ascii="IRNazanin" w:hAnsi="IRNazanin" w:eastAsia="IRNazanin"/>
          <w:color w:val="111111"/>
          <w:sz w:val="28"/>
          <w:sz w:val="28"/>
          <w:szCs w:val="28"/>
          <w:rtl w:val="true"/>
          <w:lang w:bidi="fa-IR"/>
        </w:rPr>
        <w:t xml:space="preserve">التی هی من أقوی المرجّحات فی مثل المقام ، کما عن المعتبر </w:t>
      </w:r>
      <w:r>
        <w:rPr>
          <w:rStyle w:val="FootnoteAnchor"/>
          <w:rtl w:val="true"/>
        </w:rPr>
        <w:footnoteReference w:id="769"/>
      </w:r>
      <w:r>
        <w:rPr>
          <w:rFonts w:ascii="IRNazanin" w:hAnsi="IRNazanin" w:eastAsia="IRNazanin"/>
          <w:color w:val="111111"/>
          <w:sz w:val="28"/>
          <w:sz w:val="28"/>
          <w:szCs w:val="28"/>
          <w:rtl w:val="true"/>
          <w:lang w:bidi="fa-IR"/>
        </w:rPr>
        <w:t xml:space="preserve">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الاستحباب عن الخلاف</w:t>
      </w:r>
      <w:r>
        <w:rPr>
          <w:rStyle w:val="FootnoteAnchor"/>
          <w:rtl w:val="true"/>
        </w:rPr>
        <w:footnoteReference w:id="770"/>
      </w:r>
      <w:r>
        <w:rPr>
          <w:rFonts w:ascii="IRNazanin" w:hAnsi="IRNazanin" w:eastAsia="IRNazanin"/>
          <w:color w:val="111111"/>
          <w:sz w:val="28"/>
          <w:sz w:val="28"/>
          <w:szCs w:val="28"/>
          <w:rtl w:val="true"/>
          <w:lang w:bidi="fa-IR"/>
        </w:rPr>
        <w:t xml:space="preserve">بأنه مذهب الجمهور خلا سعید بن المسیّب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فالقول بالاستحباب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لیس له سوی الأصل المنقطع، وبعض الإشعارات الممنوعة، والمعارضة بما هو أقوی وأصرح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المصعوق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المغشیّ علیه من هول أو فزع، لصوت یسمعه أو خطب یفاجئه، من الصاعقة وهو الموت أو النار النازل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اختنق بالدخان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الصدغ بالضمّ، وهو ما بین لحظ العین إلی أصل الأذن، والجمع أصداغ ، کقفل وأقفال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الاستبراء بنبض عروق</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 الموت والحیاة بحرکة العروق النوابض فیما بین الأنثیین ، أو عرق بین الحالب والذکر، والحالب هو مجری فی الأربیّة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أصل 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 البول من الکلّیة إلی المثانة ، وهما حالبان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والحالبان </w:t>
      </w:r>
    </w:p>
    <w:p>
      <w:pPr>
        <w:pStyle w:val="BookText"/>
        <w:rPr/>
      </w:pPr>
      <w:r>
        <w:rPr>
          <w:rFonts w:ascii="IRNazanin" w:hAnsi="IRNazanin" w:eastAsia="IRNazanin"/>
          <w:color w:val="111111"/>
          <w:sz w:val="28"/>
          <w:sz w:val="28"/>
          <w:szCs w:val="28"/>
          <w:rtl w:val="true"/>
          <w:lang w:bidi="fa-IR"/>
        </w:rPr>
        <w:t>أیضاً عرقان مکتنفان للسّرة، علی ما فی جواهر اللغة</w:t>
      </w:r>
      <w:r>
        <w:rPr>
          <w:rStyle w:val="FootnoteAnchor"/>
          <w:rtl w:val="true"/>
        </w:rPr>
        <w:footnoteReference w:id="772"/>
      </w:r>
      <w:r>
        <w:rPr>
          <w:rFonts w:ascii="IRNazanin" w:hAnsi="IRNazanin" w:eastAsia="IRNazanin"/>
          <w:color w:val="111111"/>
          <w:sz w:val="28"/>
          <w:sz w:val="28"/>
          <w:szCs w:val="28"/>
          <w:rtl w:val="true"/>
          <w:lang w:bidi="fa-IR"/>
        </w:rPr>
        <w:t xml:space="preserve">، إلا أن المراد به الأول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الحالب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فهذه العلائم لو سلّمت إفادتها العلم فإنما هو لمثل معتبرها جالینوس من أهل الخبرة، وأما لغیره من السواد الغالب فلا یظنّ حصول الظ منها فضلاً عن العلم، المعتبر فی الخروج عن استصحاب حیاة المشتبه وقاعدة الیقین والاحتیاط ، اللازم فی حفظ النفوس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للشهرة القرینة علی الفرد الغیر المتبادر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شهرة کون التغییرات المذکورة علامة الموت إما شهرة فتوائیة بین العلماء کما عن الجواهر</w:t>
      </w:r>
      <w:r>
        <w:rPr>
          <w:rStyle w:val="FootnoteAnchor"/>
          <w:rtl w:val="true"/>
        </w:rPr>
        <w:footnoteReference w:id="773"/>
      </w:r>
      <w:r>
        <w:rPr>
          <w:rFonts w:ascii="IRNazanin" w:hAnsi="IRNazanin" w:eastAsia="IRNazanin"/>
          <w:color w:val="111111"/>
          <w:sz w:val="28"/>
          <w:sz w:val="28"/>
          <w:szCs w:val="28"/>
          <w:rtl w:val="true"/>
          <w:lang w:bidi="fa-IR"/>
        </w:rPr>
        <w:t xml:space="preserve">، أو شهرة عادیّة بین أهل العرف والعادة کما فی البرهان </w:t>
      </w:r>
      <w:r>
        <w:rPr>
          <w:rStyle w:val="FootnoteAnchor"/>
          <w:rtl w:val="true"/>
        </w:rPr>
        <w:footnoteReference w:id="774"/>
      </w:r>
      <w:r>
        <w:rPr>
          <w:rFonts w:ascii="IRNazanin" w:hAnsi="IRNazanin" w:eastAsia="IRNazanin"/>
          <w:color w:val="111111"/>
          <w:sz w:val="28"/>
          <w:sz w:val="28"/>
          <w:szCs w:val="28"/>
          <w:rtl w:val="true"/>
          <w:lang w:bidi="fa-IR"/>
        </w:rPr>
        <w:t>، وعلی کلّ من التقدیرین فلا قرینّیة فیها علی الفرد غیر المتبادر ، بعد فرض کونها شهرة خارجیّة غیر مستنداً إلی فهم ذلک من لفظ التغییر ، الکاشف ظنّاً عن اقترانه بقرینیّة مخفّیة علی غیر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قرینیّة فهم المشهور وجابریّة قصور الدلالّة به أیضاً خلافة، مضافاً إلی معارضة قرینیّة تلک الشهرة بوقوع التصریح فی أخبار</w:t>
      </w:r>
      <w:r>
        <w:rPr>
          <w:rStyle w:val="FootnoteAnchor"/>
          <w:rtl w:val="true"/>
        </w:rPr>
        <w:footnoteReference w:id="775"/>
      </w:r>
      <w:r>
        <w:rPr>
          <w:rFonts w:ascii="IRNazanin" w:hAnsi="IRNazanin" w:eastAsia="IRNazanin"/>
          <w:color w:val="111111"/>
          <w:sz w:val="28"/>
          <w:sz w:val="28"/>
          <w:szCs w:val="28"/>
          <w:rtl w:val="true"/>
          <w:lang w:bidi="fa-IR"/>
        </w:rPr>
        <w:t>التغییر باعتبار العلم بالموت ونفی اعتبار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یحتبس الغریق حتی یتغیّر ویعلم أنه قد مات</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یترک ثلاثة أیام من قبل أن یدفن، وکذلک صاحب الصاعقة، فإنه ربما </w:t>
      </w:r>
    </w:p>
    <w:p>
      <w:pPr>
        <w:pStyle w:val="BookText"/>
        <w:rPr/>
      </w:pPr>
      <w:r>
        <w:rPr>
          <w:rFonts w:ascii="IRNazanin" w:hAnsi="IRNazanin" w:eastAsia="IRNazanin"/>
          <w:color w:val="111111"/>
          <w:sz w:val="28"/>
          <w:sz w:val="28"/>
          <w:szCs w:val="28"/>
          <w:rtl w:val="true"/>
          <w:lang w:bidi="fa-IR"/>
        </w:rPr>
        <w:t>ظنّوا أنه قد مات ولم یمت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إلا أن 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الضعیف بعلیّ بن أبی حمزة البطائنی الواقفی لا الثمالیّ الثقة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الناس بمکّة سنة من السنین صواعق کثیرة مات من ذلک خلق کثیر، فدخلت علی أبی إبراهیم فقال مبتدئاً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للغریق والمصعوق أن یتربّص بهما ثلاثاً لا یدفن إلا أن تجیء منه ریح تدلّ علی موته،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کأنّک تخبرنی أنه قد دفن ناس کثیر أحیاء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 ناس کثیر أحیاءً ما ماتوا إلا فی قبورهم،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مع اعتضاد ذلک باستصحاب بقاء حیاة مظنون الموت ، وبقاعدة الیقین والاحتیاط اللازم فی المحافظة علی النفس المحترمة بالأدلّة الأربعة، وبالإجماعات المستفیضة علی اعتبار العلم بالموت مع الاشتباه ، کما عن المعتبر</w:t>
      </w:r>
      <w:r>
        <w:rPr>
          <w:rStyle w:val="FootnoteAnchor"/>
          <w:rtl w:val="true"/>
        </w:rPr>
        <w:footnoteReference w:id="779"/>
      </w:r>
      <w:r>
        <w:rPr>
          <w:rFonts w:ascii="IRNazanin" w:hAnsi="IRNazanin" w:eastAsia="IRNazanin"/>
          <w:color w:val="111111"/>
          <w:sz w:val="28"/>
          <w:sz w:val="28"/>
          <w:szCs w:val="28"/>
          <w:rtl w:val="true"/>
          <w:lang w:bidi="fa-IR"/>
        </w:rPr>
        <w:t>والمنتهی</w:t>
      </w:r>
      <w:r>
        <w:rPr>
          <w:rStyle w:val="FootnoteAnchor"/>
          <w:rtl w:val="true"/>
        </w:rPr>
        <w:footnoteReference w:id="780"/>
      </w:r>
      <w:r>
        <w:rPr>
          <w:rFonts w:ascii="IRNazanin" w:hAnsi="IRNazanin" w:eastAsia="IRNazanin"/>
          <w:color w:val="111111"/>
          <w:sz w:val="28"/>
          <w:sz w:val="28"/>
          <w:szCs w:val="28"/>
          <w:rtl w:val="true"/>
          <w:lang w:bidi="fa-IR"/>
        </w:rPr>
        <w:t>والتذکرة</w:t>
      </w:r>
      <w:r>
        <w:rPr>
          <w:rStyle w:val="FootnoteAnchor"/>
          <w:rtl w:val="true"/>
        </w:rPr>
        <w:footnoteReference w:id="781"/>
      </w:r>
      <w:r>
        <w:rPr>
          <w:rFonts w:ascii="IRNazanin" w:hAnsi="IRNazanin" w:eastAsia="IRNazanin"/>
          <w:color w:val="111111"/>
          <w:sz w:val="28"/>
          <w:sz w:val="28"/>
          <w:szCs w:val="28"/>
          <w:rtl w:val="true"/>
          <w:lang w:bidi="fa-IR"/>
        </w:rPr>
        <w:t>ونهایة الأحکام</w:t>
      </w:r>
      <w:r>
        <w:rPr>
          <w:rStyle w:val="FootnoteAnchor"/>
          <w:rtl w:val="true"/>
        </w:rPr>
        <w:footnoteReference w:id="782"/>
      </w:r>
      <w:r>
        <w:rPr>
          <w:rFonts w:ascii="IRNazanin" w:hAnsi="IRNazanin" w:eastAsia="IRNazanin"/>
          <w:color w:val="111111"/>
          <w:sz w:val="28"/>
          <w:sz w:val="28"/>
          <w:szCs w:val="28"/>
          <w:rtl w:val="true"/>
          <w:lang w:bidi="fa-IR"/>
        </w:rPr>
        <w:t>وکشف الالتباس</w:t>
      </w:r>
      <w:r>
        <w:rPr>
          <w:rStyle w:val="FootnoteAnchor"/>
          <w:rtl w:val="true"/>
        </w:rPr>
        <w:footnoteReference w:id="783"/>
      </w:r>
      <w:r>
        <w:rPr>
          <w:rFonts w:ascii="IRNazanin" w:hAnsi="IRNazanin" w:eastAsia="IRNazanin"/>
          <w:color w:val="111111"/>
          <w:sz w:val="28"/>
          <w:sz w:val="28"/>
          <w:szCs w:val="28"/>
          <w:rtl w:val="true"/>
          <w:lang w:bidi="fa-IR"/>
        </w:rPr>
        <w:t>وغیرها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 فیجب انتظار موت المشتبه إلی أن یعلم موته من تلک الأمارات أو غیرها، أو بمضیّ ثلاثة أیّام من طروّ الاشتباه ، أو تغییر رائحته ، للنصّ </w:t>
      </w:r>
      <w:r>
        <w:rPr>
          <w:rStyle w:val="FootnoteAnchor"/>
          <w:rtl w:val="true"/>
        </w:rPr>
        <w:footnoteReference w:id="785"/>
      </w:r>
      <w:r>
        <w:rPr>
          <w:rFonts w:ascii="IRNazanin" w:hAnsi="IRNazanin" w:eastAsia="IRNazanin"/>
          <w:color w:val="111111"/>
          <w:sz w:val="28"/>
          <w:sz w:val="28"/>
          <w:szCs w:val="28"/>
          <w:rtl w:val="true"/>
          <w:lang w:bidi="fa-IR"/>
        </w:rPr>
        <w:t xml:space="preserve">، والعلم أیضاً بإفادتها الموت ، من غیر فرق بین المیّت علی فراشه و بین </w:t>
      </w:r>
    </w:p>
    <w:p>
      <w:pPr>
        <w:pStyle w:val="BookText"/>
        <w:rPr/>
      </w:pPr>
      <w:r>
        <w:rPr>
          <w:rFonts w:ascii="IRNazanin" w:hAnsi="IRNazanin" w:eastAsia="IRNazanin"/>
          <w:color w:val="111111"/>
          <w:sz w:val="28"/>
          <w:sz w:val="28"/>
          <w:szCs w:val="28"/>
          <w:rtl w:val="true"/>
          <w:lang w:bidi="fa-IR"/>
        </w:rPr>
        <w:t>الغریق والمصعوق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یکره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الحدید من الأجسام الثقیلة،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بل الأقوی تخصیص رفع الکراهة بصورة ما إذا خیف انتفاخ بطن المیّت أو شقه أو خروج بعض الفضلات منه، کما قد یتفّق لبعض من یموت بمرض الاستسقاء، فإن مَنَعَه وضع الثقیل لم یکرّه، بل إن علم الأثر وجب صوناً من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یوجد غیر الحدید تعیّن للجواز أو الوجوب، وإلا فلا فرق بین وضع الحدید وسائر الأجسام الثقیلة علی بطن 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علی سائر أعضائه من صدره أو رأسه أو سائر جوارحه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منافاته للرفق المأمور به والمسّ والغمز والعصر والقرب المنهیّ عنه بعموم تعلیله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أضعف شیء فی هذه الحال، وأن مَن مسّه علی هذه الحال أعان علیه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 وبفحوی قولهعلیه السلام فی المستفیضة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غسلتم المیت منکم فارفقوا به ولا تعصروه، ولا تغمزوا له مفصلاً، ولا تقرّبنّ شیئاً من مسامعه بکافور، ولا یسخن له الماء</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فإنه إذا کره ذلک بالمیّت بعد الموت فقبله أولی وأشذّ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نظر، لتوقیفیّة صحة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التعلیل مبنیّ علی کون الأصل فی الأجزاء والشروط المشکوکة فی العبادة هو استصحاب الاشتغال والأخذ بالیقین والاحتیاط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ما هو المشهور المنصور من کون الأصل فیها کالأصل فی غیرها البراءة ، فتعلیل وجوب تقدیم الإزالة بتوقیفیّة صحة الغسل علیل، کتعلیله بوجوب تقدیمها علی غسل الجنابة عند المشهور ، نظراً إلی اتّحاد غسل الأموات مع غسل الجنابة، لوجود </w:t>
      </w:r>
    </w:p>
    <w:p>
      <w:pPr>
        <w:pStyle w:val="BookText"/>
        <w:rPr/>
      </w:pPr>
      <w:r>
        <w:rPr>
          <w:rFonts w:ascii="IRNazanin" w:hAnsi="IRNazanin" w:eastAsia="IRNazanin"/>
          <w:color w:val="111111"/>
          <w:sz w:val="28"/>
          <w:sz w:val="28"/>
          <w:szCs w:val="28"/>
          <w:rtl w:val="true"/>
          <w:lang w:bidi="fa-IR"/>
        </w:rPr>
        <w:t xml:space="preserve">الفارق بحصول التطهّر بتقدیم الازالة فی الجنابة ، وعدم حصوله به فی 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وکتعلیل عدم وجوب تقدیمها علی غسل المیّت بتنزیل النجاسة العرضیّة منزلة النجاسة المیتّیة فی عدم اعتبار طهر المحلّ مقدّماً علی تغسیله، لوجود الفارق أیضاً، بأن العفو عن التنجّس بالنجاسة المیّتیّة لقضاء ضرورة شرع التغسیل به لا یقتضی العفو عن التنجس بالعرضیّة أیضاً ، الممکنة التحذّر بلا عسر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تعلیلی وجوب تقدّیم الإزالة وعدمه بما ذکر کتعلیل وجوبه بأصالة الاشتغال و الاحتیاط معلول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علی وجوبه أصل أصیل آخر سلیم عن المعارض ، معاضد بما فی الشرح</w:t>
      </w:r>
      <w:r>
        <w:rPr>
          <w:rStyle w:val="FootnoteAnchor"/>
          <w:rtl w:val="true"/>
        </w:rPr>
        <w:footnoteReference w:id="788"/>
      </w:r>
      <w:r>
        <w:rPr>
          <w:rFonts w:ascii="IRNazanin" w:hAnsi="IRNazanin" w:eastAsia="IRNazanin"/>
          <w:color w:val="111111"/>
          <w:sz w:val="28"/>
          <w:sz w:val="28"/>
          <w:szCs w:val="28"/>
          <w:rtl w:val="true"/>
          <w:lang w:bidi="fa-IR"/>
        </w:rPr>
        <w:t xml:space="preserve">وغیره من الإجماعات المستفیضة علی وجوبه، وهو أصالة عدم تداخل موجب الأمر بإزالة النجاسة العرضیّة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موجب الأمر بإزالة النجاسة المیتِّیة بالغسل بالضمّ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امتناع ارتفاع نجاسة مع بقاء نجاسة أخری ممنوعة نقضاً، بأن اختلاف أجناس النجاسة الواقعة فی البئر موجب لتضاعف 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 بأن الطهارة والنجاسة حکمان شرعیّان یتبعان دلیلهما کیف ما دلّ، سیّما فیما کانت النجاسات مختلفة فی الحقیقة والواقع کما فی الفرض، فإن إحداهما نجاسة میتّیة ساریة فی جمیع البدن، ومطهّرها الغسل بالضمّ، والأخری نجاسة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بالجزء الملاقی، ومطهّرها الغسل بالفتح ، فلا مانع من ارتفاع إحداهما دون الأخری ، سیّما مع دلالة النصوص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علی غسل الفرج قبل الغسل فی المیّت والجنابة ، وعلی غسل </w:t>
      </w:r>
      <w:r>
        <w:rPr>
          <w:rStyle w:val="FootnoteAnchor"/>
          <w:rtl w:val="true"/>
        </w:rPr>
        <w:footnoteReference w:id="790"/>
      </w:r>
      <w:r>
        <w:rPr>
          <w:rFonts w:ascii="IRNazanin" w:hAnsi="IRNazanin" w:eastAsia="IRNazanin"/>
          <w:color w:val="111111"/>
          <w:sz w:val="28"/>
          <w:sz w:val="28"/>
          <w:szCs w:val="28"/>
          <w:rtl w:val="true"/>
          <w:lang w:bidi="fa-IR"/>
        </w:rPr>
        <w:t xml:space="preserve">الدم قبله فیمن قطع رأسه فی معصیة، إلا أن یمنع دلالتها باحتمال أن یکون الأمر بتقدّیم إزالتهما علی الغسل لأجل رفع </w:t>
      </w:r>
    </w:p>
    <w:p>
      <w:pPr>
        <w:pStyle w:val="BookText"/>
        <w:rPr/>
      </w:pPr>
      <w:r>
        <w:rPr>
          <w:rFonts w:ascii="IRNazanin" w:hAnsi="IRNazanin" w:eastAsia="IRNazanin"/>
          <w:color w:val="111111"/>
          <w:sz w:val="28"/>
          <w:sz w:val="28"/>
          <w:szCs w:val="28"/>
          <w:rtl w:val="true"/>
          <w:lang w:bidi="fa-IR"/>
        </w:rPr>
        <w:t>مانعیّتهما عن وصول ماء الغسل إلی البشرة الملوّثة بهما، لا لأجل اشتراط صحّة الغسل بتقدیم الإزالة مطلقا حتی عن النجاسة غیر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لبعض فمسمّی السدر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 به فعن محکیّ القواعد</w:t>
      </w:r>
      <w:r>
        <w:rPr>
          <w:rStyle w:val="FootnoteAnchor"/>
          <w:rtl w:val="true"/>
        </w:rPr>
        <w:footnoteReference w:id="791"/>
      </w:r>
      <w:r>
        <w:rPr>
          <w:rFonts w:ascii="IRNazanin" w:hAnsi="IRNazanin" w:eastAsia="IRNazanin"/>
          <w:color w:val="111111"/>
          <w:sz w:val="28"/>
          <w:sz w:val="28"/>
          <w:szCs w:val="28"/>
          <w:rtl w:val="true"/>
          <w:lang w:bidi="fa-IR"/>
        </w:rPr>
        <w:t>و صریح جماعة</w:t>
      </w:r>
      <w:r>
        <w:rPr>
          <w:rStyle w:val="FootnoteAnchor"/>
          <w:rtl w:val="true"/>
        </w:rPr>
        <w:footnoteReference w:id="792"/>
      </w:r>
      <w:r>
        <w:rPr>
          <w:rFonts w:ascii="IRNazanin" w:hAnsi="IRNazanin" w:eastAsia="IRNazanin"/>
          <w:color w:val="111111"/>
          <w:sz w:val="28"/>
          <w:sz w:val="28"/>
          <w:szCs w:val="28"/>
          <w:rtl w:val="true"/>
          <w:lang w:bidi="fa-IR"/>
        </w:rPr>
        <w:t>وظاهر آخرین، بل عن المدارک</w:t>
      </w:r>
      <w:r>
        <w:rPr>
          <w:rStyle w:val="FootnoteAnchor"/>
          <w:rtl w:val="true"/>
        </w:rPr>
        <w:footnoteReference w:id="793"/>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الثمرة بین الاکتفاء بما یصدق معه ماء السدر ومسمّی السدر فیظهر فیما لم یکن مسمّی السدر بقدر ما یوجب صدق ماء السدر، فعلی الأول لا یصحّ الغسل، وعلی الثانی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الاکتفاء بمسمّی السدر 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النصوص</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ضعفه فلتحکّم المتبادر من نصوص</w:t>
      </w:r>
      <w:r>
        <w:rPr>
          <w:rStyle w:val="FootnoteAnchor"/>
          <w:rtl w:val="true"/>
        </w:rPr>
        <w:footnoteReference w:id="795"/>
      </w:r>
      <w:r>
        <w:rPr>
          <w:rFonts w:ascii="IRNazanin" w:hAnsi="IRNazanin" w:eastAsia="IRNazanin"/>
          <w:color w:val="111111"/>
          <w:sz w:val="28"/>
          <w:sz w:val="28"/>
          <w:szCs w:val="28"/>
          <w:rtl w:val="true"/>
          <w:lang w:bidi="fa-IR"/>
        </w:rPr>
        <w:t xml:space="preserve">ماء السدر والتغسیل بالسدر والماء والسدر المقیّد بما یصدق معه ماء السدر علی مطلق مسمّی السدر ، لأنها بحکم المقیّد والمقابلة بحکم المطلق المحمول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واعتضاد المطلق بالشهرة المحکیّة عن المجمع</w:t>
      </w:r>
      <w:r>
        <w:rPr>
          <w:rStyle w:val="FootnoteAnchor"/>
          <w:rtl w:val="true"/>
        </w:rPr>
        <w:footnoteReference w:id="796"/>
      </w:r>
      <w:r>
        <w:rPr>
          <w:rFonts w:ascii="IRNazanin" w:hAnsi="IRNazanin" w:eastAsia="IRNazanin"/>
          <w:color w:val="111111"/>
          <w:sz w:val="28"/>
          <w:sz w:val="28"/>
          <w:szCs w:val="28"/>
          <w:rtl w:val="true"/>
          <w:lang w:bidi="fa-IR"/>
        </w:rPr>
        <w:t xml:space="preserve">والمدارک </w:t>
      </w:r>
      <w:r>
        <w:rPr>
          <w:rStyle w:val="FootnoteAnchor"/>
          <w:rtl w:val="true"/>
        </w:rPr>
        <w:footnoteReference w:id="797"/>
      </w:r>
      <w:r>
        <w:rPr>
          <w:rFonts w:ascii="IRNazanin" w:hAnsi="IRNazanin" w:eastAsia="IRNazanin"/>
          <w:color w:val="111111"/>
          <w:sz w:val="28"/>
          <w:sz w:val="28"/>
          <w:szCs w:val="28"/>
          <w:rtl w:val="true"/>
          <w:lang w:bidi="fa-IR"/>
        </w:rPr>
        <w:t>معارض باعتضاد المقیّد بماء السدر بالإجماعین المحکیّین عن الخلاف</w:t>
      </w:r>
      <w:r>
        <w:rPr>
          <w:rStyle w:val="FootnoteAnchor"/>
          <w:rtl w:val="true"/>
        </w:rPr>
        <w:footnoteReference w:id="798"/>
      </w:r>
      <w:r>
        <w:rPr>
          <w:rFonts w:ascii="IRNazanin" w:hAnsi="IRNazanin" w:eastAsia="IRNazanin"/>
          <w:color w:val="111111"/>
          <w:sz w:val="28"/>
          <w:sz w:val="28"/>
          <w:szCs w:val="28"/>
          <w:rtl w:val="true"/>
          <w:lang w:bidi="fa-IR"/>
        </w:rPr>
        <w:t xml:space="preserve">والغنیة </w:t>
      </w:r>
      <w:r>
        <w:rPr>
          <w:rStyle w:val="FootnoteAnchor"/>
          <w:rtl w:val="true"/>
        </w:rPr>
        <w:footnoteReference w:id="799"/>
      </w:r>
      <w:r>
        <w:rPr>
          <w:rFonts w:ascii="IRNazanin" w:hAnsi="IRNazanin" w:eastAsia="IRNazanin"/>
          <w:color w:val="111111"/>
          <w:sz w:val="28"/>
          <w:sz w:val="28"/>
          <w:szCs w:val="28"/>
          <w:rtl w:val="true"/>
          <w:lang w:bidi="fa-IR"/>
        </w:rPr>
        <w:t xml:space="preserve">مع احتمال أن یکون منشأ </w:t>
      </w:r>
    </w:p>
    <w:p>
      <w:pPr>
        <w:pStyle w:val="BookText"/>
        <w:rPr/>
      </w:pPr>
      <w:r>
        <w:rPr>
          <w:rFonts w:ascii="IRNazanin" w:hAnsi="IRNazanin" w:eastAsia="IRNazanin"/>
          <w:color w:val="111111"/>
          <w:sz w:val="28"/>
          <w:sz w:val="28"/>
          <w:szCs w:val="28"/>
          <w:rtl w:val="true"/>
          <w:lang w:bidi="fa-IR"/>
        </w:rPr>
        <w:t>النسبة إلی الشهرة هو تعبیر الأکثر بنحو عبارتی الفاضلین فی القواعد</w:t>
      </w:r>
      <w:r>
        <w:rPr>
          <w:rStyle w:val="FootnoteAnchor"/>
          <w:rtl w:val="true"/>
        </w:rPr>
        <w:footnoteReference w:id="800"/>
      </w:r>
      <w:r>
        <w:rPr>
          <w:rFonts w:ascii="IRNazanin" w:hAnsi="IRNazanin" w:eastAsia="IRNazanin"/>
          <w:color w:val="111111"/>
          <w:sz w:val="28"/>
          <w:sz w:val="28"/>
          <w:szCs w:val="28"/>
          <w:rtl w:val="true"/>
          <w:lang w:bidi="fa-IR"/>
        </w:rPr>
        <w:t xml:space="preserve">والشرائع </w:t>
      </w:r>
      <w:r>
        <w:rPr>
          <w:rStyle w:val="FootnoteAnchor"/>
          <w:rtl w:val="true"/>
        </w:rPr>
        <w:footnoteReference w:id="801"/>
      </w:r>
      <w:r>
        <w:rPr>
          <w:rFonts w:ascii="IRNazanin" w:hAnsi="IRNazanin" w:eastAsia="IRNazanin"/>
          <w:color w:val="111111"/>
          <w:sz w:val="28"/>
          <w:sz w:val="28"/>
          <w:szCs w:val="28"/>
          <w:rtl w:val="true"/>
          <w:lang w:bidi="fa-IR"/>
        </w:rPr>
        <w:t xml:space="preserve">، المحتمل سیما الشرائع لإرادة ما یقع علیه اسم ماء السدر لا 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إرجاع هذین القولین إلی واحد، بأن یراد من کفایة مسمّی السدر أقلّ المسمّی الحاصل به إطلاق ماء السدر ، فإنّ الإضافة یکفیها أدنی الملابسة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w:t>
      </w:r>
    </w:p>
    <w:p>
      <w:pPr>
        <w:pStyle w:val="BookText"/>
        <w:rPr/>
      </w:pPr>
      <w:r>
        <w:rPr>
          <w:rFonts w:ascii="IRNazanin" w:hAnsi="IRNazanin" w:eastAsia="IRNazanin"/>
          <w:color w:val="111111"/>
          <w:sz w:val="28"/>
          <w:sz w:val="28"/>
          <w:szCs w:val="28"/>
          <w:rtl w:val="true"/>
          <w:lang w:bidi="fa-IR"/>
        </w:rPr>
        <w:t xml:space="preserve">من هنا لم ینقل قبل الکشف </w:t>
      </w:r>
      <w:r>
        <w:rPr>
          <w:rStyle w:val="FootnoteAnchor"/>
          <w:rtl w:val="true"/>
        </w:rPr>
        <w:footnoteReference w:id="802"/>
      </w:r>
      <w:r>
        <w:rPr>
          <w:rFonts w:ascii="IRNazanin" w:hAnsi="IRNazanin" w:eastAsia="IRNazanin"/>
          <w:color w:val="111111"/>
          <w:sz w:val="28"/>
          <w:sz w:val="28"/>
          <w:szCs w:val="28"/>
          <w:rtl w:val="true"/>
          <w:lang w:bidi="fa-IR"/>
        </w:rPr>
        <w:t>فی مقابل المشهور إلا القول باعتبار سبع ورقات ، کما فی الشرائع</w:t>
      </w:r>
      <w:r>
        <w:rPr>
          <w:rFonts w:eastAsia="IRNazanin" w:cs="IRNazanin"/>
          <w:color w:val="111111"/>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یجزی الخارج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الحدائق </w:t>
      </w:r>
      <w:r>
        <w:rPr>
          <w:rStyle w:val="FootnoteAnchor"/>
          <w:rtl w:val="true"/>
        </w:rPr>
        <w:footnoteReference w:id="805"/>
      </w:r>
      <w:r>
        <w:rPr>
          <w:rFonts w:ascii="IRNazanin" w:hAnsi="IRNazanin" w:eastAsia="IRNazanin"/>
          <w:color w:val="111111"/>
          <w:sz w:val="28"/>
          <w:sz w:val="28"/>
          <w:szCs w:val="28"/>
          <w:rtl w:val="true"/>
          <w:lang w:bidi="fa-IR"/>
        </w:rPr>
        <w:t xml:space="preserve">أنّه المشهور، وفی البرهان </w:t>
      </w:r>
      <w:r>
        <w:rPr>
          <w:rStyle w:val="FootnoteAnchor"/>
          <w:rtl w:val="true"/>
        </w:rPr>
        <w:footnoteReference w:id="806"/>
      </w:r>
      <w:r>
        <w:rPr>
          <w:rFonts w:ascii="IRNazanin" w:hAnsi="IRNazanin" w:eastAsia="IRNazanin"/>
          <w:color w:val="111111"/>
          <w:sz w:val="28"/>
          <w:sz w:val="28"/>
          <w:szCs w:val="28"/>
          <w:rtl w:val="true"/>
          <w:lang w:bidi="fa-IR"/>
        </w:rPr>
        <w:t xml:space="preserve">کأنّه متفّق علیه ، خلافا لما عن المدارک </w:t>
      </w:r>
      <w:r>
        <w:rPr>
          <w:rStyle w:val="FootnoteAnchor"/>
          <w:rtl w:val="true"/>
        </w:rPr>
        <w:footnoteReference w:id="807"/>
      </w:r>
      <w:r>
        <w:rPr>
          <w:rFonts w:ascii="IRNazanin" w:hAnsi="IRNazanin" w:eastAsia="IRNazanin"/>
          <w:color w:val="111111"/>
          <w:sz w:val="28"/>
          <w:sz w:val="28"/>
          <w:szCs w:val="28"/>
          <w:rtl w:val="true"/>
          <w:lang w:bidi="fa-IR"/>
        </w:rPr>
        <w:t xml:space="preserve">ومَن فی طبقته من تقویة الاجتزاء بالمضاف، ولعلّه ظاهر قول الشرائع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ما یلقی فی الماء من السدر ما یقع علیه الاسم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 بل وظاهر محکی المهدب </w:t>
      </w:r>
      <w:r>
        <w:rPr>
          <w:rStyle w:val="FootnoteAnchor"/>
          <w:rtl w:val="true"/>
        </w:rPr>
        <w:footnoteReference w:id="809"/>
      </w:r>
      <w:r>
        <w:rPr>
          <w:rFonts w:ascii="Amiri" w:hAnsi="Amiri" w:eastAsia="Amiri" w:cs="Amiri"/>
          <w:color w:val="111111"/>
          <w:sz w:val="28"/>
          <w:sz w:val="28"/>
          <w:szCs w:val="28"/>
          <w:rtl w:val="true"/>
          <w:lang w:bidi="ar-SA"/>
        </w:rPr>
        <w:t xml:space="preserve">والمقنعة </w:t>
      </w:r>
      <w:r>
        <w:rPr>
          <w:rStyle w:val="FootnoteAnchor"/>
          <w:rtl w:val="true"/>
        </w:rPr>
        <w:footnoteReference w:id="810"/>
      </w:r>
      <w:r>
        <w:rPr>
          <w:rFonts w:ascii="IRNazanin" w:hAnsi="IRNazanin" w:eastAsia="IRNazanin"/>
          <w:color w:val="111111"/>
          <w:sz w:val="28"/>
          <w:sz w:val="28"/>
          <w:szCs w:val="28"/>
          <w:rtl w:val="true"/>
          <w:lang w:bidi="fa-IR"/>
        </w:rPr>
        <w:t>المعبرین بالرطل أو الرطل والنصف، کما عن الذکری</w:t>
      </w:r>
      <w:r>
        <w:rPr>
          <w:rStyle w:val="FootnoteAnchor"/>
          <w:rtl w:val="true"/>
        </w:rPr>
        <w:footnoteReference w:id="811"/>
      </w:r>
      <w:r>
        <w:rPr>
          <w:rFonts w:ascii="IRNazanin" w:hAnsi="IRNazanin" w:eastAsia="IRNazanin"/>
          <w:color w:val="111111"/>
          <w:sz w:val="28"/>
          <w:sz w:val="28"/>
          <w:szCs w:val="28"/>
          <w:rtl w:val="true"/>
          <w:lang w:bidi="fa-IR"/>
        </w:rPr>
        <w:t>بعد نقلهما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یوهمان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لظهورها فی بقاء الإطلاق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لعدم صدق الغسل بالماء والسدر حقیقة علی المضاف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مستدلاً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عن المدارک </w:t>
      </w:r>
      <w:r>
        <w:rPr>
          <w:rStyle w:val="FootnoteAnchor"/>
          <w:rtl w:val="true"/>
        </w:rPr>
        <w:footnoteReference w:id="812"/>
      </w:r>
      <w:r>
        <w:rPr>
          <w:rFonts w:ascii="IRNazanin" w:hAnsi="IRNazanin" w:eastAsia="IRNazanin"/>
          <w:color w:val="111111"/>
          <w:sz w:val="28"/>
          <w:sz w:val="28"/>
          <w:szCs w:val="28"/>
          <w:rtl w:val="true"/>
          <w:lang w:bidi="fa-IR"/>
        </w:rPr>
        <w:t xml:space="preserve">ومَن فی طبقته من الاجتزاء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المذکور معارض بإطلاق ما تضمّن التغسیل بماء السدر الشامل إطلاقه لکلّ من المطلق والمضاف ، بل وبما تضمن التغسیل بالسدر ، بناءً علی تعیّن أقرب المجازات مع تعذّر الحقیقّة، وهو المضاف بالسدر ، غایته الإجماع علی عدم تعیینه فیجزی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بین روایتی </w:t>
      </w:r>
      <w:r>
        <w:rPr>
          <w:rStyle w:val="FootnoteAnchor"/>
          <w:rtl w:val="true"/>
        </w:rPr>
        <w:footnoteReference w:id="813"/>
      </w:r>
      <w:r>
        <w:rPr>
          <w:rFonts w:ascii="IRNazanin" w:hAnsi="IRNazanin" w:eastAsia="IRNazanin"/>
          <w:color w:val="111111"/>
          <w:sz w:val="28"/>
          <w:sz w:val="28"/>
          <w:szCs w:val="28"/>
          <w:rtl w:val="true"/>
          <w:lang w:bidi="fa-IR"/>
        </w:rPr>
        <w:t xml:space="preserve">ماء السدر والسدر دائر بین ارتکاب التجوّز فی الثانی بما یشمل المضاف، أو التقیید فی الأول بما لا یخرج عن الإطلاق، ویصدق معه ماء وسدر أیضاً، والتقیید مع کونه فی نفسه أولی من التجوّز مرجح علیه هنا باعتضاد الشهرة، والتأیّد بمدخلیّته فی الرفع غیر الحاصل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تضمّن التغسیل بالسدر فمحمول علیه أیضاً ، لما ذکر، ولتعقّبه أیضاً فی الحسن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فاغسله مرّة أخری بماء وکافور</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الظاهر فی الباقی علی الإطلاق ، فیقتضی حمل الغسل بالسدر قبله علی الباقی علی الإطلاق أیضاً ، بعد تعذّر حمله علی حقیقته ، لإشعار السیاق باتّحاد النسق وعدم القول بالفصل والفرق بین الغسلتین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ضعف احتمال اختصاص الأرطال المانعة من إضافة الماء بالأرطال المکیّة أو المدنیّة ، دون العراقیّة التی هی نصف المکّیة وثلثا المدنیّة ، بعدم کون التفاوت المذکور فارقاً فی المنع من الإضافة وعدمه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إشارة إلی ضعف احتمال کفایة غسل الرأس بالرغوة </w:t>
      </w:r>
      <w:r>
        <w:rPr>
          <w:rStyle w:val="FootnoteAnchor"/>
          <w:rtl w:val="true"/>
        </w:rPr>
        <w:footnoteReference w:id="815"/>
      </w:r>
      <w:r>
        <w:rPr>
          <w:rFonts w:ascii="IRNazanin" w:hAnsi="IRNazanin" w:eastAsia="IRNazanin"/>
          <w:color w:val="111111"/>
          <w:sz w:val="28"/>
          <w:sz w:val="28"/>
          <w:szCs w:val="28"/>
          <w:rtl w:val="true"/>
          <w:lang w:bidi="fa-IR"/>
        </w:rPr>
        <w:t>المضاف فی إجزاء المضاف فی بقیّة الغسل ، بکون المراد بغسل الرأس بالرغوة هنا لیس الغسل الوجوبی، بل الندبی الذی قبل الشروع فی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ضعف کفایة إطلاق الغسل علی الغسل بالرغوة </w:t>
      </w:r>
      <w:r>
        <w:rPr>
          <w:rStyle w:val="FootnoteAnchor"/>
          <w:rtl w:val="true"/>
        </w:rPr>
        <w:footnoteReference w:id="816"/>
      </w:r>
      <w:r>
        <w:rPr>
          <w:rFonts w:ascii="IRNazanin" w:hAnsi="IRNazanin" w:eastAsia="IRNazanin"/>
          <w:color w:val="111111"/>
          <w:sz w:val="28"/>
          <w:sz w:val="28"/>
          <w:szCs w:val="28"/>
          <w:rtl w:val="true"/>
          <w:lang w:bidi="fa-IR"/>
        </w:rPr>
        <w:t>المضاف فی إجزاء المضاف ، بکون إطلاقه علی المضاف مجازاً بقرینة تعلّقه بالرغوة فی موضع لا یقتضی إرادته منه فی الموضع الآخر الخالی منها ، بعد فرض انصراف مطلق الغسل إلی الغسل بالماء المطلق ، کانصراف مطلق الماء إلی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إشارة إلی أن دلالة تکثیر ماء السدر بالأرطال المذکورة علی بقاء إطلاقه مبنیة علی وجوب تکثیره بذلک القدر ، وأما علی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سیاقه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بقاء إطلاقه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التداخل فی الغسل الواحد کما فهمه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فهمه الأصحاب من قوله علیه السلام فی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سئل عن الجنب إذا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غسلاً واحداً یجزی عن الجنابة والموت</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إنما هو وحدة غسل المیّت ، بمعنی تداخل غسل الجنابة فیه ، لا وحدته حقیقة بمعنی عدم وجوب تکریره ثلاثاً ، وجواز الاجتزاء به مرّة عن تکریره ثلاثاً ، کما هو مدّعی سلّار</w:t>
      </w:r>
      <w:r>
        <w:rPr>
          <w:rStyle w:val="FootnoteAnchor"/>
          <w:rtl w:val="true"/>
        </w:rPr>
        <w:footnoteReference w:id="818"/>
      </w:r>
      <w:r>
        <w:rPr>
          <w:rFonts w:ascii="IRNazanin" w:hAnsi="IRNazanin" w:eastAsia="IRNazanin"/>
          <w:color w:val="111111"/>
          <w:sz w:val="28"/>
          <w:sz w:val="28"/>
          <w:szCs w:val="28"/>
          <w:rtl w:val="true"/>
          <w:lang w:bidi="fa-IR"/>
        </w:rPr>
        <w:t xml:space="preserve">فی مقابل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المجمع علیه وبقی الباقی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الخارج المجمع علیه عن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Style w:val="FootnoteAnchor"/>
          <w:rtl w:val="true"/>
        </w:rPr>
        <w:footnoteReference w:id="819"/>
      </w:r>
      <w:r>
        <w:rPr>
          <w:rFonts w:ascii="IRNazanin" w:hAnsi="IRNazanin" w:eastAsia="IRNazanin"/>
          <w:color w:val="111111"/>
          <w:sz w:val="28"/>
          <w:sz w:val="28"/>
          <w:szCs w:val="28"/>
          <w:rtl w:val="true"/>
          <w:lang w:bidi="fa-IR"/>
        </w:rPr>
        <w:t xml:space="preserve">فیما نحن </w:t>
      </w:r>
    </w:p>
    <w:p>
      <w:pPr>
        <w:pStyle w:val="BookText"/>
        <w:rPr/>
      </w:pPr>
      <w:r>
        <w:rPr>
          <w:rFonts w:ascii="IRNazanin" w:hAnsi="IRNazanin" w:eastAsia="IRNazanin"/>
          <w:color w:val="111111"/>
          <w:sz w:val="28"/>
          <w:sz w:val="28"/>
          <w:szCs w:val="28"/>
          <w:rtl w:val="true"/>
          <w:lang w:bidi="fa-IR"/>
        </w:rPr>
        <w:t>فیه فکالتکفین والتدفین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الباقی تحته فالتغسیلات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هذا الغسل و غیره تحکّم بالنظر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فالقول بعدم الاعتبار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مصرّیات المرتضی</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والمنتهی</w:t>
      </w:r>
      <w:r>
        <w:rPr>
          <w:rStyle w:val="FootnoteAnchor"/>
          <w:rtl w:val="true"/>
        </w:rPr>
        <w:footnoteReference w:id="821"/>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القول به وبافتراقه عن سائر الأغسال فلعلّه ناشیء عن أصالة البراءة، وعدم اشتراط صحّة الغسل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وقوع هذا التغسیل فی سیاق التکفین والتدفین ، فأوهم اتّحاده معهما فی التوصّلیّة ، وافتراقه عن سائر الأغسال فی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إناطة رفع النجاسة المیتّیة بفعلّه هنا والحکمیّة فی غیره، فأوهم ذلک أنه غسل بالفتح بکیفّیة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ضعفه فلاندفاع الأول بکون الأصل لا یقاوم الدلیل ، من الشهرة والإجماع المنقول، وعموم النسویة،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القرینة الفارقة ، وهو الاجماع المخرج لهما دونه عن عموم التسویة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النصوص والفتاوی علی کونه غسلاً بالضم حقیقة ، وأن الغسل کالوضوء والصلاة والتیممّ والصوم والحج ونحوها فی البقاء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عدم وروده فی الشرع إلا قسماً واحداً هو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کالاکتفاء بها فی أولها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القائل بالاکتفاء بها فی أولها فهو الشهید فی ظاهر اللمعة </w:t>
      </w:r>
      <w:r>
        <w:rPr>
          <w:rStyle w:val="FootnoteAnchor"/>
          <w:rtl w:val="true"/>
        </w:rPr>
        <w:footnoteReference w:id="822"/>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صریح</w:t>
      </w:r>
      <w:r>
        <w:rPr>
          <w:rStyle w:val="FootnoteAnchor"/>
          <w:rtl w:val="true"/>
        </w:rPr>
        <w:footnoteReference w:id="823"/>
      </w:r>
      <w:r>
        <w:rPr>
          <w:rFonts w:ascii="IRNazanin" w:hAnsi="IRNazanin" w:eastAsia="IRNazanin"/>
          <w:color w:val="111111"/>
          <w:sz w:val="28"/>
          <w:sz w:val="28"/>
          <w:szCs w:val="28"/>
          <w:rtl w:val="true"/>
          <w:lang w:bidi="fa-IR"/>
        </w:rPr>
        <w:t>غیرها، ومحکیّ المختلف</w:t>
      </w:r>
      <w:r>
        <w:rPr>
          <w:rStyle w:val="FootnoteAnchor"/>
          <w:rtl w:val="true"/>
        </w:rPr>
        <w:footnoteReference w:id="824"/>
      </w:r>
      <w:r>
        <w:rPr>
          <w:rFonts w:ascii="IRNazanin" w:hAnsi="IRNazanin" w:eastAsia="IRNazanin"/>
          <w:color w:val="111111"/>
          <w:sz w:val="28"/>
          <w:sz w:val="28"/>
          <w:szCs w:val="28"/>
          <w:rtl w:val="true"/>
          <w:lang w:bidi="fa-IR"/>
        </w:rPr>
        <w:t xml:space="preserve">، واختاره الجواهر </w:t>
      </w:r>
      <w:r>
        <w:rPr>
          <w:rStyle w:val="FootnoteAnchor"/>
          <w:rtl w:val="true"/>
        </w:rPr>
        <w:footnoteReference w:id="825"/>
      </w:r>
      <w:r>
        <w:rPr>
          <w:rFonts w:ascii="IRNazanin" w:hAnsi="IRNazanin" w:eastAsia="IRNazanin"/>
          <w:color w:val="111111"/>
          <w:sz w:val="28"/>
          <w:sz w:val="28"/>
          <w:szCs w:val="28"/>
          <w:rtl w:val="true"/>
          <w:lang w:bidi="fa-IR"/>
        </w:rPr>
        <w:t>وفاقاً لصریح جماعة و ظاهر آخرین، وخلافا لصریح الروضة</w:t>
      </w:r>
      <w:r>
        <w:rPr>
          <w:rStyle w:val="FootnoteAnchor"/>
          <w:rtl w:val="true"/>
        </w:rPr>
        <w:footnoteReference w:id="826"/>
      </w:r>
      <w:r>
        <w:rPr>
          <w:rFonts w:ascii="IRNazanin" w:hAnsi="IRNazanin" w:eastAsia="IRNazanin"/>
          <w:color w:val="111111"/>
          <w:sz w:val="28"/>
          <w:sz w:val="28"/>
          <w:szCs w:val="28"/>
          <w:rtl w:val="true"/>
          <w:lang w:bidi="fa-IR"/>
        </w:rPr>
        <w:t>و الریاض</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وجه القول به فلعلّه لأصالة البراءة عن أکثر من نیّة واحدة، وأصالة اتّحاد غسل المیت وعدم تعدّده بالتکریر، وکون المتعدّد بالتکریر أجزاء غسل واحد لا تعدد أعمال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لما فی الجواهر </w:t>
      </w:r>
      <w:r>
        <w:rPr>
          <w:rStyle w:val="FootnoteAnchor"/>
          <w:rtl w:val="true"/>
        </w:rPr>
        <w:footnoteReference w:id="828"/>
      </w:r>
      <w:r>
        <w:rPr>
          <w:rFonts w:ascii="IRNazanin" w:hAnsi="IRNazanin" w:eastAsia="IRNazanin"/>
          <w:color w:val="111111"/>
          <w:sz w:val="28"/>
          <w:sz w:val="28"/>
          <w:szCs w:val="28"/>
          <w:rtl w:val="true"/>
          <w:lang w:bidi="fa-IR"/>
        </w:rPr>
        <w:t xml:space="preserve">من إطلاق غسل المیّت فی النصّ والفتوی علی ما یراد به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عدم ترتّب الآثار إلا علیه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إطلاق الوحدة علیها فی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سئل عن الجنب إذا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غسلاً واحداً یجزی عن الجنابة والموت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المعلوم إرادة غسل المیت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ضعفه ، فلضعف الأول بعدم مقاومة أصالة البراءة عن أکثر من نیّة واحدة وعدم التعدّد بالتکریر ، مع </w:t>
      </w:r>
      <w:r>
        <w:rPr>
          <w:rStyle w:val="FootnoteAnchor"/>
          <w:rtl w:val="true"/>
        </w:rPr>
        <w:footnoteReference w:id="829"/>
      </w:r>
      <w:r>
        <w:rPr>
          <w:rFonts w:ascii="IRNazanin" w:hAnsi="IRNazanin" w:eastAsia="IRNazanin"/>
          <w:color w:val="111111"/>
          <w:sz w:val="28"/>
          <w:sz w:val="28"/>
          <w:szCs w:val="28"/>
          <w:rtl w:val="true"/>
          <w:lang w:bidi="fa-IR"/>
        </w:rPr>
        <w:t>ظهور تکریر الصورة وتعدّدها و تشبیه کلّ منها بغسل الجنابة نصاً وفتوی فی التعدد، وکونها أعمالًا مستقلّة لا أجزاء عمل واحد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غسل المیّت فی النصّ والفتوی علی ما یراد به الثلاثة مقابلاً للکفن والدفن لا یقتضی کونه عملاً واحداً ، کإطلاق صلاة اللیل ونافلة الظهرین والعشائین علی جمیع الرکعات، مع أن کل رکعتین منها صلاة مستقلّة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ترتّب الآثار إلا علی مجموع أغسال المیّت الثلاثة لا یقتضی أیضاً کونها عملاً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عدم ترتّب أثر استباحة الصلاة ورفع الحدث وصحّة الصوم والصلاة والوطء فی المستحاضة الکثیرة إلاّ علی مجموع التکالیف المقرّرة لها، من الوضوء لکلّ صلاة و تبدیل القطنة والخرقة والغسل فی وقت کل صلاتین ، مع کون کلً منها أعمالاً مستقلّة لا أجزاء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أن المراد بإجزاء الغسل الواحد عن الجنابة والموت فی المیّت جنباً إنما هو وحدة غسل المیّت ، بمعنی تداخل الجنابة فیه ، لا وحدته حقیقة ، بمعنی أن أغسالها الثلاثة أجزاء عمل واحد لا أعمال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الأقوی وجوب الثلاث بالقراح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ومناقشة الجواهر</w:t>
      </w:r>
      <w:r>
        <w:rPr>
          <w:rStyle w:val="FootnoteAnchor"/>
          <w:rtl w:val="true"/>
        </w:rPr>
        <w:footnoteReference w:id="831"/>
      </w:r>
      <w:r>
        <w:rPr>
          <w:rFonts w:ascii="IRNazanin" w:hAnsi="IRNazanin" w:eastAsia="IRNazanin"/>
          <w:color w:val="111111"/>
          <w:sz w:val="28"/>
          <w:sz w:val="28"/>
          <w:szCs w:val="28"/>
          <w:rtl w:val="true"/>
          <w:lang w:bidi="fa-IR"/>
        </w:rPr>
        <w:t xml:space="preserve">فیما استدلّ علیه من قاعدة المیسور و استصحاب وجوب الثلاث بعد تعذّر الخلیط لا یخلو من نظر، وإن استدلّ </w:t>
      </w:r>
      <w:r>
        <w:rPr>
          <w:rStyle w:val="FootnoteAnchor"/>
          <w:rtl w:val="true"/>
        </w:rPr>
        <w:footnoteReference w:id="832"/>
      </w:r>
      <w:r>
        <w:rPr>
          <w:rFonts w:ascii="IRNazanin" w:hAnsi="IRNazanin" w:eastAsia="IRNazanin"/>
          <w:color w:val="111111"/>
          <w:sz w:val="28"/>
          <w:sz w:val="28"/>
          <w:szCs w:val="28"/>
          <w:rtl w:val="true"/>
          <w:lang w:bidi="fa-IR"/>
        </w:rPr>
        <w:t>هو علی وجوبها بدلیل أقرب، وهو ما ثبت فی المحرم نصّاً وفتوی من غسله ثلاثاً بغیر کافور، لمنع الطیب ، نظراً إلی أن المتعذّر عقلاً کالمتعذّر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کمناقشة البرهان </w:t>
      </w:r>
      <w:r>
        <w:rPr>
          <w:rStyle w:val="FootnoteAnchor"/>
          <w:rtl w:val="true"/>
        </w:rPr>
        <w:footnoteReference w:id="833"/>
      </w:r>
      <w:r>
        <w:rPr>
          <w:rFonts w:ascii="IRNazanin" w:hAnsi="IRNazanin" w:eastAsia="IRNazanin"/>
          <w:color w:val="111111"/>
          <w:sz w:val="28"/>
          <w:sz w:val="28"/>
          <w:szCs w:val="28"/>
          <w:rtl w:val="true"/>
          <w:lang w:bidi="fa-IR"/>
        </w:rPr>
        <w:t>فیه باحتمال تعبدیة التکرار فی المُحرمِ، فلا یسری إلی کلّیة التعذّر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وکالاستدلال علی عدم وجوبها بأن غیر 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کماء 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لتنظیف البدن ، وماء الکافور لحفظه بخاصیّة الکافور من الهوامّ وإسراع التغییر، ومع عدمهما المفروض لا فائدة فی تکرار الماء القراح ، فإنه اعتبار عقلیّ ظنّی لا یصلح مدرکاً لحکم شرعیّ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وجوب الإعادة وجهان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قولان، الوجوب کما استظهره الجواهر </w:t>
      </w:r>
      <w:r>
        <w:rPr>
          <w:rStyle w:val="FootnoteAnchor"/>
          <w:rtl w:val="true"/>
        </w:rPr>
        <w:footnoteReference w:id="834"/>
      </w:r>
      <w:r>
        <w:rPr>
          <w:rFonts w:ascii="IRNazanin" w:hAnsi="IRNazanin" w:eastAsia="IRNazanin"/>
          <w:color w:val="111111"/>
          <w:sz w:val="28"/>
          <w:sz w:val="28"/>
          <w:szCs w:val="28"/>
          <w:rtl w:val="true"/>
          <w:lang w:bidi="fa-IR"/>
        </w:rPr>
        <w:t>ناقلاً له عن الذکری</w:t>
      </w:r>
      <w:r>
        <w:rPr>
          <w:rStyle w:val="FootnoteAnchor"/>
          <w:rtl w:val="true"/>
        </w:rPr>
        <w:footnoteReference w:id="835"/>
      </w:r>
      <w:r>
        <w:rPr>
          <w:rFonts w:ascii="IRNazanin" w:hAnsi="IRNazanin" w:eastAsia="IRNazanin"/>
          <w:color w:val="111111"/>
          <w:sz w:val="28"/>
          <w:sz w:val="28"/>
          <w:szCs w:val="28"/>
          <w:rtl w:val="true"/>
          <w:lang w:bidi="fa-IR"/>
        </w:rPr>
        <w:t>وجامع المقاصد</w:t>
      </w:r>
      <w:r>
        <w:rPr>
          <w:rStyle w:val="FootnoteAnchor"/>
          <w:rtl w:val="true"/>
        </w:rPr>
        <w:footnoteReference w:id="836"/>
      </w:r>
      <w:r>
        <w:rPr>
          <w:rFonts w:ascii="IRNazanin" w:hAnsi="IRNazanin" w:eastAsia="IRNazanin"/>
          <w:color w:val="111111"/>
          <w:sz w:val="28"/>
          <w:sz w:val="28"/>
          <w:szCs w:val="28"/>
          <w:rtl w:val="true"/>
          <w:lang w:bidi="fa-IR"/>
        </w:rPr>
        <w:t>والروض</w:t>
      </w:r>
      <w:r>
        <w:rPr>
          <w:rStyle w:val="FootnoteAnchor"/>
          <w:rtl w:val="true"/>
        </w:rPr>
        <w:footnoteReference w:id="837"/>
      </w:r>
      <w:r>
        <w:rPr>
          <w:rFonts w:ascii="IRNazanin" w:hAnsi="IRNazanin" w:eastAsia="IRNazanin"/>
          <w:color w:val="111111"/>
          <w:sz w:val="28"/>
          <w:sz w:val="28"/>
          <w:szCs w:val="28"/>
          <w:rtl w:val="true"/>
          <w:lang w:bidi="fa-IR"/>
        </w:rPr>
        <w:t xml:space="preserve">، والعدم کما عن صرّیح المدارک </w:t>
      </w:r>
      <w:r>
        <w:rPr>
          <w:rStyle w:val="FootnoteAnchor"/>
          <w:rtl w:val="true"/>
        </w:rPr>
        <w:footnoteReference w:id="838"/>
      </w:r>
      <w:r>
        <w:rPr>
          <w:rFonts w:ascii="IRNazanin" w:hAnsi="IRNazanin" w:eastAsia="IRNazanin"/>
          <w:color w:val="111111"/>
          <w:sz w:val="28"/>
          <w:sz w:val="28"/>
          <w:szCs w:val="28"/>
          <w:rtl w:val="true"/>
          <w:lang w:bidi="fa-IR"/>
        </w:rPr>
        <w:t>وظاهر مجمع البیان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الاختلاف بینهما فمن دعوی الإجزاء ، وقیاس هذا المورد بسائر موارد شرع التیممّ ونحوه من العذّریات القاضیة بسقوط المبدل بإتیان البدل ، ومن أن الاضطراری العقلی لیس کالاضطراریّ الشرعیّ فی ظهوره فی إطلاق الأجزاء ، بل هو مقیّد بما دام العذّر ، فإذا ارتفع قام مقتضی وجوب الاختیاری ، وقدّرت الضرورة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المعذّور فهو لقبح إرادته حین العذّر عقلاً ، لا لارتفاع مطلوبیتّه بقیام البدل مقامه شرعاً حتی یؤخذ بإطلاقه عرفاً، بل متی ارتفع سبب القبح عقلاً توجه الخطاب لارتفاع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الأقوی وجوب الإعادة قبل الدفن بل وبعده ، إذا لم یستلزم النبش المحرّم ولا غیره من المحرّمات ، کما إذا أخرجه السیل ولم یخف من تغسیله تناثر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بعد الدفن فلا ، لاستلزام النبش الحرام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للاجماع، مضافاً إلی عدم المقتضی ، لانصراف اطلاقات الأخبار إلی غیر المقام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إطلاق المدّعی ولا إطلاق شیء من وجوهها الثلاثة منع </w:t>
      </w:r>
    </w:p>
    <w:p>
      <w:pPr>
        <w:pStyle w:val="BookText"/>
        <w:rPr/>
      </w:pPr>
      <w:r>
        <w:rPr>
          <w:rFonts w:ascii="IRNazanin" w:hAnsi="IRNazanin" w:eastAsia="IRNazanin"/>
          <w:color w:val="111111"/>
          <w:sz w:val="28"/>
          <w:sz w:val="28"/>
          <w:szCs w:val="28"/>
          <w:rtl w:val="true"/>
          <w:lang w:bidi="fa-IR"/>
        </w:rPr>
        <w:t xml:space="preserve">أما الملازمة فلعدم اطّرادها، إذ قد یتّفق خروج المیّت بعد الدفن من غیر نبش محرّم، فهو کمن دفن بغیر غسل ثم اتّفق خروجه بسیل أو انهدام، أو اتّفق دفنه مع مال محترم غفلة فنبش لإخراجه، أو فی أرض مغصوبة فأخرجه المالک، أو فی أرض مجوّفة بحیث لا یتوقّف إخراجه منها علی نبش ، بل علی مجرّد فتح بابه ، کالسرادیب المعدة للإقبار فی المشاهد المشرفّة، فإن مجرّد فتح باب القبر منها لا یسمّی فی العرف نبشاً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فلابتنائه ظاهراً علی إجراء الأعذار العقلیّة مستداماً لا ما داماً ، وقد عرفت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الغالب من استلزامه النبش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انصراف إطلاقات وجوب الغسل إلی غیر المقام فلتنزیله منزلة الغالب أیضاً من استلزام النبش المحرّم، وإلا فهو من التشکیک البدوی غیر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ثبوته فالأصل أیضا عدمه وعدم سقوط التکلیف ، لا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فی نصوص الباب عمومات لا یتأتیّ فیها الانصراف ، کقوله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وأکیل السبع، وکلّ شیء إلا ما قتل بین الصفّین</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بئر محرج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إخراجه أخرج وغسل ودفن</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مخالفته لأصول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المقرّر المستقرّ علیه مذهب الإمامیّة ونصوصهم عدم تغسیل المعصوم غیر المعصوم، إلا أن یوجّه بأن مراده الاستعانة فی تغسیله بتناول ماء ونحوه من مقدّمات التغسیل، لا المباشرة فی أصل التغسیل الذی هو وظیفة المعصوم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سیاقه به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سیاقه </w:t>
      </w:r>
      <w:r>
        <w:rPr>
          <w:rStyle w:val="FootnoteAnchor"/>
          <w:rtl w:val="true"/>
        </w:rPr>
        <w:footnoteReference w:id="842"/>
      </w:r>
      <w:r>
        <w:rPr>
          <w:rFonts w:ascii="IRNazanin" w:hAnsi="IRNazanin" w:eastAsia="IRNazanin"/>
          <w:color w:val="111111"/>
          <w:sz w:val="28"/>
          <w:sz w:val="28"/>
          <w:szCs w:val="28"/>
          <w:rtl w:val="true"/>
          <w:lang w:bidi="fa-IR"/>
        </w:rPr>
        <w:t>المشعر به هو مقابلته لعصر البطن، وتعقبّه بغسله بالأسنان ، ثم تغسیل رأسه ولحیته بالسدر ، ثم بإفاضة الماء علی جسده ودلکه ، ومن البیّن أن وقوع الوضوء بین تلک الأمور الموجبة لتنظیف المیّت مشعر بکون المراد من ذلک الوضوء أیضاً نحواً من ذلک التنظیف لا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ییممّ کالحیّ العاجز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تشبیه تیممّ المیّت بالحیّ العاجز إما تشبیهه به فی أصل التیممّ دون کیفیّته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المراد بالحیّ المشبه به هو العاجز من المباشرة بالکلیّة، وذلک لأن العاجز المستعین بالغیر فی تیمّمه لابدّ من مراعاته المباشرة بنفسه ویده مهما أمکن، بخلاف المیت ، فإنه لا یراعی فیه المباشرة مطلقا حتی فیما أمکن وتیسّر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ذلک أن أوامر التیممّ بالحیّ العاجز إلی نفسه ، فیعتبر مباشرته فیما أمکن و تیسّر، وفی المیّت إلی غیره، فلا یعتبر مباشرته بنفسه مطلقا حتی فیما تیسّر ، کما صرّح به کلّ من تعرّض للکیفیّة بأنها فی المیّت عبارة عن ضرب الغیر بده ومسحها علی محّل تیممّ المیّت، لا ضرب یدّ المیّت کالعاجز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فیه من الحرج غالباً برفع أعضاء المیّت لضربها بالأرض والمسح بها ، بل هو من إیذائه بتحریکه الممنوع فی النصوص </w:t>
      </w:r>
      <w:r>
        <w:rPr>
          <w:rStyle w:val="FootnoteAnchor"/>
          <w:rtl w:val="true"/>
        </w:rPr>
        <w:footnoteReference w:id="843"/>
      </w:r>
      <w:r>
        <w:rPr>
          <w:rFonts w:ascii="IRNazanin" w:hAnsi="IRNazanin" w:eastAsia="IRNazanin"/>
          <w:color w:val="111111"/>
          <w:sz w:val="28"/>
          <w:sz w:val="28"/>
          <w:szCs w:val="28"/>
          <w:rtl w:val="true"/>
          <w:lang w:bidi="fa-IR"/>
        </w:rPr>
        <w:t>، فنزّل بذلک منزلة الحی العاجز بالکلّیة عن المباشرة ، بل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وبجمیع ما ذکر یرفع الید عن الأصل و الصحیح فی الجنب والمحدث و المیّت ، الأمر باغتسال الأول، و تیمم الثانی ، ودفن الثالث المشعر بالعدم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فی الفقیه</w:t>
      </w:r>
      <w:r>
        <w:rPr>
          <w:rStyle w:val="FootnoteAnchor"/>
          <w:rtl w:val="true"/>
        </w:rPr>
        <w:footnoteReference w:id="844"/>
      </w:r>
      <w:r>
        <w:rPr>
          <w:rFonts w:ascii="IRNazanin" w:hAnsi="IRNazanin" w:eastAsia="IRNazanin"/>
          <w:color w:val="111111"/>
          <w:sz w:val="28"/>
          <w:sz w:val="28"/>
          <w:szCs w:val="28"/>
          <w:rtl w:val="true"/>
          <w:lang w:bidi="fa-IR"/>
        </w:rPr>
        <w:t xml:space="preserve">بسنده عن عبد الرحمان بن أبی نجران الثقة عن </w:t>
      </w:r>
    </w:p>
    <w:p>
      <w:pPr>
        <w:pStyle w:val="BookText"/>
        <w:rPr/>
      </w:pPr>
      <w:r>
        <w:rPr>
          <w:rFonts w:ascii="IRNazanin" w:hAnsi="IRNazanin" w:eastAsia="IRNazanin"/>
          <w:color w:val="111111"/>
          <w:sz w:val="28"/>
          <w:sz w:val="28"/>
          <w:szCs w:val="28"/>
          <w:rtl w:val="true"/>
          <w:lang w:bidi="fa-IR"/>
        </w:rPr>
        <w:t>أبی الحسن الأول علیه السلام، وفی الوسائل</w:t>
      </w:r>
      <w:r>
        <w:rPr>
          <w:rStyle w:val="FootnoteAnchor"/>
          <w:rtl w:val="true"/>
        </w:rPr>
        <w:footnoteReference w:id="845"/>
      </w:r>
      <w:r>
        <w:rPr>
          <w:rFonts w:ascii="IRNazanin" w:hAnsi="IRNazanin" w:eastAsia="IRNazanin"/>
          <w:color w:val="111111"/>
          <w:sz w:val="28"/>
          <w:sz w:val="28"/>
          <w:szCs w:val="28"/>
          <w:rtl w:val="true"/>
          <w:lang w:bidi="fa-IR"/>
        </w:rPr>
        <w:t xml:space="preserve">عن الفقیه أیضا بهذا السند الصحیح مسنداًإلی أبی الحسن الأول ، بل وکذا الذی فیه عن الشیخ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عبد الرحمان بن أبی نجران مرسلا إلی أبی الحسن الثانی علیه السلام، إنما هو بمتن صریح فی دفن المیّت بتیممّ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شیء من تلک الأسانید الصحیحة والأصول المعتبرة بذلک المتن المشعر بعدم التیممّ کما توهّم، إلا ما فی الوسائل</w:t>
      </w:r>
      <w:r>
        <w:rPr>
          <w:rStyle w:val="FootnoteAnchor"/>
          <w:rtl w:val="true"/>
        </w:rPr>
        <w:footnoteReference w:id="847"/>
      </w:r>
      <w:r>
        <w:rPr>
          <w:rFonts w:ascii="IRNazanin" w:hAnsi="IRNazanin" w:eastAsia="IRNazanin"/>
          <w:color w:val="111111"/>
          <w:sz w:val="28"/>
          <w:sz w:val="28"/>
          <w:szCs w:val="28"/>
          <w:rtl w:val="true"/>
          <w:lang w:bidi="fa-IR"/>
        </w:rPr>
        <w:t xml:space="preserve">عن الشیخ </w:t>
      </w:r>
      <w:r>
        <w:rPr>
          <w:rStyle w:val="FootnoteAnchor"/>
          <w:rtl w:val="true"/>
        </w:rPr>
        <w:footnoteReference w:id="848"/>
      </w:r>
      <w:r>
        <w:rPr>
          <w:rFonts w:ascii="IRNazanin" w:hAnsi="IRNazanin" w:eastAsia="IRNazanin"/>
          <w:color w:val="111111"/>
          <w:sz w:val="28"/>
          <w:sz w:val="28"/>
          <w:szCs w:val="28"/>
          <w:rtl w:val="true"/>
          <w:lang w:bidi="fa-IR"/>
        </w:rPr>
        <w:t xml:space="preserve">والعلل </w:t>
      </w:r>
      <w:r>
        <w:rPr>
          <w:rStyle w:val="FootnoteAnchor"/>
          <w:rtl w:val="true"/>
        </w:rPr>
        <w:footnoteReference w:id="849"/>
      </w:r>
      <w:r>
        <w:rPr>
          <w:rFonts w:ascii="IRNazanin" w:hAnsi="IRNazanin" w:eastAsia="IRNazanin"/>
          <w:color w:val="111111"/>
          <w:sz w:val="28"/>
          <w:sz w:val="28"/>
          <w:szCs w:val="28"/>
          <w:rtl w:val="true"/>
          <w:lang w:bidi="fa-IR"/>
        </w:rPr>
        <w:t>والعیون</w:t>
      </w:r>
      <w:r>
        <w:rPr>
          <w:rStyle w:val="FootnoteAnchor"/>
          <w:rtl w:val="true"/>
        </w:rPr>
        <w:footnoteReference w:id="850"/>
      </w:r>
      <w:r>
        <w:rPr>
          <w:rFonts w:ascii="IRNazanin" w:hAnsi="IRNazanin" w:eastAsia="IRNazanin"/>
          <w:color w:val="111111"/>
          <w:sz w:val="28"/>
          <w:sz w:val="28"/>
          <w:szCs w:val="28"/>
          <w:rtl w:val="true"/>
          <w:lang w:bidi="fa-IR"/>
        </w:rPr>
        <w:t xml:space="preserve">بأسانیدهم إلی الحسن بن النضر الأرمنی الثقة عن أبی الحسن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هذا السند وإن کان بذلک المتن إلا أنه مع ذلک غیر صریح بل ولا مشعر بدفن المیت بغیر تیممّ، مضافاً إلی معارضته بالأسانید المتقدّمة الصحیحة الصرّیحة فی دفنه بتیممّ ، وبإسناد آخر فی الوسائل </w:t>
      </w:r>
      <w:r>
        <w:rPr>
          <w:rStyle w:val="FootnoteAnchor"/>
          <w:rtl w:val="true"/>
        </w:rPr>
        <w:footnoteReference w:id="851"/>
      </w:r>
      <w:r>
        <w:rPr>
          <w:rFonts w:ascii="IRNazanin" w:hAnsi="IRNazanin" w:eastAsia="IRNazanin"/>
          <w:color w:val="111111"/>
          <w:sz w:val="28"/>
          <w:sz w:val="28"/>
          <w:szCs w:val="28"/>
          <w:rtl w:val="true"/>
          <w:lang w:bidi="fa-IR"/>
        </w:rPr>
        <w:t xml:space="preserve">عن الشیخ مرسلا إلی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 والجنب المتّفقین فی مکان لا یکون فیه الماء إلا بقدر ما یکفی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الجنب، ویغتسل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اختلاف هذه النصوص وعدم صراحتها فی الوجوب حملها الوسائل علی الأولویّة والاستحباب أو التخییر، لا اللزوم 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مکان الرجلین منحدراً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لتنحدر الغسالة من تحته، ولمظئنّة خروج شیء من أسفله </w:t>
      </w:r>
    </w:p>
    <w:p>
      <w:pPr>
        <w:pStyle w:val="BookText"/>
        <w:rPr/>
      </w:pPr>
      <w:r>
        <w:rPr>
          <w:rFonts w:ascii="IRNazanin" w:hAnsi="IRNazanin" w:eastAsia="IRNazanin"/>
          <w:color w:val="111111"/>
          <w:sz w:val="28"/>
          <w:sz w:val="28"/>
          <w:szCs w:val="28"/>
          <w:rtl w:val="true"/>
          <w:lang w:bidi="fa-IR"/>
        </w:rPr>
        <w:t xml:space="preserve">فلا ینحدر إلی العالیة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الأصل بالأوامر ، والصحیح بعدم الکلام فیه ، لعدم وجوب ما تعتر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کیف تیتر</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لو کان جواباً للسؤال عن جواز أیّ الاستقبالین المیسور أحدهما والمعسور ثانیهما ، کأن معناه کما زعمه الزاعمّ من جواز المیسور خاصّة دون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جواباً للسؤال عن وجوب أیّ الاستقبالین المیسورین معاً ، کما یقتضیه ظاهر السؤال وحال السائل، والعادة الغالبیة فی المسؤول من تیسّر حالتیه ، کان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کیف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کیف شئت، فی عدم تعیین شیء من الاستقبالین المسؤول عن وجوب أیّهما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معناه تجویز المیسور خاصّة، لکن لا المیسور المنحصر فی فرد خاصّة ، بل مطلق المیسور وإن تعدّد أفراده التی بعضها غیر القبلة کما هو قضّیة عمومه وإطلاقه ، ولازمه الدلالة علی التخییر عند تعدّد أفراد المیسور وإن کان بعضها إلی غیر القبلة، ولا أقلّ من ظهوره فی التخییر بین القسمین المسؤول عنهما إذا تیسّرا معاً، مع أن ثانیهما غیر متوجّه، للاتّفاق علی انحصار کیفیّته فی الأول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 فلا یقاوم هذا الصحیح الأوامر </w:t>
      </w:r>
      <w:r>
        <w:rPr>
          <w:rStyle w:val="FootnoteAnchor"/>
          <w:rtl w:val="true"/>
        </w:rPr>
        <w:footnoteReference w:id="853"/>
      </w:r>
      <w:r>
        <w:rPr>
          <w:rFonts w:ascii="IRNazanin" w:hAnsi="IRNazanin" w:eastAsia="IRNazanin"/>
          <w:color w:val="111111"/>
          <w:sz w:val="28"/>
          <w:sz w:val="28"/>
          <w:szCs w:val="28"/>
          <w:rtl w:val="true"/>
          <w:lang w:bidi="fa-IR"/>
        </w:rPr>
        <w:t xml:space="preserve">الظاهرة فی وجوب استقبال المیّت حال التغسیل، لا سنداً ، لأصحّیة الصحیح منها ، ولا دلالة، لاقترانه فیها بالأمر بکثیر من المستحّبات، وهو صالح لإرادته منه أیضاً، مع شیوع استعمال مطلق الأمر فی الندب أیضاً ، ولا معتضداً، لاعتضاد الصحیح بالأصل والشهرة </w:t>
      </w:r>
    </w:p>
    <w:p>
      <w:pPr>
        <w:pStyle w:val="BookText"/>
        <w:rPr/>
      </w:pPr>
      <w:r>
        <w:rPr>
          <w:rFonts w:ascii="IRNazanin" w:hAnsi="IRNazanin" w:eastAsia="IRNazanin"/>
          <w:color w:val="111111"/>
          <w:sz w:val="28"/>
          <w:sz w:val="28"/>
          <w:szCs w:val="28"/>
          <w:rtl w:val="true"/>
          <w:lang w:bidi="fa-IR"/>
        </w:rPr>
        <w:t>والإجماع المحکیّ عن الغنیة</w:t>
      </w:r>
      <w:r>
        <w:rPr>
          <w:rStyle w:val="FootnoteAnchor"/>
          <w:rtl w:val="true"/>
        </w:rPr>
        <w:footnoteReference w:id="854"/>
      </w:r>
      <w:r>
        <w:rPr>
          <w:rFonts w:ascii="IRNazanin" w:hAnsi="IRNazanin" w:eastAsia="IRNazanin"/>
          <w:color w:val="111111"/>
          <w:sz w:val="28"/>
          <w:sz w:val="28"/>
          <w:szCs w:val="28"/>
          <w:rtl w:val="true"/>
          <w:lang w:bidi="fa-IR"/>
        </w:rPr>
        <w:t xml:space="preserve">، وإطلاق أکثر النصوص </w:t>
      </w:r>
      <w:r>
        <w:rPr>
          <w:rStyle w:val="FootnoteAnchor"/>
          <w:rtl w:val="true"/>
        </w:rPr>
        <w:footnoteReference w:id="855"/>
      </w:r>
      <w:r>
        <w:rPr>
          <w:rFonts w:ascii="IRNazanin" w:hAnsi="IRNazanin" w:eastAsia="IRNazanin"/>
          <w:color w:val="111111"/>
          <w:sz w:val="28"/>
          <w:sz w:val="28"/>
          <w:szCs w:val="28"/>
          <w:rtl w:val="true"/>
          <w:lang w:bidi="fa-IR"/>
        </w:rPr>
        <w:t>بوضعه حال التغسیل وخلوّها عن تقیید الوضع بالاستقبال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عدم مقاومة الأوامر الظاهرة فی وجوب استقبال المیّت حال التغسیل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الجهات العدیدة ، یظهر عدم مقاومتها الأصل من جمیع تلک الجهات أو أکثرها ، فتعیّن القول بالاستحباب حینئذ لا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تحمل عبارة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استحباب ستر عورة المیّت فی ظاهر المتن علی الاحتیاط والحذر عن غفلة النظر لخصوص الواثق من نفسه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الاحتیاط والحذر عن النظر مطلقا، للواثق وغیره ، نظراً إلی أن وجوب الستر إنما هو علی المنظور، وإلا فالناظر إنما یحرم علیه النظر، وبعد فرض</w:t>
      </w:r>
      <w:r>
        <w:rPr>
          <w:rStyle w:val="FootnoteAnchor"/>
          <w:rtl w:val="true"/>
        </w:rPr>
        <w:footnoteReference w:id="856"/>
      </w:r>
      <w:r>
        <w:rPr>
          <w:rFonts w:ascii="IRNazanin" w:hAnsi="IRNazanin" w:eastAsia="IRNazanin"/>
          <w:color w:val="111111"/>
          <w:sz w:val="28"/>
          <w:sz w:val="28"/>
          <w:szCs w:val="28"/>
          <w:rtl w:val="true"/>
          <w:lang w:bidi="fa-IR"/>
        </w:rPr>
        <w:t>سقوط الأول منهما بالموت لم یبق إلا حرمة النظر ووجوب الغضّ، وهو لا یستلزم وجوب الستر، لعدم التوقّف علیه ، ولکن یندب حذراً عن الغفلة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حمله علی محمل ثالث، وهو استحباب ستر عورته علی مَن لا یحرم نظراً إلیها ، کالطفل والزوجین ، للنصّ </w:t>
      </w:r>
      <w:r>
        <w:rPr>
          <w:rStyle w:val="FootnoteAnchor"/>
          <w:rtl w:val="true"/>
        </w:rPr>
        <w:footnoteReference w:id="857"/>
      </w:r>
      <w:r>
        <w:rPr>
          <w:rFonts w:ascii="IRNazanin" w:hAnsi="IRNazanin" w:eastAsia="IRNazanin"/>
          <w:color w:val="111111"/>
          <w:sz w:val="28"/>
          <w:sz w:val="28"/>
          <w:szCs w:val="28"/>
          <w:rtl w:val="true"/>
          <w:lang w:bidi="fa-IR"/>
        </w:rPr>
        <w:t>به فیهما، حتی إنه ربما حمل علی الوجوب فیه تعبّداً ، لکن لقصوره عن إثبات الوجوب عند مَن لم یقل به حمل علی الندب، فیدلّ بالفحوی فی غیرهما من المحارم، إذ لا أقلّ من المساواة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فیجری فیه ما احتمله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 فتوی العمانی بمضمون الخبر ما احتمله الخبر </w:t>
      </w:r>
      <w:r>
        <w:rPr>
          <w:rStyle w:val="FootnoteAnchor"/>
          <w:rtl w:val="true"/>
        </w:rPr>
        <w:footnoteReference w:id="858"/>
      </w:r>
      <w:r>
        <w:rPr>
          <w:rFonts w:ascii="IRNazanin" w:hAnsi="IRNazanin" w:eastAsia="IRNazanin"/>
          <w:color w:val="111111"/>
          <w:sz w:val="28"/>
          <w:sz w:val="28"/>
          <w:szCs w:val="28"/>
          <w:rtl w:val="true"/>
          <w:lang w:bidi="fa-IR"/>
        </w:rPr>
        <w:t>من الضعف، وکون الغمز غیر التلیین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تخصیص کراهته بما إذا تصعّب التلیین وتعکّفت </w:t>
      </w:r>
      <w:r>
        <w:rPr>
          <w:rStyle w:val="FootnoteAnchor"/>
          <w:rtl w:val="true"/>
        </w:rPr>
        <w:footnoteReference w:id="859"/>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بما بعد الغسل، لعدّم الفائدة حینئذ، بناءً علی أن الفائدة فی تلیینها لتکون أطوع للتغسیل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w:t>
      </w:r>
      <w:r>
        <w:rPr>
          <w:rStyle w:val="FootnoteAnchor"/>
          <w:rtl w:val="true"/>
        </w:rPr>
        <w:footnoteReference w:id="8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وقوع غسل الرأس والوجه بالسدر فی عرض ما حدّ به غسل المیت وإن أشعر بدخوله لا خروجه، إلا أن تعقبّه غسل المرفقة بالحرض </w:t>
      </w:r>
      <w:r>
        <w:rPr>
          <w:rStyle w:val="FootnoteAnchor"/>
          <w:rtl w:val="true"/>
        </w:rPr>
        <w:footnoteReference w:id="861"/>
      </w:r>
      <w:r>
        <w:rPr>
          <w:rFonts w:ascii="IRNazanin" w:hAnsi="IRNazanin" w:eastAsia="IRNazanin"/>
          <w:color w:val="111111"/>
          <w:sz w:val="28"/>
          <w:sz w:val="28"/>
          <w:szCs w:val="28"/>
          <w:rtl w:val="true"/>
          <w:lang w:bidi="fa-IR"/>
        </w:rPr>
        <w:t>یشعر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عن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الاعتراض بأن کثرة الخارج لا یوجب الکراهة الشرعیّة فکیف تکون المعرضیة موجبة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إمکان دفعه بإمکان إثبات الکراهة الشرعیّة بمجرّد قول الشهید </w:t>
      </w:r>
      <w:r>
        <w:rPr>
          <w:rStyle w:val="FootnoteAnchor"/>
          <w:rtl w:val="true"/>
        </w:rPr>
        <w:footnoteReference w:id="862"/>
      </w:r>
      <w:r>
        <w:rPr>
          <w:rFonts w:ascii="IRNazanin" w:hAnsi="IRNazanin" w:eastAsia="IRNazanin"/>
          <w:color w:val="111111"/>
          <w:sz w:val="28"/>
          <w:sz w:val="28"/>
          <w:szCs w:val="28"/>
          <w:rtl w:val="true"/>
          <w:lang w:bidi="fa-IR"/>
        </w:rPr>
        <w:t xml:space="preserve">بها، بالمسامحة فی أدلّة السنن ،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لفتوی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ترجیل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تسریحه بالمرجل، وهو المشط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إمکان المناقشة بأنه إذا لم یعتبر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مرسل ابن أبی </w:t>
      </w:r>
      <w:r>
        <w:rPr>
          <w:rStyle w:val="FootnoteAnchor"/>
          <w:rtl w:val="true"/>
        </w:rPr>
        <w:footnoteReference w:id="864"/>
      </w:r>
      <w:r>
        <w:rPr>
          <w:rFonts w:ascii="IRNazanin" w:hAnsi="IRNazanin" w:eastAsia="IRNazanin"/>
          <w:color w:val="111111"/>
          <w:sz w:val="28"/>
          <w:sz w:val="28"/>
          <w:szCs w:val="28"/>
          <w:rtl w:val="true"/>
          <w:lang w:bidi="fa-IR"/>
        </w:rPr>
        <w:t xml:space="preserve">عمیر الذی هو من أصحاب الإجماع، ومراسیله فی حکم المسانید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تعتبر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إلی دفع هذه المناقشة ، بأن عدم اعتبار سند المرسل المذکور لا ینافی حملها علی الکراهة تسامحاً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التسامح إنما یجبر ضعف سند المرسل، لا صرف ظهوره عن الحرمة إلی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یجبر ضعف السند، ولکن بالنسبة إلی مدلوله التضمّنی وهو الکراهة، لاستلزام ترکه النواب الذی هو موضوع التسامح فی أدلّة السنن، لا بالنسبة إلی مدلوله المطابقی وهو الحرمة، لخروجها عن مورد التسامح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هی علی تقدیر کون الواو بمعنی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تقدیر کون الواو استینافیّة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منها تامّ شامل جمیع البدن لا أقلّ من قدر شموله ، یکون الصحیح دلیلاً للمشهور، کتقدیر أکثر نسخ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تام لا أقلّ منه</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بحذف العاطفین معاً مع المعطوف علی ما حکی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 فقدهما حزازة العبارة</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الملازمة أولاً، بأن أکثر نسخ التهذیب </w:t>
      </w:r>
      <w:r>
        <w:rPr>
          <w:rStyle w:val="FootnoteAnchor"/>
          <w:rtl w:val="true"/>
        </w:rPr>
        <w:footnoteReference w:id="866"/>
      </w:r>
      <w:r>
        <w:rPr>
          <w:rFonts w:ascii="IRNazanin" w:hAnsi="IRNazanin" w:eastAsia="IRNazanin"/>
          <w:color w:val="111111"/>
          <w:sz w:val="28"/>
          <w:sz w:val="28"/>
          <w:szCs w:val="28"/>
          <w:rtl w:val="true"/>
          <w:lang w:bidi="fa-IR"/>
        </w:rPr>
        <w:t>المعتبرة المنقول منها حذف العاطفین معاً إنما هو حذفهما مع حذف المعطوف ، لا حذفهما فقط مع بقاء المعطوف حتی یستلزم الحزازة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مجرّد احتمال وإمکان عقلیّ لم ینقل وقوعه فی نسخة أصلاً، وإنما المنقول وقوعه من الاختلاف فی النسخ </w:t>
      </w:r>
    </w:p>
    <w:p>
      <w:pPr>
        <w:pStyle w:val="BookText"/>
        <w:rPr/>
      </w:pPr>
      <w:r>
        <w:rPr>
          <w:rFonts w:ascii="IRNazanin" w:hAnsi="IRNazanin" w:eastAsia="IRNazanin"/>
          <w:color w:val="111111"/>
          <w:sz w:val="28"/>
          <w:sz w:val="28"/>
          <w:szCs w:val="28"/>
          <w:rtl w:val="true"/>
          <w:lang w:bidi="fa-IR"/>
        </w:rPr>
        <w:t>الصحیحة المذکورة منحصر فی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العاطفین مع المعطوف عن أکثر نسخ التهذیب المعتبرة، ووجود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نسخه، والواو عن نسخ الکافی</w:t>
      </w:r>
      <w:r>
        <w:rPr>
          <w:rStyle w:val="FootnoteAnchor"/>
          <w:rtl w:val="true"/>
        </w:rPr>
        <w:footnoteReference w:id="867"/>
      </w:r>
      <w:r>
        <w:rPr>
          <w:rFonts w:ascii="IRNazanin" w:hAnsi="IRNazanin" w:eastAsia="IRNazanin"/>
          <w:color w:val="111111"/>
          <w:sz w:val="28"/>
          <w:sz w:val="28"/>
          <w:szCs w:val="28"/>
          <w:rtl w:val="true"/>
          <w:lang w:bidi="fa-IR"/>
        </w:rPr>
        <w:t>، وأما حذف العاطفین مع بقاء المعطوف فلم ینقل عن نسخة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التأویل اللازم لرفع حزازة المعنی علی تقدیر وجود العاطف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 تامّ بمعنی ثوب منها تامّ، بجعل الواو استینافیّة ، أو من عطف الخاصّ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لحزازة اللفظ علی تقدیر فقد العاطف أیضاً ، فلا وجه للالتزام بوجوده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لا یخلو عن المناقشة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تخریج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ظهوره فی التخییر بین حکمی الاختیار إلی التقسیم بین حکمی الاختیار والاضطرار ، المخالف للظاهر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الحمل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ذکر العاطف والمعطوف علی التقیّة ، لاتمام الصحیح ، لعدم الموجب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حملاً خامساً، وهو کون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تمام العاطف أو مع المعطوف زیادة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الأرجح منها الحمل علی التقیّة ، ودونه فی الرجحان الحمل علی الضرورة، ودونه الحمل علی نسخة حذف العاطفین مع المعطوف ، ودونه الحمل علی نسخة الکافی بوجود الواو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ودونه الحمل علی کون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تمام العاطف أو مع المعطوف زیادة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 ما بین السرّة و الرکبة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البرهان</w:t>
      </w:r>
      <w:r>
        <w:rPr>
          <w:rStyle w:val="FootnoteAnchor"/>
          <w:rtl w:val="true"/>
        </w:rPr>
        <w:footnoteReference w:id="868"/>
      </w:r>
      <w:r>
        <w:rPr>
          <w:rFonts w:ascii="Amiri" w:hAnsi="Amiri" w:eastAsia="Amiri" w:cs="Amiri"/>
          <w:color w:val="111111"/>
          <w:sz w:val="28"/>
          <w:sz w:val="28"/>
          <w:szCs w:val="28"/>
          <w:rtl w:val="true"/>
          <w:lang w:bidi="ar-SA"/>
        </w:rPr>
        <w:t>عن الروضة</w:t>
      </w:r>
      <w:r>
        <w:rPr>
          <w:rStyle w:val="FootnoteAnchor"/>
          <w:rtl w:val="true"/>
        </w:rPr>
        <w:footnoteReference w:id="869"/>
      </w:r>
      <w:r>
        <w:rPr>
          <w:rFonts w:ascii="IRNazanin" w:hAnsi="IRNazanin" w:eastAsia="IRNazanin"/>
          <w:color w:val="111111"/>
          <w:sz w:val="28"/>
          <w:sz w:val="28"/>
          <w:szCs w:val="28"/>
          <w:rtl w:val="true"/>
          <w:lang w:bidi="fa-IR"/>
        </w:rPr>
        <w:t xml:space="preserve">احتمال ما یستر العورة خاصّة، لأنه </w:t>
      </w:r>
    </w:p>
    <w:p>
      <w:pPr>
        <w:pStyle w:val="BookText"/>
        <w:rPr/>
      </w:pPr>
      <w:r>
        <w:rPr>
          <w:rFonts w:ascii="IRNazanin" w:hAnsi="IRNazanin" w:eastAsia="IRNazanin"/>
          <w:color w:val="111111"/>
          <w:sz w:val="28"/>
          <w:sz w:val="28"/>
          <w:szCs w:val="28"/>
          <w:rtl w:val="true"/>
          <w:lang w:bidi="fa-IR"/>
        </w:rPr>
        <w:t>شرع لسترها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أثر فی الروضة، ولعلّه عن الروض</w:t>
      </w:r>
      <w:r>
        <w:rPr>
          <w:rStyle w:val="FootnoteAnchor"/>
          <w:rtl w:val="true"/>
        </w:rPr>
        <w:footnoteReference w:id="870"/>
      </w:r>
      <w:r>
        <w:rPr>
          <w:rFonts w:ascii="IRNazanin" w:hAnsi="IRNazanin" w:eastAsia="IRNazanin"/>
          <w:color w:val="111111"/>
          <w:sz w:val="28"/>
          <w:sz w:val="28"/>
          <w:szCs w:val="28"/>
          <w:rtl w:val="true"/>
          <w:lang w:bidi="fa-IR"/>
        </w:rPr>
        <w:t>، کما نقله الجواهر</w:t>
      </w:r>
      <w:r>
        <w:rPr>
          <w:rStyle w:val="FootnoteAnchor"/>
          <w:rtl w:val="true"/>
        </w:rPr>
        <w:footnoteReference w:id="87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فیضعّف وجهه بعدم لزوم اطّراد الحکمة، فلیحمل مطلقه علی المقید بالمتعارف من المئزر، وهو ستر الأزید من العورة،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المئزر عرفاً، المتحقّق بستر العورة فما زاد من ستر الحقوین إلی الورکین إلی نصف الفخذ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تعیین الأولین هو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وجه تخصیص شهرة التعیین بالأولین فلأن تعیین الثالث موضع اتّفاق النصوص والفتاوی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المراد من تعیینهما علی المشهور فلیس وجوبهما علی المشهور وعدمه علی غیر المشهور، لأن المفروض المفروغیة عن وجوب القطع الثلاث ، وعن رد سلار </w:t>
      </w:r>
      <w:r>
        <w:rPr>
          <w:rStyle w:val="FootnoteAnchor"/>
          <w:rtl w:val="true"/>
        </w:rPr>
        <w:footnoteReference w:id="872"/>
      </w:r>
      <w:r>
        <w:rPr>
          <w:rFonts w:ascii="IRNazanin" w:hAnsi="IRNazanin" w:eastAsia="IRNazanin"/>
          <w:color w:val="111111"/>
          <w:sz w:val="28"/>
          <w:sz w:val="28"/>
          <w:szCs w:val="28"/>
          <w:rtl w:val="true"/>
          <w:lang w:bidi="fa-IR"/>
        </w:rPr>
        <w:t>المکتفی باللفّافة الواحدة فیما سبق، بل المراد بتعیینهما علی المشهور وجوبهما معینّاً علی المشهور فی مقابل وجوبهما المخیرّ بینهما وبین الاجتزاء بثیاب ثلاثة شاملة، أو بین ثوبین شاملین وقمیص، کما عن صریح المدارک</w:t>
      </w:r>
      <w:r>
        <w:rPr>
          <w:rStyle w:val="FootnoteAnchor"/>
          <w:rtl w:val="true"/>
        </w:rPr>
        <w:footnoteReference w:id="873"/>
      </w:r>
      <w:r>
        <w:rPr>
          <w:rFonts w:ascii="IRNazanin" w:hAnsi="IRNazanin" w:eastAsia="IRNazanin"/>
          <w:color w:val="111111"/>
          <w:sz w:val="28"/>
          <w:sz w:val="28"/>
          <w:szCs w:val="28"/>
          <w:rtl w:val="true"/>
          <w:lang w:bidi="fa-IR"/>
        </w:rPr>
        <w:t xml:space="preserve">اختیاره ونسبته إلی الاسکافی ، واستظهره الجواهر </w:t>
      </w:r>
      <w:r>
        <w:rPr>
          <w:rStyle w:val="FootnoteAnchor"/>
          <w:rtl w:val="true"/>
        </w:rPr>
        <w:footnoteReference w:id="874"/>
      </w:r>
      <w:r>
        <w:rPr>
          <w:rFonts w:ascii="IRNazanin" w:hAnsi="IRNazanin" w:eastAsia="IRNazanin"/>
          <w:color w:val="111111"/>
          <w:sz w:val="28"/>
          <w:sz w:val="28"/>
          <w:szCs w:val="28"/>
          <w:rtl w:val="true"/>
          <w:lang w:bidi="fa-IR"/>
        </w:rPr>
        <w:t xml:space="preserve">أیضاًوإن استبعده بعد، أو بین ثوبین شاملین و مئزر،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القمیص وتبدیله بثوب شامل، کما عن الاسکافی</w:t>
      </w:r>
      <w:r>
        <w:rPr>
          <w:rStyle w:val="FootnoteAnchor"/>
          <w:rtl w:val="true"/>
        </w:rPr>
        <w:footnoteReference w:id="875"/>
      </w:r>
      <w:r>
        <w:rPr>
          <w:rFonts w:ascii="IRNazanin" w:hAnsi="IRNazanin" w:eastAsia="IRNazanin"/>
          <w:color w:val="111111"/>
          <w:sz w:val="28"/>
          <w:sz w:val="28"/>
          <w:szCs w:val="28"/>
          <w:rtl w:val="true"/>
          <w:lang w:bidi="fa-IR"/>
        </w:rPr>
        <w:t>والمعتبر</w:t>
      </w:r>
      <w:r>
        <w:rPr>
          <w:rStyle w:val="FootnoteAnchor"/>
          <w:rtl w:val="true"/>
        </w:rPr>
        <w:footnoteReference w:id="876"/>
      </w:r>
      <w:r>
        <w:rPr>
          <w:rFonts w:ascii="Amiri" w:hAnsi="Amiri" w:eastAsia="Amiri" w:cs="Amiri"/>
          <w:color w:val="111111"/>
          <w:sz w:val="28"/>
          <w:sz w:val="28"/>
          <w:szCs w:val="28"/>
          <w:rtl w:val="true"/>
          <w:lang w:bidi="ar-SA"/>
        </w:rPr>
        <w:t xml:space="preserve">وبعض مَن تأخّر تصریح </w:t>
      </w:r>
    </w:p>
    <w:p>
      <w:pPr>
        <w:pStyle w:val="BookText"/>
        <w:rPr/>
      </w:pPr>
      <w:r>
        <w:rPr>
          <w:rFonts w:ascii="Amiri" w:hAnsi="Amiri" w:eastAsia="Amiri" w:cs="Amiri"/>
          <w:color w:val="111111"/>
          <w:sz w:val="28"/>
          <w:sz w:val="28"/>
          <w:szCs w:val="28"/>
          <w:rtl w:val="true"/>
          <w:lang w:bidi="ar-SA"/>
        </w:rPr>
        <w:t>الروضة</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وأما مدرک عدم تعیین الأولین أو عدم تعیین أحدهما فلعلّه أصالة البراءة عن التعیین، وإطلاق ما دل </w:t>
      </w:r>
      <w:r>
        <w:rPr>
          <w:rStyle w:val="FootnoteAnchor"/>
          <w:rtl w:val="true"/>
        </w:rPr>
        <w:footnoteReference w:id="878"/>
      </w:r>
      <w:r>
        <w:rPr>
          <w:rFonts w:ascii="IRNazanin" w:hAnsi="IRNazanin" w:eastAsia="IRNazanin"/>
          <w:color w:val="111111"/>
          <w:sz w:val="28"/>
          <w:sz w:val="28"/>
          <w:szCs w:val="28"/>
          <w:rtl w:val="true"/>
          <w:lang w:bidi="fa-IR"/>
        </w:rPr>
        <w:t>علی التکفین بالأثواب الثلاثة، أو الثوبین والقمیص، أو الثوبین والمئزر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مبنی القول بعدم تعیین المئزر فعدم حمل الإزار الموجود فی نصوص</w:t>
      </w:r>
      <w:r>
        <w:rPr>
          <w:rStyle w:val="FootnoteAnchor"/>
          <w:rtl w:val="true"/>
        </w:rPr>
        <w:footnoteReference w:id="879"/>
      </w:r>
      <w:r>
        <w:rPr>
          <w:rFonts w:ascii="IRNazanin" w:hAnsi="IRNazanin" w:eastAsia="IRNazanin"/>
          <w:color w:val="111111"/>
          <w:sz w:val="28"/>
          <w:sz w:val="28"/>
          <w:szCs w:val="28"/>
          <w:rtl w:val="true"/>
          <w:lang w:bidi="fa-IR"/>
        </w:rPr>
        <w:t xml:space="preserve">، الباب علی المئزر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مبنیّ المشهور علی جعل الإزار فیها بمعنی المئزر، کما هو الأظهر وفاقاً للأشهر، فتحمل علیه مطلقات الأثواب ، حملاً للمطلق علی المقیّد والمجمل علی المبّین ، کما هو الدأب والأصل فی کلّ مطلق و مقیّد و مجمل و مبیّن ، مضافاً إلی الاعتضاد بالأصل علی وجه والشهرة والإجماعات المنقولة والسیرة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صحّة مبنیّ المشهور من کون الإزار فی نصوص الباب بمعنی المئزر فلما یظهر من کتب اللغة </w:t>
      </w:r>
      <w:r>
        <w:rPr>
          <w:rStyle w:val="FootnoteAnchor"/>
          <w:rtl w:val="true"/>
        </w:rPr>
        <w:footnoteReference w:id="880"/>
      </w:r>
      <w:r>
        <w:rPr>
          <w:rFonts w:ascii="IRNazanin" w:hAnsi="IRNazanin" w:eastAsia="IRNazanin"/>
          <w:color w:val="111111"/>
          <w:sz w:val="28"/>
          <w:sz w:val="28"/>
          <w:szCs w:val="28"/>
          <w:rtl w:val="true"/>
          <w:lang w:bidi="fa-IR"/>
        </w:rPr>
        <w:t>من کون الإزار بمعنی المئزر ، إما مختصّاً به کما یظهر من بعضها ، فیکون مجازاً فی الملحفة، وهو الثوب الشامل لجمیع البدن ، وإما مع الملحفة ، بالنقل المتأخّر عن عرف زمان الشارع کعرف زماننا کما احتمله الجواهر</w:t>
      </w:r>
      <w:r>
        <w:rPr>
          <w:rStyle w:val="FootnoteAnchor"/>
          <w:rtl w:val="true"/>
        </w:rPr>
        <w:footnoteReference w:id="881"/>
      </w:r>
      <w:r>
        <w:rPr>
          <w:rFonts w:ascii="IRNazanin" w:hAnsi="IRNazanin" w:eastAsia="IRNazanin"/>
          <w:color w:val="111111"/>
          <w:sz w:val="28"/>
          <w:sz w:val="28"/>
          <w:szCs w:val="28"/>
          <w:rtl w:val="true"/>
          <w:lang w:bidi="fa-IR"/>
        </w:rPr>
        <w:t>، أو بالاشتراک ، کما یظهر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المبنیّ المذکور علی الأولین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الاشتراک بقیام القرینة علی تعیین المئزر فی باب التکفین من وجوه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الحاصلة من ملاحظة فتوی الأصحاب ومعاقد إجماعاتهم المنقولة علی تعیین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ملاحظة فهم الأصحاب من الإزار فی باب </w:t>
      </w:r>
    </w:p>
    <w:p>
      <w:pPr>
        <w:pStyle w:val="BookText"/>
        <w:rPr/>
      </w:pPr>
      <w:r>
        <w:rPr>
          <w:rFonts w:ascii="IRNazanin" w:hAnsi="IRNazanin" w:eastAsia="IRNazanin"/>
          <w:color w:val="111111"/>
          <w:sz w:val="28"/>
          <w:sz w:val="28"/>
          <w:szCs w:val="28"/>
          <w:rtl w:val="true"/>
          <w:lang w:bidi="fa-IR"/>
        </w:rPr>
        <w:t xml:space="preserve">التکفین المئزر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استقرار سیرتهم العملیّة علیه 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ملاحظة کون المراد منه فی أغلب موارد إطلاقاته المئزر فی الفتاوی والنصوص ، کما فی باب </w:t>
      </w:r>
      <w:r>
        <w:rPr>
          <w:rStyle w:val="FootnoteAnchor"/>
          <w:rtl w:val="true"/>
        </w:rPr>
        <w:footnoteReference w:id="882"/>
      </w:r>
      <w:r>
        <w:rPr>
          <w:rFonts w:ascii="IRNazanin" w:hAnsi="IRNazanin" w:eastAsia="IRNazanin"/>
          <w:color w:val="111111"/>
          <w:sz w:val="28"/>
          <w:sz w:val="28"/>
          <w:szCs w:val="28"/>
          <w:rtl w:val="true"/>
          <w:lang w:bidi="fa-IR"/>
        </w:rPr>
        <w:t xml:space="preserve">أن الإحرام إزار ورداء، وفی باب </w:t>
      </w:r>
      <w:r>
        <w:rPr>
          <w:rStyle w:val="FootnoteAnchor"/>
          <w:rtl w:val="true"/>
        </w:rPr>
        <w:footnoteReference w:id="883"/>
      </w:r>
      <w:r>
        <w:rPr>
          <w:rFonts w:ascii="IRNazanin" w:hAnsi="IRNazanin" w:eastAsia="IRNazanin"/>
          <w:color w:val="111111"/>
          <w:sz w:val="28"/>
          <w:sz w:val="28"/>
          <w:szCs w:val="28"/>
          <w:rtl w:val="true"/>
          <w:lang w:bidi="fa-IR"/>
        </w:rPr>
        <w:t xml:space="preserve">عدم دخول الحمام إلا بإزار ، وفی باب </w:t>
      </w:r>
      <w:r>
        <w:rPr>
          <w:rStyle w:val="FootnoteAnchor"/>
          <w:rtl w:val="true"/>
        </w:rPr>
        <w:footnoteReference w:id="884"/>
      </w:r>
      <w:r>
        <w:rPr>
          <w:rFonts w:ascii="IRNazanin" w:hAnsi="IRNazanin" w:eastAsia="IRNazanin"/>
          <w:color w:val="111111"/>
          <w:sz w:val="28"/>
          <w:sz w:val="28"/>
          <w:szCs w:val="28"/>
          <w:rtl w:val="true"/>
          <w:lang w:bidi="fa-IR"/>
        </w:rPr>
        <w:t xml:space="preserve">الاستمتاع بالحائض بما یتزّر من إزارها، وفی باب </w:t>
      </w:r>
      <w:r>
        <w:rPr>
          <w:rStyle w:val="FootnoteAnchor"/>
          <w:rtl w:val="true"/>
        </w:rPr>
        <w:footnoteReference w:id="885"/>
      </w:r>
      <w:r>
        <w:rPr>
          <w:rFonts w:ascii="IRNazanin" w:hAnsi="IRNazanin" w:eastAsia="IRNazanin"/>
          <w:color w:val="111111"/>
          <w:sz w:val="28"/>
          <w:sz w:val="28"/>
          <w:szCs w:val="28"/>
          <w:rtl w:val="true"/>
          <w:lang w:bidi="fa-IR"/>
        </w:rPr>
        <w:t xml:space="preserve">کراهة الاتزّار فوق القمیص ، وفی باب </w:t>
      </w:r>
      <w:r>
        <w:rPr>
          <w:rStyle w:val="FootnoteAnchor"/>
          <w:rtl w:val="true"/>
        </w:rPr>
        <w:footnoteReference w:id="886"/>
      </w:r>
      <w:r>
        <w:rPr>
          <w:rFonts w:ascii="IRNazanin" w:hAnsi="IRNazanin" w:eastAsia="IRNazanin"/>
          <w:color w:val="111111"/>
          <w:sz w:val="28"/>
          <w:sz w:val="28"/>
          <w:szCs w:val="28"/>
          <w:rtl w:val="true"/>
          <w:lang w:bidi="fa-IR"/>
        </w:rPr>
        <w:t>طلی الإمام النورة وفوقها الإزار ، إلی غیر ذلک ممّا یحصل الظنّ القویّ بتعیین المئزر منه فی باب التکفین أیضاً، إلحاقاً للشیء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القرینة الخاصّة فی کثیر من نصوص التکفین بالإزار علی تعیین المئزر منها، حسبما تعرض لبیانها الشارح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المقنعة ، سمّیت به لأن الرأس یخمرّ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غطّیته فقد خمرّته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 مخمرّ الرأس، والخمر یخمرّ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حقو، وهو الکشح، وهو ما بین الخاصرة إلی الضلع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قمیص لا یزّر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الرجل القمیص زرّاً من باب قتل، أدخل أزراره فی العری، جمع زرّ بالکسر والتشدید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مجرّد عدم تعبیره عن اللفّافة والبرد بلفّافتین لعلّه لأجل بیان رجحان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اللفّافة الأخیرة غیر المستفادة من إطلاق اللفّافتین ، فلا یکون عدم التعبیر عنهما بلفّافتین قرینة کون اللفّافة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أن مجرّد توصیف البرد بما یجمع فیه الکفن لا یشعر باختصاص شمول البدن به دون اللفّافة ، إلا من باب مفهوم اللقب لا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فغایة إشعاره باختصاص شمول البدن به دون اللفّافة هو عدم اعتبار الشمول فی اللفّافة ، لا اعتبار عدم الشمول فیها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ذلک الإشعار أیضاً فلا یقاوم ظهور اللفّافة فی الشمول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قاصر سنداً ، بل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قصوره سنداً فلما قیل فی روایة </w:t>
      </w:r>
      <w:r>
        <w:rPr>
          <w:rStyle w:val="FootnoteAnchor"/>
          <w:rtl w:val="true"/>
        </w:rPr>
        <w:footnoteReference w:id="887"/>
      </w:r>
      <w:r>
        <w:rPr>
          <w:rFonts w:ascii="IRNazanin" w:hAnsi="IRNazanin" w:eastAsia="IRNazanin"/>
          <w:color w:val="111111"/>
          <w:sz w:val="28"/>
          <w:sz w:val="28"/>
          <w:szCs w:val="28"/>
          <w:rtl w:val="true"/>
          <w:lang w:bidi="fa-IR"/>
        </w:rPr>
        <w:t xml:space="preserve">محمد بن سهل من أنه مجهول ، ولکنّه معارض بما هو الأقوی من أنه ممدوح، وفاقاً للتعلیقة </w:t>
      </w:r>
      <w:r>
        <w:rPr>
          <w:rStyle w:val="FootnoteAnchor"/>
          <w:rtl w:val="true"/>
        </w:rPr>
        <w:footnoteReference w:id="888"/>
      </w:r>
      <w:r>
        <w:rPr>
          <w:rFonts w:ascii="IRNazanin" w:hAnsi="IRNazanin" w:eastAsia="IRNazanin"/>
          <w:color w:val="111111"/>
          <w:sz w:val="28"/>
          <w:sz w:val="28"/>
          <w:szCs w:val="28"/>
          <w:rtl w:val="true"/>
          <w:lang w:bidi="fa-IR"/>
        </w:rPr>
        <w:t>ومنتهی المقال</w:t>
      </w:r>
      <w:r>
        <w:rPr>
          <w:rStyle w:val="FootnoteAnchor"/>
          <w:rtl w:val="true"/>
        </w:rPr>
        <w:footnoteReference w:id="889"/>
      </w:r>
      <w:r>
        <w:rPr>
          <w:rFonts w:ascii="IRNazanin" w:hAnsi="IRNazanin" w:eastAsia="IRNazanin"/>
          <w:color w:val="111111"/>
          <w:sz w:val="28"/>
          <w:sz w:val="28"/>
          <w:szCs w:val="28"/>
          <w:rtl w:val="true"/>
          <w:lang w:bidi="fa-IR"/>
        </w:rPr>
        <w:t xml:space="preserve">، واعتضاداً، بوصفه فی کتب الرجال بأن له کتاباً یرویه جماعة من القمیین ، کسعد بن عبدالله والحمیری و محمد بن یحیی وأمثالهم ممّن لا یروی عن الضعفاء، وبأن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عنه تارة وبغیر واسطة أبیه أخری، وبأن الصدوق له طریق إلیه ، بل نقل فی الفقیه مرسلاً مثل ذلک الخبر ، ولعلّه عینه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موسی بن جعفر عن الرجل یموت أیکن فی ثلاثة أثواب بغیر 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والقمیص أحبّ إلیّ</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قصور دلالته فلما أشار إلیه الشارح من احتمال کون اللام فی القمیص للعهد لا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خلاف الظاهر من مرسل الفقیه علی تقدیر کونه خبراً آخر، ولکن الظاهر اتّحاده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فالقول باستحبابه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الاسکافی</w:t>
      </w:r>
      <w:r>
        <w:rPr>
          <w:rStyle w:val="FootnoteAnchor"/>
          <w:rtl w:val="true"/>
        </w:rPr>
        <w:footnoteReference w:id="891"/>
      </w:r>
      <w:r>
        <w:rPr>
          <w:rFonts w:ascii="IRNazanin" w:hAnsi="IRNazanin" w:eastAsia="IRNazanin"/>
          <w:color w:val="111111"/>
          <w:sz w:val="28"/>
          <w:sz w:val="28"/>
          <w:szCs w:val="28"/>
          <w:rtl w:val="true"/>
          <w:lang w:bidi="fa-IR"/>
        </w:rPr>
        <w:t xml:space="preserve">والمعتبر </w:t>
      </w:r>
      <w:r>
        <w:rPr>
          <w:rStyle w:val="FootnoteAnchor"/>
          <w:rtl w:val="true"/>
        </w:rPr>
        <w:footnoteReference w:id="892"/>
      </w:r>
      <w:r>
        <w:rPr>
          <w:rFonts w:ascii="IRNazanin" w:hAnsi="IRNazanin" w:eastAsia="IRNazanin"/>
          <w:color w:val="111111"/>
          <w:sz w:val="28"/>
          <w:sz w:val="28"/>
          <w:szCs w:val="28"/>
          <w:rtl w:val="true"/>
          <w:lang w:bidi="fa-IR"/>
        </w:rPr>
        <w:t xml:space="preserve">، وبه صح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منقول عن الجماعة فی الجواهر </w:t>
      </w:r>
      <w:r>
        <w:rPr>
          <w:rStyle w:val="FootnoteAnchor"/>
          <w:rtl w:val="true"/>
        </w:rPr>
        <w:footnoteReference w:id="893"/>
      </w:r>
      <w:r>
        <w:rPr>
          <w:rFonts w:ascii="IRNazanin" w:hAnsi="IRNazanin" w:eastAsia="IRNazanin"/>
          <w:color w:val="111111"/>
          <w:sz w:val="28"/>
          <w:sz w:val="28"/>
          <w:szCs w:val="28"/>
          <w:rtl w:val="true"/>
          <w:lang w:bidi="fa-IR"/>
        </w:rPr>
        <w:t>والبرهان</w:t>
      </w:r>
      <w:r>
        <w:rPr>
          <w:rStyle w:val="FootnoteAnchor"/>
          <w:rtl w:val="true"/>
        </w:rPr>
        <w:footnoteReference w:id="894"/>
      </w:r>
      <w:r>
        <w:rPr>
          <w:rFonts w:ascii="IRNazanin" w:hAnsi="IRNazanin" w:eastAsia="IRNazanin"/>
          <w:color w:val="111111"/>
          <w:sz w:val="28"/>
          <w:sz w:val="28"/>
          <w:szCs w:val="28"/>
          <w:rtl w:val="true"/>
          <w:lang w:bidi="fa-IR"/>
        </w:rPr>
        <w:t>وغیرهما ،</w:t>
      </w:r>
    </w:p>
    <w:p>
      <w:pPr>
        <w:pStyle w:val="BookText"/>
        <w:rPr/>
      </w:pPr>
      <w:r>
        <w:rPr>
          <w:rFonts w:ascii="IRNazanin" w:hAnsi="IRNazanin" w:eastAsia="IRNazanin"/>
          <w:color w:val="111111"/>
          <w:sz w:val="28"/>
          <w:sz w:val="28"/>
          <w:szCs w:val="28"/>
          <w:rtl w:val="true"/>
          <w:lang w:bidi="fa-IR"/>
        </w:rPr>
        <w:t xml:space="preserve">ومصرح به فی الروضة </w:t>
      </w:r>
      <w:r>
        <w:rPr>
          <w:rStyle w:val="FootnoteAnchor"/>
          <w:rtl w:val="true"/>
        </w:rPr>
        <w:footnoteReference w:id="895"/>
      </w:r>
      <w:r>
        <w:rPr>
          <w:rFonts w:ascii="IRNazanin" w:hAnsi="IRNazanin" w:eastAsia="IRNazanin"/>
          <w:color w:val="111111"/>
          <w:sz w:val="28"/>
          <w:sz w:val="28"/>
          <w:szCs w:val="28"/>
          <w:rtl w:val="true"/>
          <w:lang w:bidi="fa-IR"/>
        </w:rPr>
        <w:t xml:space="preserve">، وکذا الذی یساعد علیه استدلال الجماعة بإطلاق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المفروض فی الکفن ثلاثة أثواب تام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لخلوّها عن ذکر القمیص کما عن الروض </w:t>
      </w:r>
      <w:r>
        <w:rPr>
          <w:rStyle w:val="FootnoteAnchor"/>
          <w:rtl w:val="true"/>
        </w:rPr>
        <w:footnoteReference w:id="897"/>
      </w:r>
      <w:r>
        <w:rPr>
          <w:rFonts w:ascii="IRNazanin" w:hAnsi="IRNazanin" w:eastAsia="IRNazanin"/>
          <w:color w:val="111111"/>
          <w:sz w:val="28"/>
          <w:sz w:val="28"/>
          <w:szCs w:val="28"/>
          <w:rtl w:val="true"/>
          <w:lang w:bidi="fa-IR"/>
        </w:rPr>
        <w:t>والمعتبر</w:t>
      </w:r>
      <w:r>
        <w:rPr>
          <w:rStyle w:val="FootnoteAnchor"/>
          <w:rtl w:val="true"/>
        </w:rPr>
        <w:footnoteReference w:id="898"/>
      </w:r>
      <w:r>
        <w:rPr>
          <w:rFonts w:ascii="IRNazanin" w:hAnsi="IRNazanin" w:eastAsia="IRNazanin"/>
          <w:color w:val="111111"/>
          <w:sz w:val="28"/>
          <w:sz w:val="28"/>
          <w:szCs w:val="28"/>
          <w:rtl w:val="true"/>
          <w:lang w:bidi="fa-IR"/>
        </w:rPr>
        <w:t>، وبخلو أکثر النصوص عن تعیین القمیص، وأصل البراءة کما عن الذکری</w:t>
      </w:r>
      <w:r>
        <w:rPr>
          <w:rStyle w:val="FootnoteAnchor"/>
          <w:rtl w:val="true"/>
        </w:rPr>
        <w:footnoteReference w:id="899"/>
      </w:r>
      <w:r>
        <w:rPr>
          <w:rFonts w:ascii="IRNazanin" w:hAnsi="IRNazanin" w:eastAsia="IRNazanin"/>
          <w:color w:val="111111"/>
          <w:sz w:val="28"/>
          <w:sz w:val="28"/>
          <w:szCs w:val="28"/>
          <w:rtl w:val="true"/>
          <w:lang w:bidi="fa-IR"/>
        </w:rPr>
        <w:t>، إنما هو عدم تعیین خصوصیة القمیص وجواز الاجتزاء بدله بثوب شامل لجمیع البدن ، لا استحباب القمیص بمعنی جواز ترکه لا إلی بدل ، کما یوهمه ظاهر الریاض ، فإنه لم ینقل القول به فی شیء من الکتب المفصّلة عن أحد فضلاً عن الجماعة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یساعد علیه أیضاً شیء من استدلالاتهم المذکورة، سوی إطلاق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باستحبابه وخبر ابن سهل </w:t>
      </w:r>
      <w:r>
        <w:rPr>
          <w:rStyle w:val="FootnoteAnchor"/>
          <w:rtl w:val="true"/>
        </w:rPr>
        <w:footnoteReference w:id="900"/>
      </w:r>
      <w:r>
        <w:rPr>
          <w:rFonts w:ascii="IRNazanin" w:hAnsi="IRNazanin" w:eastAsia="IRNazanin"/>
          <w:color w:val="111111"/>
          <w:sz w:val="28"/>
          <w:sz w:val="28"/>
          <w:szCs w:val="28"/>
          <w:rtl w:val="true"/>
          <w:lang w:bidi="fa-IR"/>
        </w:rPr>
        <w:t xml:space="preserve">بأحبینه الظاهرین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استحبابه استحباب تعیینه من باب استحباب أحد فردی الواجب المخیّر، لا استحباب فعله فی مقابل جواز ترکه لا إلی بدل،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فی کیفیّة التکفین بالقطع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بالمئزر فوق خرقة الفخذین ، ثم القمیص ، ثم اللفّافة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مراد المشهور من الابتداء بتأزیره ثم بتقمیصه ثم بلفّه فهو وجوب الابتداء بتازیره قبل القمیص، لا استحبابه وکونه من آداب التکفین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مرادهم من وجوب الترتیب المذکور لیس وجوبه بحیث لو خالف الترتبب بطل التکفین ووجب إعادته بوجه الترتیب ، کما فی ترتیب الغسل لو خالفه ، بل مرادهم وجوبه توصّلاً إلی وقوع المئزر تحت القمیص والقمیص فوقه تحت اللفّافة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یفصح عن ذلک تفسیر البرهان</w:t>
      </w:r>
      <w:r>
        <w:rPr>
          <w:rStyle w:val="FootnoteAnchor"/>
          <w:rtl w:val="true"/>
        </w:rPr>
        <w:footnoteReference w:id="901"/>
      </w:r>
      <w:r>
        <w:rPr>
          <w:rFonts w:ascii="IRNazanin" w:hAnsi="IRNazanin" w:eastAsia="IRNazanin"/>
          <w:color w:val="111111"/>
          <w:sz w:val="28"/>
          <w:sz w:val="28"/>
          <w:szCs w:val="28"/>
          <w:rtl w:val="true"/>
          <w:lang w:bidi="fa-IR"/>
        </w:rPr>
        <w:t>وجوب الابتداء بالمئزر ثم القمیص بوجوب شد المئزر تحت القمیص والقمیص فوقه تحت اللفّافة ، حاکیاً له عن الجماعة ، وعن الذکری</w:t>
      </w:r>
      <w:r>
        <w:rPr>
          <w:rStyle w:val="FootnoteAnchor"/>
          <w:rtl w:val="true"/>
        </w:rPr>
        <w:footnoteReference w:id="902"/>
      </w:r>
      <w:r>
        <w:rPr>
          <w:rFonts w:ascii="IRNazanin" w:hAnsi="IRNazanin" w:eastAsia="IRNazanin"/>
          <w:color w:val="111111"/>
          <w:sz w:val="28"/>
          <w:sz w:val="28"/>
          <w:szCs w:val="28"/>
          <w:rtl w:val="true"/>
          <w:lang w:bidi="fa-IR"/>
        </w:rPr>
        <w:t xml:space="preserve">نسبته إلی الأصحاب ، وعن الشیخ </w:t>
      </w:r>
      <w:r>
        <w:rPr>
          <w:rStyle w:val="FootnoteAnchor"/>
          <w:rtl w:val="true"/>
        </w:rPr>
        <w:footnoteReference w:id="903"/>
      </w:r>
      <w:r>
        <w:rPr>
          <w:rFonts w:ascii="IRNazanin" w:hAnsi="IRNazanin" w:eastAsia="IRNazanin"/>
          <w:color w:val="111111"/>
          <w:sz w:val="28"/>
          <w:sz w:val="28"/>
          <w:szCs w:val="28"/>
          <w:rtl w:val="true"/>
          <w:lang w:bidi="fa-IR"/>
        </w:rPr>
        <w:t xml:space="preserve">الاجماع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الکشف قول القواعد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یوزره، ثم یلبسه القمیص، ثم یلفِّه بالازار</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المشهور المختار وإن جاز إلباس القمیص قبل التأزیر 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الخبرین الدالّین علی التقمیص قبل التازیر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یتمم الإلباس إلا بعد التأزیر</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الدلیل علی الترتیب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إلی السیرة العملیّة المستمرّة خلفاً عن سلف فی کیفیة التکفین ، والاعتبار العقلی القاضی بتقدیم التازیر علی القمیص ، کنتقدیم خرقة الفخذین علی التأزیر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المحققّة والإجماع المنقول </w:t>
      </w:r>
    </w:p>
    <w:p>
      <w:pPr>
        <w:pStyle w:val="BookText"/>
        <w:rPr/>
      </w:pPr>
      <w:r>
        <w:rPr>
          <w:rFonts w:ascii="IRNazanin" w:hAnsi="IRNazanin" w:eastAsia="IRNazanin"/>
          <w:color w:val="111111"/>
          <w:sz w:val="28"/>
          <w:sz w:val="28"/>
          <w:szCs w:val="28"/>
          <w:rtl w:val="true"/>
          <w:lang w:bidi="fa-IR"/>
        </w:rPr>
        <w:t xml:space="preserve">عن ظاهر الذکری وصریح الشیخ، وعدم الخلاف إلا ما عن ظاهر العمانی </w:t>
      </w:r>
      <w:r>
        <w:rPr>
          <w:rStyle w:val="FootnoteAnchor"/>
          <w:rtl w:val="true"/>
        </w:rPr>
        <w:footnoteReference w:id="906"/>
      </w:r>
      <w:r>
        <w:rPr>
          <w:rFonts w:ascii="IRNazanin" w:hAnsi="IRNazanin" w:eastAsia="IRNazanin"/>
          <w:color w:val="111111"/>
          <w:sz w:val="28"/>
          <w:sz w:val="28"/>
          <w:szCs w:val="28"/>
          <w:rtl w:val="true"/>
          <w:lang w:bidi="fa-IR"/>
        </w:rPr>
        <w:t xml:space="preserve">المحتمل فیه ما یحتمل فی نصوص </w:t>
      </w:r>
      <w:r>
        <w:rPr>
          <w:rStyle w:val="FootnoteAnchor"/>
          <w:rtl w:val="true"/>
        </w:rPr>
        <w:footnoteReference w:id="907"/>
      </w:r>
      <w:r>
        <w:rPr>
          <w:rFonts w:ascii="IRNazanin" w:hAnsi="IRNazanin" w:eastAsia="IRNazanin"/>
          <w:color w:val="111111"/>
          <w:sz w:val="28"/>
          <w:sz w:val="28"/>
          <w:szCs w:val="28"/>
          <w:rtl w:val="true"/>
          <w:lang w:bidi="fa-IR"/>
        </w:rPr>
        <w:t xml:space="preserve">تقدّیم التقمیص علی التأزیر من تأویل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الکشف</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إرادة استحباب تقدّیم التقمیص ، بمعنی أنه یدخل القمیص فی رقبة المیّت ولکن لا یتممّ إسداله علی بدنه إلا بعد التأزیر، فیوافق المشهور حینئذ فی تقدیم التازیر علی التقمیص بالمعنی الذی أرادوه من وقوع المئزر تحت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أول أیضاً موثّقة عمار</w:t>
      </w:r>
      <w:r>
        <w:rPr>
          <w:rStyle w:val="FootnoteAnchor"/>
          <w:rtl w:val="true"/>
        </w:rPr>
        <w:footnoteReference w:id="909"/>
      </w:r>
      <w:r>
        <w:rPr>
          <w:rFonts w:ascii="IRNazanin" w:hAnsi="IRNazanin" w:eastAsia="IRNazanin"/>
          <w:color w:val="111111"/>
          <w:sz w:val="28"/>
          <w:sz w:val="28"/>
          <w:szCs w:val="28"/>
          <w:rtl w:val="true"/>
          <w:lang w:bidi="fa-IR"/>
        </w:rPr>
        <w:t>المخالفة للکلّ من حیث ظهورها فی تقدیم التقمیص حتی علی خرقة الفخذین بذلک التأویل أیضاً، أعنی بإرادة شدّ الخرقة بعد إلباسه القمیص علی وجه تکون الخرقة من تحته ، بأن لا یتممّ التقمیص إلا بعد شدّ الخرقة والتأزیر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إعراض المشهور عن تلک النصوص وإن صحت سنداً وصرحت دلالة کاف فی إیجاب طرحها أو تأویلها إلی ما ذکر من موافقة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للمشهور بذلک أوجه مما فی الریاض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متابعتهم أولی، لقصور الأخبار</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إعراض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تعیین ما علیه 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وحصول الامتثال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علیه المشهور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مرجع هذا الاستدلال مع ذلک التوجیه المذکور فیه إلی ترجیح قول المشهور بقاعدة الشغل والاحتیاط غیر الجاری فی المقام، لا علی مذهب </w:t>
      </w:r>
    </w:p>
    <w:p>
      <w:pPr>
        <w:pStyle w:val="BookText"/>
        <w:rPr/>
      </w:pPr>
      <w:r>
        <w:rPr>
          <w:rFonts w:ascii="IRNazanin" w:hAnsi="IRNazanin" w:eastAsia="IRNazanin"/>
          <w:color w:val="111111"/>
          <w:sz w:val="28"/>
          <w:sz w:val="28"/>
          <w:szCs w:val="28"/>
          <w:rtl w:val="true"/>
          <w:lang w:bidi="fa-IR"/>
        </w:rPr>
        <w:t>المشهور، ولا علی مذهب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المشهور فلبنائهم علی البراءة عن التعیین، سیما فی مثل کیفیّة التکفین التی لیست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رأی الکلّ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دوران الخلاف فی تقدیم التازیر علی التقمیص أو العکس بین الأقلّ والأکثر، حتیّ یتأتیّ فیه قاعدة الشغل والاحتیاط ، بل هو من قبیل دوران الأمر بین المتبائنین اللذین لا یرجح الاحتیاط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أصالة الشغل والاحتیاط لا تقاوم إطلاقات التکفین ، بعد قصور النصوص عن التعیین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الإطلاقات کما هی قاضیة بحصول الامتثال بما هو المشهور فی الکیفیّة ، کذلک قاضیة بحصوله بما عن العمانی أیضا، ولذا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حصوله بما ذکره العمانی أیضاً غیر بعید ، للإطلاق ، مع التصریح به فی تلک الأخبار</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ثیاب تعمل علی عمل العَصب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یمنّیة یعَصب غزلها،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ویشدّ، ثم یصبغ وینسج، فیأتی مَؤشیّا ، لبقاء ما عصب منه أبیض؟</w:t>
      </w:r>
      <w:r>
        <w:rPr>
          <w:rStyle w:val="FootnoteAnchor"/>
          <w:rtl w:val="true"/>
        </w:rPr>
        <w:footnoteReference w:id="912"/>
      </w:r>
      <w:r>
        <w:rPr>
          <w:rFonts w:ascii="IRNazanin" w:hAnsi="IRNazanin" w:eastAsia="IRNazanin"/>
          <w:color w:val="111111"/>
          <w:sz w:val="28"/>
          <w:sz w:val="28"/>
          <w:szCs w:val="28"/>
          <w:rtl w:val="true"/>
          <w:lang w:bidi="fa-IR"/>
        </w:rPr>
        <w:t>وعن المصباح</w:t>
      </w:r>
      <w:r>
        <w:rPr>
          <w:rStyle w:val="FootnoteAnchor"/>
          <w:rtl w:val="true"/>
        </w:rPr>
        <w:footnoteReference w:id="913"/>
      </w:r>
      <w:r>
        <w:rPr>
          <w:rFonts w:ascii="IRNazanin" w:hAnsi="IRNazanin" w:eastAsia="IRNazanin"/>
          <w:color w:val="111111"/>
          <w:sz w:val="28"/>
          <w:sz w:val="28"/>
          <w:szCs w:val="28"/>
          <w:rtl w:val="true"/>
          <w:lang w:bidi="fa-IR"/>
        </w:rPr>
        <w:t>بدر العَصب کفَلس ، برد یصبغ غزله ثم ینسج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السهیلی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صبغ لا ینبت إلا فی الیمن ، ومثله فی حدیث المعتدة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 المصّبغة إلا ثوب عَضب ، بالإضافة أو التنوین</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یکفّن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ظهور دلالة المرسل</w:t>
      </w:r>
      <w:r>
        <w:rPr>
          <w:rStyle w:val="FootnoteAnchor"/>
          <w:rtl w:val="true"/>
        </w:rPr>
        <w:footnoteReference w:id="915"/>
      </w:r>
      <w:r>
        <w:rPr>
          <w:rFonts w:ascii="IRNazanin" w:hAnsi="IRNazanin" w:eastAsia="IRNazanin"/>
          <w:color w:val="111111"/>
          <w:sz w:val="28"/>
          <w:sz w:val="28"/>
          <w:szCs w:val="28"/>
          <w:rtl w:val="true"/>
          <w:lang w:bidi="fa-IR"/>
        </w:rPr>
        <w:t>فی التسویة بینهما فی کیفیّة الکفن، لا فیما به یکفّن حتی 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فاحتمال العلامة فی النهایة </w:t>
      </w:r>
      <w:r>
        <w:rPr>
          <w:rStyle w:val="FootnoteAnchor"/>
          <w:rtl w:val="true"/>
        </w:rPr>
        <w:footnoteReference w:id="916"/>
      </w:r>
      <w:r>
        <w:rPr>
          <w:rFonts w:ascii="IRNazanin" w:hAnsi="IRNazanin" w:eastAsia="IRNazanin"/>
          <w:color w:val="111111"/>
          <w:sz w:val="28"/>
          <w:sz w:val="28"/>
          <w:szCs w:val="28"/>
          <w:rtl w:val="true"/>
          <w:lang w:bidi="fa-IR"/>
        </w:rPr>
        <w:t>والمنتهی</w:t>
      </w:r>
      <w:r>
        <w:rPr>
          <w:rStyle w:val="FootnoteAnchor"/>
          <w:rtl w:val="true"/>
        </w:rPr>
        <w:footnoteReference w:id="917"/>
      </w:r>
      <w:r>
        <w:rPr>
          <w:rFonts w:ascii="Amiri" w:hAnsi="Amiri" w:eastAsia="Amiri" w:cs="Amiri"/>
          <w:color w:val="111111"/>
          <w:sz w:val="28"/>
          <w:sz w:val="28"/>
          <w:szCs w:val="28"/>
          <w:rtl w:val="true"/>
          <w:lang w:bidi="ar-SA"/>
        </w:rPr>
        <w:t>جوازه للنسوة ،</w:t>
      </w:r>
    </w:p>
    <w:p>
      <w:pPr>
        <w:pStyle w:val="BookText"/>
        <w:rPr/>
      </w:pPr>
      <w:r>
        <w:rPr>
          <w:rFonts w:ascii="Amiri" w:hAnsi="Amiri" w:eastAsia="Amiri" w:cs="Amiri"/>
          <w:color w:val="111111"/>
          <w:sz w:val="28"/>
          <w:sz w:val="28"/>
          <w:szCs w:val="28"/>
          <w:rtl w:val="true"/>
          <w:lang w:bidi="ar-SA"/>
        </w:rPr>
        <w:t>استصحابة للحالة السابقة ، محلّ مناقشة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انقطاع التکلیف بالموت، وعدم ثبوت تکلیف غیره، ففیما فیه یقین سابق لا شکّ لاحقاً ، وفیما فیه شک لاحقا لا یقین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کافی فی المنع ، بناء ًعلی وجوب تحصیل البراءة الیقینّیة فی مثل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الشکّ فی الجزئیّة والشرطیّة مع فرض إجمال الکفن المأمور به أو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 هذا المبنی فی الأصول، بأن إجمال المأمور به أو إهماله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مانع من مجری الإطلاق، لا من مجری أصالة العدم والبراءة عن الجزء والشرط المشکوک ، سیّما فی مثل مسألة التکفین الذی هو من التوصّلیات لا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ردّ المبنی المذکور فی الجواهر </w:t>
      </w:r>
      <w:r>
        <w:rPr>
          <w:rStyle w:val="FootnoteAnchor"/>
          <w:rtl w:val="true"/>
        </w:rPr>
        <w:footnoteReference w:id="918"/>
      </w:r>
      <w:r>
        <w:rPr>
          <w:rFonts w:ascii="IRNazanin" w:hAnsi="IRNazanin" w:eastAsia="IRNazanin"/>
          <w:color w:val="111111"/>
          <w:sz w:val="28"/>
          <w:sz w:val="28"/>
          <w:szCs w:val="28"/>
          <w:rtl w:val="true"/>
          <w:lang w:bidi="fa-IR"/>
        </w:rPr>
        <w:t>بأن الشکّ فی الشغل لا فی المشغول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یقین الاشتغال إنما یقتضی یقین البراءة بقدر الیقین بالاشتغال وهو ما عدا الشرط المشکوک، لا بأزید منه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جریان الاشکال فی الأول، لوجود المانع ، من إضاعة المال و تفویته من غیر رخصة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Style w:val="FootnoteAnchor"/>
          <w:rtl w:val="true"/>
        </w:rPr>
        <w:footnoteReference w:id="919"/>
      </w:r>
      <w:r>
        <w:rPr>
          <w:rFonts w:ascii="IRNazanin" w:hAnsi="IRNazanin" w:eastAsia="IRNazanin"/>
          <w:color w:val="111111"/>
          <w:sz w:val="28"/>
          <w:sz w:val="28"/>
          <w:szCs w:val="28"/>
          <w:rtl w:val="true"/>
          <w:lang w:bidi="fa-IR"/>
        </w:rPr>
        <w:t>بعدم السرف والإضاعة فیما یبذل للاحتیاط الراجح ، کما أن محذور التشریعیّة أیضاً مرتفع إلا فی الحریر، مع البناء علی أن للتکفین به حرمة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قصد الاحتیاط فی المبذول وإن رفع محذور التشریعیّة إلا أنه لا یرفع موضوع السرف والإضاعة، إذ کما أن حکم الشیء قدّ یکون ذاتیّ لا یتخلّف عنه بالقصد والوجوه والاعتبار ، قد یکون غیر ذاتیّ یتخلّف بها ، کالسجود لغیر الله تعالی، فإنه إذا وقع للصنم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مطلقا ولو بقصد التعظیم لله ، إذ لا تعظیم للصنم فی الشریعة، فهو ذو وجه واحد، وحرمته ذاتیّاً ، بخلاف ما إذا وقع للأبوین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بقصد تعظیم الله جائز، فهو من ذی الجهتین المختلف بالوجوه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الموضوع الواحد قد یختلف صدقه عرفاً و تحقّقه وجوداً وعدماً بالقصد ، کضرب الیتیمّ، حیث إنه بقصد التأدیب إحسان، و بقصد الظلم عدوان ، وقد لا یختلف صدقه عرفاً و تحقّقه وجوداً وعدماً بالقصد، کموضوع هتک المحترم بالقتل أو إلقائه فی القاذورات ، فإنه من الموضوعات التی هی ذات وجه واحد لا یتغیّر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تبیّن لک أن من قبیل الأول إتیان الشیء غیر المرخوص فیه ، فإنه بقصد التدّین بأنه من قبل المولی افتراء و تشریع محرّم ، و بقصد الاحتیاط طاعة وانقیاد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قبیل الثانی موضوع السرف، وهو صرف المال زیادة علی القدر اللائق بالحال ، والتبذیر والإضاعة، وهو صرفه فی غیر محلّه ، فإنه لا یرفع صدقها وتحققها عرفا قصد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یقاس موضوع السرف والإضاعة بموضوع الافتراء والتشریع فی الارتفاع بالقصد ، کما زعمه البرهان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استشمام عدم السرف والإضاعة فی التکفین بالحریر ونحوه </w:t>
      </w:r>
    </w:p>
    <w:p>
      <w:pPr>
        <w:pStyle w:val="BookText"/>
        <w:rPr/>
      </w:pPr>
      <w:r>
        <w:rPr>
          <w:rFonts w:ascii="IRNazanin" w:hAnsi="IRNazanin" w:eastAsia="IRNazanin"/>
          <w:color w:val="111111"/>
          <w:sz w:val="28"/>
          <w:sz w:val="28"/>
          <w:szCs w:val="28"/>
          <w:rtl w:val="true"/>
          <w:lang w:bidi="fa-IR"/>
        </w:rPr>
        <w:t xml:space="preserve">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تجوز الصلاة فیه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نصوص</w:t>
      </w:r>
      <w:r>
        <w:rPr>
          <w:rStyle w:val="FootnoteAnchor"/>
          <w:rtl w:val="true"/>
        </w:rPr>
        <w:footnoteReference w:id="920"/>
      </w:r>
      <w:r>
        <w:rPr>
          <w:rFonts w:ascii="IRNazanin" w:hAnsi="IRNazanin" w:eastAsia="IRNazanin"/>
          <w:color w:val="111111"/>
          <w:sz w:val="28"/>
          <w:sz w:val="28"/>
          <w:szCs w:val="28"/>
          <w:rtl w:val="true"/>
          <w:lang w:bidi="fa-IR"/>
        </w:rPr>
        <w:t xml:space="preserve">تأکّد استحباب إجادة الأکفان ، والمغالاة فی أثمانها بما یبلغ أربعین دیناراً وأربعمائة وخمسمائة دینار ، و تعلیل ذلک فی النصوص </w:t>
      </w:r>
      <w:r>
        <w:rPr>
          <w:rStyle w:val="FootnoteAnchor"/>
          <w:rtl w:val="true"/>
        </w:rPr>
        <w:footnoteReference w:id="921"/>
      </w:r>
      <w:r>
        <w:rPr>
          <w:rFonts w:ascii="IRNazanin" w:hAnsi="IRNazanin" w:eastAsia="IRNazanin"/>
          <w:color w:val="111111"/>
          <w:sz w:val="28"/>
          <w:sz w:val="28"/>
          <w:szCs w:val="28"/>
          <w:rtl w:val="true"/>
          <w:lang w:bidi="fa-IR"/>
        </w:rPr>
        <w:t>بأن الموتی یتباهون بأکفانهم ویبعثون بها وأنها زینتهم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النصوص</w:t>
      </w:r>
      <w:r>
        <w:rPr>
          <w:rStyle w:val="FootnoteAnchor"/>
          <w:rtl w:val="true"/>
        </w:rPr>
        <w:footnoteReference w:id="922"/>
      </w:r>
      <w:r>
        <w:rPr>
          <w:rFonts w:ascii="IRNazanin" w:hAnsi="IRNazanin" w:eastAsia="IRNazanin"/>
          <w:color w:val="111111"/>
          <w:sz w:val="28"/>
          <w:sz w:val="28"/>
          <w:szCs w:val="28"/>
          <w:rtl w:val="true"/>
          <w:lang w:bidi="fa-IR"/>
        </w:rPr>
        <w:t>والفتاوی عدم السرف فی شراء ماء</w:t>
      </w:r>
    </w:p>
    <w:p>
      <w:pPr>
        <w:pStyle w:val="BookText"/>
        <w:rPr/>
      </w:pPr>
      <w:r>
        <w:rPr>
          <w:rFonts w:ascii="IRNazanin" w:hAnsi="IRNazanin" w:eastAsia="IRNazanin"/>
          <w:color w:val="111111"/>
          <w:sz w:val="28"/>
          <w:sz w:val="28"/>
          <w:szCs w:val="28"/>
          <w:rtl w:val="true"/>
          <w:lang w:bidi="fa-IR"/>
        </w:rPr>
        <w:t>الوضوء للفاقد له بمائة درهم أو بألف أو بمائة ألف، وأن الصادق علیه السلام</w:t>
      </w:r>
      <w:r>
        <w:rPr>
          <w:rStyle w:val="FootnoteAnchor"/>
          <w:rtl w:val="true"/>
        </w:rPr>
        <w:footnoteReference w:id="923"/>
      </w:r>
      <w:r>
        <w:rPr>
          <w:rFonts w:ascii="IRNazanin" w:hAnsi="IRNazanin" w:eastAsia="IRNazanin"/>
          <w:color w:val="111111"/>
          <w:sz w:val="28"/>
          <w:sz w:val="28"/>
          <w:szCs w:val="28"/>
          <w:rtl w:val="true"/>
          <w:lang w:bidi="fa-IR"/>
        </w:rPr>
        <w:t xml:space="preserve">لا اشتری وضوءه بمائة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السرف أیضاً فی الضیاء والخیر </w:t>
      </w:r>
      <w:r>
        <w:rPr>
          <w:rStyle w:val="FootnoteAnchor"/>
          <w:rtl w:val="true"/>
        </w:rPr>
        <w:footnoteReference w:id="924"/>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خلافاً للمراسم </w:t>
      </w:r>
      <w:r>
        <w:rPr>
          <w:rStyle w:val="FootnoteAnchor"/>
          <w:rtl w:val="true"/>
        </w:rPr>
        <w:footnoteReference w:id="925"/>
      </w:r>
      <w:r>
        <w:rPr>
          <w:rFonts w:ascii="Amiri" w:hAnsi="Amiri" w:eastAsia="Amiri" w:cs="Amiri"/>
          <w:color w:val="111111"/>
          <w:sz w:val="28"/>
          <w:sz w:val="28"/>
          <w:szCs w:val="28"/>
          <w:rtl w:val="true"/>
          <w:lang w:bidi="ar-SA"/>
        </w:rPr>
        <w:t>فاستحّبه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لظاهر المراسم کما عن الکشف </w:t>
      </w:r>
      <w:r>
        <w:rPr>
          <w:rStyle w:val="FootnoteAnchor"/>
          <w:rtl w:val="true"/>
        </w:rPr>
        <w:footnoteReference w:id="927"/>
      </w:r>
      <w:r>
        <w:rPr>
          <w:rFonts w:ascii="IRNazanin" w:hAnsi="IRNazanin" w:eastAsia="IRNazanin"/>
          <w:color w:val="111111"/>
          <w:sz w:val="28"/>
          <w:sz w:val="28"/>
          <w:szCs w:val="28"/>
          <w:rtl w:val="true"/>
          <w:lang w:bidi="fa-IR"/>
        </w:rPr>
        <w:t xml:space="preserve">حیث عدّه فی عداد مندوبات التجهیز ، لا صریحه، لاحتمال أن یکون المراد استحبابه ببعض الخصوصیات ، کما استقر به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موضع من مواضع المراسم، لا استحباب أصله کما نسب إلیه الریاض</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نقف علی القول بالاستحباب إلا ما عن ظاهر المراسم کما عن الکشف ، أو محتمله ومحتمل الأردبیلی </w:t>
      </w:r>
      <w:r>
        <w:rPr>
          <w:rStyle w:val="FootnoteAnchor"/>
          <w:rtl w:val="true"/>
        </w:rPr>
        <w:footnoteReference w:id="928"/>
      </w:r>
      <w:r>
        <w:rPr>
          <w:rFonts w:ascii="IRNazanin" w:hAnsi="IRNazanin" w:eastAsia="IRNazanin"/>
          <w:color w:val="111111"/>
          <w:sz w:val="28"/>
          <w:sz w:val="28"/>
          <w:szCs w:val="28"/>
          <w:rtl w:val="true"/>
          <w:lang w:bidi="fa-IR"/>
        </w:rPr>
        <w:t>کما 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w:t>
      </w:r>
    </w:p>
    <w:p>
      <w:pPr>
        <w:pStyle w:val="BookText"/>
        <w:rPr/>
      </w:pPr>
      <w:r>
        <w:rPr>
          <w:rFonts w:ascii="IRNazanin" w:hAnsi="IRNazanin" w:eastAsia="IRNazanin"/>
          <w:color w:val="111111"/>
          <w:sz w:val="28"/>
          <w:sz w:val="28"/>
          <w:szCs w:val="28"/>
          <w:rtl w:val="true"/>
          <w:lang w:bidi="fa-IR"/>
        </w:rPr>
        <w:t>راجعت المراسم فرأیته فی صریحه، لا ظاهره ولا محتمله، حیث ذکر فی عداد واجبات التجهیز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تکفینه بقطعة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عداد مندوباته ما لفظه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الکفن سبع قطع ثم خمس ثم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أن الواجب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فلعلّ موهمه الأصل، واختلاف الأخبار، وعدّه فی سیاق کثیر من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الأصل بعدم مقاومته ظاهر النصوص </w:t>
      </w:r>
      <w:r>
        <w:rPr>
          <w:rStyle w:val="FootnoteAnchor"/>
          <w:rtl w:val="true"/>
        </w:rPr>
        <w:footnoteReference w:id="929"/>
      </w:r>
      <w:r>
        <w:rPr>
          <w:rFonts w:ascii="IRNazanin" w:hAnsi="IRNazanin" w:eastAsia="IRNazanin"/>
          <w:color w:val="111111"/>
          <w:sz w:val="28"/>
          <w:sz w:val="28"/>
          <w:szCs w:val="28"/>
          <w:rtl w:val="true"/>
          <w:lang w:bidi="fa-IR"/>
        </w:rPr>
        <w:t>والإجماعات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اختلاف الأخبار بأنه لیس فی أصل التحنیط حتی یدلّ علی الاستحباب ، بل فی مقادیره و مواضعه، وهو مرجّح لوجوب أصله لا استحباب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وقوعه فی سیاق کثیر من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إشعاراً لا یرفع الید بمجرّده عن ظهور الأوامر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بوقوعه أیضاً فی عداد کثیر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استفادته منها إشکال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إطلاق التحنیط فیها بعد التجفیف ، وشموله لما قبل التأزیر والتقمیص ولما بعدهما، مضافاً إلی أصالة عدم التقیید والبراءة عن تعیین ما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ویحصل بإمساس مساجده السبعة</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إطلاق المتن کإطلاق جملة من العبائر والنصوص </w:t>
      </w:r>
      <w:r>
        <w:rPr>
          <w:rStyle w:val="FootnoteAnchor"/>
          <w:rtl w:val="true"/>
        </w:rPr>
        <w:footnoteReference w:id="930"/>
      </w:r>
      <w:r>
        <w:rPr>
          <w:rFonts w:ascii="IRNazanin" w:hAnsi="IRNazanin" w:eastAsia="IRNazanin"/>
          <w:color w:val="111111"/>
          <w:sz w:val="28"/>
          <w:sz w:val="28"/>
          <w:szCs w:val="28"/>
          <w:rtl w:val="true"/>
          <w:lang w:bidi="fa-IR"/>
        </w:rPr>
        <w:t>هو کفایة مجرّد وضع الکافور علی مساجده، إلا أن مقتضی تصریح جملة من الأصحاب</w:t>
      </w:r>
      <w:r>
        <w:rPr>
          <w:rStyle w:val="FootnoteAnchor"/>
          <w:rtl w:val="true"/>
        </w:rPr>
        <w:footnoteReference w:id="931"/>
      </w:r>
      <w:r>
        <w:rPr>
          <w:rFonts w:ascii="IRNazanin" w:hAnsi="IRNazanin" w:eastAsia="IRNazanin"/>
          <w:color w:val="111111"/>
          <w:sz w:val="28"/>
          <w:sz w:val="28"/>
          <w:szCs w:val="28"/>
          <w:rtl w:val="true"/>
          <w:lang w:bidi="fa-IR"/>
        </w:rPr>
        <w:t>تصریح جملة من النصوص</w:t>
      </w:r>
      <w:r>
        <w:rPr>
          <w:rStyle w:val="FootnoteAnchor"/>
          <w:rtl w:val="true"/>
        </w:rPr>
        <w:footnoteReference w:id="932"/>
      </w:r>
      <w:r>
        <w:rPr>
          <w:rFonts w:ascii="IRNazanin" w:hAnsi="IRNazanin" w:eastAsia="IRNazanin"/>
          <w:color w:val="111111"/>
          <w:sz w:val="28"/>
          <w:sz w:val="28"/>
          <w:szCs w:val="28"/>
          <w:rtl w:val="true"/>
          <w:lang w:bidi="fa-IR"/>
        </w:rPr>
        <w:t xml:space="preserve">الأخر هو اعتبار مسحها بالکافور </w:t>
      </w:r>
    </w:p>
    <w:p>
      <w:pPr>
        <w:pStyle w:val="BookText"/>
        <w:rPr/>
      </w:pPr>
      <w:r>
        <w:rPr>
          <w:rFonts w:ascii="IRNazanin" w:hAnsi="IRNazanin" w:eastAsia="IRNazanin"/>
          <w:color w:val="111111"/>
          <w:sz w:val="28"/>
          <w:sz w:val="28"/>
          <w:szCs w:val="28"/>
          <w:rtl w:val="true"/>
          <w:lang w:bidi="fa-IR"/>
        </w:rPr>
        <w:t>دون کفایة مجرّد الوضع، حملاً للمطلق علی المقید الواجب فی نحو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باطن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وتشدید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المنحر، وهو موضع النحر والقلادة ، والجمع لبّات ، کحبّة وحبّات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علّل بتعلیلات علیلة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کتعلیله فی محکیّ المعتبر</w:t>
      </w:r>
      <w:r>
        <w:rPr>
          <w:rStyle w:val="FootnoteAnchor"/>
          <w:rtl w:val="true"/>
        </w:rPr>
        <w:footnoteReference w:id="933"/>
      </w:r>
      <w:r>
        <w:rPr>
          <w:rFonts w:ascii="IRNazanin" w:hAnsi="IRNazanin" w:eastAsia="IRNazanin"/>
          <w:color w:val="111111"/>
          <w:sz w:val="28"/>
          <w:sz w:val="28"/>
          <w:szCs w:val="28"/>
          <w:rtl w:val="true"/>
          <w:lang w:bidi="fa-IR"/>
        </w:rPr>
        <w:t>بأن الاغتسال والوضوء علی مَن غسل میّتاً واجب أو مستحبّ، وکیف کان فالأمر به علی الفور، فیکون التعجیل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محکیّ المنتهی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التکفین علی أبلغ أحواله من الطهارة المزیلة للنجاسة العینّیة والحکمیّة عند تکفین البالغ فی الطهارة ، فإن لم یتمکّن من الغسل استحب له أن یتوضّاً، لأنه إحدی الطهارتین فکان مستحبّاً کالآخر، و مرتباً علیه لنقصانه عنه</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ووجه العلیلیّة فی الأول علیلیة مبناه، وهو فوریّة الأمر، واقتضاؤه الجمع بین الغسل والوضوء لا التخییر بینهما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أنه وجه اعتباری لا یصلح بمجرّده مدرکة لحکم شرعیّ، مضافاً إلی اقتضائه الترتیب بین الغسل والوضوء لا التخییر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منافاته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إشارة إلی أن تقدیر الإرادة فی التغسیل – مضافاً إلی منافاته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للاجماع علی عدم استحباب الغسل لارادة التغسیل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أن تقدیر الإرادة بالنسبة إلی التکفین وإن استلزم المجاز، إلا أن عدم تقدیرها أیضاً یستلزم التجوّز، إما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العاطفة ، </w:t>
      </w:r>
    </w:p>
    <w:p>
      <w:pPr>
        <w:pStyle w:val="BookText"/>
        <w:rPr/>
      </w:pPr>
      <w:r>
        <w:rPr>
          <w:rFonts w:ascii="IRNazanin" w:hAnsi="IRNazanin" w:eastAsia="IRNazanin"/>
          <w:color w:val="111111"/>
          <w:sz w:val="28"/>
          <w:sz w:val="28"/>
          <w:szCs w:val="28"/>
          <w:rtl w:val="true"/>
          <w:lang w:bidi="fa-IR"/>
        </w:rPr>
        <w:t>أو تقیید التکفین المطلق بالمقیّد بعد التغسیل أو المسّ ، لکون المفروض أنه الموجب للغسل دون مطلق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إشارة إلی ترجیح المجاز اللازم من التقدیر، لما قرّر فی باب تعارض الأحوال من تقدّیم التقیید علی التجوّز والتجوّز علی الإضمار، سیّما تجوّز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 فإنه مؤیّد بإبدال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فیما نقله الوسائل </w:t>
      </w:r>
      <w:r>
        <w:rPr>
          <w:rStyle w:val="FootnoteAnchor"/>
          <w:rtl w:val="true"/>
        </w:rPr>
        <w:footnoteReference w:id="935"/>
      </w:r>
      <w:r>
        <w:rPr>
          <w:rFonts w:ascii="IRNazanin" w:hAnsi="IRNazanin" w:eastAsia="IRNazanin"/>
          <w:color w:val="111111"/>
          <w:sz w:val="28"/>
          <w:sz w:val="28"/>
          <w:szCs w:val="28"/>
          <w:rtl w:val="true"/>
          <w:lang w:bidi="fa-IR"/>
        </w:rPr>
        <w:t xml:space="preserve">فی باب الأغسال المسنونة عن الفقیه مرسلاً إلی أبی جعفر علیه السلام، وعن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مسندة فی روایة أخری، وإن نقل الأولیّ </w:t>
      </w:r>
      <w:r>
        <w:rPr>
          <w:rStyle w:val="FootnoteAnchor"/>
          <w:rtl w:val="true"/>
        </w:rPr>
        <w:footnoteReference w:id="936"/>
      </w:r>
      <w:r>
        <w:rPr>
          <w:rFonts w:ascii="IRNazanin" w:hAnsi="IRNazanin" w:eastAsia="IRNazanin"/>
          <w:color w:val="111111"/>
          <w:sz w:val="28"/>
          <w:sz w:val="28"/>
          <w:szCs w:val="28"/>
          <w:rtl w:val="true"/>
          <w:lang w:bidi="fa-IR"/>
        </w:rPr>
        <w:t xml:space="preserve">أیضاً بسند آخر صحیح إلی محمد بن مسلم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الموجود عندی من نسخة الفقیه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المهملة وفتح الباء الموحّدة کعِنَیَة ، من التحبیر وهو التحسین والتزیین ، ضرب من برود الیمن مخطّط ، وهو وشی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ونقش ، الامکان ولا شیء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حبرة، علی الوصف أو الإضافة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قرمز، من قبیل توصیف الشیء أو إضافته إلی صبغه 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العبریّة بعدها من قبیل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ثوبین صحارییّن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الصحار </w:t>
      </w:r>
      <w:r>
        <w:rPr>
          <w:rStyle w:val="FootnoteAnchor"/>
          <w:rtl w:val="true"/>
        </w:rPr>
        <w:footnoteReference w:id="939"/>
      </w:r>
      <w:r>
        <w:rPr>
          <w:rFonts w:ascii="IRNazanin" w:hAnsi="IRNazanin" w:eastAsia="IRNazanin"/>
          <w:color w:val="111111"/>
          <w:sz w:val="28"/>
          <w:sz w:val="28"/>
          <w:szCs w:val="28"/>
          <w:rtl w:val="true"/>
          <w:lang w:bidi="fa-IR"/>
        </w:rPr>
        <w:t xml:space="preserve">بالمهملات مع التحریک قریة بالیمن تنسب إلیها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الصحرة، وهی حمرة خفیفة کالغبرة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أظفار</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9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ظفار بالفتح مبنیّ علی الکسر کقطام، بلد</w:t>
      </w:r>
    </w:p>
    <w:p>
      <w:pPr>
        <w:pStyle w:val="BookText"/>
        <w:rPr/>
      </w:pPr>
      <w:r>
        <w:rPr>
          <w:rFonts w:ascii="IRNazanin" w:hAnsi="IRNazanin" w:eastAsia="IRNazanin"/>
          <w:color w:val="111111"/>
          <w:sz w:val="28"/>
          <w:sz w:val="28"/>
          <w:szCs w:val="28"/>
          <w:rtl w:val="true"/>
          <w:lang w:bidi="fa-IR"/>
        </w:rPr>
        <w:t>بالیمن لحمیر قرب 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شطا</w:t>
      </w:r>
      <w:r>
        <w:rPr>
          <w:rStyle w:val="FootnoteAnchor"/>
          <w:rtl w:val="true"/>
        </w:rPr>
        <w:footnoteReference w:id="942"/>
      </w:r>
      <w:r>
        <w:rPr>
          <w:rFonts w:ascii="IRNazanin" w:hAnsi="IRNazanin" w:eastAsia="IRNazanin"/>
          <w:color w:val="111111"/>
          <w:sz w:val="28"/>
          <w:sz w:val="28"/>
          <w:szCs w:val="28"/>
          <w:rtl w:val="true"/>
          <w:lang w:bidi="fa-IR"/>
        </w:rPr>
        <w:t xml:space="preserve">فی قوله علیه السلام </w:t>
      </w:r>
      <w:r>
        <w:rPr>
          <w:rStyle w:val="FootnoteAnchor"/>
          <w:rtl w:val="true"/>
        </w:rPr>
        <w:footnoteReference w:id="9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کفنت أبی فی ثوبین شطوییّن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قریة بناحیة مصر، تنسب إلیها الثیاب الشطویّة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دفع المفسدة أولی من جلب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منع إطلاق أولویّة دفع المفسدة من جلب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اختصاصها بالأمور الدنیّویة ، وما نحن فیه من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جهة اختصاصها بما لم یعارضه التسامح فی أدلّة السنن </w:t>
      </w:r>
      <w:r>
        <w:rPr>
          <w:rStyle w:val="FootnoteAnchor"/>
          <w:rtl w:val="true"/>
        </w:rPr>
        <w:footnoteReference w:id="944"/>
      </w:r>
      <w:r>
        <w:rPr>
          <w:rFonts w:ascii="IRNazanin" w:hAnsi="IRNazanin" w:eastAsia="IRNazanin"/>
          <w:color w:val="111111"/>
          <w:sz w:val="28"/>
          <w:sz w:val="28"/>
          <w:szCs w:val="28"/>
          <w:rtl w:val="true"/>
          <w:lang w:bidi="fa-IR"/>
        </w:rPr>
        <w:t xml:space="preserve">، وأما فیما یجری فیه التسامح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مورد لاحتمال المفسدة فی إزاء احتمال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جهة اختصاصها بما تکون المفسدة المحتملة فیه أکثر قدراً من المنفعة المحتملة ، بخلاف فرض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لعلّه إشارة إلی إمکان دفع هذه المناقشة الأخیرة، بأن أکثریّة المنفعة الحاصلة من الاستحباب المفروض فی المسألة من مفسداً الحرمة المحتملة ممّا لم تحتمل أصلاً ورأساً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مطرزّة بالذهب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w:t>
      </w:r>
      <w:r>
        <w:rPr>
          <w:rStyle w:val="FootnoteAnchor"/>
          <w:rtl w:val="true"/>
        </w:rPr>
        <w:footnoteReference w:id="945"/>
      </w:r>
      <w:r>
        <w:rPr>
          <w:rFonts w:ascii="IRNazanin" w:hAnsi="IRNazanin" w:eastAsia="IRNazanin"/>
          <w:color w:val="111111"/>
          <w:sz w:val="28"/>
          <w:sz w:val="28"/>
          <w:szCs w:val="28"/>
          <w:rtl w:val="true"/>
          <w:lang w:bidi="fa-IR"/>
        </w:rPr>
        <w:t>علم الثوب فارسیّ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w:t>
      </w:r>
      <w:r>
        <w:rPr>
          <w:rStyle w:val="FootnoteAnchor"/>
          <w:rtl w:val="true"/>
        </w:rPr>
        <w:footnoteReference w:id="946"/>
      </w:r>
      <w:r>
        <w:rPr>
          <w:rFonts w:ascii="IRNazanin" w:hAnsi="IRNazanin" w:eastAsia="IRNazanin"/>
          <w:color w:val="111111"/>
          <w:sz w:val="28"/>
          <w:sz w:val="28"/>
          <w:szCs w:val="28"/>
          <w:rtl w:val="true"/>
          <w:lang w:bidi="fa-IR"/>
        </w:rPr>
        <w:t xml:space="preserve">بالتحریک علم الثوب من طراز و غیره، هو العلامّة ، وجمعه أعلام، مثل سبب وأسباب، کما أن جمع علامة علامات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إضاعة للمال منهیّ عنها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استحباب عدم تطریز الکفن بالذهب والحریر بهذا التعلیل ، کتعلیله فی محکیّ جامع المقاصد</w:t>
      </w:r>
      <w:r>
        <w:rPr>
          <w:rStyle w:val="FootnoteAnchor"/>
          <w:rtl w:val="true"/>
        </w:rPr>
        <w:footnoteReference w:id="947"/>
      </w:r>
      <w:r>
        <w:rPr>
          <w:rFonts w:ascii="IRNazanin" w:hAnsi="IRNazanin" w:eastAsia="IRNazanin"/>
          <w:color w:val="111111"/>
          <w:sz w:val="28"/>
          <w:sz w:val="28"/>
          <w:szCs w:val="28"/>
          <w:rtl w:val="true"/>
          <w:lang w:bidi="fa-IR"/>
        </w:rPr>
        <w:t xml:space="preserve">بامتناع الصلاة فیه ، علیل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 کلّ من هذین التعلیلین حرمة طراز الکفن دون استحباب عدم تطریزه الذی هو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کلّاً منهما أخصّ من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 طراز الکفن إنما یعدّ من إضاعة المال لو قصد بالطراز الکفن عند النسج، أو أمکن عزل الطراز أو صرف المطرّز بعد فرض طرزه فیما لا یعدّ طرازه من إضاعة المال ، وإلا فلو لم یکن للطراز والمطرّز مصرف آخر سائغ له شرعاً لم یکن التکفین به من إضاعة المال جزماً، بل قد یکون عدم التکفین به من إضاعة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 الممتنع فیه الصلاة إنما هو المطرّز بالذهب والحریر المحض، دون المطرّز بهما الممزوج بغیرهما ممّا تصحّ فیه الصلاة مزج السداة واللحمة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توجیههما بأن المراد من تعلیل المطرّز بأنه من إضاعة المال و بامتناع الصلاة فیه لیس کونه من أنواعهما المعلوم شمول الحکم بالمنع والنهی له ، بل المقصود کونه نوعاً من أنواعهما المحتمل لشمول الحکم له، فیأتی الاحتیاط العقلیّ باستحباب ترکه دفعاً للضرر المحتمل، وإن أمکن دفعه بأصالة البراءة أیضاً ، فإن أصالة البراءة عن محتمل الحرمة لاتنافی اقتضاء الاحتیاط العقلی استحباب ترکه والتجنّب عنه ، وإن کان من قبیل الشبهات الموضوعیّة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الاستدلال أیضاً علی استحباب عدم تطریزه بالذهب بما استدلّ </w:t>
      </w:r>
    </w:p>
    <w:p>
      <w:pPr>
        <w:pStyle w:val="BookText"/>
        <w:rPr/>
      </w:pPr>
      <w:r>
        <w:rPr>
          <w:rFonts w:ascii="IRNazanin" w:hAnsi="IRNazanin" w:eastAsia="IRNazanin"/>
          <w:color w:val="111111"/>
          <w:sz w:val="28"/>
          <w:sz w:val="28"/>
          <w:szCs w:val="28"/>
          <w:rtl w:val="true"/>
          <w:lang w:bidi="fa-IR"/>
        </w:rPr>
        <w:t>به الجواهر</w:t>
      </w:r>
      <w:r>
        <w:rPr>
          <w:rStyle w:val="FootnoteAnchor"/>
          <w:rtl w:val="true"/>
        </w:rPr>
        <w:footnoteReference w:id="948"/>
      </w:r>
      <w:r>
        <w:rPr>
          <w:rFonts w:ascii="IRNazanin" w:hAnsi="IRNazanin" w:eastAsia="IRNazanin"/>
          <w:color w:val="111111"/>
          <w:sz w:val="28"/>
          <w:sz w:val="28"/>
          <w:szCs w:val="28"/>
          <w:rtl w:val="true"/>
          <w:lang w:bidi="fa-IR"/>
        </w:rPr>
        <w:t xml:space="preserve">من إجماعی المعتبر </w:t>
      </w:r>
      <w:r>
        <w:rPr>
          <w:rStyle w:val="FootnoteAnchor"/>
          <w:rtl w:val="true"/>
        </w:rPr>
        <w:footnoteReference w:id="949"/>
      </w:r>
      <w:r>
        <w:rPr>
          <w:rFonts w:ascii="IRNazanin" w:hAnsi="IRNazanin" w:eastAsia="IRNazanin"/>
          <w:color w:val="111111"/>
          <w:sz w:val="28"/>
          <w:sz w:val="28"/>
          <w:szCs w:val="28"/>
          <w:rtl w:val="true"/>
          <w:lang w:bidi="fa-IR"/>
        </w:rPr>
        <w:t>والتذکرة</w:t>
      </w:r>
      <w:r>
        <w:rPr>
          <w:rStyle w:val="FootnoteAnchor"/>
          <w:rtl w:val="true"/>
        </w:rPr>
        <w:footnoteReference w:id="950"/>
      </w:r>
      <w:r>
        <w:rPr>
          <w:rFonts w:ascii="IRNazanin" w:hAnsi="IRNazanin" w:eastAsia="IRNazanin"/>
          <w:color w:val="111111"/>
          <w:sz w:val="28"/>
          <w:sz w:val="28"/>
          <w:szCs w:val="28"/>
          <w:rtl w:val="true"/>
          <w:lang w:bidi="fa-IR"/>
        </w:rPr>
        <w:t>، وبما استدلّ به البرهان من توقیفّیة الاستحباب، ولم یثبت فی المطرّز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نصوص </w:t>
      </w:r>
      <w:r>
        <w:rPr>
          <w:rStyle w:val="FootnoteAnchor"/>
          <w:rtl w:val="true"/>
        </w:rPr>
        <w:footnoteReference w:id="951"/>
      </w:r>
      <w:r>
        <w:rPr>
          <w:rFonts w:ascii="IRNazanin" w:hAnsi="IRNazanin" w:eastAsia="IRNazanin"/>
          <w:color w:val="111111"/>
          <w:sz w:val="28"/>
          <w:sz w:val="28"/>
          <w:szCs w:val="28"/>
          <w:rtl w:val="true"/>
          <w:lang w:bidi="fa-IR"/>
        </w:rPr>
        <w:t xml:space="preserve">استحباب إجادة الکفن والمغالاة فی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التوقیف أو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کذلک بجنسه لا بنحو التنقیش والتطریز بالزخرف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وینفر بها المیّت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الثفر والإنفار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المثلّثة ثم الفاء والراء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لغة فی الذفر والإذفار </w:t>
      </w:r>
      <w:r>
        <w:rPr>
          <w:rStyle w:val="FootnoteAnchor"/>
          <w:rtl w:val="true"/>
        </w:rPr>
        <w:footnoteReference w:id="952"/>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أثفر </w:t>
      </w:r>
      <w:r>
        <w:rPr>
          <w:rStyle w:val="FootnoteAnchor"/>
          <w:rtl w:val="true"/>
        </w:rPr>
        <w:footnoteReference w:id="953"/>
      </w:r>
      <w:r>
        <w:rPr>
          <w:rFonts w:ascii="IRNazanin" w:hAnsi="IRNazanin" w:eastAsia="IRNazanin"/>
          <w:color w:val="111111"/>
          <w:sz w:val="28"/>
          <w:sz w:val="28"/>
          <w:szCs w:val="28"/>
          <w:rtl w:val="true"/>
          <w:lang w:bidi="fa-IR"/>
        </w:rPr>
        <w:t>الرجل بثوبه إذا ردّ طرفیه بین رجلیه إلی حجزته ، أو من أثر الکلب بذنبه جعله بین فخذیه ، أو من تفر الدابّة وهو الشدّ بالنفر، وهو الذی یجعل تحت ذنبها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واختلفت کلمات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إثفار المیّت بالخرقة ، فعن الأکثر الاقتصار فیها بلفّ الفخذین بها من غیر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بشدّها من الحقوین إلی الفخذین بأیّ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عن الروض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 یمکن استفادته من خبر الکاهلی أن یربط أحد طرفی الخرقة علی وسطه، إما بشقّ رأسها ، أو بأن یجعل فیها خیط ونحوه لشتها ، ثم یدخل الخرقة بین فخذیه ویضمّ بها عورته ضماً شدیداً، ویخرجها من الجانب الآخر ویدخلها تحت الشدّ الذی علی وسطه</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استفاده تمام ما ذکر من الأخبار ممنوع، ففی خبر الکاهلی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أزره بالخرقة، ویکون تحتها القطن تذفره به إذفاراً قطناً کثیراً، ثم تشدّ فخذیه علی القطن بالخرقة شدّاً شدیداً حتی لاتخاف أن یظهر شیء</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 یونس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فشدّها من حقویه، وضمّ فخذیه ضمّاً شدیداًولفّها فی فخذیه، ثم أخرج رأسها من تحت رجلیه إلی الجانب الأیمن، واغمزها فی الموضع الذی لففت فیه الخرقة، وتکون الخرقة طویلة تلق فخذیه من حقویه إلی رکبتیه لفاً شدیداً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من خلو ّجملة من النصوص عن التعرّض للکیفیّة ، وقضیّة إطلاق جملة أخری منها ، هو الاجتزاء یضبط الأسفل بها من خروج شیء ینجسّ الکفن والبدن بأیّ وجه اتّفق ، کإطلاق خبر عمّار </w:t>
      </w:r>
      <w:r>
        <w:rPr>
          <w:rStyle w:val="FootnoteAnchor"/>
          <w:rtl w:val="true"/>
        </w:rPr>
        <w:footnoteReference w:id="957"/>
      </w:r>
      <w:r>
        <w:rPr>
          <w:rFonts w:ascii="IRNazanin" w:hAnsi="IRNazanin" w:eastAsia="IRNazanin"/>
          <w:color w:val="111111"/>
          <w:sz w:val="28"/>
          <w:sz w:val="28"/>
          <w:szCs w:val="28"/>
          <w:rtl w:val="true"/>
          <w:lang w:bidi="fa-IR"/>
        </w:rPr>
        <w:t>التکفین أن تبدأ بالقمیص ثم بالخرقة فوق القمیص علی ألیتیه وفخذیه وعورته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خرقة فیشدّ بها أسفله، ویضمّ فخذیه بها لیضمّ ما هناک</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وخبر معاویة بن وهب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وخرقة یعصّب بها وسطه</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التصریح فی تلک النصوص بکون المقصود من الخرقة هو ضبط الأسفل بها عن سرایة ما یخرج منه إلی الکفن والبدن من النجاسات لکان لحمل تلک المطلقات علی المقیّدات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کخبری یونس والکاهلی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إلا أنه بعد التنصیص فیها بتلک العلّة المنصوصة کان المدار علیها عرفأاً ، تحکیماً للنصّ علی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فتلخّص من تلک العلّة المنصوصة لاستحباب إنفار المیّت أن المقصود بإنفاره کالمقصود بإنفار الحائض ، من نصوص </w:t>
      </w:r>
      <w:r>
        <w:rPr>
          <w:rStyle w:val="FootnoteAnchor"/>
          <w:rtl w:val="true"/>
        </w:rPr>
        <w:footnoteReference w:id="960"/>
      </w:r>
      <w:r>
        <w:rPr>
          <w:rFonts w:ascii="IRNazanin" w:hAnsi="IRNazanin" w:eastAsia="IRNazanin"/>
          <w:color w:val="111111"/>
          <w:sz w:val="28"/>
          <w:sz w:val="28"/>
          <w:szCs w:val="28"/>
          <w:rtl w:val="true"/>
          <w:lang w:bidi="fa-IR"/>
        </w:rPr>
        <w:t>استحباب الإنفار لها لتمتنع به من سیلان الدم بأیّ وجه اتّفق ، من غیر خصوصیّة لما قیل من أخذ خرقة طویلة عریضة تشدّ أحد طرفیه من قدام وتخرجها من بین فخذیها و تشدّ طرفها الآخر من وراء، بعد أن تحتشی بشیء من القطن لتمتع به من سرایة الدم، فکذا إثفار المیّت ما ذکروا له من خصوصیّات العرض أو الطول أو الکیفیّة إرشاد إلی کون المقصود به قدر ما یحصل به الشدّ المضبوط به الأسفل عن خروج الشیء، بأیّ مقدار ووجه اتفق من غیر خصوصیّة ، فیختلف باختلاف بین المیّت سمناً وهزالاً، طولاً وقصراً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سمیّت فی عبارة الأصحاب خامسة نظراً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بناءً علی خروجها من أجزاء الکفن الواجب والمندوب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الصدوق</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والسید</w:t>
      </w:r>
      <w:r>
        <w:rPr>
          <w:rStyle w:val="FootnoteAnchor"/>
          <w:rtl w:val="true"/>
        </w:rPr>
        <w:footnoteReference w:id="962"/>
      </w:r>
      <w:r>
        <w:rPr>
          <w:rFonts w:ascii="IRNazanin" w:hAnsi="IRNazanin" w:eastAsia="IRNazanin"/>
          <w:color w:val="111111"/>
          <w:sz w:val="28"/>
          <w:sz w:val="28"/>
          <w:szCs w:val="28"/>
          <w:rtl w:val="true"/>
          <w:lang w:bidi="fa-IR"/>
        </w:rPr>
        <w:t xml:space="preserve">والقاضی </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أو کونها هی المئزر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الصدوق</w:t>
      </w:r>
      <w:r>
        <w:rPr>
          <w:rStyle w:val="FootnoteAnchor"/>
          <w:rtl w:val="true"/>
        </w:rPr>
        <w:footnoteReference w:id="964"/>
      </w:r>
      <w:r>
        <w:rPr>
          <w:rFonts w:ascii="IRNazanin" w:hAnsi="IRNazanin" w:eastAsia="IRNazanin"/>
          <w:color w:val="111111"/>
          <w:sz w:val="28"/>
          <w:sz w:val="28"/>
          <w:szCs w:val="28"/>
          <w:rtl w:val="true"/>
          <w:lang w:bidi="fa-IR"/>
        </w:rPr>
        <w:t>، وإن صرح بعض النصوص</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بمغایرتهما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لتسمیتها 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 بالکیفیّة أخبار أخر إلا أن یکون الأول أشهر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الأخبار الأخر فمنها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العمامة من وسطها وانشرها علی رأسه، ثم ردّها إلی خلفه، واطرح طرفیها علی صدره</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عمامته وانشروها مثنیة علی رأسه، واطرح طرفیها من خلفه، وأبرز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خبر عمّار</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طرفا العمامة متدلّیاً علی جانبه الأیسر قدر</w:t>
      </w:r>
    </w:p>
    <w:p>
      <w:pPr>
        <w:pStyle w:val="BookText"/>
        <w:rPr/>
      </w:pPr>
      <w:r>
        <w:rPr>
          <w:rFonts w:ascii="IRNazanin" w:hAnsi="IRNazanin" w:eastAsia="IRNazanin"/>
          <w:color w:val="111111"/>
          <w:sz w:val="28"/>
          <w:sz w:val="28"/>
          <w:szCs w:val="28"/>
          <w:rtl w:val="true"/>
          <w:lang w:bidi="fa-IR"/>
        </w:rPr>
        <w:t>شبر یرمی بها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العمل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مضمون مرسلة یونس </w:t>
      </w:r>
      <w:r>
        <w:rPr>
          <w:rStyle w:val="FootnoteAnchor"/>
          <w:rtl w:val="true"/>
        </w:rPr>
        <w:footnoteReference w:id="968"/>
      </w:r>
      <w:r>
        <w:rPr>
          <w:rFonts w:ascii="IRNazanin" w:hAnsi="IRNazanin" w:eastAsia="IRNazanin"/>
          <w:color w:val="111111"/>
          <w:sz w:val="28"/>
          <w:sz w:val="28"/>
          <w:szCs w:val="28"/>
          <w:rtl w:val="true"/>
          <w:lang w:bidi="fa-IR"/>
        </w:rPr>
        <w:t>والرضوی</w:t>
      </w:r>
      <w:r>
        <w:rPr>
          <w:rStyle w:val="FootnoteAnchor"/>
          <w:rtl w:val="true"/>
        </w:rPr>
        <w:footnoteReference w:id="969"/>
      </w:r>
      <w:r>
        <w:rPr>
          <w:rFonts w:ascii="IRNazanin" w:hAnsi="IRNazanin" w:eastAsia="IRNazanin"/>
          <w:color w:val="111111"/>
          <w:sz w:val="28"/>
          <w:sz w:val="28"/>
          <w:szCs w:val="28"/>
          <w:rtl w:val="true"/>
          <w:lang w:bidi="fa-IR"/>
        </w:rPr>
        <w:t>وخبر معاویة بن وهب</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لأصحّیة المرسل بالاجماع علی تصحیح ما یصحّ عن مرسله ، وموافقته للرضوی القویّ، وخبر معاویة بن وهب ، والاجماع المنقول عن 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والشهرة المنقولة عن الذکری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والمصرّح به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بالشهرة لعلّه لعدم تحصیل الإجماع للمعبّر، وإلا فلم نجد قائلاً بغیرها،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إرجاع غیرها إلیها ولو بالتأویل وإلا 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مع ذلک کلّه لا بأس بالعمل والقول بظاهر کلّ من تلک الأخبار تخییراً أو ترتّباً علی مراتب الفضل، تسامحاً فی أدلّة السنن </w:t>
      </w:r>
      <w:r>
        <w:rPr>
          <w:rStyle w:val="FootnoteAnchor"/>
          <w:rtl w:val="true"/>
        </w:rPr>
        <w:footnoteReference w:id="971"/>
      </w:r>
      <w:r>
        <w:rPr>
          <w:rFonts w:ascii="IRNazanin" w:hAnsi="IRNazanin" w:eastAsia="IRNazanin"/>
          <w:color w:val="111111"/>
          <w:sz w:val="28"/>
          <w:sz w:val="28"/>
          <w:szCs w:val="28"/>
          <w:rtl w:val="true"/>
          <w:lang w:bidi="fa-IR"/>
        </w:rPr>
        <w:t>، وجمعاً بینها، وإن کان للأول منها ترجیح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ویستثنی منه الحبرة للمعتبرة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إطلاق</w:t>
      </w:r>
      <w:r>
        <w:rPr>
          <w:rStyle w:val="FootnoteAnchor"/>
          <w:rtl w:val="true"/>
        </w:rPr>
        <w:footnoteReference w:id="972"/>
      </w:r>
      <w:r>
        <w:rPr>
          <w:rFonts w:ascii="IRNazanin" w:hAnsi="IRNazanin" w:eastAsia="IRNazanin"/>
          <w:color w:val="111111"/>
          <w:sz w:val="28"/>
          <w:sz w:val="28"/>
          <w:szCs w:val="28"/>
          <w:rtl w:val="true"/>
          <w:lang w:bidi="fa-IR"/>
        </w:rPr>
        <w:t>الحبرة الیمنیّة والعبریّة والشطویّة والظفار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صریح خبر أبی مریم الأنصاری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کفّن رسول الله صلی الله علیه وآله فی ثلاثة </w:t>
      </w:r>
    </w:p>
    <w:p>
      <w:pPr>
        <w:pStyle w:val="BookText"/>
        <w:rPr/>
      </w:pPr>
      <w:r>
        <w:rPr>
          <w:rFonts w:ascii="IRNazanin" w:hAnsi="IRNazanin" w:eastAsia="IRNazanin"/>
          <w:color w:val="111111"/>
          <w:sz w:val="28"/>
          <w:sz w:val="28"/>
          <w:szCs w:val="28"/>
          <w:rtl w:val="true"/>
          <w:lang w:bidi="fa-IR"/>
        </w:rPr>
        <w:t>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أحمر حبرة، وثوبین أبیضین صحاریّین،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وکفّن الحسن أسامة بن زید فی برد أحمر، وکفّن علیّ سهل بن حنیف ببرد أحمر حبرة</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فتات قصب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فتات الشیء هو دقیقه و قطعه وکسره علی ما فی اللغة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والفتات ما تفتّت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تفتّت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فتاتاً،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قطعاً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وقصب النشّاب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والتشدید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هوقصب النیل والسهام، الواحدة نشّابة بالهاء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ویشترط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الکتابة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لانصراف إطلاق الکتابة فی النصّ</w:t>
      </w:r>
      <w:r>
        <w:rPr>
          <w:rStyle w:val="FootnoteAnchor"/>
          <w:rtl w:val="true"/>
        </w:rPr>
        <w:footnoteReference w:id="975"/>
      </w:r>
      <w:r>
        <w:rPr>
          <w:rFonts w:ascii="IRNazanin" w:hAnsi="IRNazanin" w:eastAsia="IRNazanin"/>
          <w:color w:val="111111"/>
          <w:sz w:val="28"/>
          <w:sz w:val="28"/>
          <w:szCs w:val="28"/>
          <w:rtl w:val="true"/>
          <w:lang w:bidi="fa-IR"/>
        </w:rPr>
        <w:t xml:space="preserve">والفتوی إلی کلّ ما فیه تأثیر و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کالکتابة بالطین المخلوط بماء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بنحو التنقیش بالسکّین، دون ما لا یؤثّر ، کالطین الیابس والإصبع الخالی ، أو أثّر ولم یتأثّر منه المحلّ ، کالماء الساذج عن الخلیط ، وإن کان المؤثّمر الذی لم یتأثّر منه المحلّ أقرب إلی ظاهر الکتابة من غیر المؤثّر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 المؤثّر مع التأثر علی المؤثّر بلا تأثّر ، کما یقدّم المؤثّر بلا تأثّر علی غیر المؤثر من الکتابة، وکما یقدم غیر المؤثّر منها علی عدم الکتابة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الترتیب کلّه 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یدرکه کلّه لا یترک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روایة العیون </w:t>
      </w:r>
      <w:r>
        <w:rPr>
          <w:rStyle w:val="FootnoteAnchor"/>
          <w:rtl w:val="true"/>
        </w:rPr>
        <w:footnoteReference w:id="977"/>
      </w:r>
      <w:r>
        <w:rPr>
          <w:rFonts w:ascii="IRNazanin" w:hAnsi="IRNazanin" w:eastAsia="IRNazanin"/>
          <w:color w:val="111111"/>
          <w:sz w:val="28"/>
          <w:sz w:val="28"/>
          <w:szCs w:val="28"/>
          <w:rtl w:val="true"/>
          <w:lang w:bidi="fa-IR"/>
        </w:rPr>
        <w:t xml:space="preserve">لعلّه إشارة إلی ضعف الروایة سنداً أو دلالة ، </w:t>
      </w:r>
    </w:p>
    <w:p>
      <w:pPr>
        <w:pStyle w:val="BookText"/>
        <w:rPr/>
      </w:pPr>
      <w:r>
        <w:rPr>
          <w:rFonts w:ascii="IRNazanin" w:hAnsi="IRNazanin" w:eastAsia="IRNazanin"/>
          <w:color w:val="111111"/>
          <w:sz w:val="28"/>
          <w:sz w:val="28"/>
          <w:szCs w:val="28"/>
          <w:rtl w:val="true"/>
          <w:lang w:bidi="fa-IR"/>
        </w:rPr>
        <w:t>بأنها من قبیل قضایا الأحوال المتطرّق علیها الاحتمال المورث فیها الاجمال، الاحتمال أن یکون جواز کتابة القرآن علی کفن الإمام علیه السلام من جهة مأمونیتّه من تطرّق الاستخفاف غیر المأمون من تطرّقه فی غیر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المندوب إلیه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منع الاحتیاط المندوب إلیه شرعاً وعقلاً فیما یحتمل الاستخفاف المحرم بل المقطوع به عادة، بواسطة عدم انفکاک غیر المعصوم من الأموات عن مظنّة التلویث بالنجاسة عمادة الموجبة للاستخفاف عرفاً 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العیون المتضمّن تفعل الامام فلا یدلّ علی جواز الفعل الغیره ، لاختلاف الجهة بالمأمونیّة عن التلوثّ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أبی الحسن القتی</w:t>
      </w:r>
      <w:r>
        <w:rPr>
          <w:rStyle w:val="FootnoteAnchor"/>
          <w:rtl w:val="true"/>
        </w:rPr>
        <w:footnoteReference w:id="978"/>
      </w:r>
      <w:r>
        <w:rPr>
          <w:rFonts w:ascii="IRNazanin" w:hAnsi="IRNazanin" w:eastAsia="IRNazanin"/>
          <w:color w:val="111111"/>
          <w:sz w:val="28"/>
          <w:sz w:val="28"/>
          <w:szCs w:val="28"/>
          <w:rtl w:val="true"/>
          <w:lang w:bidi="fa-IR"/>
        </w:rPr>
        <w:t>، المتضمّن لفعل محمد بن عثمان النائب فلا دلالة فیه أیضاً، لأنه خبر موقوف ینتهی إلی فعل الصحابی الذی هو غیر حجّة ، لا إلی قول الامام الذی هو حجّة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إشارة إلی دفع ذلک کلّه ، بإمکان منع محذوریّة التلوّث مطلقا ولو من غیر قصد و استناد ، بل المحذور هو التلویث مع القصد والاستناد لا مطلقا، لأن عمدة دلیل وجوب إبعاد هذه الکتابات المحترمة عن التلوّث بالنجاسة هی وجوب تعظیمها وحرمة تحقیرها، ومنافاة التعظیم وحصول التحقیر عرفاً وعادةً فی مثل الاستعمال فی حالة الطهر فعلاً وبقصد التبرک والتوسل والاستشفاع به ممنوعان جدّاً، بل هو بهذا القصد وفی هذا الآن تعظیم جزماً ، وإن آل وانجرّ بعده إلی التلوّث غیر المقصود وغیر المستند إلی فاعل عرفاً ، وإلا لحرم الاستشفاء والتعوّذ بالتربة الحسینیة والآیات القرآنیة والأدعیة المأثورة أکلاً وشرباً أو تعلیقاً أو تختماً ، لما فی المأکول والمشروب منها من الأوّل إلی التلوّث، بل التکون </w:t>
      </w:r>
    </w:p>
    <w:p>
      <w:pPr>
        <w:pStyle w:val="BookText"/>
        <w:rPr/>
      </w:pPr>
      <w:r>
        <w:rPr>
          <w:rFonts w:ascii="IRNazanin" w:hAnsi="IRNazanin" w:eastAsia="IRNazanin"/>
          <w:color w:val="111111"/>
          <w:sz w:val="28"/>
          <w:sz w:val="28"/>
          <w:szCs w:val="28"/>
          <w:rtl w:val="true"/>
          <w:lang w:bidi="fa-IR"/>
        </w:rPr>
        <w:t>بالنجاسة لا محالة ، وما فی التعلیق والتختّم بها من المسّ أحیاناً ولو نسیاناً، ومع ذلک کلّه لا خلاف نا</w:t>
      </w:r>
      <w:r>
        <w:rPr>
          <w:rStyle w:val="FootnoteAnchor"/>
          <w:rtl w:val="true"/>
        </w:rPr>
        <w:footnoteReference w:id="979"/>
      </w:r>
      <w:r>
        <w:rPr>
          <w:rFonts w:ascii="IRNazanin" w:hAnsi="IRNazanin" w:eastAsia="IRNazanin"/>
          <w:color w:val="111111"/>
          <w:sz w:val="28"/>
          <w:sz w:val="28"/>
          <w:szCs w:val="28"/>
          <w:rtl w:val="true"/>
          <w:lang w:bidi="fa-IR"/>
        </w:rPr>
        <w:t>ولا فتوئً فی جوازها واستحبابها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مقتضی التعلیل الإشعار باختصاص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إشعار التعلیل دون دلالته إمکان حمل العلة هنا علی الحکمة غیر اللازمة الاطّراد، کما فی کثیر من الموارد أو علی أن العلّة احتمال الخروج وهو مطّرد، لقیام احتماله ولو بعد حین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المراد من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إرادته من المرسل </w:t>
      </w:r>
      <w:r>
        <w:rPr>
          <w:rStyle w:val="FootnoteAnchor"/>
          <w:rtl w:val="true"/>
        </w:rPr>
        <w:footnoteReference w:id="980"/>
      </w:r>
      <w:r>
        <w:rPr>
          <w:rFonts w:ascii="IRNazanin" w:hAnsi="IRNazanin" w:eastAsia="IRNazanin"/>
          <w:color w:val="111111"/>
          <w:sz w:val="28"/>
          <w:sz w:val="28"/>
          <w:szCs w:val="28"/>
          <w:rtl w:val="true"/>
          <w:lang w:bidi="fa-IR"/>
        </w:rPr>
        <w:t>مبنیّ علی حمل المطلق منه علی المقید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صحة هذا المبنیّ إنما هو فی الواجبات غیر القابلة لتعدّد المراتب، دون المندوبات القابلة له کما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تزاد أیضأاً نمطاً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القاموس </w:t>
      </w:r>
      <w:r>
        <w:rPr>
          <w:rStyle w:val="FootnoteAnchor"/>
          <w:rtl w:val="true"/>
        </w:rPr>
        <w:footnoteReference w:id="981"/>
      </w:r>
      <w:r>
        <w:rPr>
          <w:rFonts w:ascii="IRNazanin" w:hAnsi="IRNazanin" w:eastAsia="IRNazanin"/>
          <w:color w:val="111111"/>
          <w:sz w:val="28"/>
          <w:sz w:val="28"/>
          <w:szCs w:val="28"/>
          <w:rtl w:val="true"/>
          <w:lang w:bidi="fa-IR"/>
        </w:rPr>
        <w:t>والمجمع</w:t>
      </w:r>
      <w:r>
        <w:rPr>
          <w:rStyle w:val="FootnoteAnchor"/>
          <w:rtl w:val="true"/>
        </w:rPr>
        <w:footnoteReference w:id="982"/>
      </w:r>
      <w:r>
        <w:rPr>
          <w:rFonts w:ascii="IRNazanin" w:hAnsi="IRNazanin" w:eastAsia="IRNazanin"/>
          <w:color w:val="111111"/>
          <w:sz w:val="28"/>
          <w:sz w:val="28"/>
          <w:szCs w:val="28"/>
          <w:rtl w:val="true"/>
          <w:lang w:bidi="fa-IR"/>
        </w:rPr>
        <w:t>وعن جامع المقاصد</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ثوب صوف یطرح علی الهودج ، أو نوع من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المعمولة من الصوف الملونة ، أو الطریقة من الطرق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النمط الأوسط، لا یدرکنا الغالی، ولا یسبقنا التالی</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استحبابه للمرأة إما بالمعنی الأول، کما علیه تداول الناس من </w:t>
      </w:r>
    </w:p>
    <w:p>
      <w:pPr>
        <w:pStyle w:val="BookText"/>
        <w:rPr/>
      </w:pPr>
      <w:r>
        <w:rPr>
          <w:rFonts w:ascii="IRNazanin" w:hAnsi="IRNazanin" w:eastAsia="IRNazanin"/>
          <w:color w:val="111111"/>
          <w:sz w:val="28"/>
          <w:sz w:val="28"/>
          <w:szCs w:val="28"/>
          <w:rtl w:val="true"/>
          <w:lang w:bidi="fa-IR"/>
        </w:rPr>
        <w:t>تغطیة المرأة المیّتة بغطاء یستر حجمها عن النظّار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بالمعنی الثانی ، کما یقتضیه صریح قولی الفقیه</w:t>
      </w:r>
      <w:r>
        <w:rPr>
          <w:rStyle w:val="FootnoteAnchor"/>
          <w:rtl w:val="true"/>
        </w:rPr>
        <w:footnoteReference w:id="985"/>
      </w:r>
      <w:r>
        <w:rPr>
          <w:rFonts w:ascii="IRNazanin" w:hAnsi="IRNazanin" w:eastAsia="IRNazanin"/>
          <w:color w:val="111111"/>
          <w:sz w:val="28"/>
          <w:sz w:val="28"/>
          <w:szCs w:val="28"/>
          <w:rtl w:val="true"/>
          <w:lang w:bidi="fa-IR"/>
        </w:rPr>
        <w:t xml:space="preserve">والهدایة </w:t>
      </w:r>
      <w:r>
        <w:rPr>
          <w:rStyle w:val="FootnoteAnchor"/>
          <w:rtl w:val="true"/>
        </w:rPr>
        <w:footnoteReference w:id="986"/>
      </w:r>
      <w:r>
        <w:rPr>
          <w:rFonts w:ascii="IRNazanin" w:hAnsi="IRNazanin" w:eastAsia="IRNazanin"/>
          <w:color w:val="111111"/>
          <w:sz w:val="28"/>
          <w:sz w:val="28"/>
          <w:szCs w:val="28"/>
          <w:rtl w:val="true"/>
          <w:lang w:bidi="fa-IR"/>
        </w:rPr>
        <w:t xml:space="preserve">فی کیفیّة ترتیب الکفن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وغاسل المیت یبدأ بکفنه فیقطعه ، یبدأ بالنمط فیبسطه، ویبسط علیه الحبرة، ویبسط الإزار علی الحبرة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بالنمط الفراش الذی یفرش تحت الکفن لیبسط الکفن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ظاهرهما تعمیم ازدیاده للرجل أیضاً ، دون اختصاص زیادته بالمرأة کما هو المدّعی فی صریح المتن و محکیّ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بمعنی ثالث، وهو أن یراد بزیادة النمط لها أنها تزاد علی مستحبّ الرجال بحبرة ، کما عن الحتی</w:t>
      </w:r>
      <w:r>
        <w:rPr>
          <w:rStyle w:val="FootnoteAnchor"/>
          <w:rtl w:val="true"/>
        </w:rPr>
        <w:footnoteReference w:id="987"/>
      </w:r>
      <w:r>
        <w:rPr>
          <w:rFonts w:ascii="IRNazanin" w:hAnsi="IRNazanin" w:eastAsia="IRNazanin"/>
          <w:color w:val="111111"/>
          <w:sz w:val="28"/>
          <w:sz w:val="28"/>
          <w:szCs w:val="28"/>
          <w:rtl w:val="true"/>
          <w:lang w:bidi="fa-IR"/>
        </w:rPr>
        <w:t>تفسیر النمط بها، أو بلفّافة أخری کما عن غیره</w:t>
      </w:r>
      <w:r>
        <w:rPr>
          <w:rStyle w:val="FootnoteAnchor"/>
          <w:rtl w:val="true"/>
        </w:rPr>
        <w:footnoteReference w:id="988"/>
      </w:r>
      <w:r>
        <w:rPr>
          <w:rFonts w:ascii="IRNazanin" w:hAnsi="IRNazanin" w:eastAsia="IRNazanin"/>
          <w:color w:val="111111"/>
          <w:sz w:val="28"/>
          <w:sz w:val="28"/>
          <w:szCs w:val="28"/>
          <w:rtl w:val="true"/>
          <w:lang w:bidi="fa-IR"/>
        </w:rPr>
        <w:t xml:space="preserve">التصریح بأن للرجل لقافتین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الإزار والحبرة، ولها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مع النمط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دلالّة فی شیء من النصوص </w:t>
      </w:r>
      <w:r>
        <w:rPr>
          <w:rStyle w:val="FootnoteAnchor"/>
          <w:rtl w:val="true"/>
        </w:rPr>
        <w:footnoteReference w:id="989"/>
      </w:r>
      <w:r>
        <w:rPr>
          <w:rFonts w:ascii="IRNazanin" w:hAnsi="IRNazanin" w:eastAsia="IRNazanin"/>
          <w:color w:val="111111"/>
          <w:sz w:val="28"/>
          <w:sz w:val="28"/>
          <w:szCs w:val="28"/>
          <w:rtl w:val="true"/>
          <w:lang w:bidi="fa-IR"/>
        </w:rPr>
        <w:t>علی استحباب زیادته للمرأة بغیر معنی الحبرة أو اللفّافة الأخری ، کما صرح به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المناسبة لها بالمعنی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کمنبر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اللغوی</w:t>
      </w:r>
      <w:r>
        <w:rPr>
          <w:rStyle w:val="FootnoteAnchor"/>
          <w:rtl w:val="true"/>
        </w:rPr>
        <w:footnoteReference w:id="990"/>
      </w:r>
      <w:r>
        <w:rPr>
          <w:rFonts w:ascii="IRNazanin" w:hAnsi="IRNazanin" w:eastAsia="IRNazanin"/>
          <w:color w:val="111111"/>
          <w:sz w:val="28"/>
          <w:sz w:val="28"/>
          <w:szCs w:val="28"/>
          <w:rtl w:val="true"/>
          <w:lang w:bidi="fa-IR"/>
        </w:rPr>
        <w:t xml:space="preserve">هو ما یشدّ به الوسط،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وهو بهذا المعنی اللغوی إنما یناسب المئزر الالفّافة الندیین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أنه بهذا 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یشدّ به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أنسب إلی المئزر إلا أنه لا یخلو من المناسبة لشدّ الثدیین أیضاً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من جلب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 إشارة إلی ما فی الأولویّة من الوجوه المتقدّمة </w:t>
      </w:r>
      <w:r>
        <w:rPr>
          <w:rStyle w:val="FootnoteAnchor"/>
          <w:rtl w:val="true"/>
        </w:rPr>
        <w:footnoteReference w:id="991"/>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خبر زرارة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 المیّت عمدت إلی الکافور فمسحت به آثار السجود ومفاصله کلّها، واجعل فی فیه ومسامعه ورأسه ولحیته من الحنوط، وعلی صدره</w:t>
      </w:r>
      <w:r>
        <w:rPr>
          <w:rStyle w:val="FootnoteAnchor"/>
          <w:rtl w:val="true"/>
        </w:rPr>
        <w:footnoteReference w:id="99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کون الخبرین مؤیّدین للمدّعی لا دالّین علیه هو توقّف دلالتهما علیه علی تقیید الصدر بالفاضل من الحنوط، وهما مطلقان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وکالخبرین فی تأیید المدعی کون الصدر من المساجد فی الجملة، وکون الحکم مشهوراً بین الأصحاب کما عن الکشف</w:t>
      </w:r>
      <w:r>
        <w:rPr>
          <w:rStyle w:val="FootnoteAnchor"/>
          <w:rtl w:val="true"/>
        </w:rPr>
        <w:footnoteReference w:id="993"/>
      </w:r>
      <w:r>
        <w:rPr>
          <w:rFonts w:ascii="IRNazanin" w:hAnsi="IRNazanin" w:eastAsia="IRNazanin"/>
          <w:color w:val="111111"/>
          <w:sz w:val="28"/>
          <w:sz w:val="28"/>
          <w:szCs w:val="28"/>
          <w:rtl w:val="true"/>
          <w:lang w:bidi="fa-IR"/>
        </w:rPr>
        <w:t xml:space="preserve">، بل علیه الاجماع کما عن الخلاف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مؤمنةاً أو کافراً ، محسناً أو مسیئاً ، صغیراً أو کبیراً،کما ورد التنصیص </w:t>
      </w:r>
      <w:r>
        <w:rPr>
          <w:rStyle w:val="FootnoteAnchor"/>
          <w:rtl w:val="true"/>
        </w:rPr>
        <w:footnoteReference w:id="995"/>
      </w:r>
      <w:r>
        <w:rPr>
          <w:rFonts w:ascii="IRNazanin" w:hAnsi="IRNazanin" w:eastAsia="IRNazanin"/>
          <w:color w:val="111111"/>
          <w:sz w:val="28"/>
          <w:sz w:val="28"/>
          <w:szCs w:val="28"/>
          <w:rtl w:val="true"/>
          <w:lang w:bidi="fa-IR"/>
        </w:rPr>
        <w:t>بأنها تنفع المؤمن والکافر والمحسن والمسیء، والتصریح عن المشهور بعدم الفرق بین الکبار والصغار للإطلاق وإقامة الشعار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جعل السعفتان لذلک ، فلا یصیبه عذاب ولاحساب بعد جفوفهما</w:t>
      </w:r>
      <w:r>
        <w:rPr>
          <w:rFonts w:eastAsia="IRNazanin" w:cs="IRNazanin"/>
          <w:color w:val="111111"/>
          <w:sz w:val="28"/>
          <w:szCs w:val="28"/>
          <w:rtl w:val="true"/>
          <w:lang w:bidi="fa-IR"/>
        </w:rPr>
        <w:t>»</w:t>
      </w:r>
      <w:r>
        <w:rPr>
          <w:rStyle w:val="FootnoteAnchor"/>
          <w:rtl w:val="true"/>
        </w:rPr>
        <w:footnoteReference w:id="99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تعلیل تشریع الجریدة بذلک فی الصحیح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الاجتزاء بکل من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المخروطة عن الخوص – والسعفة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غیر المخروطة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منه، وقوله بعد ذلک بأحوطیّة المخروطة لعلّ وجهه أکثریّة التعبیر بالجریدة فی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الفتاوی ، أو الخروج عن شبهة الخلاف فی الاقتصار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معارض بأحوطیّة غیر المخروطة، بناءً علی مزیتًها علی المخروطة بالخوص، وشمول إطلاق الجریدة لهما فی النصوص ، کما هو محتمل، وإن قبل باختصاص الجریدة بالمخروطة والسعفة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 أیضاً بأشبهیة غیر المخروطة بأشجار الجنّة والتأنّس ورفع الوحشة ، المعلّل بها وصیّة آدم ولده بفعل ذلک له فیما روی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أهبط من جنّته إلی الأرض استوحش فسأل الله أن یؤنسه بشیء من أشجار الجنة، فأنزل الله إلیه النخلة، فکان یأنس بها فی حیاته، فلمّا حضرته الوفاة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 بها فی حیاتی وأرجو الأنس بها بعد وفاتی، فإذا متّ فخذوا منها جریدة وشقّوها بنصفین وضعوهما معی فی أکفانی، ففعل ولده ذلک، وفعلته الأنبیاء بعده، ثم اندرس ذلک فی الجاهلیة، فأحیاه النبیّ صلّی الله علیه وآله وفعلّه، فصارت سنّة متّبعة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تعلیل مشروعیّة الجریدة فی الصحیح بالأمن من عذاب القبر وحسابه هو عدم مشروعیّتها لمن یؤمن علیه العذاب والحساب کالصبی والمجنون، ولکن ظاهر تعلیل مشروعیّتها فی وصیّة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بالتأنس ورفع الوحشة وفعل الأنبیاء له هو تعمیم شرعیّتها لکل میّت حتی الصغار ، کما صرّح به فی المسالک</w:t>
      </w:r>
      <w:r>
        <w:rPr>
          <w:rStyle w:val="FootnoteAnchor"/>
          <w:rtl w:val="true"/>
        </w:rPr>
        <w:footnoteReference w:id="997"/>
      </w:r>
      <w:r>
        <w:rPr>
          <w:rFonts w:ascii="IRNazanin" w:hAnsi="IRNazanin" w:eastAsia="IRNazanin"/>
          <w:color w:val="111111"/>
          <w:sz w:val="28"/>
          <w:sz w:val="28"/>
          <w:szCs w:val="28"/>
          <w:rtl w:val="true"/>
          <w:lang w:bidi="fa-IR"/>
        </w:rPr>
        <w:t>لإقامة الشعار، وعن التذکرة</w:t>
      </w:r>
      <w:r>
        <w:rPr>
          <w:rStyle w:val="FootnoteAnchor"/>
          <w:rtl w:val="true"/>
        </w:rPr>
        <w:footnoteReference w:id="998"/>
      </w:r>
      <w:r>
        <w:rPr>
          <w:rFonts w:ascii="IRNazanin" w:hAnsi="IRNazanin" w:eastAsia="IRNazanin"/>
          <w:color w:val="111111"/>
          <w:sz w:val="28"/>
          <w:sz w:val="28"/>
          <w:szCs w:val="28"/>
          <w:rtl w:val="true"/>
          <w:lang w:bidi="fa-IR"/>
        </w:rPr>
        <w:t xml:space="preserve">وغیره لإطلاق الأصحاب </w:t>
      </w:r>
    </w:p>
    <w:p>
      <w:pPr>
        <w:pStyle w:val="BookText"/>
        <w:rPr/>
      </w:pPr>
      <w:r>
        <w:rPr>
          <w:rFonts w:ascii="IRNazanin" w:hAnsi="IRNazanin" w:eastAsia="IRNazanin"/>
          <w:color w:val="111111"/>
          <w:sz w:val="28"/>
          <w:sz w:val="28"/>
          <w:szCs w:val="28"/>
          <w:rtl w:val="true"/>
          <w:lang w:bidi="fa-IR"/>
        </w:rPr>
        <w:t>والأخبار، وتنزیه الأنبیاء من عذاب القبر وحسابه ، فیحمل تعلیل الصحیح علی الحکمة لا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تعلیل ما نسبه المسالک </w:t>
      </w:r>
      <w:r>
        <w:rPr>
          <w:rStyle w:val="FootnoteAnchor"/>
          <w:rtl w:val="true"/>
        </w:rPr>
        <w:footnoteReference w:id="999"/>
      </w:r>
      <w:r>
        <w:rPr>
          <w:rFonts w:ascii="IRNazanin" w:hAnsi="IRNazanin" w:eastAsia="IRNazanin"/>
          <w:color w:val="111111"/>
          <w:sz w:val="28"/>
          <w:sz w:val="28"/>
          <w:szCs w:val="28"/>
          <w:rtl w:val="true"/>
          <w:lang w:bidi="fa-IR"/>
        </w:rPr>
        <w:t xml:space="preserve">إلی الأصحاب من استحباب لفّ الجریدتین بالقطن بالمحافظة علی الرطوبة ، مضافاً إلی عدم تحقق هذه النسبة فی شیء من کتب القدماء والمتأخّرین إلا فی المسالک ، ولا تحقّق الفتوی بالمنسوب فی شیء منها إلا فی إشارة السبق </w:t>
      </w:r>
      <w:r>
        <w:rPr>
          <w:rStyle w:val="FootnoteAnchor"/>
          <w:rtl w:val="true"/>
        </w:rPr>
        <w:footnoteReference w:id="1000"/>
      </w:r>
      <w:r>
        <w:rPr>
          <w:rFonts w:ascii="IRNazanin" w:hAnsi="IRNazanin" w:eastAsia="IRNazanin"/>
          <w:color w:val="111111"/>
          <w:sz w:val="28"/>
          <w:sz w:val="28"/>
          <w:szCs w:val="28"/>
          <w:rtl w:val="true"/>
          <w:lang w:bidi="fa-IR"/>
        </w:rPr>
        <w:t>، فإن التعلیل بالمحافظة علی بقاءً الرطوبة إنما یوافق مفهوم قوله علیه السلام فی الصحیح</w:t>
      </w:r>
      <w:r>
        <w:rPr>
          <w:rStyle w:val="FootnoteAnchor"/>
          <w:rtl w:val="true"/>
        </w:rPr>
        <w:footnoteReference w:id="1001"/>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یتجافی عنه العذاب ما دام العود رطباً، لو لم یتعقبه التصریح بعدم المفهوم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العذاب والحساب فی یوم واحد فی ساعة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حساب بعد جفوفهما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بعد التصریح بنفی الحساب بعد جفافهما فلا وجه لتعلیل استحباب لقهما بالقطن بالمحافظة علی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باستحبابه تعبّد اً، والمفروض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إخفاء لهما علی المخالفین تقیّة ، فکذلک، مع کونه أخصّ من المدّعی من جهة اختصاص الإخفاء علی المخالف بحضوره لا مطلقا، وأعمّ منه من جهة عدم انحصار طرق الإخفاء فی التقطین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ترفّقاً علی المیت من خشونة الجریدة، فتقطّن طلباً للنعومة ورفع 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کذلک أخصّ من المدّعی، من جهة اقتضائه اختصاص </w:t>
      </w:r>
    </w:p>
    <w:p>
      <w:pPr>
        <w:pStyle w:val="BookText"/>
        <w:rPr/>
      </w:pPr>
      <w:r>
        <w:rPr>
          <w:rFonts w:ascii="IRNazanin" w:hAnsi="IRNazanin" w:eastAsia="IRNazanin"/>
          <w:color w:val="111111"/>
          <w:sz w:val="28"/>
          <w:sz w:val="28"/>
          <w:szCs w:val="28"/>
          <w:rtl w:val="true"/>
          <w:lang w:bidi="fa-IR"/>
        </w:rPr>
        <w:t>التقطین برأس الجریدة الا بکلّها ، و بالجریدة الملصقة بالجلد لا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 منه أیضاً من جهة عدم انحصار رفع الخشونة بالتقطین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تقطین الجریدة منافی لما هو الموظّف نصّاً</w:t>
      </w:r>
      <w:r>
        <w:rPr>
          <w:rStyle w:val="FootnoteAnchor"/>
          <w:rtl w:val="true"/>
        </w:rPr>
        <w:footnoteReference w:id="1002"/>
      </w:r>
      <w:r>
        <w:rPr>
          <w:rFonts w:ascii="Amiri" w:hAnsi="Amiri" w:eastAsia="Amiri" w:cs="Amiri"/>
          <w:color w:val="111111"/>
          <w:sz w:val="28"/>
          <w:sz w:val="28"/>
          <w:szCs w:val="28"/>
          <w:rtl w:val="true"/>
          <w:lang w:bidi="ar-SA"/>
        </w:rPr>
        <w:t>وفتویً</w:t>
      </w:r>
      <w:r>
        <w:rPr>
          <w:rStyle w:val="FootnoteAnchor"/>
          <w:rtl w:val="true"/>
        </w:rPr>
        <w:footnoteReference w:id="1003"/>
      </w:r>
      <w:r>
        <w:rPr>
          <w:rFonts w:ascii="IRNazanin" w:hAnsi="IRNazanin" w:eastAsia="IRNazanin"/>
          <w:color w:val="111111"/>
          <w:sz w:val="28"/>
          <w:sz w:val="28"/>
          <w:szCs w:val="28"/>
          <w:rtl w:val="true"/>
          <w:lang w:bidi="fa-IR"/>
        </w:rPr>
        <w:t xml:space="preserve">من إلصاق إحداهما بالجلد من تحت القمیص، ولتشبّهها بشجر الجنّة وتأنّس ألمت بها لذلک، المعقل بها وصیّة آدم علیه السلام </w:t>
      </w:r>
      <w:r>
        <w:rPr>
          <w:rStyle w:val="FootnoteAnchor"/>
          <w:rtl w:val="true"/>
        </w:rPr>
        <w:footnoteReference w:id="1004"/>
      </w:r>
      <w:r>
        <w:rPr>
          <w:rFonts w:ascii="IRNazanin" w:hAnsi="IRNazanin" w:eastAsia="IRNazanin"/>
          <w:color w:val="111111"/>
          <w:sz w:val="28"/>
          <w:sz w:val="28"/>
          <w:szCs w:val="28"/>
          <w:rtl w:val="true"/>
          <w:lang w:bidi="fa-IR"/>
        </w:rPr>
        <w:t>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قاعدة التسامح فی أدلّة السنن</w:t>
      </w:r>
      <w:r>
        <w:rPr>
          <w:rStyle w:val="FootnoteAnchor"/>
          <w:rtl w:val="true"/>
        </w:rPr>
        <w:footnoteReference w:id="1005"/>
      </w:r>
      <w:r>
        <w:rPr>
          <w:rFonts w:ascii="IRNazanin" w:hAnsi="IRNazanin" w:eastAsia="IRNazanin"/>
          <w:color w:val="111111"/>
          <w:sz w:val="28"/>
          <w:sz w:val="28"/>
          <w:szCs w:val="28"/>
          <w:rtl w:val="true"/>
          <w:lang w:bidi="fa-IR"/>
        </w:rPr>
        <w:t>فلا تکفی فی إثبات استحباب تقطین الجریدة ، بعد احتمال منافاته الغرض المقصود من شرع الجریدة، کما لا تکفی فی إثبات استحباب ما یحتمل الحرمة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والجمع بینها وبین الصحیح یقتضی الحمل علی الاستحباب إن اعتبر أسانیدها، وإلا فالوجوب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ما علّق علی کلّ من الشقّین نظر، إذ علی تقدیر اعتبار أسانیدها لا ینحصر الجمع بینها وبین الصحیح فی حمل أمره بنزع الأزرار علی الاستحباب ، وفی جعلها قرینة صارفة لظاهر الأمر عن الوجوب، بل کما یحصل الجمع بینها بذلک یحصل بالعکس أیضاً ، وهو جعل ظهور الأمر فی الصحیح </w:t>
      </w:r>
      <w:r>
        <w:rPr>
          <w:rStyle w:val="FootnoteAnchor"/>
          <w:rtl w:val="true"/>
        </w:rPr>
        <w:footnoteReference w:id="1006"/>
      </w:r>
      <w:r>
        <w:rPr>
          <w:rFonts w:ascii="IRNazanin" w:hAnsi="IRNazanin" w:eastAsia="IRNazanin"/>
          <w:color w:val="111111"/>
          <w:sz w:val="28"/>
          <w:sz w:val="28"/>
          <w:szCs w:val="28"/>
          <w:rtl w:val="true"/>
          <w:lang w:bidi="fa-IR"/>
        </w:rPr>
        <w:t>فی الوجوب قرینة مقیدة ومبینة لإطلاق غیر الصحیح، حملاً للمطلق علی المقید ، والمجمل علی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علی تقدیر عدم اعتبار أسانیدها لا ینحصر الأمر فی إبقاء الأمر فی الصحیح علی الوجوب، بل تکفی الشهرة وإعراض الأصحاب عن ظهوره فی الحمل علی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 الإرسال بعدّة من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الراوی الشیخ بإسناده عن محمد بن أحمد بن یحیی، عن یعقوب بن یزید، عن عدّة من أصحابنا ،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یحکفّن المیّت فی کتّان</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ومن المحرز کون المرسل وهو یعقوب بن یزید ثقّة صدوقاً ، وکون الإرسال بعدة من الأصحاب لا ببعضهم ولا بالحذف ملحقاً بالسند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کراهته مشهور بین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موهونیة الإجماع فلوضوح کون الإجماع علی فضل البیاض من الکتان موهوناًبشهرة کراهته، نظراًإلی امتناع اجتماع الفضل والکراهة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التأمّل فیه فلإمکان الجمع بین کراهته فی نفسه وفضل البیاض منه بالنسبة إلی السواد، فالشهرة بکراهته حینئیذ موهن للقول بحرمته لا للقول بجوازه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تأسّیاً بصاحب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غایة ما یثبت بالمسامحة والتأسّی إنما هو أفضلیّة فعل البیاض وترتّب الثواب علیه، دون کراهة المصبوغ، فضلاً عن کراهة مطلق المصبوغ، فضلاً عن إثبات کراهته الشرعیّة التی هی المدّعی، إلا بضمیمة روایة علی الکراهة ، والمفروض عدمها علی مطلق الصبغ، وإنما هو خاصّ </w:t>
      </w:r>
      <w:r>
        <w:rPr>
          <w:rStyle w:val="FootnoteAnchor"/>
          <w:rtl w:val="true"/>
        </w:rPr>
        <w:footnoteReference w:id="1008"/>
      </w:r>
      <w:r>
        <w:rPr>
          <w:rFonts w:ascii="IRNazanin" w:hAnsi="IRNazanin" w:eastAsia="IRNazanin"/>
          <w:color w:val="111111"/>
          <w:sz w:val="28"/>
          <w:sz w:val="28"/>
          <w:szCs w:val="28"/>
          <w:rtl w:val="true"/>
          <w:lang w:bidi="fa-IR"/>
        </w:rPr>
        <w:t xml:space="preserve">بالسواد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علی شیء من الحنیفیّة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الطریقة المستقیمة المائلة عن الاعوجاج إلی الاستقامة وعن الباطل إلی الحقّ، من الحنف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الاستقامة والمیل عن </w:t>
      </w:r>
    </w:p>
    <w:p>
      <w:pPr>
        <w:pStyle w:val="BookText"/>
        <w:rPr/>
      </w:pPr>
      <w:r>
        <w:rPr>
          <w:rFonts w:ascii="IRNazanin" w:hAnsi="IRNazanin" w:eastAsia="IRNazanin"/>
          <w:color w:val="111111"/>
          <w:sz w:val="28"/>
          <w:sz w:val="28"/>
          <w:szCs w:val="28"/>
          <w:rtl w:val="true"/>
          <w:lang w:bidi="fa-IR"/>
        </w:rPr>
        <w:t>الاعوجاج</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المرسل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 سنده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 عن رجاله ، عن یونس</w:t>
      </w:r>
      <w:r>
        <w:rPr>
          <w:rStyle w:val="FootnoteAnchor"/>
          <w:rtl w:val="true"/>
        </w:rPr>
        <w:footnoteReference w:id="1010"/>
      </w:r>
      <w:r>
        <w:rPr>
          <w:rFonts w:ascii="IRNazanin" w:hAnsi="IRNazanin" w:eastAsia="IRNazanin"/>
          <w:color w:val="111111"/>
          <w:sz w:val="28"/>
          <w:sz w:val="28"/>
          <w:szCs w:val="28"/>
          <w:rtl w:val="true"/>
          <w:lang w:bidi="fa-IR"/>
        </w:rPr>
        <w:t xml:space="preserve">، عنهم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المرسل بالعدّة هو اشتماله 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الوصفان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الإرسال بالعدة ، أو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جبر الإرسال بواسطة تعدّد الناقل فی بعض مراتب 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مواراته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الإجماعات المستفیضة القولیّة والعملیّة ، والتأسّی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تعلیل روایة العلل </w:t>
      </w:r>
      <w:r>
        <w:rPr>
          <w:rStyle w:val="FootnoteAnchor"/>
          <w:rtl w:val="true"/>
        </w:rPr>
        <w:footnoteReference w:id="1011"/>
      </w:r>
      <w:r>
        <w:rPr>
          <w:rFonts w:ascii="IRNazanin" w:hAnsi="IRNazanin" w:eastAsia="IRNazanin"/>
          <w:color w:val="111111"/>
          <w:sz w:val="28"/>
          <w:sz w:val="28"/>
          <w:szCs w:val="28"/>
          <w:rtl w:val="true"/>
          <w:lang w:bidi="fa-IR"/>
        </w:rPr>
        <w:t>، ومن الکتاب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غراباً یبحث فی الأرض لیریه کیف یواری سوءة أخیه</w:t>
      </w:r>
      <w:r>
        <w:rPr>
          <w:rFonts w:eastAsia="IRNazanin" w:cs="IRNazanin"/>
          <w:color w:val="111111"/>
          <w:sz w:val="28"/>
          <w:szCs w:val="28"/>
          <w:rtl w:val="true"/>
          <w:lang w:bidi="fa-IR"/>
        </w:rPr>
        <w:t xml:space="preserve">)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w:t>
      </w:r>
      <w:r>
        <w:rPr>
          <w:rFonts w:eastAsia="IRNazanin" w:cs="IRNazanin"/>
          <w:color w:val="111111"/>
          <w:sz w:val="28"/>
          <w:szCs w:val="28"/>
          <w:rtl w:val="true"/>
          <w:lang w:bidi="fa-IR"/>
        </w:rPr>
        <w:t xml:space="preserve">)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کفاتاً أحیاء وأمواتاً</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والکفات جمع الکفت بمعنی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یجوز وضعه فی بناء أو تابوت إلا عند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لو تعذّر الحفر لصلابة الأرض أو کثرة الثلج أو نحوهما ، ولو من جهة عدم التمکّن من الآلة المعالج بها الحفر ، فیجوز المواراة فی غیر الأرض ، مراعیاً للوصفین بحسب الإمکان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تقدیم البناء والتابوت ونحوهما علی التنقیل والإلقاء فی البحر عند الدوران احتمالان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فی تقدیم البناء و نحوه علی الدفن المستلزم انتظاره الفساد وهتک الحرمة أیضاً وجهان ، من سقوط الدفن ، کما جزم به البرهان</w:t>
      </w:r>
      <w:r>
        <w:rPr>
          <w:rStyle w:val="FootnoteAnchor"/>
          <w:rtl w:val="true"/>
        </w:rPr>
        <w:footnoteReference w:id="1015"/>
      </w:r>
      <w:r>
        <w:rPr>
          <w:rFonts w:ascii="Amiri" w:hAnsi="Amiri" w:eastAsia="Amiri" w:cs="Amiri"/>
          <w:color w:val="111111"/>
          <w:sz w:val="28"/>
          <w:sz w:val="28"/>
          <w:szCs w:val="28"/>
          <w:rtl w:val="true"/>
          <w:lang w:bidi="ar-SA"/>
        </w:rPr>
        <w:t>تبعاً للکشف</w:t>
      </w:r>
      <w:r>
        <w:rPr>
          <w:rStyle w:val="FootnoteAnchor"/>
          <w:rtl w:val="true"/>
        </w:rPr>
        <w:footnoteReference w:id="1016"/>
      </w:r>
      <w:r>
        <w:rPr>
          <w:rFonts w:ascii="IRNazanin" w:hAnsi="IRNazanin" w:eastAsia="IRNazanin"/>
          <w:color w:val="111111"/>
          <w:sz w:val="28"/>
          <w:sz w:val="28"/>
          <w:szCs w:val="28"/>
          <w:rtl w:val="true"/>
          <w:lang w:bidi="fa-IR"/>
        </w:rPr>
        <w:t xml:space="preserve">و مستظهر الجواهر </w:t>
      </w:r>
      <w:r>
        <w:rPr>
          <w:rStyle w:val="FootnoteAnchor"/>
          <w:rtl w:val="true"/>
        </w:rPr>
        <w:footnoteReference w:id="1017"/>
      </w:r>
      <w:r>
        <w:rPr>
          <w:rFonts w:ascii="IRNazanin" w:hAnsi="IRNazanin" w:eastAsia="IRNazanin"/>
          <w:color w:val="111111"/>
          <w:sz w:val="28"/>
          <w:sz w:val="28"/>
          <w:szCs w:val="28"/>
          <w:rtl w:val="true"/>
          <w:lang w:bidi="fa-IR"/>
        </w:rPr>
        <w:t xml:space="preserve">، وقیاساً علی تقدیم التنقیل والإلقاء فی البحر علی الدفن المستلزم انتظاره الفساد والهتک ، ومن عدم سقوطه إلا بما یسقط غیره من التکالیف من الضرر والعسر والحرج، دون طروّالفساد، کما احتمله الجواهر </w:t>
      </w:r>
      <w:r>
        <w:rPr>
          <w:rStyle w:val="FootnoteAnchor"/>
          <w:rtl w:val="true"/>
        </w:rPr>
        <w:footnoteReference w:id="1018"/>
      </w:r>
      <w:r>
        <w:rPr>
          <w:rFonts w:ascii="IRNazanin" w:hAnsi="IRNazanin" w:eastAsia="IRNazanin"/>
          <w:color w:val="111111"/>
          <w:sz w:val="28"/>
          <w:sz w:val="28"/>
          <w:szCs w:val="28"/>
          <w:rtl w:val="true"/>
          <w:lang w:bidi="fa-IR"/>
        </w:rPr>
        <w:t xml:space="preserve">بعد استظهاره الأول، ولعلّه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محجوج بفحوی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 من الحجّة بمعنی الغلبة، بل ومحجوج أیضاً بفحوی</w:t>
      </w:r>
      <w:r>
        <w:rPr>
          <w:rStyle w:val="FootnoteAnchor"/>
          <w:rtl w:val="true"/>
        </w:rPr>
        <w:footnoteReference w:id="1019"/>
      </w:r>
      <w:r>
        <w:rPr>
          <w:rFonts w:ascii="IRNazanin" w:hAnsi="IRNazanin" w:eastAsia="IRNazanin"/>
          <w:color w:val="111111"/>
          <w:sz w:val="28"/>
          <w:sz w:val="28"/>
          <w:szCs w:val="28"/>
          <w:rtl w:val="true"/>
          <w:lang w:bidi="fa-IR"/>
        </w:rPr>
        <w:t>ما دلّ علی دفن الذمیّة الحامل من مسلم مستدبر القبلة ، إکراماً للولد بالاستقبال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علی أنفه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استقبال المیّت بوجهه إلی القبلة من وراء الکفّن مع ظلمة القبر واللّحد فی غایة الخفاء والإشکال ، من دون الاستعلام بضیاء وتفتیش وجه المیّت، جعل المعصوم لتشخیصه علامة مطّردة مسهّلة مشخّصة لاستقبال وجهه من غیر احتیاج إلی ضیاء وتفتیش ،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علی أنفه حتی یتبیّن لک استقباله</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الوقف</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لأن عدم شمول التسبیل للمسلمین أو من المسلمین الکافر </w:t>
      </w:r>
    </w:p>
    <w:p>
      <w:pPr>
        <w:pStyle w:val="BookText"/>
        <w:rPr/>
      </w:pPr>
      <w:r>
        <w:rPr>
          <w:rFonts w:ascii="IRNazanin" w:hAnsi="IRNazanin" w:eastAsia="IRNazanin"/>
          <w:color w:val="111111"/>
          <w:sz w:val="28"/>
          <w:sz w:val="28"/>
          <w:szCs w:val="28"/>
          <w:rtl w:val="true"/>
          <w:lang w:bidi="fa-IR"/>
        </w:rPr>
        <w:t>یجعله بحکم المدفون فی الأرض المغصوبة ، فیحقّ للمسلمین إخراجه وإن قطع إرباً إرباً ، لعدم حرمة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دلالة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وسندها أیضاً ضعیف، لمجهولیّة أحمد بن أشیم عن یونس </w:t>
      </w:r>
      <w:r>
        <w:rPr>
          <w:rStyle w:val="FootnoteAnchor"/>
          <w:rtl w:val="true"/>
        </w:rPr>
        <w:footnoteReference w:id="1021"/>
      </w:r>
      <w:r>
        <w:rPr>
          <w:rFonts w:ascii="IRNazanin" w:hAnsi="IRNazanin" w:eastAsia="IRNazanin"/>
          <w:color w:val="111111"/>
          <w:sz w:val="28"/>
          <w:sz w:val="28"/>
          <w:szCs w:val="28"/>
          <w:rtl w:val="true"/>
          <w:lang w:bidi="fa-IR"/>
        </w:rPr>
        <w:t>، إلا أن یجبر ضعف سندها بشهرة العمل علی طبقها ، وضعف دلالتها بما عن جامع المقاصد</w:t>
      </w:r>
      <w:r>
        <w:rPr>
          <w:rStyle w:val="FootnoteAnchor"/>
          <w:rtl w:val="true"/>
        </w:rPr>
        <w:footnoteReference w:id="1022"/>
      </w:r>
      <w:r>
        <w:rPr>
          <w:rFonts w:ascii="IRNazanin" w:hAnsi="IRNazanin" w:eastAsia="IRNazanin"/>
          <w:color w:val="111111"/>
          <w:sz w:val="28"/>
          <w:sz w:val="28"/>
          <w:szCs w:val="28"/>
          <w:rtl w:val="true"/>
          <w:lang w:bidi="fa-IR"/>
        </w:rPr>
        <w:t>من أن الدفن حقیقة شرعیّة فی الدفن فی مقابر المسلمین ومستقبل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علیه أن الأصل عدم ثبوت الحقیقة الشرعیّة فی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ثبوتها فالأصل عدم مدخلیّة المکان والاستقبال فی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توجیه مضمون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ترجیح دفنها بتبعیّته فی مقابر المسلمین علی دفنه بتبعیّتها فی مقابر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ولا یعلی علیه</w:t>
      </w:r>
      <w:r>
        <w:rPr>
          <w:rStyle w:val="FootnoteAnchor"/>
          <w:rtl w:val="true"/>
        </w:rPr>
        <w:footnoteReference w:id="1023"/>
      </w:r>
      <w:r>
        <w:rPr>
          <w:rFonts w:ascii="IRNazanin" w:hAnsi="IRNazanin" w:eastAsia="IRNazanin"/>
          <w:color w:val="111111"/>
          <w:sz w:val="28"/>
          <w:sz w:val="28"/>
          <w:szCs w:val="28"/>
          <w:rtl w:val="true"/>
          <w:lang w:bidi="fa-IR"/>
        </w:rPr>
        <w:t>کما استوجهه بعض</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بمنع الأخیر ، لعدم حرمة للکافر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أورد علی هذا الرد بأن عدم الحرمة لها لا ینافی عدم جواز الجنایة علیها بشقّ بطنها وغیره من الجنایات البدنیّة، کما صرحوا</w:t>
      </w:r>
      <w:r>
        <w:rPr>
          <w:rStyle w:val="FootnoteAnchor"/>
          <w:rtl w:val="true"/>
        </w:rPr>
        <w:footnoteReference w:id="1025"/>
      </w:r>
      <w:r>
        <w:rPr>
          <w:rFonts w:ascii="IRNazanin" w:hAnsi="IRNazanin" w:eastAsia="IRNazanin"/>
          <w:color w:val="111111"/>
          <w:sz w:val="28"/>
          <w:sz w:val="28"/>
          <w:szCs w:val="28"/>
          <w:rtl w:val="true"/>
          <w:lang w:bidi="fa-IR"/>
        </w:rPr>
        <w:t>به فی الجنایة علی میّت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تربیعها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من جوانبها الأربع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لتربیع الجنازة صور عدیدة تبلغ إلی عشرین صورة، لأن صور دورانها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بیده الیمنی والانتهاء بیده الیسری، والعکس، والابتداء </w:t>
      </w:r>
    </w:p>
    <w:p>
      <w:pPr>
        <w:pStyle w:val="BookText"/>
        <w:rPr/>
      </w:pPr>
      <w:r>
        <w:rPr>
          <w:rFonts w:ascii="IRNazanin" w:hAnsi="IRNazanin" w:eastAsia="IRNazanin"/>
          <w:color w:val="111111"/>
          <w:sz w:val="28"/>
          <w:sz w:val="28"/>
          <w:szCs w:val="28"/>
          <w:rtl w:val="true"/>
          <w:lang w:bidi="fa-IR"/>
        </w:rPr>
        <w:t>برجله الیمنی والانتهاء بالیسری ،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اختلاف دورانها ستّ عشرة ، لأن الابتداء بکلّ من جوانبه الأربع الموجب للتربیع علی وجه اختلاف الدوران تبلغ إلی صور أربع ، إلا أن الکیفیّة المستحبّة منها دائرة بین کیفیتّین من کیفیّات الدوران،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 الابتداء بیده الیسری والانتهاء بالیمنی،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للرجوع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للرجوع إلی میامن المیّت الذی هو نصّ الروایة، لا مطلق الرجوع، فإن له معنیً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یناقش بأن تأویل الابتداء بالید الیمنی ثم بالرجل الیمنی إلی یمنی السریر فی صدر الروایة </w:t>
      </w:r>
      <w:r>
        <w:rPr>
          <w:rStyle w:val="FootnoteAnchor"/>
          <w:rtl w:val="true"/>
        </w:rPr>
        <w:footnoteReference w:id="1026"/>
      </w:r>
      <w:r>
        <w:rPr>
          <w:rFonts w:ascii="IRNazanin" w:hAnsi="IRNazanin" w:eastAsia="IRNazanin"/>
          <w:color w:val="111111"/>
          <w:sz w:val="28"/>
          <w:sz w:val="28"/>
          <w:szCs w:val="28"/>
          <w:rtl w:val="true"/>
          <w:lang w:bidi="fa-IR"/>
        </w:rPr>
        <w:t>لیس بأولی من تأویل میا من المیت إلیه فی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وجه الأولویّة هو ظهور میا من المیت بواسطة الإضافة إلیه فی یمین المیّت ، بخلاف مطلق الیمنی المجرّدة عن تلک الإضافة ، فإنه لیس بتلک المثابة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عدم معلومیّة کون القائل بالقامة من الأئمّة، بل احتمال کونه من العامّة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ینجبر ضعف إرسال هذه الروایة بالشهرة، وکون المرسل محمّد بن أبی عمیر</w:t>
      </w:r>
      <w:r>
        <w:rPr>
          <w:rStyle w:val="FootnoteAnchor"/>
          <w:rtl w:val="true"/>
        </w:rPr>
        <w:footnoteReference w:id="1027"/>
      </w:r>
      <w:r>
        <w:rPr>
          <w:rFonts w:ascii="IRNazanin" w:hAnsi="IRNazanin" w:eastAsia="IRNazanin"/>
          <w:color w:val="111111"/>
          <w:sz w:val="28"/>
          <w:sz w:val="28"/>
          <w:szCs w:val="28"/>
          <w:rtl w:val="true"/>
          <w:lang w:bidi="fa-IR"/>
        </w:rPr>
        <w:t xml:space="preserve">، وهو من أصحاب الإجماع الذی تعدّ مراسیله بحکم المسانید الصحیحة، لکونه ممّن لا یروی إلا عن ثقة ، کذلک تنجبر دلالته بالشهرة وکون المرسل ممن لا یروی إلا عن ثقة، ومن أصحاب الاجماع، فیکون ذلک شاهد حال من الراوی المذکور علی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محکیّاته لا </w:t>
      </w:r>
    </w:p>
    <w:p>
      <w:pPr>
        <w:pStyle w:val="BookText"/>
        <w:rPr/>
      </w:pPr>
      <w:r>
        <w:rPr>
          <w:rFonts w:ascii="IRNazanin" w:hAnsi="IRNazanin" w:eastAsia="IRNazanin"/>
          <w:color w:val="111111"/>
          <w:sz w:val="28"/>
          <w:sz w:val="28"/>
          <w:szCs w:val="28"/>
          <w:rtl w:val="true"/>
          <w:lang w:bidi="fa-IR"/>
        </w:rPr>
        <w:t>محکیّات الإمام علیه السلام ، لمنافاته شاهد حال الامام، لأن الامام لا یحکی عن غیره ، وعلی أن مراده بالبعض أحد الأئمّة أو بعض أصحابه عنهم علیه السلام ، لا العامّة ، المنافاته شاهد حال من هو دونه من الرواة ، فضلاً عن مثله ممّن لا یروی إلا عن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أیضاً إرسال الصدوق فی الفقیه</w:t>
      </w:r>
      <w:r>
        <w:rPr>
          <w:rStyle w:val="FootnoteAnchor"/>
          <w:rtl w:val="true"/>
        </w:rPr>
        <w:footnoteReference w:id="1028"/>
      </w:r>
      <w:r>
        <w:rPr>
          <w:rFonts w:ascii="IRNazanin" w:hAnsi="IRNazanin" w:eastAsia="IRNazanin"/>
          <w:color w:val="111111"/>
          <w:sz w:val="28"/>
          <w:sz w:val="28"/>
          <w:szCs w:val="28"/>
          <w:rtl w:val="true"/>
          <w:lang w:bidi="fa-IR"/>
        </w:rPr>
        <w:t>عن الصادق علیه السلام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الکلینی</w:t>
      </w:r>
      <w:r>
        <w:rPr>
          <w:rStyle w:val="FootnoteAnchor"/>
          <w:rtl w:val="true"/>
        </w:rPr>
        <w:footnoteReference w:id="1029"/>
      </w:r>
      <w:r>
        <w:rPr>
          <w:rFonts w:ascii="IRNazanin" w:hAnsi="IRNazanin" w:eastAsia="IRNazanin"/>
          <w:color w:val="111111"/>
          <w:sz w:val="28"/>
          <w:sz w:val="28"/>
          <w:szCs w:val="28"/>
          <w:rtl w:val="true"/>
          <w:lang w:bidi="fa-IR"/>
        </w:rPr>
        <w:t xml:space="preserve">عن سهل بن زیاد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أن حدّ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ذیل تلک الروایة أیضاً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احفروا لی حتیّ تبلغوا الرشح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قیل من أن ذلک فی أرض البقیع حد بلوغ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الأمالی </w:t>
      </w:r>
      <w:r>
        <w:rPr>
          <w:rStyle w:val="FootnoteAnchor"/>
          <w:rtl w:val="true"/>
        </w:rPr>
        <w:footnoteReference w:id="1030"/>
      </w:r>
      <w:r>
        <w:rPr>
          <w:rFonts w:ascii="IRNazanin" w:hAnsi="IRNazanin" w:eastAsia="IRNazanin"/>
          <w:color w:val="111111"/>
          <w:sz w:val="28"/>
          <w:sz w:val="28"/>
          <w:szCs w:val="28"/>
          <w:rtl w:val="true"/>
          <w:lang w:bidi="fa-IR"/>
        </w:rPr>
        <w:t xml:space="preserve">عن الرضا بالحفر له إلی سبع مراقی، بناءً علی ما قرّر فی باب أوقات الصلاة من أن المرقاة قدر قدم، والقامة سبعة أقدام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وآله أن یعمق القبر فوق ثلاثة أذرع</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فغایته الدلالّة علی کراهة ما فوق الثلاثة أذرع، وأما الثلاثة أذرع فعلی تقدیر الدلالة علی استحبابها إنما تقارب الترقوة لا القامة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لمانع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w:t>
      </w:r>
      <w:r>
        <w:rPr>
          <w:rStyle w:val="FootnoteAnchor"/>
          <w:rtl w:val="true"/>
        </w:rPr>
        <w:footnoteReference w:id="1032"/>
      </w:r>
      <w:r>
        <w:rPr>
          <w:rFonts w:ascii="IRNazanin" w:hAnsi="IRNazanin" w:eastAsia="IRNazanin"/>
          <w:color w:val="111111"/>
          <w:sz w:val="28"/>
          <w:sz w:val="28"/>
          <w:szCs w:val="28"/>
          <w:rtl w:val="true"/>
          <w:lang w:bidi="fa-IR"/>
        </w:rPr>
        <w:t xml:space="preserve">حمله علی الجواز ونفی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ویوافق المحمل الأول قوله فی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بالخفّ فی وقت الضرورة والتقیّة</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بالخق، فإن فی خلع الخق شناعة</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مثلّث اللام واحد الطیالسة، معرّب تالشان، ثوب محیط بالبدن ینسج للّبس مع الخلوّ عن تفصیل وخیاطة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منه الثیاب المنسوجة فی الهند علی نحو نسج الجورب من غیر تفصیل ولا خیاطة، یلبسه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الأخیر فی کتب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فی شیء من کتب الحدیث ، وإنما الموجود فیها عن ابن محمد بن خالد</w:t>
      </w:r>
      <w:r>
        <w:rPr>
          <w:rStyle w:val="FootnoteAnchor"/>
          <w:rtl w:val="true"/>
        </w:rPr>
        <w:footnoteReference w:id="1035"/>
      </w:r>
      <w:r>
        <w:rPr>
          <w:rFonts w:ascii="IRNazanin" w:hAnsi="IRNazanin" w:eastAsia="IRNazanin"/>
          <w:color w:val="111111"/>
          <w:sz w:val="28"/>
          <w:sz w:val="28"/>
          <w:szCs w:val="28"/>
          <w:rtl w:val="true"/>
          <w:lang w:bidi="fa-IR"/>
        </w:rPr>
        <w:t xml:space="preserve">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لسائر نصوص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لاعتبار سند الدالّ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حقیقة ، وهو الخبر </w:t>
      </w:r>
      <w:r>
        <w:rPr>
          <w:rStyle w:val="FootnoteAnchor"/>
          <w:rtl w:val="true"/>
        </w:rPr>
        <w:footnoteReference w:id="10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لا یدخل قبرها إلا مَن کان یراها فی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دلالته علی تعیین المحرم کون النهی عن غیره حقیقة فی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تضعیفهِ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النوفلیّ المتّهم بالغلوّ، والسکونی المتهمّ بالعمی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اعتبارهما عند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رفعهم الاتّهام عنهما بقرائن محرّرة فی محلّها ، حتی جاء فی النظم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توهّمات ضعف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السکونی وغلوّ النوفلی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فسلّه من قبل رجلیه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انتزاعک الشیء وإخراجه برفق و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سلّ السیف وإخراجه من 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یسلّ 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وانسلّ 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بتأنّ وتدریج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المصباح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المیّت من قبل </w:t>
      </w:r>
    </w:p>
    <w:p>
      <w:pPr>
        <w:pStyle w:val="BookText"/>
        <w:rPr/>
      </w:pPr>
      <w:r>
        <w:rPr>
          <w:rFonts w:ascii="IRNazanin" w:hAnsi="IRNazanin" w:eastAsia="IRNazanin"/>
          <w:color w:val="111111"/>
          <w:sz w:val="28"/>
          <w:sz w:val="28"/>
          <w:szCs w:val="28"/>
          <w:rtl w:val="true"/>
          <w:lang w:bidi="fa-IR"/>
        </w:rPr>
        <w:t xml:space="preserve">رجلیه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المراد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w:t>
      </w:r>
      <w:r>
        <w:rPr>
          <w:rStyle w:val="FootnoteAnchor"/>
          <w:rtl w:val="true"/>
        </w:rPr>
        <w:footnoteReference w:id="10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أسفل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إنزال المیّت من قبل رجلی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الاحتمال الآخر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تفدح میتک بالقبر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تفاجئه بالقبر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التخصیص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تخصیص الرجل بالحکم المذکور بسبب هذا الخبر من بین الأخبار السابقة لما فی غیره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العموم السریانی ، ولو بقرینة الحکمة والخروج عن لغویّة الإجمال فی لفظ الجنس من کلام الحکیم ، بخلاف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فإنه ظاهر فی الفرد، ولمّا کان حمله علی فرد المرأة موجباً لتخصیص الحکم بها ولا قائل به، تعیّن حمله علی فرد الرجل، 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المطّلع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المطّلع مکان الاطّلاع من موضع عالی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هذا الجبل من مکان کذا،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مأتاه ومصعده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هول المطّلع،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القیامة ، أو ما یشرف علیه من أهوال البرزخ، فشبّه بالمطلع الذی یشرف علیه من موضع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لیأخذ أهبته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 للشیء استعدّله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الأهبة أهب ، کغرفة وغرف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علیه السلام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إمکان منع دلالة الصحیح علی استحباب المدّعی، وهو شرج اللحد، لظهوره فی تسطیح خارج القبر لا شرج اللحد، بل ولا یدل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فلدلالته علی نفی الضرر فی التأجیر لا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فعله علیه السلام فلاحتمال کونه من العادات التی لا یرجح التأسّی فیها ، کتکلمه بالعربیّة وتزویجه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إمکان دفع هذه المناقشة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 xml:space="preserve">لمطلق أفعاله، خرج المعلوم کونه عادیّاً فیبقی المشکوک – کالمعلوم کونه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وینص علی کراهة التسنیم المرویّ</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حرمة التسنیم مطلقا، لظاهر النواهی، أو علی بعض الوجوه، لکونه بدعة ، کما عن جماعة التصریح به، ویقتضیه المنقول عن أبی هریرة</w:t>
      </w:r>
      <w:r>
        <w:rPr>
          <w:rStyle w:val="FootnoteAnchor"/>
          <w:rtl w:val="true"/>
        </w:rPr>
        <w:footnoteReference w:id="1042"/>
      </w:r>
      <w:r>
        <w:rPr>
          <w:rFonts w:ascii="IRNazanin" w:hAnsi="IRNazanin" w:eastAsia="IRNazanin"/>
          <w:color w:val="111111"/>
          <w:sz w:val="28"/>
          <w:sz w:val="28"/>
          <w:szCs w:val="28"/>
          <w:rtl w:val="true"/>
          <w:lang w:bidi="fa-IR"/>
        </w:rPr>
        <w:t>من أن السنّة التسطیح إلا أن الشیعة استعملته فعدلنا إلی التسنیم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صریح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یدک علی القبر وأنت مستقبل القبلة</w:t>
      </w:r>
      <w:r>
        <w:rPr>
          <w:rFonts w:eastAsia="IRNazanin" w:cs="IRNazanin"/>
          <w:color w:val="111111"/>
          <w:sz w:val="28"/>
          <w:szCs w:val="28"/>
          <w:rtl w:val="true"/>
          <w:lang w:bidi="fa-IR"/>
        </w:rPr>
        <w:t>»</w:t>
      </w:r>
      <w:r>
        <w:rPr>
          <w:rStyle w:val="FootnoteAnchor"/>
          <w:rtl w:val="true"/>
        </w:rPr>
        <w:footnoteReference w:id="10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عن مجمع البرهان </w:t>
      </w:r>
      <w:r>
        <w:rPr>
          <w:rStyle w:val="FootnoteAnchor"/>
          <w:rtl w:val="true"/>
        </w:rPr>
        <w:footnoteReference w:id="1044"/>
      </w:r>
      <w:r>
        <w:rPr>
          <w:rFonts w:ascii="IRNazanin" w:hAnsi="IRNazanin" w:eastAsia="IRNazanin"/>
          <w:color w:val="111111"/>
          <w:sz w:val="28"/>
          <w:sz w:val="28"/>
          <w:szCs w:val="28"/>
          <w:rtl w:val="true"/>
          <w:lang w:bidi="fa-IR"/>
        </w:rPr>
        <w:t xml:space="preserve">من أنیّ رأیت فی بعض الأخبار أن </w:t>
      </w:r>
    </w:p>
    <w:p>
      <w:pPr>
        <w:pStyle w:val="BookText"/>
        <w:rPr/>
      </w:pPr>
      <w:r>
        <w:rPr>
          <w:rFonts w:ascii="IRNazanin" w:hAnsi="IRNazanin" w:eastAsia="IRNazanin"/>
          <w:color w:val="111111"/>
          <w:sz w:val="28"/>
          <w:sz w:val="28"/>
          <w:szCs w:val="28"/>
          <w:rtl w:val="true"/>
          <w:lang w:bidi="fa-IR"/>
        </w:rPr>
        <w:t>زیارة غیر المعصوم مستقبل القبلة ، وزیارته مستقبلها و 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أظنّه هو الفرق بین زیارة المیّت فیستقبله مطلقا، لاعتیاد مقابلة الزائر للمرور والمخاطب بالکسر للمخاطب بالفتح ، وبین الدعاء والصلاة والتلاوة له فبالعکس یستقبل القبلة، لأنه خیر المجالس وأقرب إلی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الفرق فی حکم زیارة القبور بین الرجال فیختص استحبابها بهم، وبین النساء فلا یستحبّ لهنّ، بل یکره کما فی الجواهر </w:t>
      </w:r>
      <w:r>
        <w:rPr>
          <w:rStyle w:val="FootnoteAnchor"/>
          <w:rtl w:val="true"/>
        </w:rPr>
        <w:footnoteReference w:id="1045"/>
      </w:r>
      <w:r>
        <w:rPr>
          <w:rFonts w:ascii="IRNazanin" w:hAnsi="IRNazanin" w:eastAsia="IRNazanin"/>
          <w:color w:val="111111"/>
          <w:sz w:val="28"/>
          <w:sz w:val="28"/>
          <w:szCs w:val="28"/>
          <w:rtl w:val="true"/>
          <w:lang w:bidi="fa-IR"/>
        </w:rPr>
        <w:t xml:space="preserve">عن المعتبر </w:t>
      </w:r>
      <w:r>
        <w:rPr>
          <w:rStyle w:val="FootnoteAnchor"/>
          <w:rtl w:val="true"/>
        </w:rPr>
        <w:footnoteReference w:id="1046"/>
      </w:r>
      <w:r>
        <w:rPr>
          <w:rFonts w:ascii="IRNazanin" w:hAnsi="IRNazanin" w:eastAsia="IRNazanin"/>
          <w:color w:val="111111"/>
          <w:sz w:val="28"/>
          <w:sz w:val="28"/>
          <w:szCs w:val="28"/>
          <w:rtl w:val="true"/>
          <w:lang w:bidi="fa-IR"/>
        </w:rPr>
        <w:t>بل عن ظاهره أو صریحه نسبته إلی أهل العلم، بل دعواه کراهة زیارتهنّ حتی القبور الأئمة، مع کثرة العمومات الدالّة علی رجحانها المنجبرة بعمل الأصحاب ، وفعل فاطمة فی زیارتها 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فحوی عموم المستفیضة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المرأة بیتها</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 وإن عللّه فی الآخر </w:t>
      </w:r>
      <w:r>
        <w:rPr>
          <w:rStyle w:val="FootnoteAnchor"/>
          <w:rtl w:val="true"/>
        </w:rPr>
        <w:footnoteReference w:id="1048"/>
      </w:r>
      <w:r>
        <w:rPr>
          <w:rFonts w:ascii="IRNazanin" w:hAnsi="IRNazanin" w:eastAsia="IRNazanin"/>
          <w:color w:val="111111"/>
          <w:sz w:val="28"/>
          <w:sz w:val="28"/>
          <w:szCs w:val="28"/>
          <w:rtl w:val="true"/>
          <w:lang w:bidi="fa-IR"/>
        </w:rPr>
        <w:t>بمنافاته للستر والصیانة المؤمی إلی کون الکراهة لأمر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مع استلزامه ذلک ، بل ربما یصل إلی حد الحرمة لو استلزم الجزع وعدم الصبر والرضا بقضاء الله ونحوها من المحرّمات، المنقلب إنکارها فی مثل زماننا بالمنکرات ، لمداهنة العلماء الجهالّ فی منکراتهم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لاستلزامه الاتلاف المنهیّ عنه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علیه فی الجواهر </w:t>
      </w:r>
      <w:r>
        <w:rPr>
          <w:rStyle w:val="FootnoteAnchor"/>
          <w:rtl w:val="true"/>
        </w:rPr>
        <w:footnoteReference w:id="1049"/>
      </w:r>
      <w:r>
        <w:rPr>
          <w:rFonts w:ascii="IRNazanin" w:hAnsi="IRNazanin" w:eastAsia="IRNazanin"/>
          <w:color w:val="111111"/>
          <w:sz w:val="28"/>
          <w:sz w:val="28"/>
          <w:szCs w:val="28"/>
          <w:rtl w:val="true"/>
          <w:lang w:bidi="fa-IR"/>
        </w:rPr>
        <w:t>والبرهان</w:t>
      </w:r>
      <w:r>
        <w:rPr>
          <w:rStyle w:val="FootnoteAnchor"/>
          <w:rtl w:val="true"/>
        </w:rPr>
        <w:footnoteReference w:id="1050"/>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تمّ اقتضی </w:t>
      </w:r>
    </w:p>
    <w:p>
      <w:pPr>
        <w:pStyle w:val="BookText"/>
        <w:rPr/>
      </w:pP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 ذلک لکن الإجماع یمنع من الحرمة ، فتبقی الکراهة بغیر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قیام الاجماع لا یبقی دلیل للکراهة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 النهی اللفظی، للفرق من جهة أن النهی اللفظی قد یستعمل فی الکراهة، بخلاف الاتلاف ، فإنه محرّم لا مکروه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کونه إتلافاً للمال معارض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مستطّون علی أموالهم</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غیر المنقطع إلا بمنع شرعی، والمفروض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 الأول بأن مقصود المستدلّ علی کراهة فرش القبر بالساج بکونه إتلافاً للمال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کالریاض </w:t>
      </w:r>
      <w:r>
        <w:rPr>
          <w:rStyle w:val="FootnoteAnchor"/>
          <w:rtl w:val="true"/>
        </w:rPr>
        <w:footnoteReference w:id="1052"/>
      </w:r>
      <w:r>
        <w:rPr>
          <w:rFonts w:ascii="IRNazanin" w:hAnsi="IRNazanin" w:eastAsia="IRNazanin"/>
          <w:color w:val="111111"/>
          <w:sz w:val="28"/>
          <w:sz w:val="28"/>
          <w:szCs w:val="28"/>
          <w:rtl w:val="true"/>
          <w:lang w:bidi="fa-IR"/>
        </w:rPr>
        <w:t>تبعاً لما عن الذکری</w:t>
      </w:r>
      <w:r>
        <w:rPr>
          <w:rStyle w:val="FootnoteAnchor"/>
          <w:rtl w:val="true"/>
        </w:rPr>
        <w:footnoteReference w:id="1053"/>
      </w:r>
      <w:r>
        <w:rPr>
          <w:rFonts w:ascii="IRNazanin" w:hAnsi="IRNazanin" w:eastAsia="IRNazanin"/>
          <w:color w:val="111111"/>
          <w:sz w:val="28"/>
          <w:sz w:val="28"/>
          <w:szCs w:val="28"/>
          <w:rtl w:val="true"/>
          <w:lang w:bidi="fa-IR"/>
        </w:rPr>
        <w:t>وجامع المقاصد</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کونه من أفراده المعلومة الدخول تحت عموم التبذیر حتی یحرم، بل کونه من أفراده المشکوکة الدخول، فحسن ترکه خروجاً عن شبهة الدخول فی عموم </w:t>
      </w:r>
      <w:r>
        <w:rPr>
          <w:rStyle w:val="FootnoteAnchor"/>
          <w:rtl w:val="true"/>
        </w:rPr>
        <w:footnoteReference w:id="1055"/>
      </w:r>
      <w:r>
        <w:rPr>
          <w:rFonts w:ascii="IRNazanin" w:hAnsi="IRNazanin" w:eastAsia="IRNazanin"/>
          <w:color w:val="111111"/>
          <w:sz w:val="28"/>
          <w:sz w:val="28"/>
          <w:szCs w:val="28"/>
          <w:rtl w:val="true"/>
          <w:lang w:bidi="fa-IR"/>
        </w:rPr>
        <w:t>التبذیر المحرّم، و تنزّهاً عن الشبهات التحریمیّة المستحسن ترکها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عمومات النهی عن التبذیر والسرف حاکمة علی عموم تسلّط الناس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مخصّصة له بداهة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البرهان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الاستناد فی کراهة فرش القبر بالساج فی غیر </w:t>
      </w:r>
    </w:p>
    <w:p>
      <w:pPr>
        <w:pStyle w:val="BookText"/>
        <w:rPr/>
      </w:pPr>
      <w:r>
        <w:rPr>
          <w:rFonts w:ascii="IRNazanin" w:hAnsi="IRNazanin" w:eastAsia="IRNazanin"/>
          <w:color w:val="111111"/>
          <w:sz w:val="28"/>
          <w:sz w:val="28"/>
          <w:szCs w:val="28"/>
          <w:rtl w:val="true"/>
          <w:lang w:bidi="fa-IR"/>
        </w:rPr>
        <w:t>الضرورة إلی منافاته لغرض الشارع بتشریع وضعه ووضع خده علی الأرض من الخضوع والخشوع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منافیاً لغرضه الواجب فهو خلاف المفروض، مع استلزامه حرمة الترک لا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منافیاً لغرضه المندوب فترک المندوب لیس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الاستناد للکراهة إلی الإجماعات المستظهرة من نسبته إلی الأصحاب، کما عن الذکری</w:t>
      </w:r>
      <w:r>
        <w:rPr>
          <w:rStyle w:val="FootnoteAnchor"/>
          <w:rtl w:val="true"/>
        </w:rPr>
        <w:footnoteReference w:id="1057"/>
      </w:r>
      <w:r>
        <w:rPr>
          <w:rFonts w:ascii="IRNazanin" w:hAnsi="IRNazanin" w:eastAsia="IRNazanin"/>
          <w:color w:val="111111"/>
          <w:sz w:val="28"/>
          <w:sz w:val="28"/>
          <w:szCs w:val="28"/>
          <w:rtl w:val="true"/>
          <w:lang w:bidi="fa-IR"/>
        </w:rPr>
        <w:t>والروض</w:t>
      </w:r>
      <w:r>
        <w:rPr>
          <w:rStyle w:val="FootnoteAnchor"/>
          <w:rtl w:val="true"/>
        </w:rPr>
        <w:footnoteReference w:id="1058"/>
      </w:r>
      <w:r>
        <w:rPr>
          <w:rFonts w:ascii="IRNazanin" w:hAnsi="IRNazanin" w:eastAsia="IRNazanin"/>
          <w:color w:val="111111"/>
          <w:sz w:val="28"/>
          <w:sz w:val="28"/>
          <w:szCs w:val="28"/>
          <w:rtl w:val="true"/>
          <w:lang w:bidi="fa-IR"/>
        </w:rPr>
        <w:t>وجامع المقاصد</w:t>
      </w:r>
      <w:r>
        <w:rPr>
          <w:rStyle w:val="FootnoteAnchor"/>
          <w:rtl w:val="true"/>
        </w:rPr>
        <w:footnoteReference w:id="1059"/>
      </w:r>
      <w:r>
        <w:rPr>
          <w:rFonts w:ascii="IRNazanin" w:hAnsi="IRNazanin" w:eastAsia="IRNazanin"/>
          <w:color w:val="111111"/>
          <w:sz w:val="28"/>
          <w:sz w:val="28"/>
          <w:szCs w:val="28"/>
          <w:rtl w:val="true"/>
          <w:lang w:bidi="fa-IR"/>
        </w:rPr>
        <w:t xml:space="preserve">و مجمع البرهان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یطبق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یطبق علیه بالساج، کما فی الفقیه عن أبی الحسن الثالث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فی أن یفرش القبر بالساج ویطبق علی المیّت بالساج</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وجود داع لم نطّلع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کإرادة بیان الجواز ، أو لمخافة نبش بعض الحیوانات ، کما یتفق فی بعض البلدان، أو لکونه من خصائص المعصومین وأولادهم، لئلاً تندرس قبورهم فیحرم الناس من فضل زیارتهم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لوروده مورد الغالب ، وهو ما عدا المذکورین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استحباب تعمیر قبور المعصومین و تجدیدها و ترتیبها کاستحباب المقام عندها وزیارتها وتعاهدها کاد أن یکون من ضروریّات المذهب ، وعلیه السیرة المستمرّة خلفاً عن سلف من زمن </w:t>
      </w:r>
    </w:p>
    <w:p>
      <w:pPr>
        <w:pStyle w:val="BookText"/>
        <w:rPr/>
      </w:pPr>
      <w:r>
        <w:rPr>
          <w:rFonts w:ascii="IRNazanin" w:hAnsi="IRNazanin" w:eastAsia="IRNazanin"/>
          <w:color w:val="111111"/>
          <w:sz w:val="28"/>
          <w:sz w:val="28"/>
          <w:szCs w:val="28"/>
          <w:rtl w:val="true"/>
          <w:lang w:bidi="fa-IR"/>
        </w:rPr>
        <w:t xml:space="preserve">المعصومین ، کما فی قبر النبیّ وغیره ، بل قد ورد به خبر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عمر قبورکم وتعاهدها فکأنّما أعان سلیمان علی بناء بیت المقدّس</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غیر ذلک من الاحتمالات المعروفة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الاحتمالات المرویّة فی لفظه ، من حیث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 کما فی روایة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بالحاء المهملة بمعنی التسنیم، کما فی روایة الفقیه </w:t>
      </w:r>
      <w:r>
        <w:rPr>
          <w:rStyle w:val="FootnoteAnchor"/>
          <w:rtl w:val="true"/>
        </w:rPr>
        <w:footnoteReference w:id="1063"/>
      </w:r>
      <w:r>
        <w:rPr>
          <w:rFonts w:ascii="IRNazanin" w:hAnsi="IRNazanin" w:eastAsia="IRNazanin"/>
          <w:color w:val="111111"/>
          <w:sz w:val="28"/>
          <w:sz w:val="28"/>
          <w:szCs w:val="28"/>
          <w:rtl w:val="true"/>
          <w:lang w:bidi="fa-IR"/>
        </w:rPr>
        <w:t xml:space="preserve">عن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والدال المهملة والثاء المثلثة ، کما فی روایة البرقی</w:t>
      </w:r>
      <w:r>
        <w:rPr>
          <w:rStyle w:val="FootnoteAnchor"/>
          <w:rtl w:val="true"/>
        </w:rPr>
        <w:footnoteReference w:id="1064"/>
      </w:r>
      <w:r>
        <w:rPr>
          <w:rFonts w:ascii="IRNazanin" w:hAnsi="IRNazanin" w:eastAsia="IRNazanin"/>
          <w:color w:val="111111"/>
          <w:sz w:val="28"/>
          <w:sz w:val="28"/>
          <w:szCs w:val="28"/>
          <w:rtl w:val="true"/>
          <w:lang w:bidi="fa-IR"/>
        </w:rPr>
        <w:t>ولعل المراد حسینئ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أقبر قبر میت دفعة أخری لمیّت آخر، لأن الجدث هو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بالخاء المعجمة ودالین،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من الخدّ بمعنی الشقّ ، کما فی روایة المفید </w:t>
      </w:r>
      <w:r>
        <w:rPr>
          <w:rStyle w:val="FootnoteAnchor"/>
          <w:rtl w:val="true"/>
        </w:rPr>
        <w:footnoteReference w:id="1066"/>
      </w:r>
      <w:r>
        <w:rPr>
          <w:rFonts w:ascii="IRNazanin" w:hAnsi="IRNazanin" w:eastAsia="IRNazanin"/>
          <w:color w:val="111111"/>
          <w:sz w:val="28"/>
          <w:sz w:val="28"/>
          <w:szCs w:val="28"/>
          <w:rtl w:val="true"/>
          <w:lang w:bidi="fa-IR"/>
        </w:rPr>
        <w:t>، بمعنی شقّ القبر للدفن فیه مرّة أخری أو غیره، کما عن التهذیب</w:t>
      </w:r>
      <w:r>
        <w:rPr>
          <w:rStyle w:val="FootnoteAnchor"/>
          <w:rtl w:val="true"/>
        </w:rPr>
        <w:footnoteReference w:id="1067"/>
      </w:r>
      <w:r>
        <w:rPr>
          <w:rFonts w:ascii="IRNazanin" w:hAnsi="IRNazanin" w:eastAsia="IRNazanin"/>
          <w:color w:val="111111"/>
          <w:sz w:val="28"/>
          <w:sz w:val="28"/>
          <w:szCs w:val="28"/>
          <w:rtl w:val="true"/>
          <w:lang w:bidi="fa-IR"/>
        </w:rPr>
        <w:t>، أو بمعنی شقّه للمیّت من غیر لحد، کما عن التنقیح</w:t>
      </w:r>
      <w:r>
        <w:rPr>
          <w:rStyle w:val="FootnoteAnchor"/>
          <w:rtl w:val="true"/>
        </w:rPr>
        <w:footnoteReference w:id="1068"/>
      </w:r>
      <w:r>
        <w:rPr>
          <w:rFonts w:ascii="IRNazanin" w:hAnsi="IRNazanin" w:eastAsia="IRNazanin"/>
          <w:color w:val="111111"/>
          <w:sz w:val="28"/>
          <w:sz w:val="28"/>
          <w:szCs w:val="28"/>
          <w:rtl w:val="true"/>
          <w:lang w:bidi="fa-IR"/>
        </w:rPr>
        <w:t>هذا کلّه فیما یحتمل فی لفظ المروی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یحتمل فی معناه ، فممّا یحتمل فی معنی التجدید بالجیم هو تزیین المقابر بالات الزینة ، من الزخرف والتنقیش بالألوان وتعلیق القنادیل وسائر أسباب الزینة والتفرّج، کما هو المتداول فی مقابر الملوک والمترفین من أهل زماننا إحیاء لمراسم الجاهلیّة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یحتمل فی معنی التحدید بالحاء المهملة هو تشبیک المقابر بشبابیک الحدید، أو تحدیده بالعلائم المائزة له من بین المقابر ، بحیث یکون ممتازة من بینها بذلک التحدید الحاد له من حیث الکّم والکیف ، کما هو دیدن المترفین فی مقابرهم أیضاً، لمنافاة ذلک کلّه لعبرة الاندراس وغیره مما هو المطلوب شرعاً من الناس، لکن فی غیر ما استتنی من مقابر المعصومین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مؤذن بصحة الحدیث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منع الإیذان بصحّته ، لکفایة صحّته الفرضیّة أو الجهل بصحّته فی الاشتغال بتحقّیق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إمکان صحّته الفعلیّة بالانجبار بالشهرة أو المسامحة فی أدلّة السنن </w:t>
      </w:r>
      <w:r>
        <w:rPr>
          <w:rStyle w:val="FootnoteAnchor"/>
          <w:rtl w:val="true"/>
        </w:rPr>
        <w:footnoteReference w:id="106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لذا نقل عن الدروس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تحدید القبر بالجیم والحاء والخاء</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ینبغی تقیید الأخیر بما لا یستلزم النبش المحرّم، وإلا حرم لا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الوسائل </w:t>
      </w:r>
      <w:r>
        <w:rPr>
          <w:rStyle w:val="FootnoteAnchor"/>
          <w:rtl w:val="true"/>
        </w:rPr>
        <w:footnoteReference w:id="1071"/>
      </w:r>
      <w:r>
        <w:rPr>
          <w:rFonts w:ascii="IRNazanin" w:hAnsi="IRNazanin" w:eastAsia="IRNazanin"/>
          <w:color w:val="111111"/>
          <w:sz w:val="28"/>
          <w:sz w:val="28"/>
          <w:szCs w:val="28"/>
          <w:rtl w:val="true"/>
          <w:lang w:bidi="fa-IR"/>
        </w:rPr>
        <w:t>أیضاً تعدّد الخبر بتعدّد الاحتمالات المنقولة فی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للمرسل فی المبسوط </w:t>
      </w:r>
      <w:r>
        <w:rPr>
          <w:rStyle w:val="FootnoteAnchor"/>
          <w:rtl w:val="true"/>
        </w:rPr>
        <w:footnoteReference w:id="1072"/>
      </w:r>
      <w:r>
        <w:rPr>
          <w:rFonts w:ascii="IRNazanin" w:hAnsi="IRNazanin" w:eastAsia="IRNazanin"/>
          <w:color w:val="111111"/>
          <w:sz w:val="28"/>
          <w:sz w:val="28"/>
          <w:szCs w:val="28"/>
          <w:rtl w:val="true"/>
          <w:lang w:bidi="fa-IR"/>
        </w:rPr>
        <w:t xml:space="preserve">اعنهم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 فی قبر واحد اثنان ، وفحوی ما دلّ علی کراهة حملهما علی 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المستندین ضعف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المرسل فلعدم وجوده فی کتاب فقه ولا حدیث، سوی ما نقل فی </w:t>
      </w:r>
    </w:p>
    <w:p>
      <w:pPr>
        <w:pStyle w:val="BookText"/>
        <w:rPr/>
      </w:pPr>
      <w:r>
        <w:rPr>
          <w:rFonts w:ascii="IRNazanin" w:hAnsi="IRNazanin" w:eastAsia="IRNazanin"/>
          <w:color w:val="111111"/>
          <w:sz w:val="28"/>
          <w:sz w:val="28"/>
          <w:szCs w:val="28"/>
          <w:rtl w:val="true"/>
          <w:lang w:bidi="fa-IR"/>
        </w:rPr>
        <w:t xml:space="preserve">البرهان </w:t>
      </w:r>
      <w:r>
        <w:rPr>
          <w:rStyle w:val="FootnoteAnchor"/>
          <w:rtl w:val="true"/>
        </w:rPr>
        <w:footnoteReference w:id="1073"/>
      </w:r>
      <w:r>
        <w:rPr>
          <w:rFonts w:ascii="IRNazanin" w:hAnsi="IRNazanin" w:eastAsia="IRNazanin"/>
          <w:color w:val="111111"/>
          <w:sz w:val="28"/>
          <w:sz w:val="28"/>
          <w:szCs w:val="28"/>
          <w:rtl w:val="true"/>
          <w:lang w:bidi="fa-IR"/>
        </w:rPr>
        <w:t xml:space="preserve">إرساله عن الذکری </w:t>
      </w:r>
      <w:r>
        <w:rPr>
          <w:rStyle w:val="FootnoteAnchor"/>
          <w:rtl w:val="true"/>
        </w:rPr>
        <w:footnoteReference w:id="1074"/>
      </w:r>
      <w:r>
        <w:rPr>
          <w:rFonts w:ascii="IRNazanin" w:hAnsi="IRNazanin" w:eastAsia="IRNazanin"/>
          <w:color w:val="111111"/>
          <w:sz w:val="28"/>
          <w:sz w:val="28"/>
          <w:szCs w:val="28"/>
          <w:rtl w:val="true"/>
          <w:lang w:bidi="fa-IR"/>
        </w:rPr>
        <w:t>، قائلاً إن نسبة إرساله إلی المبسوط وهم، لعدم تعرّضه للدفن الابتدائی ، وأن منشأ النسبة عبارة فی بعض نسخ الذکری غیر ثابتة الصحة، لعدم وجودها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وجه قول الریاض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وضعف أسناد الناهی یمنعه من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الفحوی فلعدم دلالته علی کراهة حمل المیتّین مطلقا علی سریر واحد، بل هو قوله علیه السلام فی جواب مکاتبة الصفّار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یحمل الرجل مع المرأة علی سریر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وهو أخص من حمل المیتّین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لا بأس بأخصیّة هذا الفحوی وضعف المرسل من مثل الشهید إذا انجبرا بفتوی المشهور فی الحکم التنزیهی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صیرورة القبر کلّه حقّاً للأول، وإنما یختصّ به بمقدار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إباحة الدفن نفسه لا التبش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إباحة الدفن مع الغضّ عمّا لو قدم علی النبش المحرم، أو نبش غیره، أو اتّفق النبش بغیر الوجه المحرّم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المعتبر </w:t>
      </w:r>
      <w:r>
        <w:rPr>
          <w:rStyle w:val="FootnoteAnchor"/>
          <w:rtl w:val="true"/>
        </w:rPr>
        <w:footnoteReference w:id="1076"/>
      </w:r>
      <w:r>
        <w:rPr>
          <w:rFonts w:ascii="IRNazanin" w:hAnsi="IRNazanin" w:eastAsia="IRNazanin"/>
          <w:color w:val="111111"/>
          <w:sz w:val="28"/>
          <w:sz w:val="28"/>
          <w:szCs w:val="28"/>
          <w:rtl w:val="true"/>
          <w:lang w:bidi="fa-IR"/>
        </w:rPr>
        <w:t xml:space="preserve">ونهایة الأحکام </w:t>
      </w:r>
      <w:r>
        <w:rPr>
          <w:rStyle w:val="FootnoteAnchor"/>
          <w:rtl w:val="true"/>
        </w:rPr>
        <w:footnoteReference w:id="1077"/>
      </w:r>
      <w:r>
        <w:rPr>
          <w:rFonts w:ascii="IRNazanin" w:hAnsi="IRNazanin" w:eastAsia="IRNazanin"/>
          <w:color w:val="111111"/>
          <w:sz w:val="28"/>
          <w:sz w:val="28"/>
          <w:szCs w:val="28"/>
          <w:rtl w:val="true"/>
          <w:lang w:bidi="fa-IR"/>
        </w:rPr>
        <w:t>والتذکرة</w:t>
      </w:r>
      <w:r>
        <w:rPr>
          <w:rStyle w:val="FootnoteAnchor"/>
          <w:rtl w:val="true"/>
        </w:rPr>
        <w:footnoteReference w:id="1078"/>
      </w:r>
      <w:r>
        <w:rPr>
          <w:rFonts w:ascii="IRNazanin" w:hAnsi="IRNazanin" w:eastAsia="IRNazanin"/>
          <w:color w:val="111111"/>
          <w:sz w:val="28"/>
          <w:sz w:val="28"/>
          <w:szCs w:val="28"/>
          <w:rtl w:val="true"/>
          <w:lang w:bidi="fa-IR"/>
        </w:rPr>
        <w:t xml:space="preserve">تقدیم الأفضل ، وجعل حاجز بین کلّ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أعثر علی خبر یدلّ علی هذا التفصیل کغیره من التفصیل المذکور عند الأصحاب، فلیس إلا مراعاة الجهات العامة کالأبوّة ونحوها ، والاستئناس بالأشباه والنظائر ، لکون الحکم استحبابیّاً</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 الأفضل فلعلّه منقح من قوله فی ذیل النبوی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وقدّموا أکثرهم قرآناً</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جعل الحاجز بینهما من تراب ونحوه فلعلّه مأخوذ من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تحصیلا لصورة الانفراد عند تعسّر حقیقته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الخنثی خلف الرجل وأمام المرأة فلعله منقّح من فحوی قوله علیه السلام فی جواب مکاتبة الصفّار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یحمل الرجل مع المرأة علی سریر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الاستدلال بالمرویّ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یناقش فی النصوص </w:t>
      </w:r>
      <w:r>
        <w:rPr>
          <w:rStyle w:val="FootnoteAnchor"/>
          <w:rtl w:val="true"/>
        </w:rPr>
        <w:footnoteReference w:id="1081"/>
      </w:r>
      <w:r>
        <w:rPr>
          <w:rFonts w:ascii="IRNazanin" w:hAnsi="IRNazanin" w:eastAsia="IRNazanin"/>
          <w:color w:val="111111"/>
          <w:sz w:val="28"/>
          <w:sz w:val="28"/>
          <w:szCs w:val="28"/>
          <w:rtl w:val="true"/>
          <w:lang w:bidi="fa-IR"/>
        </w:rPr>
        <w:t xml:space="preserve">الآمرة بتعجیل التجهیز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اقتضائها الکراهة ، إلا أن یراد ما دلّ منها علی النهی عن الانتظار، کالمستفیضة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تنتظروا موتاکم طلوع الشمس ولا غروبها، عجّلوا بهم إلی مضاجعهم</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اقتضائها لو سلّمت کراهة النقل من حیث کونه نقلاً کما هو ظاهر الفتوی، بل من حیث استلزامه الانتظار المنهی عنه، ومنافاته التعجیل المأمور به ، فلا یکره فیما لم یستلزمه ، کما لو نقل إلی مکان قریب، أو سریعاً </w:t>
      </w:r>
    </w:p>
    <w:p>
      <w:pPr>
        <w:pStyle w:val="BookText"/>
        <w:rPr/>
      </w:pPr>
      <w:r>
        <w:rPr>
          <w:rFonts w:ascii="IRNazanin" w:hAnsi="IRNazanin" w:eastAsia="IRNazanin"/>
          <w:color w:val="111111"/>
          <w:sz w:val="28"/>
          <w:sz w:val="28"/>
          <w:szCs w:val="28"/>
          <w:rtl w:val="true"/>
          <w:lang w:bidi="fa-IR"/>
        </w:rPr>
        <w:t>بمثل سکّة الحدید وسفینة الدخان ، أو استلزمه علی کلّ من تقدیری النقل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عدم دلالة حدیث الیمانی</w:t>
      </w:r>
      <w:r>
        <w:rPr>
          <w:rStyle w:val="FootnoteAnchor"/>
          <w:rtl w:val="true"/>
        </w:rPr>
        <w:footnoteReference w:id="1083"/>
      </w:r>
      <w:r>
        <w:rPr>
          <w:rFonts w:ascii="IRNazanin" w:hAnsi="IRNazanin" w:eastAsia="IRNazanin"/>
          <w:color w:val="111111"/>
          <w:sz w:val="28"/>
          <w:sz w:val="28"/>
          <w:szCs w:val="28"/>
          <w:rtl w:val="true"/>
          <w:lang w:bidi="fa-IR"/>
        </w:rPr>
        <w:t>علی انتفاع المیّت بنقله إلی المشاهد المشرّفة ، إذ لعلّ خاصّیّة إستشفاع صاحب المشهد وانتفاعه مختصّ بالمدفونین فیه من غیر نقل، إذ غایة ما فی الحدیث هو الاستشفاع والانتفاع فی الجملة لا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عدم دلالته علی جواز النقل للناقل، وإن سلّم دلالته علی انتفاع النقل للمنقول إلی المشاهد، کالمثلة والهتک حیث لا یجوز للفاعل وإن انتفع المفعول به بمزید أجر واستحقاق مثوبة ، کما یقتضیه ظاهر التحضیض فی الحدیث بقوله علیه السلام 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دفنته فی أرضکم؟</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عدم دلالته علی جواز مطلق النقل وإن استلزم الهتک، لو سلّمنا دلالته علی الجواز فی الجملة ، علی ما یتعاطاه العوام والجهالّ من نقلهم الأموات من البلاد البعیدة ، غیر المنفکّة غالبةاً و عادة من هتک المیّت و تلاشیه و انتشار ریحه وجری قبحه، حتی لا یستطیع یقرب إلیه أحد، أو تقطّع أوصاله ، أو نقله بعد الدفن بنحو الأمانة الذی هو من بِدَع الاسلام کما صرّح به السرائر</w:t>
      </w:r>
      <w:r>
        <w:rPr>
          <w:rStyle w:val="FootnoteAnchor"/>
          <w:rtl w:val="true"/>
        </w:rPr>
        <w:footnoteReference w:id="1085"/>
      </w:r>
      <w:r>
        <w:rPr>
          <w:rFonts w:ascii="IRNazanin" w:hAnsi="IRNazanin" w:eastAsia="IRNazanin"/>
          <w:color w:val="111111"/>
          <w:sz w:val="28"/>
          <w:sz w:val="28"/>
          <w:szCs w:val="28"/>
          <w:rtl w:val="true"/>
          <w:lang w:bidi="fa-IR"/>
        </w:rPr>
        <w:t xml:space="preserve">، أو نحو ذلک من الجهات المحرّمة قطعاً وإجماعاً ممّن عدا کاشف الغطاء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المنصوص فی علّة الدفن ستر هذه الأمور، ووجوب احترام </w:t>
      </w:r>
    </w:p>
    <w:p>
      <w:pPr>
        <w:pStyle w:val="BookText"/>
        <w:rPr/>
      </w:pPr>
      <w:r>
        <w:rPr>
          <w:rFonts w:ascii="IRNazanin" w:hAnsi="IRNazanin" w:eastAsia="IRNazanin"/>
          <w:color w:val="111111"/>
          <w:sz w:val="28"/>
          <w:sz w:val="28"/>
          <w:szCs w:val="28"/>
          <w:rtl w:val="true"/>
          <w:lang w:bidi="fa-IR"/>
        </w:rPr>
        <w:t>المسلم، وأن حرمته میّتاً کحرمته حیّاً ، سیّما بملاحظة عمومات</w:t>
      </w:r>
      <w:r>
        <w:rPr>
          <w:rStyle w:val="FootnoteAnchor"/>
          <w:rtl w:val="true"/>
        </w:rPr>
        <w:footnoteReference w:id="1087"/>
      </w:r>
      <w:r>
        <w:rPr>
          <w:rFonts w:ascii="IRNazanin" w:hAnsi="IRNazanin" w:eastAsia="IRNazanin"/>
          <w:color w:val="111111"/>
          <w:sz w:val="28"/>
          <w:sz w:val="28"/>
          <w:szCs w:val="28"/>
          <w:rtl w:val="true"/>
          <w:lang w:bidi="fa-IR"/>
        </w:rPr>
        <w:t xml:space="preserve">النهی عن النقل إلی الکوفة وإلی بیت المقدس وإلی المدینة ، مع کون تلک الموارد المنهیّ منها النقل من الأماکن المشرّفة والمتبرّکة، وخصوصاً بملاحظة الأخبار المستفیضة أو المتواترة بوجود الملائکة النقّالة للأموات إلی ما یستحقّونه بصالح أعمالهم أو سوء أفعالهم من الأمکنة الشریفة أو الخبیثة ، کما عن أمالی العلامّة </w:t>
      </w:r>
      <w:r>
        <w:rPr>
          <w:rStyle w:val="FootnoteAnchor"/>
          <w:rtl w:val="true"/>
        </w:rPr>
        <w:footnoteReference w:id="10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سبعین ألف ملک تسمّی بالنقّالة، ینقلون الأموات من حیث لا یشعر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سأل أمیر المؤمنین أن أمی ماتت فی طیبة أتأذن لی أن أنقلها إلی جوار بیت الله أو حرم الرسول؟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صالحة نقلتها الملائکة، وإلا فلا خیر لک فی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سأل الصادق علیه السلام أن القوم یزعمون أن فلاناً وفلاناً مدفونون عند جدّک،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والله لو کشفوا لرأوا سلمان وأباذر مدفونین عنده، وأنهما أحقّ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بملاحظة إطباق النصوص</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والفتاوی علی إلقاء المیّت فی السفینة فی الماء، وعدم انتظار البرّ عند خوف الانتشار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أنه کیف یعقل سقوط تمام واجبات التجهیز ، من التغسیل والتحنیط والتکفین والمواراة فی الأرض والاستقبال ، ومستحباته من التحضیر والتشییع والتلقین ، بالاتّفاق والضرورة لمراعاة عدم هتک المیّت وانفجاره، مع عدم سقوط النقل بذلک الهتک والانفجار، مع کونه مستحبّاً من المستحبّات علی فرض التسلیم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وقیّد الشهید استحباب النقل بالقرب إلی المشاهد، وعدم خوف الهتک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الذکری</w:t>
      </w:r>
      <w:r>
        <w:rPr>
          <w:rStyle w:val="FootnoteAnchor"/>
          <w:rtl w:val="true"/>
        </w:rPr>
        <w:footnoteReference w:id="1090"/>
      </w:r>
      <w:r>
        <w:rPr>
          <w:rFonts w:ascii="IRNazanin" w:hAnsi="IRNazanin" w:eastAsia="IRNazanin"/>
          <w:color w:val="111111"/>
          <w:sz w:val="28"/>
          <w:sz w:val="28"/>
          <w:szCs w:val="28"/>
          <w:rtl w:val="true"/>
          <w:lang w:bidi="fa-IR"/>
        </w:rPr>
        <w:t>والروض</w:t>
      </w:r>
      <w:r>
        <w:rPr>
          <w:rStyle w:val="FootnoteAnchor"/>
          <w:rtl w:val="true"/>
        </w:rPr>
        <w:footnoteReference w:id="1091"/>
      </w:r>
      <w:r>
        <w:rPr>
          <w:rFonts w:ascii="IRNazanin" w:hAnsi="IRNazanin" w:eastAsia="IRNazanin"/>
          <w:color w:val="111111"/>
          <w:sz w:val="28"/>
          <w:sz w:val="28"/>
          <w:szCs w:val="28"/>
          <w:rtl w:val="true"/>
          <w:lang w:bidi="fa-IR"/>
        </w:rPr>
        <w:t xml:space="preserve">والسرائر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والمحقّق </w:t>
      </w:r>
      <w:r>
        <w:rPr>
          <w:rStyle w:val="FootnoteAnchor"/>
          <w:rtl w:val="true"/>
        </w:rPr>
        <w:footnoteReference w:id="1093"/>
      </w:r>
      <w:r>
        <w:rPr>
          <w:rFonts w:ascii="IRNazanin" w:hAnsi="IRNazanin" w:eastAsia="IRNazanin"/>
          <w:color w:val="111111"/>
          <w:sz w:val="28"/>
          <w:sz w:val="28"/>
          <w:szCs w:val="28"/>
          <w:rtl w:val="true"/>
          <w:lang w:bidi="fa-IR"/>
        </w:rPr>
        <w:t xml:space="preserve">، والشهید </w:t>
      </w:r>
      <w:r>
        <w:rPr>
          <w:rStyle w:val="FootnoteAnchor"/>
          <w:rtl w:val="true"/>
        </w:rPr>
        <w:footnoteReference w:id="1094"/>
      </w:r>
      <w:r>
        <w:rPr>
          <w:rFonts w:ascii="IRNazanin" w:hAnsi="IRNazanin" w:eastAsia="IRNazanin"/>
          <w:color w:val="111111"/>
          <w:sz w:val="28"/>
          <w:sz w:val="28"/>
          <w:szCs w:val="28"/>
          <w:rtl w:val="true"/>
          <w:lang w:bidi="fa-IR"/>
        </w:rPr>
        <w:t>الثانیین التصریح بهذا التقیید والاشتراط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الحدائق</w:t>
      </w:r>
      <w:r>
        <w:rPr>
          <w:rStyle w:val="FootnoteAnchor"/>
          <w:rtl w:val="true"/>
        </w:rPr>
        <w:footnoteReference w:id="1095"/>
      </w:r>
      <w:r>
        <w:rPr>
          <w:rFonts w:ascii="IRNazanin" w:hAnsi="IRNazanin" w:eastAsia="IRNazanin"/>
          <w:color w:val="111111"/>
          <w:sz w:val="28"/>
          <w:sz w:val="28"/>
          <w:szCs w:val="28"/>
          <w:rtl w:val="true"/>
          <w:lang w:bidi="fa-IR"/>
        </w:rPr>
        <w:t xml:space="preserve">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w:t>
      </w:r>
      <w:r>
        <w:rPr>
          <w:rStyle w:val="FootnoteAnchor"/>
          <w:rtl w:val="true"/>
        </w:rPr>
        <w:footnoteReference w:id="1096"/>
      </w:r>
      <w:r>
        <w:rPr>
          <w:rFonts w:ascii="IRNazanin" w:hAnsi="IRNazanin" w:eastAsia="IRNazanin"/>
          <w:color w:val="111111"/>
          <w:sz w:val="28"/>
          <w:sz w:val="28"/>
          <w:szCs w:val="28"/>
          <w:rtl w:val="true"/>
          <w:lang w:bidi="fa-IR"/>
        </w:rPr>
        <w:t>والبرهان</w:t>
      </w:r>
      <w:r>
        <w:rPr>
          <w:rStyle w:val="FootnoteAnchor"/>
          <w:rtl w:val="true"/>
        </w:rPr>
        <w:footnoteReference w:id="1097"/>
      </w:r>
      <w:r>
        <w:rPr>
          <w:rFonts w:ascii="IRNazanin" w:hAnsi="IRNazanin" w:eastAsia="IRNazanin"/>
          <w:color w:val="111111"/>
          <w:sz w:val="28"/>
          <w:sz w:val="28"/>
          <w:szCs w:val="28"/>
          <w:rtl w:val="true"/>
          <w:lang w:bidi="fa-IR"/>
        </w:rPr>
        <w:t xml:space="preserve">ینبغی القطع باشتراطه، وعدم مشروعیّة النقل من البلاد البعیدة المستلزم للهتک، من </w:t>
      </w:r>
      <w:r>
        <w:rPr>
          <w:rStyle w:val="FootnoteAnchor"/>
          <w:rtl w:val="true"/>
        </w:rPr>
        <w:footnoteReference w:id="1098"/>
      </w:r>
      <w:r>
        <w:rPr>
          <w:rFonts w:ascii="IRNazanin" w:hAnsi="IRNazanin" w:eastAsia="IRNazanin"/>
          <w:color w:val="111111"/>
          <w:sz w:val="28"/>
          <w:sz w:val="28"/>
          <w:szCs w:val="28"/>
          <w:rtl w:val="true"/>
          <w:lang w:bidi="fa-IR"/>
        </w:rPr>
        <w:t xml:space="preserve">ترک السلف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 والتابعین وغیرهم، مع محافظتهم وشدة اعتناء الأئمة ببیان ما هو أقلّ من ذلک، ومن عدم العثور علی مَن نصّ علی جوازه إلا عن کاشف الغطاء، فیما حکی عنه من تجویز النقل إلی المشاهد مطلقا حتی لو توقّف علی تقطیع المیّت إرباً إرباً، استناداً إلی جواز قطع عضو منه لصیانة بدنه عن الضرر الأعظم منه ، فجوازه لدفع عذاب جهنّم أولی ثم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 علیه فی الجواهر والبرهان من أنه قیاس فی قیاس ومع الفارق، وجرأة عظیمة فی تجویز هذا المحرّم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کفّنت من ترکتها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الکفن علی الارث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 المراد تحکیم 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الزوج کفن امرأته</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 فیخصّ عموم الزوج بالموسر ، ویبقی المعسر تحت عموم</w:t>
      </w:r>
      <w:r>
        <w:rPr>
          <w:rStyle w:val="FootnoteAnchor"/>
          <w:rtl w:val="true"/>
        </w:rPr>
        <w:footnoteReference w:id="1100"/>
      </w:r>
      <w:r>
        <w:rPr>
          <w:rFonts w:ascii="IRNazanin" w:hAnsi="IRNazanin" w:eastAsia="IRNazanin"/>
          <w:color w:val="111111"/>
          <w:sz w:val="28"/>
          <w:sz w:val="28"/>
          <w:szCs w:val="28"/>
          <w:rtl w:val="true"/>
          <w:lang w:bidi="fa-IR"/>
        </w:rPr>
        <w:t xml:space="preserve">کفن المیت من أصل </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النصّ </w:t>
      </w:r>
      <w:r>
        <w:rPr>
          <w:rStyle w:val="FootnoteAnchor"/>
          <w:rtl w:val="true"/>
        </w:rPr>
        <w:footnoteReference w:id="1101"/>
      </w:r>
      <w:r>
        <w:rPr>
          <w:rFonts w:ascii="IRNazanin" w:hAnsi="IRNazanin" w:eastAsia="IRNazanin"/>
          <w:color w:val="111111"/>
          <w:sz w:val="28"/>
          <w:sz w:val="28"/>
          <w:szCs w:val="28"/>
          <w:rtl w:val="true"/>
          <w:lang w:bidi="fa-IR"/>
        </w:rPr>
        <w:t>المخرج للزوجة أخصّ مطلقا من عموم کفن المیّت من أصل ماله</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تعلیلاتهم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کالتعلیل بأن الکفن من الإنفاق الواجب، لبقاء الزوجیّة بعد الموت، ولذا جاز تغسیلها والنظر إلی ما لا یجوز النظر إلیه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نصف ما ترک أزواجکم</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فسمّاهنّ أزواجاً بعد الترک، فإذا سمّیت زوجة لزم کفنها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أحکام الزوجیّة إنّما یتحقّق متأخّرة عن الوفاة، والکفن یجب عند الوفاة مقارناً لا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قاصرة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صدق اسم الزوجة 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دوران وجوب النفقة علیه ، لمکان ظهور أدلّتها فی غیره، بل لعلّه لا یدخل تحت مسمّی النفقة المأمور بها، ومن هنا تسقط نفقة مَن وجب الإنفاق علیه من الأقارب بموته وإن بقی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من بقاء النظر واللمس ونحوهما لا یجدی حینئذ فی إثبات المدعی، مع إمکان القول بأن المقتضی لها الزوجیة السابقة المستمرة إلی الموت، وإمکان معارضتها أیضاً بثبوت ما ینافیها من حلّیة نکاح الأخت والخامسة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ما سمعت من إطلاق النصّ المنجبر بمعقد الإجماعات المتقدّمة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إشکال ، للشکّ فی الانصراف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انصراف مال المیّت ودینه إلی مثل مال المرتهن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منع الانصراف، مضافاًإلی أصالة عدمه عند الشکّ، ومعارضته بالشکّ فی انصراف ما دلّ علی استیفاء الّدین من مال الرهن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تقریر الاشکال من جهة أخری، وهی أن عموم تقدیم الکفن معارض بعموم تقدیم حق الرهانة والتحجیر تعارضَ العمومین من وجه، ولا مرجحّ لأحد العمومین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المرجع علی کلّ من الاشکالین إلی الأصل من استصحاب حقّ الرهانة والتحجیر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نصّ هنا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 علیه بالخصوص ، وإلا فیمکن الاستدلال علیه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میّتاً کحرمته حیّاً، فوار بدنه وعورته، وکفنه وحطه، واحتسب بذلک من الزکاة، وشیّع جنازته</w:t>
      </w:r>
      <w:r>
        <w:rPr>
          <w:rStyle w:val="FootnoteAnchor"/>
          <w:rtl w:val="true"/>
        </w:rPr>
        <w:footnoteReference w:id="1105"/>
      </w:r>
      <w:r>
        <w:rPr>
          <w:rFonts w:ascii="IRNazanin" w:hAnsi="IRNazanin" w:eastAsia="IRNazanin"/>
          <w:color w:val="111111"/>
          <w:sz w:val="28"/>
          <w:sz w:val="28"/>
          <w:szCs w:val="28"/>
          <w:rtl w:val="true"/>
          <w:lang w:bidi="fa-IR"/>
        </w:rPr>
        <w:t>فی جواب السائل عن تجویز تکفین الفاقد له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کاشف الغطاء الاستدلال علیه بأوامر الدفن فی الأرض الذی هو الستر والخباء، بعد کون المقصود من مستوریتّه لیس مسماها، بل مادام عنوان المیت باقیاً ونبشه وکشفه عنه، وهو ضد الغرض ولو فی آن فیحرم، وهو أوفق من الأول بعموم الحرمة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أن شقّ السرداب ونحوه من النبش المحرّم، کما نصّ علیه البرهان</w:t>
      </w:r>
      <w:r>
        <w:rPr>
          <w:rStyle w:val="FootnoteAnchor"/>
          <w:rtl w:val="true"/>
        </w:rPr>
        <w:footnoteReference w:id="1106"/>
      </w:r>
      <w:r>
        <w:rPr>
          <w:rFonts w:ascii="IRNazanin" w:hAnsi="IRNazanin" w:eastAsia="IRNazanin"/>
          <w:color w:val="111111"/>
          <w:sz w:val="28"/>
          <w:sz w:val="28"/>
          <w:szCs w:val="28"/>
          <w:rtl w:val="true"/>
          <w:lang w:bidi="fa-IR"/>
        </w:rPr>
        <w:t>، لا غیر المحرّم، کما زعمه شیخنا العلامة الکاظمینی تبعا لما عن الذکری</w:t>
      </w:r>
      <w:r>
        <w:rPr>
          <w:rStyle w:val="FootnoteAnchor"/>
          <w:rtl w:val="true"/>
        </w:rPr>
        <w:footnoteReference w:id="1107"/>
      </w:r>
      <w:r>
        <w:rPr>
          <w:rFonts w:ascii="IRNazanin" w:hAnsi="IRNazanin" w:eastAsia="IRNazanin"/>
          <w:color w:val="111111"/>
          <w:sz w:val="28"/>
          <w:sz w:val="28"/>
          <w:szCs w:val="28"/>
          <w:rtl w:val="true"/>
          <w:lang w:bidi="fa-IR"/>
        </w:rPr>
        <w:t>والروض</w:t>
      </w:r>
      <w:r>
        <w:rPr>
          <w:rStyle w:val="FootnoteAnchor"/>
          <w:rtl w:val="true"/>
        </w:rPr>
        <w:footnoteReference w:id="1108"/>
      </w:r>
      <w:r>
        <w:rPr>
          <w:rFonts w:ascii="IRNazanin" w:hAnsi="IRNazanin" w:eastAsia="IRNazanin"/>
          <w:color w:val="111111"/>
          <w:sz w:val="28"/>
          <w:sz w:val="28"/>
          <w:szCs w:val="28"/>
          <w:rtl w:val="true"/>
          <w:lang w:bidi="fa-IR"/>
        </w:rPr>
        <w:t xml:space="preserve">، بدعوی عدم صدق لفظ النبش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عرفت من عدم انحصار الدلیل فی الاجماع الذی معقده لفظ النبش ، بل استدلّ المجمعون بالهتک </w:t>
      </w:r>
    </w:p>
    <w:p>
      <w:pPr>
        <w:pStyle w:val="BookText"/>
        <w:rPr/>
      </w:pPr>
      <w:r>
        <w:rPr>
          <w:rFonts w:ascii="Amiri" w:hAnsi="Amiri" w:eastAsia="Amiri" w:cs="Amiri"/>
          <w:color w:val="111111"/>
          <w:sz w:val="28"/>
          <w:sz w:val="28"/>
          <w:szCs w:val="28"/>
          <w:rtl w:val="true"/>
          <w:lang w:bidi="ar-SA"/>
        </w:rPr>
        <w:t>والمثلة</w:t>
      </w:r>
      <w:r>
        <w:rPr>
          <w:rStyle w:val="FootnoteAnchor"/>
          <w:rtl w:val="true"/>
        </w:rPr>
        <w:footnoteReference w:id="1109"/>
      </w:r>
      <w:r>
        <w:rPr>
          <w:rFonts w:ascii="IRNazanin" w:hAnsi="IRNazanin" w:eastAsia="IRNazanin"/>
          <w:color w:val="111111"/>
          <w:sz w:val="28"/>
          <w:sz w:val="28"/>
          <w:szCs w:val="28"/>
          <w:rtl w:val="true"/>
          <w:lang w:bidi="fa-IR"/>
        </w:rPr>
        <w:t>ومنافاته الحرمة والمستوّریة المقصودة من الدفن، القاضیة بإناطة الحرمة بعموم تکشّفه وإبرازه ولو بغیر ما یصدق علیه لفظ التبش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وجوب إعادة الدفن والطم لو انکشف عن عظام المیّت قبل البلی إجماعاً مطلقا، سواء کان بنبش محرم کالعصیان، أو غیر محرّم کالقهر والغفلة والنسیان، أو بغیر نبش کقذف الأرض له أو انهدام القبر وانخسافه، وعدم حرمة النبش ولا وجوب إعادة الدفن فیما لو بلی العظام إجماعاً ، وفیما لو نبش نبشاًلم یبلغ الکشف ، أو فتح السرداب فتحاً لم یبلغ البروز، لوضع المیّت فی أقصاه مثلاً ، کما صرّح به غیر واحد، إلی غیر ذلک مما یشهد بإناطة الحرمة بالکشف والهتک مطلقا لا بخصوص صدق لفظ النبش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علیه سوی استلزامه النبش المحرّم، وهو غیر المدّعی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الدلیل علیه من ظواهر الأمر بالمواراة فی الکتاب</w:t>
      </w:r>
      <w:r>
        <w:rPr>
          <w:rStyle w:val="FootnoteAnchor"/>
          <w:rtl w:val="true"/>
        </w:rPr>
        <w:footnoteReference w:id="1110"/>
      </w:r>
      <w:r>
        <w:rPr>
          <w:rFonts w:ascii="Amiri" w:hAnsi="Amiri" w:eastAsia="Amiri" w:cs="Amiri"/>
          <w:color w:val="111111"/>
          <w:sz w:val="28"/>
          <w:sz w:val="28"/>
          <w:szCs w:val="28"/>
          <w:rtl w:val="true"/>
          <w:lang w:bidi="ar-SA"/>
        </w:rPr>
        <w:t>والسنّة</w:t>
      </w:r>
      <w:r>
        <w:rPr>
          <w:rStyle w:val="FootnoteAnchor"/>
          <w:rtl w:val="true"/>
        </w:rPr>
        <w:footnoteReference w:id="1111"/>
      </w:r>
      <w:r>
        <w:rPr>
          <w:rFonts w:ascii="IRNazanin" w:hAnsi="IRNazanin" w:eastAsia="IRNazanin"/>
          <w:color w:val="111111"/>
          <w:sz w:val="28"/>
          <w:sz w:val="28"/>
          <w:szCs w:val="28"/>
          <w:rtl w:val="true"/>
          <w:lang w:bidi="fa-IR"/>
        </w:rPr>
        <w:t>، حیث إن المقصود منها الاستمرار مادام العنوان لا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تعلیلها فی النصّ </w:t>
      </w:r>
      <w:r>
        <w:rPr>
          <w:rStyle w:val="FootnoteAnchor"/>
          <w:rtl w:val="true"/>
        </w:rPr>
        <w:footnoteReference w:id="1112"/>
      </w:r>
      <w:r>
        <w:rPr>
          <w:rFonts w:ascii="IRNazanin" w:hAnsi="IRNazanin" w:eastAsia="IRNazanin"/>
          <w:color w:val="111111"/>
          <w:sz w:val="28"/>
          <w:sz w:val="28"/>
          <w:szCs w:val="28"/>
          <w:rtl w:val="true"/>
          <w:lang w:bidi="fa-IR"/>
        </w:rPr>
        <w:t xml:space="preserve">باحترام المیّت لئلاً یشمت به العدو ویحزن به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والکشف عنه هتک ونقض للغرض المقصود من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الشهرة العظیمة المستفیضة النقل فیما اعترف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هو وغیره، بل الإجماع الظاهر من دعوی السرائر</w:t>
      </w:r>
      <w:r>
        <w:rPr>
          <w:rStyle w:val="FootnoteAnchor"/>
          <w:rtl w:val="true"/>
        </w:rPr>
        <w:footnoteReference w:id="1113"/>
      </w:r>
      <w:r>
        <w:rPr>
          <w:rFonts w:ascii="IRNazanin" w:hAnsi="IRNazanin" w:eastAsia="IRNazanin"/>
          <w:color w:val="111111"/>
          <w:sz w:val="28"/>
          <w:sz w:val="28"/>
          <w:szCs w:val="28"/>
          <w:rtl w:val="true"/>
          <w:lang w:bidi="fa-IR"/>
        </w:rPr>
        <w:t xml:space="preserve">أنه بدعة فی الاسلام، بل ومن فحوی النصوص </w:t>
      </w:r>
      <w:r>
        <w:rPr>
          <w:rStyle w:val="FootnoteAnchor"/>
          <w:rtl w:val="true"/>
        </w:rPr>
        <w:footnoteReference w:id="1114"/>
      </w:r>
      <w:r>
        <w:rPr>
          <w:rFonts w:ascii="IRNazanin" w:hAnsi="IRNazanin" w:eastAsia="IRNazanin"/>
          <w:color w:val="111111"/>
          <w:sz w:val="28"/>
          <w:sz w:val="28"/>
          <w:szCs w:val="28"/>
          <w:rtl w:val="true"/>
          <w:lang w:bidi="fa-IR"/>
        </w:rPr>
        <w:t xml:space="preserve">الناهیة عن </w:t>
      </w:r>
    </w:p>
    <w:p>
      <w:pPr>
        <w:pStyle w:val="BookText"/>
        <w:rPr/>
      </w:pPr>
      <w:r>
        <w:rPr>
          <w:rFonts w:ascii="IRNazanin" w:hAnsi="IRNazanin" w:eastAsia="IRNazanin"/>
          <w:color w:val="111111"/>
          <w:sz w:val="28"/>
          <w:sz w:val="28"/>
          <w:szCs w:val="28"/>
          <w:rtl w:val="true"/>
          <w:lang w:bidi="fa-IR"/>
        </w:rPr>
        <w:t xml:space="preserve">انتظار طلوع الشمس وغروبها فی الدفن ، إذ غایة الأمر وجود الشهرة الصارفة لها عن الحرمة فی خصوص ما قبل الدفن، وأما فیما بعده فلا صارف لها عن الحرمة من شهرة ولا غیرها، بل الشهرة وغیرها ممّا عرفت معاضد لظهورها فی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لاحتمال الاختصاص، وإمکان البلی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تقویة المدّعی وهو الجواز ، بإمکان دفع احتمال الاختصاص بأصالة عدمه وعدم النسخ، وبقاعدة الاشتراک وغلبته ، وبإمکان دفع احتمال البلی باستصحاب عدمه ، بل الجزم بعدمه فی مثل الأنبیاء أو إلی ضعف المدّعی وهو الجواز ، بأنه وإن لم یحتمل الاختصاص إلا أنه یحتمل الخصوصیّة للواقعة، لأن الوارد حکایة فعل لا عموم فیه ، فیحتمل أن یکون نقل آدم علیه السلام</w:t>
      </w:r>
      <w:r>
        <w:rPr>
          <w:rStyle w:val="FootnoteAnchor"/>
          <w:rtl w:val="true"/>
        </w:rPr>
        <w:footnoteReference w:id="1115"/>
      </w:r>
      <w:r>
        <w:rPr>
          <w:rFonts w:ascii="IRNazanin" w:hAnsi="IRNazanin" w:eastAsia="IRNazanin"/>
          <w:color w:val="111111"/>
          <w:sz w:val="28"/>
          <w:sz w:val="28"/>
          <w:szCs w:val="28"/>
          <w:rtl w:val="true"/>
          <w:lang w:bidi="fa-IR"/>
        </w:rPr>
        <w:t xml:space="preserve">ل لقذف ماء الطوفان له ، وکذلک یوسف </w:t>
      </w:r>
      <w:r>
        <w:rPr>
          <w:rStyle w:val="FootnoteAnchor"/>
          <w:rtl w:val="true"/>
        </w:rPr>
        <w:footnoteReference w:id="1116"/>
      </w:r>
      <w:r>
        <w:rPr>
          <w:rFonts w:ascii="IRNazanin" w:hAnsi="IRNazanin" w:eastAsia="IRNazanin"/>
          <w:color w:val="111111"/>
          <w:sz w:val="28"/>
          <w:sz w:val="28"/>
          <w:szCs w:val="28"/>
          <w:rtl w:val="true"/>
          <w:lang w:bidi="fa-IR"/>
        </w:rPr>
        <w:t>حیث کان علی شاطیء النیل، فنقلاً حفظاً لهما من الهتک اللازم من بقائهما علی حالهما، وهو غیر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مرسل </w:t>
      </w:r>
      <w:r>
        <w:rPr>
          <w:rStyle w:val="FootnoteAnchor"/>
          <w:rtl w:val="true"/>
        </w:rPr>
        <w:footnoteReference w:id="1117"/>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الجابر له ، واحتمال کونه الخبرین أو خبر الیمانی</w:t>
      </w:r>
      <w:r>
        <w:rPr>
          <w:rStyle w:val="FootnoteAnchor"/>
          <w:rtl w:val="true"/>
        </w:rPr>
        <w:footnoteReference w:id="1118"/>
      </w:r>
      <w:r>
        <w:rPr>
          <w:rFonts w:ascii="IRNazanin" w:hAnsi="IRNazanin" w:eastAsia="IRNazanin"/>
          <w:color w:val="111111"/>
          <w:sz w:val="28"/>
          <w:sz w:val="28"/>
          <w:szCs w:val="28"/>
          <w:rtl w:val="true"/>
          <w:lang w:bidi="fa-IR"/>
        </w:rPr>
        <w:t xml:space="preserve">ممّا لا دلالة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یعوّل علیه ، حیث نقل عنه أنه بعد نقله فی المبسوط </w:t>
      </w:r>
      <w:r>
        <w:rPr>
          <w:rStyle w:val="FootnoteAnchor"/>
          <w:rtl w:val="true"/>
        </w:rPr>
        <w:footnoteReference w:id="11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w:t>
      </w:r>
      <w:r>
        <w:rPr>
          <w:rStyle w:val="FootnoteAnchor"/>
          <w:rtl w:val="true"/>
        </w:rPr>
        <w:footnoteReference w:id="11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أصالة الجواز فقد عرفت عدم مقاومتها لشیء من وجوه المنع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فی کلّ جهاد حقّ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 لیس مطلق المقتول فی الطاعة وغیر المعصیة ، کالمقتول دون ماله وأهله فی حرب قطّاع الطریق ونحوه من المدافعات الراجحة أو الجائزة شرعاً ، فإنه لیس بشهید إجماعاً ، کما جزم به البرهان</w:t>
      </w:r>
      <w:r>
        <w:rPr>
          <w:rStyle w:val="FootnoteAnchor"/>
          <w:rtl w:val="true"/>
        </w:rPr>
        <w:footnoteReference w:id="1121"/>
      </w:r>
      <w:r>
        <w:rPr>
          <w:rFonts w:ascii="IRNazanin" w:hAnsi="IRNazanin" w:eastAsia="IRNazanin"/>
          <w:color w:val="111111"/>
          <w:sz w:val="28"/>
          <w:sz w:val="28"/>
          <w:szCs w:val="28"/>
          <w:rtl w:val="true"/>
          <w:lang w:bidi="fa-IR"/>
        </w:rPr>
        <w:t xml:space="preserve">ونقله عن الروض </w:t>
      </w:r>
      <w:r>
        <w:rPr>
          <w:rStyle w:val="FootnoteAnchor"/>
          <w:rtl w:val="true"/>
        </w:rPr>
        <w:footnoteReference w:id="1122"/>
      </w:r>
      <w:r>
        <w:rPr>
          <w:rFonts w:ascii="IRNazanin" w:hAnsi="IRNazanin" w:eastAsia="IRNazanin"/>
          <w:color w:val="111111"/>
          <w:sz w:val="28"/>
          <w:sz w:val="28"/>
          <w:szCs w:val="28"/>
          <w:rtl w:val="true"/>
          <w:lang w:bidi="fa-IR"/>
        </w:rPr>
        <w:t>وغیره</w:t>
      </w:r>
      <w:r>
        <w:rPr>
          <w:rStyle w:val="FootnoteAnchor"/>
          <w:rtl w:val="true"/>
        </w:rPr>
        <w:footnoteReference w:id="1123"/>
      </w:r>
      <w:r>
        <w:rPr>
          <w:rFonts w:ascii="IRNazanin" w:hAnsi="IRNazanin" w:eastAsia="IRNazanin"/>
          <w:color w:val="111111"/>
          <w:sz w:val="28"/>
          <w:sz w:val="28"/>
          <w:szCs w:val="28"/>
          <w:rtl w:val="true"/>
          <w:lang w:bidi="fa-IR"/>
        </w:rPr>
        <w:t xml:space="preserve">، وإن شارکه فی خصوص الفضل والأجر، لا فی اسم موضوع الشهید ولا فی حکمه الخاصّ من سقوط الغسل والتکفین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 المقتول فی محاماة الدین ، الجامع لجمیع القیود المتقدّمة فیه سوی إذن الإمام أو نائبه الخاص، کالمقتول فی أثناء ما إذا دهم الکفّار المسلمین فی غیر محضر الامام حتی یستأذن منه ، أو فی محاربات المسلمین مع الکفّار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نصرافه إلی ما هو المتبادر منه ، وهو الذی قتل بین یدی الإمام أو نائبه الخاصّ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انصراف موضوع الشهید إلی خصوص المقتول بإذن الأمام أو نائبه الخاصّ ، دون مطلق المقتول فی محاماة الدین وإن لم یأذن له الامام أو نائبه الخاصّ، فمنافی لإطلاق تفسیره لغة وعرفاً بمن یقتل فی سبیل الله ، کما عن القاموس</w:t>
      </w:r>
      <w:r>
        <w:rPr>
          <w:rStyle w:val="FootnoteAnchor"/>
          <w:rtl w:val="true"/>
        </w:rPr>
        <w:footnoteReference w:id="1124"/>
      </w:r>
      <w:r>
        <w:rPr>
          <w:rFonts w:ascii="IRNazanin" w:hAnsi="IRNazanin" w:eastAsia="IRNazanin"/>
          <w:color w:val="111111"/>
          <w:sz w:val="28"/>
          <w:sz w:val="28"/>
          <w:szCs w:val="28"/>
          <w:rtl w:val="true"/>
          <w:lang w:bidi="fa-IR"/>
        </w:rPr>
        <w:t>والصحاح</w:t>
      </w:r>
      <w:r>
        <w:rPr>
          <w:rStyle w:val="FootnoteAnchor"/>
          <w:rtl w:val="true"/>
        </w:rPr>
        <w:footnoteReference w:id="1125"/>
      </w:r>
      <w:r>
        <w:rPr>
          <w:rFonts w:ascii="IRNazanin" w:hAnsi="IRNazanin" w:eastAsia="IRNazanin"/>
          <w:color w:val="111111"/>
          <w:sz w:val="28"/>
          <w:sz w:val="28"/>
          <w:szCs w:val="28"/>
          <w:rtl w:val="true"/>
          <w:lang w:bidi="fa-IR"/>
        </w:rPr>
        <w:t>وغیرهما، ولإطلاق جمیع ما وجد من نصوص</w:t>
      </w:r>
      <w:r>
        <w:rPr>
          <w:rStyle w:val="FootnoteAnchor"/>
          <w:rtl w:val="true"/>
        </w:rPr>
        <w:footnoteReference w:id="1126"/>
      </w:r>
      <w:r>
        <w:rPr>
          <w:rFonts w:ascii="IRNazanin" w:hAnsi="IRNazanin" w:eastAsia="IRNazanin"/>
          <w:color w:val="111111"/>
          <w:sz w:val="28"/>
          <w:sz w:val="28"/>
          <w:szCs w:val="28"/>
          <w:rtl w:val="true"/>
          <w:lang w:bidi="fa-IR"/>
        </w:rPr>
        <w:t xml:space="preserve">الباب من تفسیره بسبیل الله أو بین الصفّین أو مطلق الشهید، الشاملة کلّها لمطلق المقتول فی محاماة الدین ولو بغیر الإذن الخاص، ولأصالة عدم الانصراف ، وعدم حدوث شیء من سببینه علی تقدیر الشکّ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ثبت عدم انصراف موضوع الشهید إلی خصوص المقیّد قتله فی محاماة الدین بالإذن الخاصّ، لا لغة ولا عرفاً ولا شرعاً ، دار الحکم مداره شرعاً إلی أن یثبت من الخارج شرطیّة شیء آخر فی حکمه، وإذ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المعتبر</w:t>
      </w:r>
      <w:r>
        <w:rPr>
          <w:rStyle w:val="FootnoteAnchor"/>
          <w:rtl w:val="true"/>
        </w:rPr>
        <w:footnoteReference w:id="1127"/>
      </w:r>
      <w:r>
        <w:rPr>
          <w:rFonts w:ascii="IRNazanin" w:hAnsi="IRNazanin" w:eastAsia="IRNazanin"/>
          <w:color w:val="111111"/>
          <w:sz w:val="28"/>
          <w:sz w:val="28"/>
          <w:szCs w:val="28"/>
          <w:rtl w:val="true"/>
          <w:lang w:bidi="fa-IR"/>
        </w:rPr>
        <w:t>أن ما ذکره الشیخان من اعتبار القتل بین یدی الامام</w:t>
      </w:r>
    </w:p>
    <w:p>
      <w:pPr>
        <w:pStyle w:val="BookText"/>
        <w:rPr/>
      </w:pPr>
      <w:r>
        <w:rPr>
          <w:rFonts w:ascii="IRNazanin" w:hAnsi="IRNazanin" w:eastAsia="IRNazanin"/>
          <w:color w:val="111111"/>
          <w:sz w:val="28"/>
          <w:sz w:val="28"/>
          <w:szCs w:val="28"/>
          <w:rtl w:val="true"/>
          <w:lang w:bidi="fa-IR"/>
        </w:rPr>
        <w:t>زیادة لم تعلم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حمل إطلاق النصوص</w:t>
      </w:r>
      <w:r>
        <w:rPr>
          <w:rStyle w:val="FootnoteAnchor"/>
          <w:rtl w:val="true"/>
        </w:rPr>
        <w:footnoteReference w:id="1128"/>
      </w:r>
      <w:r>
        <w:rPr>
          <w:rFonts w:ascii="IRNazanin" w:hAnsi="IRNazanin" w:eastAsia="IRNazanin"/>
          <w:color w:val="111111"/>
          <w:sz w:val="28"/>
          <w:sz w:val="28"/>
          <w:szCs w:val="28"/>
          <w:rtl w:val="true"/>
          <w:lang w:bidi="fa-IR"/>
        </w:rPr>
        <w:t>علیه مستلزم لحملها علی النادر ، بل الأندر، بل الفرد الفرضی غیر المتحقّق أصلاً من زمان الصادقین الصادر منهما النصوص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 فلا إشکال فی الخروج عن مقتضی الأصل القطعیّ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عموم</w:t>
      </w:r>
      <w:r>
        <w:rPr>
          <w:rStyle w:val="FootnoteAnchor"/>
          <w:rtl w:val="true"/>
        </w:rPr>
        <w:footnoteReference w:id="1129"/>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تخصیص ذلک الأصل والعموم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قتل بین الصقین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الأصل الأصیل فی تحکیم إطلاق المستثنی علی عموم المستثنی منه ، وإطلاق الخاصّ علی عموم العامّ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الشهرة فی الریاض، ونقله فی الجواهر </w:t>
      </w:r>
      <w:r>
        <w:rPr>
          <w:rStyle w:val="FootnoteAnchor"/>
          <w:rtl w:val="true"/>
        </w:rPr>
        <w:footnoteReference w:id="1130"/>
      </w:r>
      <w:r>
        <w:rPr>
          <w:rFonts w:ascii="IRNazanin" w:hAnsi="IRNazanin" w:eastAsia="IRNazanin"/>
          <w:color w:val="111111"/>
          <w:sz w:val="28"/>
          <w:sz w:val="28"/>
          <w:szCs w:val="28"/>
          <w:rtl w:val="true"/>
          <w:lang w:bidi="fa-IR"/>
        </w:rPr>
        <w:t xml:space="preserve">عن مجمع البرهان </w:t>
      </w:r>
      <w:r>
        <w:rPr>
          <w:rStyle w:val="FootnoteAnchor"/>
          <w:rtl w:val="true"/>
        </w:rPr>
        <w:footnoteReference w:id="1131"/>
      </w:r>
      <w:r>
        <w:rPr>
          <w:rFonts w:ascii="IRNazanin" w:hAnsi="IRNazanin" w:eastAsia="IRNazanin"/>
          <w:color w:val="111111"/>
          <w:sz w:val="28"/>
          <w:sz w:val="28"/>
          <w:szCs w:val="28"/>
          <w:rtl w:val="true"/>
          <w:lang w:bidi="fa-IR"/>
        </w:rPr>
        <w:t>والذخیرة</w:t>
      </w:r>
      <w:r>
        <w:rPr>
          <w:rStyle w:val="FootnoteAnchor"/>
          <w:rtl w:val="true"/>
        </w:rPr>
        <w:footnoteReference w:id="1132"/>
      </w:r>
      <w:r>
        <w:rPr>
          <w:rFonts w:ascii="IRNazanin" w:hAnsi="IRNazanin" w:eastAsia="IRNazanin"/>
          <w:color w:val="111111"/>
          <w:sz w:val="28"/>
          <w:sz w:val="28"/>
          <w:szCs w:val="28"/>
          <w:rtl w:val="true"/>
          <w:lang w:bidi="fa-IR"/>
        </w:rPr>
        <w:t xml:space="preserve">علی اعتبار الإذن الخاصّ فی حکم الشهید، لیعضد بها عموم المستثنی منه ، ویوهن بها إطلاق المستثنی ، فموهونة جدّاٌ بنقل الإجماع علی خلافه فی الجواهر </w:t>
      </w:r>
      <w:r>
        <w:rPr>
          <w:rStyle w:val="FootnoteAnchor"/>
          <w:rtl w:val="true"/>
        </w:rPr>
        <w:footnoteReference w:id="1133"/>
      </w:r>
      <w:r>
        <w:rPr>
          <w:rFonts w:ascii="IRNazanin" w:hAnsi="IRNazanin" w:eastAsia="IRNazanin"/>
          <w:color w:val="111111"/>
          <w:sz w:val="28"/>
          <w:sz w:val="28"/>
          <w:szCs w:val="28"/>
          <w:rtl w:val="true"/>
          <w:lang w:bidi="fa-IR"/>
        </w:rPr>
        <w:t xml:space="preserve">عن ظاهر الغنیة </w:t>
      </w:r>
      <w:r>
        <w:rPr>
          <w:rStyle w:val="FootnoteAnchor"/>
          <w:rtl w:val="true"/>
        </w:rPr>
        <w:footnoteReference w:id="1134"/>
      </w:r>
      <w:r>
        <w:rPr>
          <w:rFonts w:ascii="IRNazanin" w:hAnsi="IRNazanin" w:eastAsia="IRNazanin"/>
          <w:color w:val="111111"/>
          <w:sz w:val="28"/>
          <w:sz w:val="28"/>
          <w:szCs w:val="28"/>
          <w:rtl w:val="true"/>
          <w:lang w:bidi="fa-IR"/>
        </w:rPr>
        <w:t xml:space="preserve">أو صریحه، واختیار جملة من </w:t>
      </w:r>
    </w:p>
    <w:p>
      <w:pPr>
        <w:pStyle w:val="BookText"/>
        <w:rPr/>
      </w:pPr>
      <w:r>
        <w:rPr>
          <w:rFonts w:ascii="IRNazanin" w:hAnsi="IRNazanin" w:eastAsia="IRNazanin"/>
          <w:color w:val="111111"/>
          <w:sz w:val="28"/>
          <w:sz w:val="28"/>
          <w:szCs w:val="28"/>
          <w:rtl w:val="true"/>
          <w:lang w:bidi="fa-IR"/>
        </w:rPr>
        <w:t>المتأخّرین له کالجواهر</w:t>
      </w:r>
      <w:r>
        <w:rPr>
          <w:rStyle w:val="FootnoteAnchor"/>
          <w:rtl w:val="true"/>
        </w:rPr>
        <w:footnoteReference w:id="1135"/>
      </w:r>
      <w:r>
        <w:rPr>
          <w:rFonts w:ascii="IRNazanin" w:hAnsi="IRNazanin" w:eastAsia="IRNazanin"/>
          <w:color w:val="111111"/>
          <w:sz w:val="28"/>
          <w:sz w:val="28"/>
          <w:szCs w:val="28"/>
          <w:rtl w:val="true"/>
          <w:lang w:bidi="fa-IR"/>
        </w:rPr>
        <w:t>والبرهان</w:t>
      </w:r>
      <w:r>
        <w:rPr>
          <w:rStyle w:val="FootnoteAnchor"/>
          <w:rtl w:val="true"/>
        </w:rPr>
        <w:footnoteReference w:id="1136"/>
      </w:r>
      <w:r>
        <w:rPr>
          <w:rFonts w:ascii="IRNazanin" w:hAnsi="IRNazanin" w:eastAsia="IRNazanin"/>
          <w:color w:val="111111"/>
          <w:sz w:val="28"/>
          <w:sz w:val="28"/>
          <w:szCs w:val="28"/>
          <w:rtl w:val="true"/>
          <w:lang w:bidi="fa-IR"/>
        </w:rPr>
        <w:t>وغیرهم، ونسبته إلی جملة ممّن لا یقصرون عن وهن الشهرة لو لم یبلغوا بأنفسهم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 ، لعدم مقاومته الأصل والصحاح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ضعف عدم مقاومته لما ذکر إن کان من جهة ضعف سنده ، فهو وإن کان مرسلاً ولم ینقل فی شیء من الأصول المعتمدة، إلا أنه مجبور بنسبة مضمونه فی البرهان </w:t>
      </w:r>
      <w:r>
        <w:rPr>
          <w:rStyle w:val="FootnoteAnchor"/>
          <w:rtl w:val="true"/>
        </w:rPr>
        <w:footnoteReference w:id="1137"/>
      </w:r>
      <w:r>
        <w:rPr>
          <w:rFonts w:ascii="IRNazanin" w:hAnsi="IRNazanin" w:eastAsia="IRNazanin"/>
          <w:color w:val="111111"/>
          <w:sz w:val="28"/>
          <w:sz w:val="28"/>
          <w:szCs w:val="28"/>
          <w:rtl w:val="true"/>
          <w:lang w:bidi="fa-IR"/>
        </w:rPr>
        <w:t>إلی المشهور، وفی الجواهر</w:t>
      </w:r>
      <w:r>
        <w:rPr>
          <w:rStyle w:val="FootnoteAnchor"/>
          <w:rtl w:val="true"/>
        </w:rPr>
        <w:footnoteReference w:id="1138"/>
      </w:r>
      <w:r>
        <w:rPr>
          <w:rFonts w:ascii="IRNazanin" w:hAnsi="IRNazanin" w:eastAsia="IRNazanin"/>
          <w:color w:val="111111"/>
          <w:sz w:val="28"/>
          <w:sz w:val="28"/>
          <w:szCs w:val="28"/>
          <w:rtl w:val="true"/>
          <w:lang w:bidi="fa-IR"/>
        </w:rPr>
        <w:t>إلی إطلاق معقد الاجماع، وباستناد المنتهی</w:t>
      </w:r>
      <w:r>
        <w:rPr>
          <w:rStyle w:val="FootnoteAnchor"/>
          <w:rtl w:val="true"/>
        </w:rPr>
        <w:footnoteReference w:id="1139"/>
      </w:r>
      <w:r>
        <w:rPr>
          <w:rFonts w:ascii="IRNazanin" w:hAnsi="IRNazanin" w:eastAsia="IRNazanin"/>
          <w:color w:val="111111"/>
          <w:sz w:val="28"/>
          <w:sz w:val="28"/>
          <w:szCs w:val="28"/>
          <w:rtl w:val="true"/>
          <w:lang w:bidi="fa-IR"/>
        </w:rPr>
        <w:t>وجماعة فی اختیار مضمونه إلیه ، وبموافقته لسائر الأخبار الواردة من أن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یأمر بتغسیل شهداء أحد مع إدراک بعضهم و به رمق الحیاة ، و من أن علیا لم یغسل عمّار بن یاسر ولا هاشم بن عتبة المرقال</w:t>
      </w:r>
      <w:r>
        <w:rPr>
          <w:rStyle w:val="FootnoteAnchor"/>
          <w:rtl w:val="true"/>
        </w:rPr>
        <w:footnoteReference w:id="1140"/>
      </w:r>
      <w:r>
        <w:rPr>
          <w:rFonts w:ascii="IRNazanin" w:hAnsi="IRNazanin" w:eastAsia="IRNazanin"/>
          <w:color w:val="111111"/>
          <w:sz w:val="28"/>
          <w:sz w:val="28"/>
          <w:szCs w:val="28"/>
          <w:rtl w:val="true"/>
          <w:lang w:bidi="fa-IR"/>
        </w:rPr>
        <w:t>ودفنهما فی ثیابهما، وکذلک الحسین علیه السلام وعلی بن الحسین علیه السلام لم یغسلا أحداًمن الشهداء حتی الرضّع مع إدراک جلّهم أو کلّهم وبه رمق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جهة ضعف دلالته ، فمن الواضح أن نسبته إلی الأصل المراد به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 إلا ما قتل بین الصفّین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الصحاح وغیرها المراد بها عمومات</w:t>
      </w:r>
      <w:r>
        <w:rPr>
          <w:rStyle w:val="FootnoteAnchor"/>
          <w:rtl w:val="true"/>
        </w:rPr>
        <w:footnoteReference w:id="1141"/>
      </w:r>
      <w:r>
        <w:rPr>
          <w:rFonts w:ascii="IRNazanin" w:hAnsi="IRNazanin" w:eastAsia="IRNazanin"/>
          <w:color w:val="111111"/>
          <w:sz w:val="28"/>
          <w:sz w:val="28"/>
          <w:szCs w:val="28"/>
          <w:rtl w:val="true"/>
          <w:lang w:bidi="fa-IR"/>
        </w:rPr>
        <w:t>الأمر بتغسیل من أدرک و به رمق الحیاة، من قبیل نسبة المقیّد إلی المطلق والخاصّ إلی العامّ والحاکم إلی المحکوم والنصّ إلی الظاهر ، فیخصّص به تلک العمومات بصورة ما إذا کان المدرک حیاته بعد تقضی الحرب لا قبله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الحمل بل یدلّ علیه أنه الغالب المتعارف فی تفقّد القتلی </w:t>
      </w:r>
    </w:p>
    <w:p>
      <w:pPr>
        <w:pStyle w:val="BookText"/>
        <w:rPr/>
      </w:pPr>
      <w:r>
        <w:rPr>
          <w:rFonts w:ascii="IRNazanin" w:hAnsi="IRNazanin" w:eastAsia="IRNazanin"/>
          <w:color w:val="111111"/>
          <w:sz w:val="28"/>
          <w:sz w:val="28"/>
          <w:szCs w:val="28"/>
          <w:rtl w:val="true"/>
          <w:lang w:bidi="fa-IR"/>
        </w:rPr>
        <w:t xml:space="preserve">والجرحی، وأنه لولا هذا الحمل لم یبق مَن لا یغسل من الشهداء إلا نادراً، لغلبة من یبصر حیاته ولو واحد من أصحابه ممّن أصیب فی المعرکة إلی أن یموت لا محالة جدّاً، فیلزم اختصاص جمیع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الشهید فی المعرکة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کثرتها واهتمام الشارع ببیانها – بفرد نادر جدّاً ، وهو خلاف البلاغة جدّاًسیّما من أبلغ البلغاء هذا کلّه، مضافاً إلی أن عمومات </w:t>
      </w:r>
      <w:r>
        <w:rPr>
          <w:rStyle w:val="FootnoteAnchor"/>
          <w:rtl w:val="true"/>
        </w:rPr>
        <w:footnoteReference w:id="1142"/>
      </w:r>
      <w:r>
        <w:rPr>
          <w:rFonts w:ascii="IRNazanin" w:hAnsi="IRNazanin" w:eastAsia="IRNazanin"/>
          <w:color w:val="111111"/>
          <w:sz w:val="28"/>
          <w:sz w:val="28"/>
          <w:szCs w:val="28"/>
          <w:rtl w:val="true"/>
          <w:lang w:bidi="fa-IR"/>
        </w:rPr>
        <w:t xml:space="preserve">الأمر بتغسیل المدرک حیاته معارضة بعمومات </w:t>
      </w:r>
      <w:r>
        <w:rPr>
          <w:rStyle w:val="FootnoteAnchor"/>
          <w:rtl w:val="true"/>
        </w:rPr>
        <w:footnoteReference w:id="1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قتیل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والقتیل بین الصفّین ، تعارض العموم من وجه، من حیث إن إدراک الحیاة یشمل ما بعد انقضاء الحرب وما قبله، کما أن قتیل المعرکة وبین الصقین یشمل المدرک وغیر المدرک حیاته ، ومن الواضح أن الترجیح لعمومات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قتیل المعرکة وبین الصقین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تغسّیل المدرک حیاته ، للاعتضاد بالشهرة المتقدّمة وغیرها من المرجّحات الخارجیّة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أقوال أخر ضعیفة المستند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الأقوال الأخر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السراویل فتدفن معه مطلقا أو إذا أصابها دم، وغیرها فلا تدفن معه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بإلحاق القلنسوة والمنطقة بالسراویل فی الدفن معه مطلقا أو إذا أصابها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مستند القول بإطلاق الدفن معه فهو دعوی شمول الثیاب له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ضعفه کونه فی محلّ المنع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مستند التفصیل بین ما یصیبه الدم فیدفن وغیره فلا فهو الخبر المفصّل المنقول فی الوسائل عن الصدوق مرسلاً، وعن عدة من أصحابنا عن أحمد بن </w:t>
      </w:r>
    </w:p>
    <w:p>
      <w:pPr>
        <w:pStyle w:val="BookText"/>
        <w:rPr/>
      </w:pPr>
      <w:r>
        <w:rPr>
          <w:rFonts w:ascii="IRNazanin" w:hAnsi="IRNazanin" w:eastAsia="IRNazanin"/>
          <w:color w:val="111111"/>
          <w:sz w:val="28"/>
          <w:sz w:val="28"/>
          <w:szCs w:val="28"/>
          <w:rtl w:val="true"/>
          <w:lang w:bidi="fa-IR"/>
        </w:rPr>
        <w:t xml:space="preserve">محمد بن خالد، عن أبیه ، عن أبی الجوزا، عن الحسین بن علوان، عن عمرو بن خالد، عن زید، عن علیّ، عن آبائه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 الشهید الفرو والخفّ والقلنسوة والعمامة والمنطقة والسراویل، إلا أن یکون أصابه دم، فإن أصابه دم تراث، ولا یترک علیه شیء معقود إلا حلّ</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وجه ضعفه فلعلّه فی الدلالّة، باحتمال إرجاع الضمیر إلی السراویل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السند، بإرساله فی نقل الصدوق، وإسناده إلی الحسین بن علوان وعمرو بن خالد المتهمّین بالعامیّة أو الزیدیّة فی نقل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بقرینة روایة الشیخ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وجهه الإشارة إلی ما عن الذکری </w:t>
      </w:r>
      <w:r>
        <w:rPr>
          <w:rStyle w:val="FootnoteAnchor"/>
          <w:rtl w:val="true"/>
        </w:rPr>
        <w:footnoteReference w:id="1146"/>
      </w:r>
      <w:r>
        <w:rPr>
          <w:rFonts w:ascii="IRNazanin" w:hAnsi="IRNazanin" w:eastAsia="IRNazanin"/>
          <w:color w:val="111111"/>
          <w:sz w:val="28"/>
          <w:sz w:val="28"/>
          <w:szCs w:val="28"/>
          <w:rtl w:val="true"/>
          <w:lang w:bidi="fa-IR"/>
        </w:rPr>
        <w:t>وجامع المقاصد</w:t>
      </w:r>
      <w:r>
        <w:rPr>
          <w:rStyle w:val="FootnoteAnchor"/>
          <w:rtl w:val="true"/>
        </w:rPr>
        <w:footnoteReference w:id="1147"/>
      </w:r>
      <w:r>
        <w:rPr>
          <w:rFonts w:ascii="IRNazanin" w:hAnsi="IRNazanin" w:eastAsia="IRNazanin"/>
          <w:color w:val="111111"/>
          <w:sz w:val="28"/>
          <w:sz w:val="28"/>
          <w:szCs w:val="28"/>
          <w:rtl w:val="true"/>
          <w:lang w:bidi="fa-IR"/>
        </w:rPr>
        <w:t>من الاعتذار عن القطع والوقّف فیما نقل عن ابن أبی عمیر عن ابن أذینة ، بأنهما من عظماء أصحاب الأئمّة ، فالتوقّف من مثلهما علی حکم قرینّة روایتهما ذلک عن أثقتهم ، کما أن الإضمار من مثلهما أیضا قرینة کون المضمر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لذکرهم الصلاة علیه المستلزمة للأحکام الباقیة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الملازمة اتّفاقیّة دلیلها الاستقراء والممارسة فی النصوص </w:t>
      </w:r>
      <w:r>
        <w:rPr>
          <w:rStyle w:val="FootnoteAnchor"/>
          <w:rtl w:val="true"/>
        </w:rPr>
        <w:footnoteReference w:id="1148"/>
      </w:r>
      <w:r>
        <w:rPr>
          <w:rFonts w:ascii="IRNazanin" w:hAnsi="IRNazanin" w:eastAsia="IRNazanin"/>
          <w:color w:val="111111"/>
          <w:sz w:val="28"/>
          <w:sz w:val="28"/>
          <w:szCs w:val="28"/>
          <w:rtl w:val="true"/>
          <w:lang w:bidi="fa-IR"/>
        </w:rPr>
        <w:t>والفتاوی ، من أنه متی ذکر الصلاة یراد هی مع غیرها من أفعال التجهیز الواجب ، ومتی ذکر التغسیل من غیر ذکر الصلاة یراد هو مع التکفین والدفن أیضاً ، ومتی ذکر التکفین ولو فی الجملة من لفّ و نحوه یراد هو مع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 الدفن لا یستلزم وجوب شیء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وإنکار هذه الملازمة من بعض متأخّری </w:t>
      </w:r>
    </w:p>
    <w:p>
      <w:pPr>
        <w:pStyle w:val="BookText"/>
        <w:rPr/>
      </w:pPr>
      <w:r>
        <w:rPr>
          <w:rFonts w:ascii="IRNazanin" w:hAnsi="IRNazanin" w:eastAsia="IRNazanin"/>
          <w:color w:val="111111"/>
          <w:sz w:val="28"/>
          <w:sz w:val="28"/>
          <w:szCs w:val="28"/>
          <w:rtl w:val="true"/>
          <w:lang w:bidi="fa-IR"/>
        </w:rPr>
        <w:t>المتأخّرین من عدم الممارسة بمذاق الشرع والمتشرّعة، بل مکابرة کما عن اللوامع</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بالشهید هو مع الفارق، لمعلومیّة بنائه علی الغالب من وجود ثیابه ودمائه المبدلة شرعاً عن أغساله وأکفانه ، لیلقی الله تعالی بذلک بخیر إبدال ومزید 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وبالمقدّم للحد، ولا نقض به أیضاً، لوجود الأمرین فیه ، غایة الأمر اقتضاء المصلحة تقدّمهما ، والکلام فی الإهمال 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یظهر دلالة المعتبرة الناصة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قرینة الاجماع و مرجّحیّته تظهر دلالّة المعتبرة </w:t>
      </w:r>
      <w:r>
        <w:rPr>
          <w:rStyle w:val="FootnoteAnchor"/>
          <w:rtl w:val="true"/>
        </w:rPr>
        <w:footnoteReference w:id="1150"/>
      </w:r>
      <w:r>
        <w:rPr>
          <w:rFonts w:ascii="IRNazanin" w:hAnsi="IRNazanin" w:eastAsia="IRNazanin"/>
          <w:color w:val="111111"/>
          <w:sz w:val="28"/>
          <w:sz w:val="28"/>
          <w:szCs w:val="28"/>
          <w:rtl w:val="true"/>
          <w:lang w:bidi="fa-IR"/>
        </w:rPr>
        <w:t>علی ما ذکره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تعارض ما یعتبر فیه القلب فعلاً مطلقا لما یعتبر فیه الصدر مطلقا علی نحو العموم و الخصوص من وجه، مع أولویّة تقیید الصدر بالفرد الغالب المشتمل فعلاً علی القلب من حمل القلب علی محلّه وهو الصدر وإن کان خالیة عنه ، لأن التقیید بالغالب لا یحتاج إلی القرینة ، بخلاف التجوّز، مضافاً إلی أن التقیید فی نفسه أرجح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قرینة الشهرة المحصّلة والإجماعات المنقولة معیّنة لهذا التجوّز فی المعتبرة، ودالّة علی ما ذکره المصنف من کفایة الصدر ولو کان مجرّداً عن القلب فی وجوب أحکام التجهیز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قرینة تلک الشهرة المحتلة والإجماعات المنقولة أیضاً معینة لکون اعتبار الیدین مع الصدر فی مرسلة الفقیه </w:t>
      </w:r>
      <w:r>
        <w:rPr>
          <w:rStyle w:val="FootnoteAnchor"/>
          <w:rtl w:val="true"/>
        </w:rPr>
        <w:footnoteReference w:id="1151"/>
      </w:r>
      <w:r>
        <w:rPr>
          <w:rFonts w:ascii="IRNazanin" w:hAnsi="IRNazanin" w:eastAsia="IRNazanin"/>
          <w:color w:val="111111"/>
          <w:sz w:val="28"/>
          <w:sz w:val="28"/>
          <w:szCs w:val="28"/>
          <w:rtl w:val="true"/>
          <w:lang w:bidi="fa-IR"/>
        </w:rPr>
        <w:t xml:space="preserve">لا مدخلیّة له فی علّیّة الحکم، وحمل ذکرهما علی کون الواقعة کذلک لاأنهما جزء علّة حکم التجهیز، بل علّة الحکم منحصرة فی وجود الصدر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النسبة بینه وبین سائر النصوص المعتبرة للصدر أو القلب من قبیل نسبة المقیّد إلی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یظهر ضعف ما عن المعتبر</w:t>
      </w:r>
      <w:r>
        <w:rPr>
          <w:rStyle w:val="FootnoteAnchor"/>
          <w:rtl w:val="true"/>
        </w:rPr>
        <w:footnoteReference w:id="1152"/>
      </w:r>
      <w:r>
        <w:rPr>
          <w:rFonts w:ascii="IRNazanin" w:hAnsi="IRNazanin" w:eastAsia="IRNazanin"/>
          <w:color w:val="111111"/>
          <w:sz w:val="28"/>
          <w:sz w:val="28"/>
          <w:szCs w:val="28"/>
          <w:rtl w:val="true"/>
          <w:lang w:bidi="fa-IR"/>
        </w:rPr>
        <w:t xml:space="preserve">من اختیار اعتبار الیدین مع الصدر أو القلب فی وجوب ما ذکر من أحکام التجهیز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ما عن الذکری </w:t>
      </w:r>
      <w:r>
        <w:rPr>
          <w:rStyle w:val="FootnoteAnchor"/>
          <w:rtl w:val="true"/>
        </w:rPr>
        <w:footnoteReference w:id="1153"/>
      </w:r>
      <w:r>
        <w:rPr>
          <w:rFonts w:ascii="IRNazanin" w:hAnsi="IRNazanin" w:eastAsia="IRNazanin"/>
          <w:color w:val="111111"/>
          <w:sz w:val="28"/>
          <w:sz w:val="28"/>
          <w:szCs w:val="28"/>
          <w:rtl w:val="true"/>
          <w:lang w:bidi="fa-IR"/>
        </w:rPr>
        <w:t xml:space="preserve">أیضأ من وجوب الصلاة علی القلب وحده ، لترجیح نصوصه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وضعف ما استوجهه البرهان </w:t>
      </w:r>
      <w:r>
        <w:rPr>
          <w:rStyle w:val="FootnoteAnchor"/>
          <w:rtl w:val="true"/>
        </w:rPr>
        <w:footnoteReference w:id="1154"/>
      </w:r>
      <w:r>
        <w:rPr>
          <w:rFonts w:ascii="IRNazanin" w:hAnsi="IRNazanin" w:eastAsia="IRNazanin"/>
          <w:color w:val="111111"/>
          <w:sz w:val="28"/>
          <w:sz w:val="28"/>
          <w:szCs w:val="28"/>
          <w:rtl w:val="true"/>
          <w:lang w:bidi="fa-IR"/>
        </w:rPr>
        <w:t>أیضاً من حمل ما اعتبر فیه الصدر مع ما اعتبر فیه القلب من النصوص علی التخییر لا التقیید ، ولو کان أوفق بظاهر النصوص 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الدلیل علی لزومه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التکفین الذی هو مورد قاعدة المیسور بالشهرة غیر مجبور، واللفّ الذی هو المشهور غیر مورد قاعدة المیسور، فلا یتمّ الاستدلال علی لزوم اللفّ إلا بالاحتیاط ، وهو غیر لازم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مکافیء لما تقدّم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الأشهریّة سنداً و عملاً، والمخالفة للعامة ، والموافقة لما هو المحسوس غالباًمن تحرّک الحمل بعد الأربعة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خلافاً للمفید </w:t>
      </w:r>
      <w:r>
        <w:rPr>
          <w:rStyle w:val="FootnoteAnchor"/>
          <w:rtl w:val="true"/>
        </w:rPr>
        <w:footnoteReference w:id="1155"/>
      </w:r>
      <w:r>
        <w:rPr>
          <w:rFonts w:ascii="IRNazanin" w:hAnsi="IRNazanin" w:eastAsia="IRNazanin"/>
          <w:color w:val="111111"/>
          <w:sz w:val="28"/>
          <w:sz w:val="28"/>
          <w:szCs w:val="28"/>
          <w:rtl w:val="true"/>
          <w:lang w:bidi="fa-IR"/>
        </w:rPr>
        <w:t>، فأوجب التغسیل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المفید إنما هو فی صورة الاضطرار کما ینبیء به أخباره</w:t>
      </w:r>
      <w:r>
        <w:rPr>
          <w:rStyle w:val="FootnoteAnchor"/>
          <w:rtl w:val="true"/>
        </w:rPr>
        <w:footnoteReference w:id="1156"/>
      </w:r>
      <w:r>
        <w:rPr>
          <w:rFonts w:ascii="IRNazanin" w:hAnsi="IRNazanin" w:eastAsia="IRNazanin"/>
          <w:color w:val="111111"/>
          <w:sz w:val="28"/>
          <w:sz w:val="28"/>
          <w:szCs w:val="28"/>
          <w:rtl w:val="true"/>
          <w:lang w:bidi="fa-IR"/>
        </w:rPr>
        <w:t>و تصریح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صورة الاختیار فلا خلاف أصلاً فی اشتراط المماثلة وعدم جواز المخالفة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مکافئة من وجوه عدیدة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 نصوص</w:t>
      </w:r>
      <w:r>
        <w:rPr>
          <w:rStyle w:val="FootnoteAnchor"/>
          <w:rtl w:val="true"/>
        </w:rPr>
        <w:footnoteReference w:id="1157"/>
      </w:r>
      <w:r>
        <w:rPr>
          <w:rFonts w:ascii="IRNazanin" w:hAnsi="IRNazanin" w:eastAsia="IRNazanin"/>
          <w:color w:val="111111"/>
          <w:sz w:val="28"/>
          <w:sz w:val="28"/>
          <w:szCs w:val="28"/>
          <w:rtl w:val="true"/>
          <w:lang w:bidi="fa-IR"/>
        </w:rPr>
        <w:t>عدم سقوط الغسل یفقد المماثلة وإن کافأت نصوص</w:t>
      </w:r>
      <w:r>
        <w:rPr>
          <w:rStyle w:val="FootnoteAnchor"/>
          <w:rtl w:val="true"/>
        </w:rPr>
        <w:footnoteReference w:id="1158"/>
      </w:r>
      <w:r>
        <w:rPr>
          <w:rFonts w:ascii="IRNazanin" w:hAnsi="IRNazanin" w:eastAsia="IRNazanin"/>
          <w:color w:val="111111"/>
          <w:sz w:val="28"/>
          <w:sz w:val="28"/>
          <w:szCs w:val="28"/>
          <w:rtl w:val="true"/>
          <w:lang w:bidi="fa-IR"/>
        </w:rPr>
        <w:t>سقوطه من حیث العدد، ومن حیث احتمال التخصیص والتقیید بها النصوص سقوطه بصورة الاضطرار وعدم وجود الغاسل بالمرة لا المماثل ولا غیره، إلا أنها مع ذلک لا تکافئها من حیث إنها أصحّ سنداً ، وأشهر روایة وفتوئً ، وأصرّح دلالّة ، وأوفق بمخالفة العامّة</w:t>
      </w:r>
      <w:r>
        <w:rPr>
          <w:rStyle w:val="FootnoteAnchor"/>
          <w:rtl w:val="true"/>
        </w:rPr>
        <w:footnoteReference w:id="1159"/>
      </w:r>
      <w:r>
        <w:rPr>
          <w:rFonts w:ascii="Amiri" w:hAnsi="Amiri" w:eastAsia="Amiri" w:cs="Amiri"/>
          <w:color w:val="111111"/>
          <w:sz w:val="28"/>
          <w:sz w:val="28"/>
          <w:szCs w:val="28"/>
          <w:rtl w:val="true"/>
          <w:lang w:bidi="ar-SA"/>
        </w:rPr>
        <w:t xml:space="preserve">، وبأصالة البراءة، وأصالة إذا فقد الشرط فقد المشروط، وعموم </w:t>
      </w:r>
      <w:r>
        <w:rPr>
          <w:rStyle w:val="FootnoteAnchor"/>
          <w:rtl w:val="true"/>
        </w:rPr>
        <w:footnoteReference w:id="1160"/>
      </w:r>
      <w:r>
        <w:rPr>
          <w:rFonts w:ascii="IRNazanin" w:hAnsi="IRNazanin" w:eastAsia="IRNazanin"/>
          <w:color w:val="111111"/>
          <w:sz w:val="28"/>
          <w:sz w:val="28"/>
          <w:szCs w:val="28"/>
          <w:rtl w:val="true"/>
          <w:lang w:bidi="fa-IR"/>
        </w:rPr>
        <w:t xml:space="preserve">شرطیّة المماثلة فی الغاسل ، بخلاف نصوص عدم سقوطه، فإنها موهونة بالشذوذ سنداً، أو إعراض الأصحاب عملاً، وبالضعف دلالّة، من حیث احتمال الاستحباب فیها کما احتمله الوسائل </w:t>
      </w:r>
      <w:r>
        <w:rPr>
          <w:rStyle w:val="FootnoteAnchor"/>
          <w:rtl w:val="true"/>
        </w:rPr>
        <w:footnoteReference w:id="1161"/>
      </w:r>
      <w:r>
        <w:rPr>
          <w:rFonts w:ascii="IRNazanin" w:hAnsi="IRNazanin" w:eastAsia="IRNazanin"/>
          <w:color w:val="111111"/>
          <w:sz w:val="28"/>
          <w:sz w:val="28"/>
          <w:szCs w:val="28"/>
          <w:rtl w:val="true"/>
          <w:lang w:bidi="fa-IR"/>
        </w:rPr>
        <w:t>، أو تخصیص غیر المماثل بالمحارم فی أکثرها ، والتقیّة فی بعضها الآخر أو کلّها ، لما فی بعضها من أنه مذهب أبی حنیفة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ذلک لا مانع من تغسیل غیر المماثل عند فقد المماثل احتیاطاً کما عن الغنیة</w:t>
      </w:r>
      <w:r>
        <w:rPr>
          <w:rStyle w:val="FootnoteAnchor"/>
          <w:rtl w:val="true"/>
        </w:rPr>
        <w:footnoteReference w:id="1163"/>
      </w:r>
      <w:r>
        <w:rPr>
          <w:rFonts w:ascii="IRNazanin" w:hAnsi="IRNazanin" w:eastAsia="IRNazanin"/>
          <w:color w:val="111111"/>
          <w:sz w:val="28"/>
          <w:sz w:val="28"/>
          <w:szCs w:val="28"/>
          <w:rtl w:val="true"/>
          <w:lang w:bidi="fa-IR"/>
        </w:rPr>
        <w:t xml:space="preserve">، ولا استحباباً کما فی الوسائل، تسامحاًفی أدلّة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البرهان</w:t>
      </w:r>
      <w:r>
        <w:rPr>
          <w:rStyle w:val="FootnoteAnchor"/>
          <w:rtl w:val="true"/>
        </w:rPr>
        <w:footnoteReference w:id="1164"/>
      </w:r>
      <w:r>
        <w:rPr>
          <w:rFonts w:ascii="IRNazanin" w:hAnsi="IRNazanin" w:eastAsia="IRNazanin"/>
          <w:color w:val="111111"/>
          <w:sz w:val="28"/>
          <w:sz w:val="28"/>
          <w:szCs w:val="28"/>
          <w:rtl w:val="true"/>
          <w:lang w:bidi="fa-IR"/>
        </w:rPr>
        <w:t>من الاشکال فیهما خصوصاً مع ظهور کثیر من الکلمات فی حرمة التغسیل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الحرمة الذاتیّة فی تغسیل غیر المماثل مقطوعة العدم، والحرمة </w:t>
      </w:r>
    </w:p>
    <w:p>
      <w:pPr>
        <w:pStyle w:val="BookText"/>
        <w:rPr/>
      </w:pPr>
      <w:r>
        <w:rPr>
          <w:rFonts w:ascii="IRNazanin" w:hAnsi="IRNazanin" w:eastAsia="IRNazanin"/>
          <w:color w:val="111111"/>
          <w:sz w:val="28"/>
          <w:sz w:val="28"/>
          <w:szCs w:val="28"/>
          <w:rtl w:val="true"/>
          <w:lang w:bidi="fa-IR"/>
        </w:rPr>
        <w:t xml:space="preserve">الغیریّة الناشئة من النظر إلی غیر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ثبوتها حتی فی مثل المقام من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العدم فی التغسیل من وراء الثیاب، أو لف الید فی الخرقة، أو مع تغمیض العینین الذی هو محل النزاع ، بل فی بعض النصوص الأمر بتیممه عند عدم المماثل فی تغسیله من وراء الثیاب أو 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الأحوط والأوفق بقاعدة الجمع مهما أمکن أولی من الطرح، وبقاعدة المیسور، والاستقراء فی نظائر مسألة تعسر الشرط أو تعذّره، فإن الغالب فیها سقوط خصوص المعسور من الشروط دون المیسور من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سقوط کلّ شرط الموالاة والمباشرة وغسل البشرة عند تعذّرها فی الوضوء دون سقوط المشروط، وسقوط شرطیّة القبلة والقیام والستر والساتر والتحقظ من الناظر عند تعذّرها فی الصلاة والحجّ وغیرهما دون سقوط المشروط، فیقتضی إلحاق المشکوک ممّا نحن فیه بالأعمّ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دل علی الأمر به من الأخبار</w:t>
      </w:r>
      <w:r>
        <w:rPr>
          <w:rStyle w:val="FootnoteAnchor"/>
          <w:rtl w:val="true"/>
        </w:rPr>
        <w:footnoteReference w:id="1165"/>
      </w:r>
      <w:r>
        <w:rPr>
          <w:rFonts w:ascii="IRNazanin" w:hAnsi="IRNazanin" w:eastAsia="IRNazanin"/>
          <w:color w:val="111111"/>
          <w:sz w:val="28"/>
          <w:sz w:val="28"/>
          <w:szCs w:val="28"/>
          <w:rtl w:val="true"/>
          <w:lang w:bidi="fa-IR"/>
        </w:rPr>
        <w:t>ضعیف لا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ضعفه فلاشتمال سنده علی أبی الجوزاء المجهول ، والحسین بن علوان المتهمّ بالعامیّة ، وعمرو بن خالد الظاهر أنه الواسطیّ المتهمّ أیضاً بالعامیّة أو الزیدیّة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عدم التعویل علیه فلما عرفت من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قیل من موافقته الفتوی أبی حنیفة </w:t>
      </w:r>
      <w:r>
        <w:rPr>
          <w:rStyle w:val="FootnoteAnchor"/>
          <w:rtl w:val="true"/>
        </w:rPr>
        <w:footnoteReference w:id="1166"/>
      </w:r>
      <w:r>
        <w:rPr>
          <w:rFonts w:ascii="IRNazanin" w:hAnsi="IRNazanin" w:eastAsia="IRNazanin"/>
          <w:color w:val="111111"/>
          <w:sz w:val="28"/>
          <w:sz w:val="28"/>
          <w:szCs w:val="28"/>
          <w:rtl w:val="true"/>
          <w:lang w:bidi="fa-IR"/>
        </w:rPr>
        <w:t xml:space="preserve">، ومخالفته لظاهر النصوص </w:t>
      </w:r>
      <w:r>
        <w:rPr>
          <w:rStyle w:val="FootnoteAnchor"/>
          <w:rtl w:val="true"/>
        </w:rPr>
        <w:footnoteReference w:id="1167"/>
      </w:r>
      <w:r>
        <w:rPr>
          <w:rFonts w:ascii="IRNazanin" w:hAnsi="IRNazanin" w:eastAsia="IRNazanin"/>
          <w:color w:val="111111"/>
          <w:sz w:val="28"/>
          <w:sz w:val="28"/>
          <w:szCs w:val="28"/>
          <w:rtl w:val="true"/>
          <w:lang w:bidi="fa-IR"/>
        </w:rPr>
        <w:t xml:space="preserve">والفتاوی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ذلک کلّه إنما هو مانع من حمله علی الحکم الوجوبی، وأما حمله علی الحکم الاستحبابی فلا مانع منه ،کحمل ما دلّ من النصوص </w:t>
      </w:r>
      <w:r>
        <w:rPr>
          <w:rStyle w:val="FootnoteAnchor"/>
          <w:rtl w:val="true"/>
        </w:rPr>
        <w:footnoteReference w:id="1168"/>
      </w:r>
      <w:r>
        <w:rPr>
          <w:rFonts w:ascii="IRNazanin" w:hAnsi="IRNazanin" w:eastAsia="IRNazanin"/>
          <w:color w:val="111111"/>
          <w:sz w:val="28"/>
          <w:sz w:val="28"/>
          <w:szCs w:val="28"/>
          <w:rtl w:val="true"/>
          <w:lang w:bidi="fa-IR"/>
        </w:rPr>
        <w:t xml:space="preserve">علی غسل یدیها ووجهها أو موضع </w:t>
      </w:r>
    </w:p>
    <w:p>
      <w:pPr>
        <w:pStyle w:val="BookText"/>
        <w:rPr/>
      </w:pPr>
      <w:r>
        <w:rPr>
          <w:rFonts w:ascii="IRNazanin" w:hAnsi="IRNazanin" w:eastAsia="IRNazanin"/>
          <w:color w:val="111111"/>
          <w:sz w:val="28"/>
          <w:sz w:val="28"/>
          <w:szCs w:val="28"/>
          <w:rtl w:val="true"/>
          <w:lang w:bidi="fa-IR"/>
        </w:rPr>
        <w:t>الوضوء منها عند فقد المماثل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المرأة تغسّل صبّیاً له ثلاث سنین مطلقا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اختیارةاً واضطراراً، خلافاً لما عن المقنعة</w:t>
      </w:r>
      <w:r>
        <w:rPr>
          <w:rStyle w:val="FootnoteAnchor"/>
          <w:rtl w:val="true"/>
        </w:rPr>
        <w:footnoteReference w:id="1169"/>
      </w:r>
      <w:r>
        <w:rPr>
          <w:rFonts w:ascii="IRNazanin" w:hAnsi="IRNazanin" w:eastAsia="IRNazanin"/>
          <w:color w:val="111111"/>
          <w:sz w:val="28"/>
          <w:sz w:val="28"/>
          <w:szCs w:val="28"/>
          <w:rtl w:val="true"/>
          <w:lang w:bidi="fa-IR"/>
        </w:rPr>
        <w:t xml:space="preserve">والهدایة </w:t>
      </w:r>
      <w:r>
        <w:rPr>
          <w:rStyle w:val="FootnoteAnchor"/>
          <w:rtl w:val="true"/>
        </w:rPr>
        <w:footnoteReference w:id="1170"/>
      </w:r>
      <w:r>
        <w:rPr>
          <w:rFonts w:ascii="IRNazanin" w:hAnsi="IRNazanin" w:eastAsia="IRNazanin"/>
          <w:color w:val="111111"/>
          <w:sz w:val="28"/>
          <w:sz w:val="28"/>
          <w:szCs w:val="28"/>
          <w:rtl w:val="true"/>
          <w:lang w:bidi="fa-IR"/>
        </w:rPr>
        <w:t xml:space="preserve">والمبسوط </w:t>
      </w:r>
      <w:r>
        <w:rPr>
          <w:rStyle w:val="FootnoteAnchor"/>
          <w:rtl w:val="true"/>
        </w:rPr>
        <w:footnoteReference w:id="1171"/>
      </w:r>
      <w:r>
        <w:rPr>
          <w:rFonts w:ascii="IRNazanin" w:hAnsi="IRNazanin" w:eastAsia="IRNazanin"/>
          <w:color w:val="111111"/>
          <w:sz w:val="28"/>
          <w:sz w:val="28"/>
          <w:szCs w:val="28"/>
          <w:rtl w:val="true"/>
          <w:lang w:bidi="fa-IR"/>
        </w:rPr>
        <w:t>والسرائر</w:t>
      </w:r>
      <w:r>
        <w:rPr>
          <w:rStyle w:val="FootnoteAnchor"/>
          <w:rtl w:val="true"/>
        </w:rPr>
        <w:footnoteReference w:id="1172"/>
      </w:r>
      <w:r>
        <w:rPr>
          <w:rFonts w:ascii="IRNazanin" w:hAnsi="IRNazanin" w:eastAsia="IRNazanin"/>
          <w:color w:val="111111"/>
          <w:sz w:val="28"/>
          <w:sz w:val="28"/>
          <w:szCs w:val="28"/>
          <w:rtl w:val="true"/>
          <w:lang w:bidi="fa-IR"/>
        </w:rPr>
        <w:t xml:space="preserve">والوسیلة </w:t>
      </w:r>
      <w:r>
        <w:rPr>
          <w:rStyle w:val="FootnoteAnchor"/>
          <w:rtl w:val="true"/>
        </w:rPr>
        <w:footnoteReference w:id="1173"/>
      </w:r>
      <w:r>
        <w:rPr>
          <w:rFonts w:ascii="IRNazanin" w:hAnsi="IRNazanin" w:eastAsia="IRNazanin"/>
          <w:color w:val="111111"/>
          <w:sz w:val="28"/>
          <w:sz w:val="28"/>
          <w:szCs w:val="28"/>
          <w:rtl w:val="true"/>
          <w:lang w:bidi="fa-IR"/>
        </w:rPr>
        <w:t>من تخصیصه بحال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الأول، لعموم دلیل الجواز، وعدم ما یصلح للتخصیص، غیر ما یستشعر من بعض الأسئلة من وقوع السؤال عن الجاریة تموت مع الرجل فی السفر، وهو مع عدم صراحته فی عدم وجود المماثل لا یخصّص عموم الجواب، ولا یقاوم عموم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یغسّل الصبیان النساء</w:t>
      </w:r>
      <w:r>
        <w:rPr>
          <w:rStyle w:val="FootnoteAnchor"/>
          <w:rtl w:val="true"/>
        </w:rPr>
        <w:footnoteReference w:id="1174"/>
      </w:r>
      <w:r>
        <w:rPr>
          <w:rFonts w:ascii="IRNazanin" w:hAnsi="IRNazanin" w:eastAsia="IRNazanin"/>
          <w:color w:val="111111"/>
          <w:sz w:val="28"/>
          <w:sz w:val="28"/>
          <w:szCs w:val="28"/>
          <w:rtl w:val="true"/>
          <w:lang w:bidi="fa-IR"/>
        </w:rPr>
        <w:t xml:space="preserve">، وغیر </w:t>
      </w:r>
      <w:r>
        <w:rPr>
          <w:rStyle w:val="FootnoteAnchor"/>
          <w:rtl w:val="true"/>
        </w:rPr>
        <w:footnoteReference w:id="1175"/>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امرأةإلا أن لا توجد امرأة</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 وهو غیر شامل لمفروض البحث من الصبیّ والصبیّة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یقید إطلاق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الصبیّ تغسله 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تغسل الصبیان النساء</w:t>
      </w:r>
      <w:r>
        <w:rPr>
          <w:rFonts w:eastAsia="IRNazanin" w:cs="IRNazanin"/>
          <w:color w:val="111111"/>
          <w:sz w:val="28"/>
          <w:szCs w:val="28"/>
          <w:rtl w:val="true"/>
          <w:lang w:bidi="fa-IR"/>
        </w:rPr>
        <w:t>»</w:t>
      </w:r>
      <w:r>
        <w:rPr>
          <w:rStyle w:val="FootnoteAnchor"/>
          <w:rtl w:val="true"/>
        </w:rPr>
        <w:footnoteReference w:id="11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مفهوم الخبر المتقدّم ، وهو مفهوم الغایة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 وإلا فمنطوق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مقیّداً بالثلاث ، إلا أنه غیر مقیّد لإطلاق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تغسّل الصبیان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لکونهما مثبتین ، مع کون الحکم من التکلیفات الإلزامیّة المحرز اتّحاده </w:t>
      </w:r>
    </w:p>
    <w:p>
      <w:pPr>
        <w:pStyle w:val="BookText"/>
        <w:rPr/>
      </w:pPr>
      <w:r>
        <w:rPr>
          <w:rFonts w:ascii="IRNazanin" w:hAnsi="IRNazanin" w:eastAsia="IRNazanin"/>
          <w:color w:val="111111"/>
          <w:sz w:val="28"/>
          <w:sz w:val="28"/>
          <w:szCs w:val="28"/>
          <w:rtl w:val="true"/>
          <w:lang w:bidi="fa-IR"/>
        </w:rPr>
        <w:t xml:space="preserve">فیهما ، حتی یوجب الحمل والتقیید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ضعفه بالإرسال مضطرب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ضعفه بالإرسال فیمکن جبره بکون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الفقیه</w:t>
      </w:r>
      <w:r>
        <w:rPr>
          <w:rStyle w:val="FootnoteAnchor"/>
          <w:rtl w:val="true"/>
        </w:rPr>
        <w:footnoteReference w:id="1179"/>
      </w:r>
      <w:r>
        <w:rPr>
          <w:rFonts w:ascii="IRNazanin" w:hAnsi="IRNazanin" w:eastAsia="IRNazanin"/>
          <w:color w:val="111111"/>
          <w:sz w:val="28"/>
          <w:sz w:val="28"/>
          <w:szCs w:val="28"/>
          <w:rtl w:val="true"/>
          <w:lang w:bidi="fa-IR"/>
        </w:rPr>
        <w:t>والوسائل</w:t>
      </w:r>
      <w:r>
        <w:rPr>
          <w:rStyle w:val="FootnoteAnchor"/>
          <w:rtl w:val="true"/>
        </w:rPr>
        <w:footnoteReference w:id="1180"/>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الصدوق محمد بن الحسن بن الولید، الذی هو من ثقات مشائخ القمییّن الذین لا یروون إلا عن ثقة، بل المعروفین بشدّة الاحتیاط وکثرة الطعن والقدح فیمن یروی عن غیر الثقة وإن کان هو ثقة، وبما فی الوسائل </w:t>
      </w:r>
      <w:r>
        <w:rPr>
          <w:rStyle w:val="FootnoteAnchor"/>
          <w:rtl w:val="true"/>
        </w:rPr>
        <w:footnoteReference w:id="1181"/>
      </w:r>
      <w:r>
        <w:rPr>
          <w:rFonts w:ascii="IRNazanin" w:hAnsi="IRNazanin" w:eastAsia="IRNazanin"/>
          <w:color w:val="111111"/>
          <w:sz w:val="28"/>
          <w:sz w:val="28"/>
          <w:szCs w:val="28"/>
          <w:rtl w:val="true"/>
          <w:lang w:bidi="fa-IR"/>
        </w:rPr>
        <w:t>والجواهر</w:t>
      </w:r>
      <w:r>
        <w:rPr>
          <w:rStyle w:val="FootnoteAnchor"/>
          <w:rtl w:val="true"/>
        </w:rPr>
        <w:footnoteReference w:id="1182"/>
      </w:r>
      <w:r>
        <w:rPr>
          <w:rFonts w:ascii="IRNazanin" w:hAnsi="IRNazanin" w:eastAsia="IRNazanin"/>
          <w:color w:val="111111"/>
          <w:sz w:val="28"/>
          <w:sz w:val="28"/>
          <w:szCs w:val="28"/>
          <w:rtl w:val="true"/>
          <w:lang w:bidi="fa-IR"/>
        </w:rPr>
        <w:t>والبرهان</w:t>
      </w:r>
      <w:r>
        <w:rPr>
          <w:rStyle w:val="FootnoteAnchor"/>
          <w:rtl w:val="true"/>
        </w:rPr>
        <w:footnoteReference w:id="1183"/>
      </w:r>
      <w:r>
        <w:rPr>
          <w:rFonts w:ascii="IRNazanin" w:hAnsi="IRNazanin" w:eastAsia="IRNazanin"/>
          <w:color w:val="111111"/>
          <w:sz w:val="28"/>
          <w:sz w:val="28"/>
          <w:szCs w:val="28"/>
          <w:rtl w:val="true"/>
          <w:lang w:bidi="fa-IR"/>
        </w:rPr>
        <w:t>من روایتهم تلک الروایة عن الذکری</w:t>
      </w:r>
      <w:r>
        <w:rPr>
          <w:rStyle w:val="FootnoteAnchor"/>
          <w:rtl w:val="true"/>
        </w:rPr>
        <w:footnoteReference w:id="1184"/>
      </w:r>
      <w:r>
        <w:rPr>
          <w:rFonts w:ascii="IRNazanin" w:hAnsi="IRNazanin" w:eastAsia="IRNazanin"/>
          <w:color w:val="111111"/>
          <w:sz w:val="28"/>
          <w:sz w:val="28"/>
          <w:szCs w:val="28"/>
          <w:rtl w:val="true"/>
          <w:lang w:bidi="fa-IR"/>
        </w:rPr>
        <w:t xml:space="preserve">وعن ابن طاووس ، وعن الصدوق فی کتاب مدینة العلم، مسنداً عن الحلبی عن الصادق علیه السلام فی الجاریة تموت مع الرجل فی السفر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ابنة أکثر من خمس سنین أو ستّ دفنت ولم تغسل، وإن کانت بنت أقلّ من خمس سنین غسلت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اضطراب متنه بما عن التهذیب فی الجاریة تموت مع الرجال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بنت أقلّ من خمس سنین أو ست سنین دفنت ولم تغسل</w:t>
      </w:r>
      <w:r>
        <w:rPr>
          <w:rFonts w:eastAsia="IRNazanin" w:cs="IRNazanin"/>
          <w:color w:val="111111"/>
          <w:sz w:val="28"/>
          <w:szCs w:val="28"/>
          <w:rtl w:val="true"/>
          <w:lang w:bidi="fa-IR"/>
        </w:rPr>
        <w:t xml:space="preserve">»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إصلاحه بما عرفت عن التهذیب</w:t>
      </w:r>
      <w:r>
        <w:rPr>
          <w:rStyle w:val="FootnoteAnchor"/>
          <w:rtl w:val="true"/>
        </w:rPr>
        <w:footnoteReference w:id="1186"/>
      </w:r>
      <w:r>
        <w:rPr>
          <w:rFonts w:ascii="IRNazanin" w:hAnsi="IRNazanin" w:eastAsia="IRNazanin"/>
          <w:color w:val="111111"/>
          <w:sz w:val="28"/>
          <w:sz w:val="28"/>
          <w:szCs w:val="28"/>
          <w:rtl w:val="true"/>
          <w:lang w:bidi="fa-IR"/>
        </w:rPr>
        <w:t>أیضاً من تفسیره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مجرّدة عن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فی الوسائل</w:t>
      </w:r>
      <w:r>
        <w:rPr>
          <w:rStyle w:val="FootnoteAnchor"/>
          <w:rtl w:val="true"/>
        </w:rPr>
        <w:footnoteReference w:id="1187"/>
      </w:r>
      <w:r>
        <w:rPr>
          <w:rFonts w:ascii="IRNazanin" w:hAnsi="IRNazanin" w:eastAsia="IRNazanin"/>
          <w:color w:val="111111"/>
          <w:sz w:val="28"/>
          <w:sz w:val="28"/>
          <w:szCs w:val="28"/>
          <w:rtl w:val="true"/>
          <w:lang w:bidi="fa-IR"/>
        </w:rPr>
        <w:t xml:space="preserve">وغیره عن ابن طاووس من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وهم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هو معلوم من الخارج من أضبطیّة الفقیه ، مضافاً إلی موافقته لما عن مدینة العلم والذکری وابن طاووس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کلّ من التوجیهات یرتفع اضطراب 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الأول فلموافقته الفقیه فی الدلالّة علی مدّعاه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فلرجوعه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الثالث فلترجیح الفقیه علی التهذیب بالأضبطیّة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النظر فیما فی الریاض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الدلالة علیه دون الأول، وفی تعیینه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کلّه وإن ترجّح نسخة الفقیه وتعیّن، لکن دلالته علی المدّعی بالعموم القابل للتخصیص بما تقدّم من النصّ والإجماع المحدّدین سقوط اعتبار المماثلة بالثلاث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عمومات التغسیل وإطلاقاتها بعموم ما دلّ علی اعتبار المماثلة للمقام، إلا أن یمنع بکون الموضوع فی نصوصه الرجل والمرأة غیر الشاملین للصبیّ والصبیة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النصّ</w:t>
      </w:r>
      <w:r>
        <w:rPr>
          <w:rStyle w:val="FootnoteAnchor"/>
          <w:rtl w:val="true"/>
        </w:rPr>
        <w:footnoteReference w:id="1188"/>
      </w:r>
      <w:r>
        <w:rPr>
          <w:rFonts w:ascii="IRNazanin" w:hAnsi="IRNazanin" w:eastAsia="IRNazanin"/>
          <w:color w:val="111111"/>
          <w:sz w:val="28"/>
          <w:sz w:val="28"/>
          <w:szCs w:val="28"/>
          <w:rtl w:val="true"/>
          <w:lang w:bidi="fa-IR"/>
        </w:rPr>
        <w:t>والإجماع المحدّدین سقوط اعتبار المماثلة فیهما بالثلاث کافیان فی تخصیص عمومات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یقاوم الإجماع المحکیّ فی نهایة الأحکام المصرح بالجواز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احتمال ازدیاد سنّ الصینیّة عن الحدّ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المنع لذلک، بل واحتمال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بالأولیّ الأولی من الأجانب لا المحارم، أو المرادالولیّ ومَن یأذن له الولیّ، کما عن الصدوق مرسلاً عن أمیر المؤمنین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یغسل المیّت أولی الناس به ، أو مَن یأمره الولیّ بذلک</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علی المطلوب ولو فی الجملة أدلّ منه علی خلافه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تشخیص أن تحدید جواز تغسیل غیر المماثل الصبیّ </w:t>
      </w:r>
    </w:p>
    <w:p>
      <w:pPr>
        <w:pStyle w:val="BookText"/>
        <w:rPr/>
      </w:pPr>
      <w:r>
        <w:rPr>
          <w:rFonts w:ascii="IRNazanin" w:hAnsi="IRNazanin" w:eastAsia="IRNazanin"/>
          <w:color w:val="111111"/>
          <w:sz w:val="28"/>
          <w:sz w:val="28"/>
          <w:szCs w:val="28"/>
          <w:rtl w:val="true"/>
          <w:lang w:bidi="fa-IR"/>
        </w:rPr>
        <w:t xml:space="preserve">والصبیّة إلی ثلاث سنین فی النصّ </w:t>
      </w:r>
      <w:r>
        <w:rPr>
          <w:rStyle w:val="FootnoteAnchor"/>
          <w:rtl w:val="true"/>
        </w:rPr>
        <w:footnoteReference w:id="1190"/>
      </w:r>
      <w:r>
        <w:rPr>
          <w:rFonts w:ascii="IRNazanin" w:hAnsi="IRNazanin" w:eastAsia="IRNazanin"/>
          <w:color w:val="111111"/>
          <w:sz w:val="28"/>
          <w:sz w:val="28"/>
          <w:szCs w:val="28"/>
          <w:rtl w:val="true"/>
          <w:lang w:bidi="fa-IR"/>
        </w:rPr>
        <w:t>والفتوی هل یراد به کون الثلاث سنین هو منتهی جواز التغسیل وزمانه ، لیجب إیقاع التغسیل قبل تمامها بحیث یتمّ بتامها ، أو منتهی عمر المغسول وبیانه ، لیجوز إیقاعه بعد إکمالها حین الموت؟ و 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جامع المقاصد </w:t>
      </w:r>
      <w:r>
        <w:rPr>
          <w:rStyle w:val="FootnoteAnchor"/>
          <w:rtl w:val="true"/>
        </w:rPr>
        <w:footnoteReference w:id="1191"/>
      </w:r>
      <w:r>
        <w:rPr>
          <w:rFonts w:ascii="IRNazanin" w:hAnsi="IRNazanin" w:eastAsia="IRNazanin"/>
          <w:color w:val="111111"/>
          <w:sz w:val="28"/>
          <w:sz w:val="28"/>
          <w:szCs w:val="28"/>
          <w:rtl w:val="true"/>
          <w:lang w:bidi="fa-IR"/>
        </w:rPr>
        <w:t>التصریح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الأظهر وفاقاً للبرهان</w:t>
      </w:r>
      <w:r>
        <w:rPr>
          <w:rStyle w:val="FootnoteAnchor"/>
          <w:rtl w:val="true"/>
        </w:rPr>
        <w:footnoteReference w:id="1192"/>
      </w:r>
      <w:r>
        <w:rPr>
          <w:rFonts w:ascii="IRNazanin" w:hAnsi="IRNazanin" w:eastAsia="IRNazanin"/>
          <w:color w:val="111111"/>
          <w:sz w:val="28"/>
          <w:sz w:val="28"/>
          <w:szCs w:val="28"/>
          <w:rtl w:val="true"/>
          <w:lang w:bidi="fa-IR"/>
        </w:rPr>
        <w:t>والجواهر</w:t>
      </w:r>
      <w:r>
        <w:rPr>
          <w:rStyle w:val="FootnoteAnchor"/>
          <w:rtl w:val="true"/>
        </w:rPr>
        <w:footnoteReference w:id="1193"/>
      </w:r>
      <w:r>
        <w:rPr>
          <w:rFonts w:ascii="IRNazanin" w:hAnsi="IRNazanin" w:eastAsia="IRNazanin"/>
          <w:color w:val="111111"/>
          <w:sz w:val="28"/>
          <w:sz w:val="28"/>
          <w:szCs w:val="28"/>
          <w:rtl w:val="true"/>
          <w:lang w:bidi="fa-IR"/>
        </w:rPr>
        <w:t>هو الثانی ، کما یفصح عنه تعبیر الخبر المتقدّم</w:t>
      </w:r>
      <w:r>
        <w:rPr>
          <w:rStyle w:val="FootnoteAnchor"/>
          <w:rtl w:val="true"/>
        </w:rPr>
        <w:footnoteReference w:id="1194"/>
      </w:r>
      <w:r>
        <w:rPr>
          <w:rFonts w:ascii="IRNazanin" w:hAnsi="IRNazanin" w:eastAsia="IRNazanin"/>
          <w:color w:val="111111"/>
          <w:sz w:val="28"/>
          <w:sz w:val="28"/>
          <w:szCs w:val="28"/>
          <w:rtl w:val="true"/>
          <w:lang w:bidi="fa-IR"/>
        </w:rPr>
        <w:t>عنه ببنت خمس سنین أو أقلّ، وتعبیر المحدّثین عن المسألة بباب جواز تغسیل المرأة أبن ثلاث سنین والرجل بنت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ظهور سیاق بعضها باتّحاد حکم الزوجة والمحارم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استعمال الأمر فی حقیقته وهو الوجوب بالنسبة إلی سائر المحارم، ومجازه وهو الندب بالنسبة إلی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مضافةاً إلی أن حمل المطلق علی المقیّد لا یتجه فی الخبرین </w:t>
      </w:r>
      <w:r>
        <w:rPr>
          <w:rStyle w:val="FootnoteAnchor"/>
          <w:rtl w:val="true"/>
        </w:rPr>
        <w:footnoteReference w:id="1195"/>
      </w:r>
      <w:r>
        <w:rPr>
          <w:rFonts w:ascii="IRNazanin" w:hAnsi="IRNazanin" w:eastAsia="IRNazanin"/>
          <w:color w:val="111111"/>
          <w:sz w:val="28"/>
          <w:sz w:val="28"/>
          <w:szCs w:val="28"/>
          <w:rtl w:val="true"/>
          <w:lang w:bidi="fa-IR"/>
        </w:rPr>
        <w:t xml:space="preserve">المتقدمین، لصراحتهما فی الإطلاق، بخلاف حمل المقیّد بوراء الثیاب علی الاستحباب ، فإنه متجّه جدّاً، إلا أن یوهن بمخالفة الشهرة ، ولکنّه مبنیّ أولا علی تحقّقها ، و ثانیاًعلی عدم الاطّلاع بضعف مدرکها ، وکلاهما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الأول أولی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التخصیص بصورة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أولویته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موافقته </w:t>
      </w:r>
    </w:p>
    <w:p>
      <w:pPr>
        <w:pStyle w:val="BookText"/>
        <w:rPr/>
      </w:pPr>
      <w:r>
        <w:rPr>
          <w:rFonts w:ascii="IRNazanin" w:hAnsi="IRNazanin" w:eastAsia="IRNazanin"/>
          <w:color w:val="111111"/>
          <w:sz w:val="28"/>
          <w:sz w:val="28"/>
          <w:szCs w:val="28"/>
          <w:rtl w:val="true"/>
          <w:lang w:bidi="fa-IR"/>
        </w:rPr>
        <w:t xml:space="preserve">للاحتیاط ، ولحمل إطلاق الصحیح </w:t>
      </w:r>
      <w:r>
        <w:rPr>
          <w:rStyle w:val="FootnoteAnchor"/>
          <w:rtl w:val="true"/>
        </w:rPr>
        <w:footnoteReference w:id="1196"/>
      </w:r>
      <w:r>
        <w:rPr>
          <w:rFonts w:ascii="IRNazanin" w:hAnsi="IRNazanin" w:eastAsia="IRNazanin"/>
          <w:color w:val="111111"/>
          <w:sz w:val="28"/>
          <w:sz w:val="28"/>
          <w:szCs w:val="28"/>
          <w:rtl w:val="true"/>
          <w:lang w:bidi="fa-IR"/>
        </w:rPr>
        <w:t>المتقدّم علی سائر النصوص المقیّدة بصورة الاضطرار ، کما هو القاعدة فی الجمع بین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إشعار سیاق ذکر المحارم مع الزوجین قاضیاً باتّحادهما فی الحکمین ، وانتفاء الفرق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لقصور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قصور سنده فلاشتماله علیّ القاسم بن محمد الجوهری عن علیّ بن أبی حمزة البطائنی ، وکلاهما واقفیّان مضعّفان، وإن و ثّقهما بعض </w:t>
      </w:r>
      <w:r>
        <w:rPr>
          <w:rStyle w:val="FootnoteAnchor"/>
          <w:rtl w:val="true"/>
        </w:rPr>
        <w:footnoteReference w:id="1197"/>
      </w:r>
      <w:r>
        <w:rPr>
          <w:rFonts w:ascii="IRNazanin" w:hAnsi="IRNazanin" w:eastAsia="IRNazanin"/>
          <w:color w:val="111111"/>
          <w:sz w:val="28"/>
          <w:sz w:val="28"/>
          <w:szCs w:val="28"/>
          <w:rtl w:val="true"/>
          <w:lang w:bidi="fa-IR"/>
        </w:rPr>
        <w:t>بما 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قصور دلالته فبما عن الذکری </w:t>
      </w:r>
      <w:r>
        <w:rPr>
          <w:rStyle w:val="FootnoteAnchor"/>
          <w:rtl w:val="true"/>
        </w:rPr>
        <w:footnoteReference w:id="1198"/>
      </w:r>
      <w:r>
        <w:rPr>
          <w:rFonts w:ascii="IRNazanin" w:hAnsi="IRNazanin" w:eastAsia="IRNazanin"/>
          <w:color w:val="111111"/>
          <w:sz w:val="28"/>
          <w:sz w:val="28"/>
          <w:szCs w:val="28"/>
          <w:rtl w:val="true"/>
          <w:lang w:bidi="fa-IR"/>
        </w:rPr>
        <w:t>من عدم دلالة تلک الأخبار</w:t>
      </w:r>
      <w:r>
        <w:rPr>
          <w:rStyle w:val="FootnoteAnchor"/>
          <w:rtl w:val="true"/>
        </w:rPr>
        <w:footnoteReference w:id="1199"/>
      </w:r>
      <w:r>
        <w:rPr>
          <w:rFonts w:ascii="IRNazanin" w:hAnsi="IRNazanin" w:eastAsia="IRNazanin"/>
          <w:color w:val="111111"/>
          <w:sz w:val="28"/>
          <w:sz w:val="28"/>
          <w:szCs w:val="28"/>
          <w:rtl w:val="true"/>
          <w:lang w:bidi="fa-IR"/>
        </w:rPr>
        <w:t>علی اشتراط الضرورة، بل تحمل علی الندب أو الغالب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أغلبیّة حضور المحارم الموت من حضور الأجانب، أو أغلبیّة تطوّعهم التغسیل من تطوع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کون التقیید فی أکثرها فی مورد السؤال الذی لا یخصّص الجواب ، وعموم تعلیل الجواز فی جملة ممّا تقیّد فیه السؤال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إنما یمنعه أهلها تعصّباً</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وبقوله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أهل المرأة کراهة نظر الزوج إلی</w:t>
      </w:r>
    </w:p>
    <w:p>
      <w:pPr>
        <w:pStyle w:val="BookText"/>
        <w:rPr/>
      </w:pPr>
      <w:r>
        <w:rPr>
          <w:rFonts w:ascii="IRNazanin" w:hAnsi="IRNazanin" w:eastAsia="IRNazanin"/>
          <w:color w:val="111111"/>
          <w:sz w:val="28"/>
          <w:sz w:val="28"/>
          <w:szCs w:val="28"/>
          <w:rtl w:val="true"/>
          <w:lang w:bidi="fa-IR"/>
        </w:rPr>
        <w:t>شیء یکرهونه</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یشعران</w:t>
      </w:r>
      <w:r>
        <w:rPr>
          <w:rStyle w:val="FootnoteAnchor"/>
          <w:rtl w:val="true"/>
        </w:rPr>
        <w:footnoteReference w:id="120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قوّة إشعارهما به أو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إشعارهما به فهو استناد جواز تغسیل المیّت إلی إمرأته أو ذات محرمه ، واستناد صبّ </w:t>
      </w:r>
    </w:p>
    <w:p>
      <w:pPr>
        <w:pStyle w:val="BookText"/>
        <w:rPr/>
      </w:pPr>
      <w:r>
        <w:rPr>
          <w:rFonts w:ascii="IRNazanin" w:hAnsi="IRNazanin" w:eastAsia="IRNazanin"/>
          <w:color w:val="111111"/>
          <w:sz w:val="28"/>
          <w:sz w:val="28"/>
          <w:szCs w:val="28"/>
          <w:rtl w:val="true"/>
          <w:lang w:bidi="fa-IR"/>
        </w:rPr>
        <w:t>الماء علیه من وراء الثیاب إلی النساء المشعر عمومه ومغایرة لفظه للفظ المرأة وذات المحرم المتقدّمین بالمغایرة بینهما معنی من حیث المحرمة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ضعف الإشعارین فأصالة اتّحاد المعنیین ، وعدم تغایرهما فی البین بمجرّد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أصالة العهد الذکری وغلبته فی المحلی باللام المسبوق بمنکّر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یصنع بالحلال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بفتح الحاء المهملة کالجواد صفة مشبهّة بمعنی الخارج عن الإحرام، وهو القیاس ، لا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عری عن الضبط إلا أنه قال فی دیباجة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کلمة عزیتها عن الضبط فإنها بالفتح ، إلا ما اشتهر بخلافه</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بالأبواء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أوله وسکون ثانیه والمدّ أخیراً، مکان بین الحرمین علی المدینة نحواً من ثلاثین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أنه مولد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قبّة آمنة أمّ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لنبوّء السیل ونزوله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تقییدهما بالرضویّ</w:t>
      </w:r>
      <w:r>
        <w:rPr>
          <w:rStyle w:val="FootnoteAnchor"/>
          <w:rtl w:val="true"/>
        </w:rPr>
        <w:footnoteReference w:id="1204"/>
      </w:r>
      <w:r>
        <w:rPr>
          <w:rFonts w:ascii="IRNazanin" w:hAnsi="IRNazanin" w:eastAsia="IRNazanin"/>
          <w:color w:val="111111"/>
          <w:sz w:val="28"/>
          <w:sz w:val="28"/>
          <w:szCs w:val="28"/>
          <w:rtl w:val="true"/>
          <w:lang w:bidi="fa-IR"/>
        </w:rPr>
        <w:t>، أولی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المشهور مبنیّ علی عدم ورود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الرضوی بین خارج القبر وداخله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الغالب ، وهو غلبة میسوّریة غسل الکفن فی خارج القبر وقرضه فی داخله، وغلبة معسوّریة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ما أظنّه من ورود القید والتفصیل المذکور مورد الغالب فلا یتعیّن القرض فی داخل القبر </w:t>
      </w:r>
    </w:p>
    <w:p>
      <w:pPr>
        <w:pStyle w:val="BookText"/>
        <w:rPr/>
      </w:pPr>
      <w:r>
        <w:rPr>
          <w:rFonts w:ascii="IRNazanin" w:hAnsi="IRNazanin" w:eastAsia="IRNazanin"/>
          <w:color w:val="111111"/>
          <w:sz w:val="28"/>
          <w:sz w:val="28"/>
          <w:szCs w:val="28"/>
          <w:rtl w:val="true"/>
          <w:lang w:bidi="fa-IR"/>
        </w:rPr>
        <w:t xml:space="preserve">لو تیسر الغسل فیه ، وفاقاً للشیخ </w:t>
      </w:r>
      <w:r>
        <w:rPr>
          <w:rStyle w:val="FootnoteAnchor"/>
          <w:rtl w:val="true"/>
        </w:rPr>
        <w:footnoteReference w:id="1205"/>
      </w:r>
      <w:r>
        <w:rPr>
          <w:rFonts w:ascii="IRNazanin" w:hAnsi="IRNazanin" w:eastAsia="IRNazanin"/>
          <w:color w:val="111111"/>
          <w:sz w:val="28"/>
          <w:sz w:val="28"/>
          <w:szCs w:val="28"/>
          <w:rtl w:val="true"/>
          <w:lang w:bidi="fa-IR"/>
        </w:rPr>
        <w:t>وبنی حمزة</w:t>
      </w:r>
      <w:r>
        <w:rPr>
          <w:rStyle w:val="FootnoteAnchor"/>
          <w:rtl w:val="true"/>
        </w:rPr>
        <w:footnoteReference w:id="1206"/>
      </w:r>
      <w:r>
        <w:rPr>
          <w:rFonts w:ascii="Amiri" w:hAnsi="Amiri" w:eastAsia="Amiri" w:cs="Amiri"/>
          <w:color w:val="111111"/>
          <w:sz w:val="28"/>
          <w:sz w:val="28"/>
          <w:szCs w:val="28"/>
          <w:rtl w:val="true"/>
          <w:lang w:bidi="ar-SA"/>
        </w:rPr>
        <w:t>والبرّاج</w:t>
      </w:r>
      <w:r>
        <w:rPr>
          <w:rStyle w:val="FootnoteAnchor"/>
          <w:rtl w:val="true"/>
        </w:rPr>
        <w:footnoteReference w:id="1207"/>
      </w:r>
      <w:r>
        <w:rPr>
          <w:rFonts w:ascii="IRNazanin" w:hAnsi="IRNazanin" w:eastAsia="IRNazanin"/>
          <w:color w:val="111111"/>
          <w:sz w:val="28"/>
          <w:sz w:val="28"/>
          <w:szCs w:val="28"/>
          <w:rtl w:val="true"/>
          <w:lang w:bidi="fa-IR"/>
        </w:rPr>
        <w:t>وسعید</w:t>
      </w:r>
      <w:r>
        <w:rPr>
          <w:rStyle w:val="FootnoteAnchor"/>
          <w:rtl w:val="true"/>
        </w:rPr>
        <w:footnoteReference w:id="1208"/>
      </w:r>
      <w:r>
        <w:rPr>
          <w:rFonts w:ascii="IRNazanin" w:hAnsi="IRNazanin" w:eastAsia="IRNazanin"/>
          <w:color w:val="111111"/>
          <w:sz w:val="28"/>
          <w:sz w:val="28"/>
          <w:szCs w:val="28"/>
          <w:rtl w:val="true"/>
          <w:lang w:bidi="fa-IR"/>
        </w:rPr>
        <w:t xml:space="preserve">، بل ولا یتعیّن الغسل فی خارجه لو تیسّر القرض فیه ، لکن لا لمجرّد إطلاق القرض فی الحسنین </w:t>
      </w:r>
      <w:r>
        <w:rPr>
          <w:rStyle w:val="FootnoteAnchor"/>
          <w:rtl w:val="true"/>
        </w:rPr>
        <w:footnoteReference w:id="1209"/>
      </w:r>
      <w:r>
        <w:rPr>
          <w:rFonts w:ascii="IRNazanin" w:hAnsi="IRNazanin" w:eastAsia="IRNazanin"/>
          <w:color w:val="111111"/>
          <w:sz w:val="28"/>
          <w:sz w:val="28"/>
          <w:szCs w:val="28"/>
          <w:rtl w:val="true"/>
          <w:lang w:bidi="fa-IR"/>
        </w:rPr>
        <w:t>حتی یعارض بإطلاق الغسل فی الموثّقات، وباحتمال ورود الإطلاق کالتقیید مورد الغالب أیضاً ، بل لاتّحاد کلّ من القرض والغسل فی تحصیل ما هو واجب توصّلی،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الکفن عن خبث النجاسة کیفما اتّفق ، وعدم دلیل ولا مخصّص علی التعیین حتی یتعیّن ، وعدم کون تطهّر الکفن عن الخبث کالتطهّر عن الحدث من التعبّدیّات حتی یتوقّف فی مشکوک التعیین باحتیاط التعیین ، مضافاً إلی أن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البرهان</w:t>
      </w:r>
      <w:r>
        <w:rPr>
          <w:rStyle w:val="FootnoteAnchor"/>
          <w:rtl w:val="true"/>
        </w:rPr>
        <w:footnoteReference w:id="1210"/>
      </w:r>
      <w:r>
        <w:rPr>
          <w:rFonts w:ascii="IRNazanin" w:hAnsi="IRNazanin" w:eastAsia="IRNazanin"/>
          <w:color w:val="111111"/>
          <w:sz w:val="28"/>
          <w:sz w:val="28"/>
          <w:szCs w:val="28"/>
          <w:rtl w:val="true"/>
          <w:lang w:bidi="fa-IR"/>
        </w:rPr>
        <w:t>من الاستدلال علی تعیین الغسل خارج القبر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الکفن بدرج المیّت فیه یدخل فی الأعیان المبذولة لوجه الله کالفرش للمسجد ، والباذل کالأجنبیّ یحرم التصرّف فیه بغیر الوجه المخصوص ، فضلاً عن إتلاف بعضه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أما عن القیاس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إطلاق الحکم فی المقیس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فالقیاس باطل عندنا، مضافة إلی کونه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قرض الکفن حیثما جاز إنما هو فیما إذا لم یخل بهیئة الکفن، وإلا لم یجز قطعاً حتی فی داخل القبر فضلاً عن خارجه، کما نقله</w:t>
      </w:r>
      <w:r>
        <w:rPr>
          <w:rStyle w:val="FootnoteAnchor"/>
          <w:rtl w:val="true"/>
        </w:rPr>
        <w:footnoteReference w:id="1211"/>
      </w:r>
      <w:r>
        <w:rPr>
          <w:rFonts w:ascii="IRNazanin" w:hAnsi="IRNazanin" w:eastAsia="IRNazanin"/>
          <w:color w:val="111111"/>
          <w:sz w:val="28"/>
          <w:sz w:val="28"/>
          <w:szCs w:val="28"/>
          <w:rtl w:val="true"/>
          <w:lang w:bidi="fa-IR"/>
        </w:rPr>
        <w:t xml:space="preserve">هو عن صریح جامع </w:t>
      </w:r>
    </w:p>
    <w:p>
      <w:pPr>
        <w:pStyle w:val="BookText"/>
        <w:rPr/>
      </w:pPr>
      <w:r>
        <w:rPr>
          <w:rFonts w:ascii="IRNazanin" w:hAnsi="IRNazanin" w:eastAsia="IRNazanin"/>
          <w:color w:val="111111"/>
          <w:sz w:val="28"/>
          <w:sz w:val="28"/>
          <w:szCs w:val="28"/>
          <w:rtl w:val="true"/>
          <w:lang w:bidi="fa-IR"/>
        </w:rPr>
        <w:t>المقاصد</w:t>
      </w:r>
      <w:r>
        <w:rPr>
          <w:rStyle w:val="FootnoteAnchor"/>
          <w:rtl w:val="true"/>
        </w:rPr>
        <w:footnoteReference w:id="1212"/>
      </w:r>
      <w:r>
        <w:rPr>
          <w:rFonts w:ascii="IRNazanin" w:hAnsi="IRNazanin" w:eastAsia="IRNazanin"/>
          <w:color w:val="111111"/>
          <w:sz w:val="28"/>
          <w:sz w:val="28"/>
          <w:szCs w:val="28"/>
          <w:rtl w:val="true"/>
          <w:lang w:bidi="fa-IR"/>
        </w:rPr>
        <w:t xml:space="preserve">والروض </w:t>
      </w:r>
      <w:r>
        <w:rPr>
          <w:rStyle w:val="FootnoteAnchor"/>
          <w:rtl w:val="true"/>
        </w:rPr>
        <w:footnoteReference w:id="1213"/>
      </w:r>
      <w:r>
        <w:rPr>
          <w:rFonts w:ascii="IRNazanin" w:hAnsi="IRNazanin" w:eastAsia="IRNazanin"/>
          <w:color w:val="111111"/>
          <w:sz w:val="28"/>
          <w:sz w:val="28"/>
          <w:szCs w:val="28"/>
          <w:rtl w:val="true"/>
          <w:lang w:bidi="fa-IR"/>
        </w:rPr>
        <w:t>والذکری</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وأما عن کون القرض من الإتلاف المحرم فبمنع إطلاقه نقضاً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کذلک لما جاز فی داخل القبر أیضاً إلا لضرورة، لعدم تخصیص عمومات حرمة التبذیر بغیر الضرورة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أن قرض الکفن حیثما جاز إنما هو إذا لم یخلّ بهیئته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 المسألة فهو أن النجاسة الطارئة علی المیّت إما علی کفنه، أو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قبل الوضع فی القبر، أو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قبل التکفین ، أو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الأقوال فی تطهیر الکفن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المشهور من تفصیل الماتن بین خارج القبر فیتعین الغسل مطلقا، وداخله فالقرض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اخترناه من عدم تعیین أحدهما مطلقا إلا فیما تعسّر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w:t>
      </w:r>
      <w:r>
        <w:rPr>
          <w:rStyle w:val="FootnoteAnchor"/>
          <w:rtl w:val="true"/>
        </w:rPr>
        <w:footnoteReference w:id="1215"/>
      </w:r>
      <w:r>
        <w:rPr>
          <w:rFonts w:ascii="IRNazanin" w:hAnsi="IRNazanin" w:eastAsia="IRNazanin"/>
          <w:color w:val="111111"/>
          <w:sz w:val="28"/>
          <w:sz w:val="28"/>
          <w:szCs w:val="28"/>
          <w:rtl w:val="true"/>
          <w:lang w:bidi="fa-IR"/>
        </w:rPr>
        <w:t>من التفصیل بین خارج القبر فلا یتعین علیه شیء</w:t>
      </w:r>
    </w:p>
    <w:p>
      <w:pPr>
        <w:pStyle w:val="BookText"/>
        <w:rPr/>
      </w:pPr>
      <w:r>
        <w:rPr>
          <w:rFonts w:ascii="IRNazanin" w:hAnsi="IRNazanin" w:eastAsia="IRNazanin"/>
          <w:color w:val="111111"/>
          <w:sz w:val="28"/>
          <w:sz w:val="28"/>
          <w:szCs w:val="28"/>
          <w:rtl w:val="true"/>
          <w:lang w:bidi="fa-IR"/>
        </w:rPr>
        <w:t>منهما، وداخله فیتعین القرض ، إلا إذا تعسر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بیان وجوه الأقوال ووجیهها فقد تقدم ضمناً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محلّ النزاع فی تعیین القرض ففیما لم یتعسّر القرض، ولم یتلوّث من الکفن ما یخلّ قرضه بهیئته ، وإلا لم یقرض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القرض حیثما وقع إن أمکن جمع محلّه بالخیاطة فعل ، وإلا مدّ أحد الثوبین علی الآخر لیستر محلّه ، کما صرّح به الرضوی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أقوال تطهیر الکفن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تطهیر البدن فیتعیّن فیه الغسل مطلقا، کما یستفاد من نصوص </w:t>
      </w:r>
      <w:r>
        <w:rPr>
          <w:rStyle w:val="FootnoteAnchor"/>
          <w:rtl w:val="true"/>
        </w:rPr>
        <w:footnoteReference w:id="1216"/>
      </w:r>
      <w:r>
        <w:rPr>
          <w:rFonts w:ascii="IRNazanin" w:hAnsi="IRNazanin" w:eastAsia="IRNazanin"/>
          <w:color w:val="111111"/>
          <w:sz w:val="28"/>
          <w:sz w:val="28"/>
          <w:szCs w:val="28"/>
          <w:rtl w:val="true"/>
          <w:lang w:bidi="fa-IR"/>
        </w:rPr>
        <w:t>الباب وفتاوی الأصحاب ، خلافاً لما فی الریاض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وینبغی تقییده بما إذا کان الخروج قبل التکفین ، وأما بعده فلا یجب إجماعاً، لاستلزام الإعادة المشقة العظیمة، وعلیه فی المنتهی </w:t>
      </w:r>
      <w:r>
        <w:rPr>
          <w:rStyle w:val="FootnoteAnchor"/>
          <w:rtl w:val="true"/>
        </w:rPr>
        <w:footnoteReference w:id="1217"/>
      </w:r>
      <w:r>
        <w:rPr>
          <w:rFonts w:ascii="IRNazanin" w:hAnsi="IRNazanin" w:eastAsia="IRNazanin"/>
          <w:color w:val="111111"/>
          <w:sz w:val="28"/>
          <w:sz w:val="28"/>
          <w:szCs w:val="28"/>
          <w:rtl w:val="true"/>
          <w:lang w:bidi="fa-IR"/>
        </w:rPr>
        <w:t>إجماع أهل العلم کافّة</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وتنقل فی البرهان</w:t>
      </w:r>
      <w:r>
        <w:rPr>
          <w:rStyle w:val="FootnoteAnchor"/>
          <w:rtl w:val="true"/>
        </w:rPr>
        <w:footnoteReference w:id="1219"/>
      </w:r>
      <w:r>
        <w:rPr>
          <w:rFonts w:ascii="IRNazanin" w:hAnsi="IRNazanin" w:eastAsia="IRNazanin"/>
          <w:color w:val="111111"/>
          <w:sz w:val="28"/>
          <w:sz w:val="28"/>
          <w:szCs w:val="28"/>
          <w:rtl w:val="true"/>
          <w:lang w:bidi="fa-IR"/>
        </w:rPr>
        <w:t xml:space="preserve">عن الحدائق </w:t>
      </w:r>
      <w:r>
        <w:rPr>
          <w:rStyle w:val="FootnoteAnchor"/>
          <w:rtl w:val="true"/>
        </w:rPr>
        <w:footnoteReference w:id="1220"/>
      </w:r>
      <w:r>
        <w:rPr>
          <w:rFonts w:ascii="IRNazanin" w:hAnsi="IRNazanin" w:eastAsia="IRNazanin"/>
          <w:color w:val="111111"/>
          <w:sz w:val="28"/>
          <w:sz w:val="28"/>
          <w:szCs w:val="28"/>
          <w:rtl w:val="true"/>
          <w:lang w:bidi="fa-IR"/>
        </w:rPr>
        <w:t xml:space="preserve">استظهار الاغتفار من الأصحاب، وعن اللوامع صریح الاتفاق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إذ لم یعلم استلزامه المشقة مطلقا، ولا الاجماع بل ولا الشهرة علی الاغتفار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وجوب الغسل إلا إذا تعسر أو توقّف علی إخراج المیّت من القبر المستلزم للهتک ، کما هو المستفاد من نصوص الباب وظاهر فتاوی الأصحاب بل صریح بعضها، حسبما نقل تفصیلها البرهان بأبلغ وجه ، مَن شاء راجعه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قصوره</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المتقدّم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بدا من المیّت شیء بعد غسله فاغسل الذی بدا منه، ولا تعدّ الغسل</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موثّ لا ضعف فی شیء من رواته ، لأنه مرویّ فی الوسائل عن الشیخ بإسناده عن سعد بن عبدالله ، عن الحسن بن علی بن فضّال، عن غالب بن عثمان، عن روح بن عبدالرحیم ، عن الصادق علیه السلام، وجمیع أحاد هذه السلسلة ثقات سوی غالب بن عثمان، وهو وإن کان واقفیّاً إلا أنه موثّق أیضاً، بل روایة الحسن بن علی بن فضال عنه الذی هو من أصحاب </w:t>
      </w:r>
    </w:p>
    <w:p>
      <w:pPr>
        <w:pStyle w:val="BookText"/>
        <w:rPr/>
      </w:pPr>
      <w:r>
        <w:rPr>
          <w:rFonts w:ascii="IRNazanin" w:hAnsi="IRNazanin" w:eastAsia="IRNazanin"/>
          <w:color w:val="111111"/>
          <w:sz w:val="28"/>
          <w:sz w:val="28"/>
          <w:szCs w:val="28"/>
          <w:rtl w:val="true"/>
          <w:lang w:bidi="fa-IR"/>
        </w:rPr>
        <w:t>الإجماع کاف فی توثیقه وجعل الروایة فی حکم الصحیح فکیف یضعف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معنی هذا الخبر خبران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الکاهلی</w:t>
      </w:r>
      <w:r>
        <w:rPr>
          <w:rStyle w:val="FootnoteAnchor"/>
          <w:rtl w:val="true"/>
        </w:rPr>
        <w:footnoteReference w:id="1222"/>
      </w:r>
      <w:r>
        <w:rPr>
          <w:rFonts w:ascii="IRNazanin" w:hAnsi="IRNazanin" w:eastAsia="IRNazanin"/>
          <w:color w:val="111111"/>
          <w:sz w:val="28"/>
          <w:sz w:val="28"/>
          <w:szCs w:val="28"/>
          <w:rtl w:val="true"/>
          <w:lang w:bidi="fa-IR"/>
        </w:rPr>
        <w:t>، وهو أیضأ جمیع آحاد رواته ثقات سوی محمد بن سنان، وهو وإن طعن فیه بعض إلا أن الأصح توثیقه أیضاً وفاقاً لجماعة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مرسلة سهل </w:t>
      </w:r>
      <w:r>
        <w:rPr>
          <w:rStyle w:val="FootnoteAnchor"/>
          <w:rtl w:val="true"/>
        </w:rPr>
        <w:footnoteReference w:id="1224"/>
      </w:r>
      <w:r>
        <w:rPr>
          <w:rFonts w:ascii="IRNazanin" w:hAnsi="IRNazanin" w:eastAsia="IRNazanin"/>
          <w:color w:val="111111"/>
          <w:sz w:val="28"/>
          <w:sz w:val="28"/>
          <w:szCs w:val="28"/>
          <w:rtl w:val="true"/>
          <w:lang w:bidi="fa-IR"/>
        </w:rPr>
        <w:t>، وهو أیضا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القول بضعفه من جهة سهل أو من جهة إرساله فهو أیضاً مجبور بالشهرة والإجماع المنقول، فلا وجه لضعف سند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ضعف دلالته علی العموم بعد وجود المقیّد من النصوص</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والشهرة العظیمة، إلا علی احتمال ورود القید مورد الغالب حسبما قوّیناه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وجه لو قلنا به فی الجنابة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وجهه کون غسل المیّت کغسل الجنابة أو عینه فی النصوص </w:t>
      </w:r>
      <w:r>
        <w:rPr>
          <w:rStyle w:val="FootnoteAnchor"/>
          <w:rtl w:val="true"/>
        </w:rPr>
        <w:footnoteReference w:id="1226"/>
      </w:r>
      <w:r>
        <w:rPr>
          <w:rFonts w:ascii="IRNazanin" w:hAnsi="IRNazanin" w:eastAsia="IRNazanin"/>
          <w:color w:val="111111"/>
          <w:sz w:val="28"/>
          <w:sz w:val="28"/>
          <w:szCs w:val="28"/>
          <w:rtl w:val="true"/>
          <w:lang w:bidi="fa-IR"/>
        </w:rPr>
        <w:t xml:space="preserve">، والفتاوی کما هو ظاهر الشرح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تمامیّة الحکم فی المشبه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انصرافه إلی المقام، لظهوره فی الخارج من الحی المعلوم حدثینه ، دون المیّت غیر المعلوم حدثنیة الخارج منه وتأثیره الحدثیة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یتأکّد عدم اقتضائه الوضوء أیضاً، مضافاً إلی ظهور النصّ فیه أیضاً ، لعدم وجوب ما یشترط بالطهارة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 المقصود من تغسیله هو تطهیره وصیرورته طاهراً عند ملاقاة أهوال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علّة مستنبطة، لا منصوصة </w:t>
      </w:r>
    </w:p>
    <w:p>
      <w:pPr>
        <w:pStyle w:val="BookText"/>
        <w:rPr/>
      </w:pPr>
      <w:r>
        <w:rPr>
          <w:rFonts w:ascii="IRNazanin" w:hAnsi="IRNazanin" w:eastAsia="IRNazanin"/>
          <w:color w:val="111111"/>
          <w:sz w:val="28"/>
          <w:sz w:val="28"/>
          <w:szCs w:val="28"/>
          <w:rtl w:val="true"/>
          <w:lang w:bidi="fa-IR"/>
        </w:rPr>
        <w:t>حتی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وجهه تقیید عدم الإعادة فی المستفیضة</w:t>
      </w:r>
      <w:r>
        <w:rPr>
          <w:rStyle w:val="FootnoteAnchor"/>
          <w:rtl w:val="true"/>
        </w:rPr>
        <w:footnoteReference w:id="1227"/>
      </w:r>
      <w:r>
        <w:rPr>
          <w:rFonts w:ascii="IRNazanin" w:hAnsi="IRNazanin" w:eastAsia="IRNazanin"/>
          <w:color w:val="111111"/>
          <w:sz w:val="28"/>
          <w:sz w:val="28"/>
          <w:szCs w:val="28"/>
          <w:rtl w:val="true"/>
          <w:lang w:bidi="fa-IR"/>
        </w:rPr>
        <w:t xml:space="preserve">بالخارج بعد الغسل القاضی بمفهومه بالاعادة فی الأثناء، کما عن الجواهر </w:t>
      </w:r>
      <w:r>
        <w:rPr>
          <w:rStyle w:val="FootnoteAnchor"/>
          <w:rtl w:val="true"/>
        </w:rPr>
        <w:footnoteReference w:id="1228"/>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مع عدم تحقّق مفهوم معتبر له واقع فی أکثرها فی مفروض السؤال غیر المقیّد للحکم، سیّما علی وجه یصیر به للجواب مفهوم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الحکم هو غَسل النجاسة وعدم إعادة الغُسل، والمفهوم غیر مراد بالنسبة إلی الأول قطعاً، فهو قرینة عدم إرادته فی الثانی أیضاً ، وعلی فرض إرادته هو عدم الحرمة بموجب ظاهر اللفظ ، وهو أعمّ من الوجوب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معارضته بما هو الظاهر کالصریح فی عدم الإعادة بالخارج فی الأثناء، من نصّ مسح البطن قبل کلّ غسلة بذلک لیخرج ما فیه، خصوصاً قوله فی المرسل بعد الأمر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 منه شیء فانقه ثم اغسل</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مؤیّداً بإشعار غسل الفرج قبل کل غسلة بذلک أیضاً ، وعدم مکافئته له دلالة، لما عرفت من حال المفهوم، ولا سنداً، لاعتضاد الأخیر بالشهرة 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الاستدلال به لا یتمّ علی تقدیر کون خلافه فی الخارج بعد الأغسال ، بل منطوق المستفیضة المذکورة حینئذ صریح فی ردّه ، ولذا اعترف أکثر من تقل خلافه بأن لم یعرف له دلیل</w:t>
      </w:r>
      <w:r>
        <w:rPr>
          <w:rFonts w:eastAsia="IRNazanin" w:cs="IRNazanin"/>
          <w:color w:val="111111"/>
          <w:sz w:val="28"/>
          <w:szCs w:val="28"/>
          <w:rtl w:val="true"/>
          <w:lang w:bidi="fa-IR"/>
        </w:rPr>
        <w:t xml:space="preserve">. </w:t>
      </w:r>
      <w:bookmarkStart w:id="72" w:name="pg1905_24736"/>
    </w:p>
    <w:p>
      <w:pPr>
        <w:pStyle w:val="Heading3"/>
        <w:numPr>
          <w:ilvl w:val="2"/>
          <w:numId w:val="1"/>
        </w:numPr>
        <w:rPr/>
      </w:pPr>
      <w:bookmarkStart w:id="73" w:name="__RefHeading___Toc3268779_3650668749"/>
      <w:bookmarkStart w:id="74" w:name="_Toc27"/>
      <w:bookmarkEnd w:id="72"/>
      <w:bookmarkEnd w:id="73"/>
      <w:r>
        <w:rPr>
          <w:rtl w:val="true"/>
        </w:rPr>
        <w:t xml:space="preserve">السادس </w:t>
      </w:r>
      <w:r>
        <w:rPr>
          <w:rtl w:val="true"/>
        </w:rPr>
        <w:t xml:space="preserve">: </w:t>
      </w:r>
      <w:r>
        <w:rPr>
          <w:rtl w:val="true"/>
        </w:rPr>
        <w:t>غسل مس المیت</w:t>
      </w:r>
      <w:bookmarkEnd w:id="7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الغسل بمس الآدمی بعد برده و قبل تطهیره بالغسل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 أنه هل یجب الغسل بمسّ الآدمیّ کما هو الأشهر، أم یستحبّ کما عن المرتضی ؟ وعلی الوجوب هل یختصّ بما بعد البرد وقبل الغسل، أم بما بعد البرد مطلقا، أم بما قبل الغسل مطلقا، أم یعمّ الحالین مطلقا ؟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علی الاستحباب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فی التهذیبین</w:t>
      </w:r>
      <w:r>
        <w:rPr>
          <w:rStyle w:val="FootnoteAnchor"/>
          <w:rtl w:val="true"/>
        </w:rPr>
        <w:footnoteReference w:id="1230"/>
      </w:r>
      <w:r>
        <w:rPr>
          <w:rFonts w:ascii="IRNazanin" w:hAnsi="IRNazanin" w:eastAsia="IRNazanin"/>
          <w:color w:val="111111"/>
          <w:sz w:val="28"/>
          <w:sz w:val="28"/>
          <w:szCs w:val="28"/>
          <w:rtl w:val="true"/>
          <w:lang w:bidi="fa-IR"/>
        </w:rPr>
        <w:t xml:space="preserve">، إلا أن الأظهر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أنه غسل بالسدر وحده أو به وبالکافور ولم یغسل بالقراح، أو علی أن المیت غسل بدنه من النجاسات والوسخ ولم یغسل غسل الموت، أو علی أن غسل المسّ الواقع قبل غسل المیّت واجب وإن کان المیّت غسل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ویقوی هذا الاحتمال بتعداد الأغسال الواجبة بإجماع الأمّة فی الأغسال المسنونة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ویقویّه أیضاً تعداد</w:t>
      </w:r>
      <w:r>
        <w:rPr>
          <w:rStyle w:val="FootnoteAnchor"/>
          <w:rtl w:val="true"/>
        </w:rPr>
        <w:footnoteReference w:id="1231"/>
      </w:r>
      <w:r>
        <w:rPr>
          <w:rFonts w:ascii="IRNazanin" w:hAnsi="IRNazanin" w:eastAsia="IRNazanin"/>
          <w:color w:val="111111"/>
          <w:sz w:val="28"/>
          <w:sz w:val="28"/>
          <w:szCs w:val="28"/>
          <w:rtl w:val="true"/>
          <w:lang w:bidi="fa-IR"/>
        </w:rPr>
        <w:t xml:space="preserve">غسل المیّت من أقسام الفرض فی مرسلة یونس 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سبعة عشر موطناً، منها الفرض ثلاث،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الفرض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وغسل مَن مسّ میتاً، وغسل الإحرام</w:t>
      </w:r>
      <w:r>
        <w:rPr>
          <w:rFonts w:eastAsia="IRNazanin" w:cs="IRNazanin"/>
          <w:color w:val="111111"/>
          <w:sz w:val="28"/>
          <w:szCs w:val="28"/>
          <w:rtl w:val="true"/>
          <w:lang w:bidi="fa-IR"/>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القطع بعدم وجوب الغسل بمسّ الشهید ، کما عن المعتبر </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نقف علی مخالف فیه ، سوی ما عن الکشف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یمنع الطهارة خصوصاً فی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استلزامها سقوط الغسل بالمسّ مع کثرة الأخبار المطلقة</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تقدیره یمنع الطهارة من الخبثیّة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بکون المتبادر من وجوب الغسل بالمسّ قبل التغسیل ثبوته فیما له تغسیل ، وحینئذ فالشهید الذی لا یغسل إما ینفی وجوب الغسل بمسّه، فیکون کالمغسل من غیره طاهرة بلا تغسیل ، کما هو الظاهر من ارتفاع غسله، فهو المطلوب ، ویؤیّده خلوّ الآثار باغتسال أحد من الشهداء یوما، أو یجب دائماً ، فیکون بدنه أسوء حالاً من غیره، لاستلزام کونه ذا نجاسة لا تزول، وهو کالمقطوع بخلافه ، لأنه أشرف من غیره قطعاً ، کما یؤیّده عموم تشبیهه بالحیّ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الذین قتلوا فی سبیل الله أمواتاً بل أحیاء عند ربّهم یرزقون </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ملازمة سقوط الغسل عن الشهید لسقوطه عمّا مسّه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طهارته عن الحدث لعدم إیجاب مسّه الحدث، وإن نقل عن الکشف إمکان منع الملازمة، مع کثرة الأخبار المطلقة </w:t>
      </w:r>
      <w:r>
        <w:rPr>
          <w:rStyle w:val="FootnoteAnchor"/>
          <w:rtl w:val="true"/>
        </w:rPr>
        <w:footnoteReference w:id="1237"/>
      </w:r>
      <w:r>
        <w:rPr>
          <w:rFonts w:ascii="IRNazanin" w:hAnsi="IRNazanin" w:eastAsia="IRNazanin"/>
          <w:color w:val="111111"/>
          <w:sz w:val="28"/>
          <w:sz w:val="28"/>
          <w:szCs w:val="28"/>
          <w:rtl w:val="true"/>
          <w:lang w:bidi="fa-IR"/>
        </w:rPr>
        <w:t xml:space="preserve">کما یمنع من طهارته من الخبثیة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خروج المعصوم عن تحت عمومات </w:t>
      </w:r>
      <w:r>
        <w:rPr>
          <w:rStyle w:val="FootnoteAnchor"/>
          <w:rtl w:val="true"/>
        </w:rPr>
        <w:footnoteReference w:id="1238"/>
      </w:r>
      <w:r>
        <w:rPr>
          <w:rFonts w:ascii="IRNazanin" w:hAnsi="IRNazanin" w:eastAsia="IRNazanin"/>
          <w:color w:val="111111"/>
          <w:sz w:val="28"/>
          <w:sz w:val="28"/>
          <w:szCs w:val="28"/>
          <w:rtl w:val="true"/>
          <w:lang w:bidi="fa-IR"/>
        </w:rPr>
        <w:t>وجوب الغسل بمسّه ، وإن نصّ علیه الروضة</w:t>
      </w:r>
      <w:r>
        <w:rPr>
          <w:rStyle w:val="FootnoteAnchor"/>
          <w:rtl w:val="true"/>
        </w:rPr>
        <w:footnoteReference w:id="1239"/>
      </w:r>
      <w:r>
        <w:rPr>
          <w:rFonts w:ascii="IRNazanin" w:hAnsi="IRNazanin" w:eastAsia="IRNazanin"/>
          <w:color w:val="111111"/>
          <w:sz w:val="28"/>
          <w:sz w:val="28"/>
          <w:szCs w:val="28"/>
          <w:rtl w:val="true"/>
          <w:lang w:bidi="fa-IR"/>
        </w:rPr>
        <w:t xml:space="preserve">وغیره، إلا أن دلیلهم ملازمة طهارته من الخبث الطهارة ماسّه من الحدث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عدم الغسل منه بالفتح لعدم الغسل منه بالضم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وهی فی حیز المنع جدّاً ، کما صرح به البرهان</w:t>
      </w:r>
      <w:r>
        <w:rPr>
          <w:rStyle w:val="FootnoteAnchor"/>
          <w:rtl w:val="true"/>
        </w:rPr>
        <w:footnoteReference w:id="1240"/>
      </w:r>
      <w:r>
        <w:rPr>
          <w:rFonts w:ascii="IRNazanin" w:hAnsi="IRNazanin" w:eastAsia="IRNazanin"/>
          <w:color w:val="111111"/>
          <w:sz w:val="28"/>
          <w:sz w:val="28"/>
          <w:szCs w:val="28"/>
          <w:rtl w:val="true"/>
          <w:lang w:bidi="fa-IR"/>
        </w:rPr>
        <w:t>أیضاً ، وإلا لاستلزم طهارة ماسّه من خبث الموت لطهارة نفسه من حدث الموت، وسقوط وجوب تغسیله بالموت أیضا ، بل استلزم طهارته من سائر الأخباث کالدم والبول، بل ومن سائر الأحداث الجنابة أیضاً ، وهو خلاف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ویمکن منع الملزوم أیضاً ، وهو طهارة ماسّه من خبث الموت وسقوط الغسل بالفتح عن ماسّه ، بصرف نصوص أنّه علیه السلام طاهر مطهّر بعد الموت عن سقوط تغسیل غاسله إلی</w:t>
      </w:r>
    </w:p>
    <w:p>
      <w:pPr>
        <w:pStyle w:val="BookText"/>
        <w:rPr/>
      </w:pPr>
      <w:r>
        <w:rPr>
          <w:rFonts w:ascii="IRNazanin" w:hAnsi="IRNazanin" w:eastAsia="IRNazanin"/>
          <w:color w:val="111111"/>
          <w:sz w:val="28"/>
          <w:sz w:val="28"/>
          <w:szCs w:val="28"/>
          <w:rtl w:val="true"/>
          <w:lang w:bidi="fa-IR"/>
        </w:rPr>
        <w:t xml:space="preserve">طهارته عن دنس الخطایا والذنوب وذلّ المناقص والعیوب، فتغسیلهم للخبث وعن الحدث لا لرفع القذارة والخبث کما فی سائر الناس ، وإلا لاستلزم المنقصة المنافیة لرتبة الامام عقلاً و نقلاً، بل لمجرّد إجراء السنّة السنیّة ، ومصلحة تسهیل طریقة العبودیة ، ونحوها من الحکم الخفیّة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یجاب سؤال السائلین عن نجاسة دم الإمام، بأنه إن أرید من نجاسته القذارة والخباثة الموجبة لرفعه فی سائر الناس فکلّا وحاشا، لاستلزامه المنقصة المنافیة لرتبة الامام 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بها مجرّد وجوب الغسل والإزالة تعبّداً المصلحة من مصالح العبودّیة وإجراء السنّة السنیّة بالسویّة فنعم، لضرورة اتّحادهم علیه السلام ومشارکتهم مع الناس فی الغسل والغسل ورفع الأخبات والأحداث بالضرورة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خروج المتقدّم غسله علی الموت فهو المشهور أیضاً، وإن توقّف بعضهم فیه ، من ملازمة طهارته عن الحدث بتقدیم غسله لعدم إیجاب مسّه الحدث بعد الموت کالشهید ، ومن إمکان منع الملازمة، کعموم منعها فی عبارة الکشف المتقدّمة</w:t>
      </w:r>
      <w:r>
        <w:rPr>
          <w:rStyle w:val="FootnoteAnchor"/>
          <w:rtl w:val="true"/>
        </w:rPr>
        <w:footnoteReference w:id="1241"/>
      </w:r>
      <w:r>
        <w:rPr>
          <w:rFonts w:ascii="IRNazanin" w:hAnsi="IRNazanin" w:eastAsia="IRNazanin"/>
          <w:color w:val="111111"/>
          <w:sz w:val="28"/>
          <w:sz w:val="28"/>
          <w:szCs w:val="28"/>
          <w:rtl w:val="true"/>
          <w:lang w:bidi="fa-IR"/>
        </w:rPr>
        <w:t>فی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منعها فی المقامین ضعیف ، کضعف منع </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1242"/>
      </w:r>
      <w:r>
        <w:rPr>
          <w:rFonts w:ascii="IRNazanin" w:hAnsi="IRNazanin" w:eastAsia="IRNazanin"/>
          <w:color w:val="111111"/>
          <w:sz w:val="28"/>
          <w:sz w:val="28"/>
          <w:szCs w:val="28"/>
          <w:rtl w:val="true"/>
          <w:lang w:bidi="fa-IR"/>
        </w:rPr>
        <w:t xml:space="preserve">بدلیة الغسل المتقدّم عن المتأخّر فی المقام ، بل هو عین المتأخّر فیما عدا التقدّیم، فیفید ما یفیده، سیّما بعد جوابه 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لا تغسله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اغتسل بما هو منه طاهر إلی یوم القیامة</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فالتوقّف فی خروج مسّ المتقدّم غسله کالتوقّف فی خروج مسّ الشهید عن إیجابه الغسل ضعیف ، کضعف التوقّف فی دخول مش المیّت الکافر فی عموم إیجاب مسّ المیّت الغسل ، کما عن بعض کتب الفاضل</w:t>
      </w:r>
      <w:r>
        <w:rPr>
          <w:rStyle w:val="FootnoteAnchor"/>
          <w:rtl w:val="true"/>
        </w:rPr>
        <w:footnoteReference w:id="1244"/>
      </w:r>
      <w:r>
        <w:rPr>
          <w:rFonts w:ascii="IRNazanin" w:hAnsi="IRNazanin" w:eastAsia="IRNazanin"/>
          <w:color w:val="111111"/>
          <w:sz w:val="28"/>
          <w:sz w:val="28"/>
          <w:szCs w:val="28"/>
          <w:rtl w:val="true"/>
          <w:lang w:bidi="fa-IR"/>
        </w:rPr>
        <w:t xml:space="preserve">احتمال عدم إیجاب مسّه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کمینة الکلب من 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أقربهما العدم، للأصل، وعدم انصراف إطلاق النصوص </w:t>
      </w:r>
      <w:r>
        <w:rPr>
          <w:rStyle w:val="FootnoteAnchor"/>
          <w:rtl w:val="true"/>
        </w:rPr>
        <w:footnoteReference w:id="1245"/>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عن الروضه</w:t>
      </w:r>
      <w:r>
        <w:rPr>
          <w:rStyle w:val="FootnoteAnchor"/>
          <w:rtl w:val="true"/>
        </w:rPr>
        <w:footnoteReference w:id="1246"/>
      </w:r>
      <w:r>
        <w:rPr>
          <w:rFonts w:ascii="IRNazanin" w:hAnsi="IRNazanin" w:eastAsia="IRNazanin"/>
          <w:color w:val="111111"/>
          <w:sz w:val="28"/>
          <w:sz w:val="28"/>
          <w:szCs w:val="28"/>
          <w:rtl w:val="true"/>
          <w:lang w:bidi="fa-IR"/>
        </w:rPr>
        <w:t>والحدائق</w:t>
      </w:r>
      <w:r>
        <w:rPr>
          <w:rStyle w:val="FootnoteAnchor"/>
          <w:rtl w:val="true"/>
        </w:rPr>
        <w:footnoteReference w:id="1247"/>
      </w:r>
      <w:r>
        <w:rPr>
          <w:rFonts w:ascii="IRNazanin" w:hAnsi="IRNazanin" w:eastAsia="IRNazanin"/>
          <w:color w:val="111111"/>
          <w:sz w:val="28"/>
          <w:sz w:val="28"/>
          <w:szCs w:val="28"/>
          <w:rtl w:val="true"/>
          <w:lang w:bidi="fa-IR"/>
        </w:rPr>
        <w:t xml:space="preserve">من اقتضاء القاعدة الطهارة من الخبث بمجرد انفصال ماء الغسالة کلیة ، ولازمه عدم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بمسّه ، للملازمة بینه وبین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انفکاکهما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وعورض الأصل باستصحاب وجوب الغسل بمسّه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والانصراف أولاً بالمنع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بدویّاً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أقلّ من الشکّ فیه ، والأصل عدمه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دعوی عدم انصراف إطلاق وجوب الغسل بالمسّ، أو بالمسّ بعد البرد، أو بالم قبل الغسل، إلی مسّ عضو کمل غسله قبل تمام غسل الجمیع ، علی تقدیر تسلیمها معارضة بعدم انصراف إطلاق سقوط الغسل بالمسّ </w:t>
      </w:r>
    </w:p>
    <w:p>
      <w:pPr>
        <w:pStyle w:val="BookText"/>
        <w:rPr/>
      </w:pPr>
      <w:r>
        <w:rPr>
          <w:rFonts w:ascii="IRNazanin" w:hAnsi="IRNazanin" w:eastAsia="IRNazanin"/>
          <w:color w:val="111111"/>
          <w:sz w:val="28"/>
          <w:sz w:val="28"/>
          <w:szCs w:val="28"/>
          <w:rtl w:val="true"/>
          <w:lang w:bidi="fa-IR"/>
        </w:rPr>
        <w:t>بعدُ إلا إلی الفراغ من غسل الجمیع لا العضو الممسوس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صدق تمامیّة الغسل بالنسبة إلی ذلک العضو ممنوعة بکون الغسل اسماً للجمیع ، و تغسیل المیّت أیضاً اسما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اقتضاء القاعدة الطهارة من الخبث بمجرّد انفصال ماء الغسالة کلّیة، المستلزمة لعدم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اقتضائها الطهارة عن الخبث قبل الفراغ التامّ، کما صرّح به البرهان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الملازمة بینه وبین عدم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 علی تقدیر تسلیم الطهارة عن الخبث أیضاً، کما عن العروض والحدائق أیضاً منع الملازمة مع تسلیمهما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دلالة الخبر علی تعیین الغسل فمبنیّ علی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سنة فلیس به بأس</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یدلّ بمفهوم الشرط علی وجوب الغسل بمسّ العظم غیر المارّ علیه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عدم دلالته فلان ثبوت البأس فیما لم یمرّ علیه سنة أعمّ من وجوب الغسل بمسّه ، وأن مفهوم الشرط ضعیف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التأمّل فلعلّه إشارة إلی المنع من أعمیّة المفهوم وضعفه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أن دلالته علیه علی تقدیر التسلیم أخصّ من المدّعی من جهة اختصاصه بمس العظم غیر المارّ علیه سنة، والمدعی أعمّ منه، وأعمّ منه من جهة تعمیمه العظم المیّت المغسول وغیر المغسول، والمدّعی أخصّ منه</w:t>
      </w:r>
      <w:r>
        <w:rPr>
          <w:rFonts w:eastAsia="IRNazanin" w:cs="IRNazanin"/>
          <w:color w:val="111111"/>
          <w:sz w:val="28"/>
          <w:szCs w:val="28"/>
          <w:rtl w:val="true"/>
          <w:lang w:bidi="fa-IR"/>
        </w:rPr>
        <w:t xml:space="preserve">. </w:t>
      </w:r>
      <w:bookmarkStart w:id="75" w:name="pg1905_24741"/>
    </w:p>
    <w:p>
      <w:pPr>
        <w:pStyle w:val="Heading3"/>
        <w:numPr>
          <w:ilvl w:val="2"/>
          <w:numId w:val="1"/>
        </w:numPr>
        <w:rPr/>
      </w:pPr>
      <w:bookmarkStart w:id="76" w:name="__RefHeading___Toc3268781_3650668749"/>
      <w:bookmarkStart w:id="77" w:name="_Toc28"/>
      <w:bookmarkEnd w:id="75"/>
      <w:bookmarkEnd w:id="76"/>
      <w:r>
        <w:rPr>
          <w:rtl w:val="true"/>
        </w:rPr>
        <w:t>الأغسال المندوبة</w:t>
      </w:r>
      <w:bookmarkEnd w:id="7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المقید لإطلاق الأخبار ،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حمل المطلق علی المقید مختصّاً بالأحکام التکلیفیّة الإلزامیّة المتّحد فیها التکلیف، دون الأحکام الوضعیّة والندبیّة القابلة لتعدّد المراتب والوضع، فیحمل المطلق والمقیّد فیها علی تعدّد مراتب الوضع والاستحباب و تفاوتها من حیث الفضیّلة والأفضلیّة، إلا أن الحامل علی تعمیم مجرّی أصالة حمل المطلق علی المقیّد لما نحن فیه من الأحکام الندبیة هو الشهرة، بل الإجماعات علی التقیید، و ظهور خبر سماعة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لا یغتسل فی یوّم الجمعة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 آخر النهار، فإن لم یجد فلیقضه یوم السبت</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فاته غسل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ما بینه وبین اللیل، فإن فاته اغتسل یوم السبت</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وما عن الهدایة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نسیت الغسل أو فاتک لعلّة فاغتسل بعد العصر أو یوم السبت</w:t>
      </w:r>
      <w:r>
        <w:rPr>
          <w:rStyle w:val="FootnoteAnchor"/>
          <w:rtl w:val="true"/>
        </w:rPr>
        <w:footnoteReference w:id="1252"/>
      </w:r>
      <w:r>
        <w:rPr>
          <w:rFonts w:ascii="IRNazanin" w:hAnsi="IRNazanin" w:eastAsia="IRNazanin"/>
          <w:color w:val="111111"/>
          <w:sz w:val="28"/>
          <w:sz w:val="28"/>
          <w:szCs w:val="28"/>
          <w:rtl w:val="true"/>
          <w:lang w:bidi="fa-IR"/>
        </w:rPr>
        <w:t>وما عن فقه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نسیت الغسل ثمّ ذکرت العصر أو من الغد فاغتسل</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ظهور القضاء والفوات والنسیان فی مضیّ وقت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فیها مدفوعة بعد الانجبار بفهم الأصحاب وعملهم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وتدبر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للمحکیّ عن الشیخ من أن غایته صلاة الجمعة</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یتفرّع امتداد آخر وقت أداء الغسل إلی أن یبقی من بلوغ ظلّ المثل مقدار الصلاة والخطبتین لا الزوال ، کما یتفرّع امتداده إلی طول النهار علی وجه أو قول ثالث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کان فی الصحیح السابق إشعار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إشعار الصحیح به فمبنیّ علی أن یکون تقیید الأمر بفعله قبل الزوال لبیان أفضلیّة قربه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التأمّل فیه فناظر إلی احتمال أن یکون تقییده بما قبل الزوال البیان آخر أوقات فعله وغایة أوقات العلم بأدائه ، لا لبیان أفضلیّة أوقاته ، کما 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الشیء هو الزمان المتقدّم المقارن به ، بخلاف القبل، فإنه مطلق الزمان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التقی الجمعان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معسکر النبیّ صلّی الله علیه وآله مع معسکر کفّار قریش فی بدر، وفی صبیحته وقع حرب بدر بینهما، ونصر الله تعالی النبی صلی الله علیه وآله بالظفر والفتح الذی هو من أعظم فتوحات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الوفد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 الورود و القدوم، ویستعار للحجّ، لأنه قدوم إلی بیت الله طلباً الفضله وثوابه وللصلاة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التطهیر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إمکان منع الاستظهار ، بأن التطهیر الشرعی اسم للمبیح خاصّة ، فلا یعمّ غیر المبیح کغسل التوبة ، وغیر الشرعیّ وإن عمّ المبیح وغیره بل </w:t>
      </w:r>
    </w:p>
    <w:p>
      <w:pPr>
        <w:pStyle w:val="BookText"/>
        <w:rPr/>
      </w:pPr>
      <w:r>
        <w:rPr>
          <w:rFonts w:ascii="IRNazanin" w:hAnsi="IRNazanin" w:eastAsia="IRNazanin"/>
          <w:color w:val="111111"/>
          <w:sz w:val="28"/>
          <w:sz w:val="28"/>
          <w:szCs w:val="28"/>
          <w:rtl w:val="true"/>
          <w:lang w:bidi="fa-IR"/>
        </w:rPr>
        <w:t xml:space="preserve">الرافع للحدث والخبث إلا أنه غیر ظاهر فی خصوص غسل التوبة ، بل کما یحتمله یحتمل إرادة الوضوء الرافع للحدث أو إزالة النجاسة الخبثیّة عن البدن ، کما لعلّه الأظهر من سیاقه المقرون بتطهیر الثیاب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فأعد غسلک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تضعیف دلالة الخبر علی المطلوب، نظراً إلی عدم دلالة إعادة غسل دخول الحرم بعد النوم علی استحباب غسل آخر لدخول المسجد، لاحتمال أن تکون الإعادة لأجل انتفاضه بالنوم، لا لأجل استحبابه الدخول المسجد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 تقویته بضعف احتمال کون الإعادة لأجل انتفاضه بالنوم، لعدم انتقاض ما کان للفعل من الأغسال إلا بذلک الفعل المغیّا به ، کما أن ما کان للزمان لا ینتقض إلا بمضیّ ذلک الزمان ، فتعیّن کون الإعادة لأجل دخول المسجد ، حذرةاً من حمله علی ما لا یقول به أحد</w:t>
      </w:r>
      <w:r>
        <w:rPr>
          <w:rFonts w:eastAsia="IRNazanin" w:cs="IRNazanin"/>
          <w:color w:val="111111"/>
          <w:sz w:val="28"/>
          <w:szCs w:val="28"/>
          <w:rtl w:val="true"/>
          <w:lang w:bidi="fa-IR"/>
        </w:rPr>
        <w:t xml:space="preserve">. </w:t>
      </w:r>
      <w:bookmarkStart w:id="78" w:name="pg1905_24744"/>
    </w:p>
    <w:p>
      <w:pPr>
        <w:pStyle w:val="Heading3"/>
        <w:numPr>
          <w:ilvl w:val="2"/>
          <w:numId w:val="1"/>
        </w:numPr>
        <w:rPr/>
      </w:pPr>
      <w:bookmarkStart w:id="79" w:name="__RefHeading___Toc3268783_3650668749"/>
      <w:bookmarkStart w:id="80" w:name="_Toc29"/>
      <w:bookmarkEnd w:id="78"/>
      <w:bookmarkEnd w:id="79"/>
      <w:r>
        <w:rPr>
          <w:rtl w:val="true"/>
        </w:rPr>
        <w:t>الرکن الثالث</w:t>
      </w:r>
      <w:r>
        <w:rPr>
          <w:rtl w:val="true"/>
        </w:rPr>
        <w:t>:</w:t>
      </w:r>
      <w:r>
        <w:rPr>
          <w:rtl w:val="true"/>
        </w:rPr>
        <w:t xml:space="preserve">فی الطهارة الترابیة </w:t>
      </w:r>
      <w:r>
        <w:rPr>
          <w:rtl w:val="true"/>
        </w:rPr>
        <w:t>[</w:t>
      </w:r>
      <w:r>
        <w:rPr>
          <w:rtl w:val="true"/>
        </w:rPr>
        <w:t xml:space="preserve">التیمم </w:t>
      </w:r>
      <w:r>
        <w:rPr>
          <w:rtl w:val="true"/>
        </w:rPr>
        <w:t>]</w:t>
      </w:r>
      <w:bookmarkEnd w:id="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عدم تبادر صورة الإجحاف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قوّة تبادر صورة الإجحاف منها ، نظراً إلی غلبة وجود الإجحاف بشراء الوضوء بمائة درهم أو ألف درهم أو مائة ألف درهم فی غالب الناس وغالب الأحوال، فحملها علی صورة عدم الإجحاف حمل للمعتبرة علی نادر الأفراد ونادر الأحوال ، وهو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محترمة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حرم قتلها ووجب حفظها، سواء کانت آدمیّاً أم غیر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منهما سواء کان له مالک وترتّب علی قتله له المثل أو القیمة أو الدیة کالعبید والدواب ، أم لا کالأحرار والوحوش والطیور حتی الهرّة، فی مقابل المهدورة الجائزة قتلها وإتلافها بالأصالة کالکافر الحربی، أو بالعرض کالمرتد الفطری ومَن جاز قتله ولو بالقصاص والدفاع، سواء کان من الآدمیین کالجائر غیر المدفوع ضرر جوره إلا بالقتل، أم من سائر أصناف الحیوانات، کالحیّة والعقرب والخنزیر والکلب العقور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ظاهر أخبار اشتراط العلوق</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کون المسح بما یعلق بالید من الأرض المتیممّ به لا بنفس الید ، ومن المعلوم أنه لا یعلق بالید الماسحة شیء من الأرض المتیممّ به إلا </w:t>
      </w:r>
    </w:p>
    <w:p>
      <w:pPr>
        <w:pStyle w:val="BookText"/>
        <w:rPr/>
      </w:pPr>
      <w:r>
        <w:rPr>
          <w:rFonts w:ascii="IRNazanin" w:hAnsi="IRNazanin" w:eastAsia="IRNazanin"/>
          <w:color w:val="111111"/>
          <w:sz w:val="28"/>
          <w:sz w:val="28"/>
          <w:szCs w:val="28"/>
          <w:rtl w:val="true"/>
          <w:lang w:bidi="fa-IR"/>
        </w:rPr>
        <w:t>إذا کان الأرض تراب ناعماً أو ما یشبهه ، بخلاف الحجر ونحوه من أنواع الأرض الصلبة الممسکة ، فإنه لا علوق فیها یعلق بالید حتی یکون المسح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استفادة المنع عن غیره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وإن لم یفد اختیار التراب المنع من غیره ، بالنظر إلی عدم اقتضاء إثبات شیء لنفی ما عداه ، وعدم ثبوت المفهوم لمثل الألقاب، إلا أنه قد یفیده بالنظر إلی ورودها فی مقام التحدید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أنها وإن أفادت المنع بالنظر إلی ذلک إلا أنه یقدّم علیها مفاد أخبار الأرض، نظراً إلی تقدیم المثبت علی النافی ، أو تقدیم الاشتراک علی المجاز اللازم من حمل الصعید علی خصوص التراب دون مطلق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تقدیم استصحاب بقاء الاسم علی استصحاب الاشتغال ، لکون الأصل الموضوع مقدّماً علی الاستصحاب الحکم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بالصفا البالیة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 مما یجوز فیه التذکیر والتأنیث ، ویستعمل فی الجمع والمفرد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 فی المفرد فهو الحجر الأملس، وفی الجمع فهو الحجارة الملساء ، الواحد صفوانة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الدابة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العرف بالضمّ شعر عنق الفرس، والمعرفة کمرحلة موضع العرف من الفرس،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ینبت علیه عرفه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مخالفته الظاهر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الواو علی العطف أیضاً یستلزم مخالفة صدره </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الذیله وهو ضرب الیدین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دفع ذلک بحمل الصدر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 الیدین دفعة ومعاً، المقابل لضربهما بالتعاقب والتدریج، حتی لا ینافی ما فی ذیله من ضرب الیدین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ضرب بالجبهة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کانت النجاسة متعدّیة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وبالید النجسة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کانت حائلة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تأمّل ما فیهما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 فی الرضویّ</w:t>
      </w:r>
      <w:r>
        <w:rPr>
          <w:rStyle w:val="FootnoteAnchor"/>
          <w:rtl w:val="true"/>
        </w:rPr>
        <w:footnoteReference w:id="1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بهما موضع سجودک، من قصاص الشعر إلی طرف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تحدید موضع المسح لا کیفیّة المسح، کما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قصاص الشعر إلی الذقن، </w:t>
      </w:r>
      <w:r>
        <w:rPr>
          <w:rStyle w:val="FootnoteAnchor"/>
          <w:rtl w:val="true"/>
        </w:rPr>
        <w:footnoteReference w:id="1256"/>
      </w:r>
      <w:r>
        <w:rPr>
          <w:rFonts w:ascii="IRNazanin" w:hAnsi="IRNazanin" w:eastAsia="IRNazanin"/>
          <w:color w:val="111111"/>
          <w:sz w:val="28"/>
          <w:sz w:val="28"/>
          <w:szCs w:val="28"/>
          <w:rtl w:val="true"/>
          <w:lang w:bidi="fa-IR"/>
        </w:rPr>
        <w:t xml:space="preserve">فی غسل الوجه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التأمّل فی عموم البدلیّة فلانصرافه إلی المساواة فیما هو من أهمّ خواصّ الطهور، من استباحة الصلاة ونحوها، دون المساواة فی جمیع الکیفیّات حتی البدأة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إعادة التیمم مع عدم اعتباره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اعتبار التمکّن من استعمال الماء فی انتقاض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یعیده مع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باستصحاب بقاء الشغل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الصحّة </w:t>
      </w:r>
      <w:r>
        <w:rPr>
          <w:rStyle w:val="FootnoteAnchor"/>
          <w:rtl w:val="true"/>
        </w:rPr>
        <w:footnoteReference w:id="1257"/>
      </w:r>
      <w:r>
        <w:rPr>
          <w:rFonts w:ascii="IRNazanin" w:hAnsi="IRNazanin" w:eastAsia="IRNazanin"/>
          <w:color w:val="111111"/>
          <w:sz w:val="28"/>
          <w:sz w:val="28"/>
          <w:szCs w:val="28"/>
          <w:rtl w:val="true"/>
          <w:lang w:bidi="fa-IR"/>
        </w:rPr>
        <w:t xml:space="preserve">، لکون الشک فی الصحّة شکا سببیة ، </w:t>
      </w:r>
    </w:p>
    <w:p>
      <w:pPr>
        <w:pStyle w:val="BookText"/>
        <w:rPr/>
      </w:pPr>
      <w:r>
        <w:rPr>
          <w:rFonts w:ascii="IRNazanin" w:hAnsi="IRNazanin" w:eastAsia="IRNazanin"/>
          <w:color w:val="111111"/>
          <w:sz w:val="28"/>
          <w:sz w:val="28"/>
          <w:szCs w:val="28"/>
          <w:rtl w:val="true"/>
          <w:lang w:bidi="fa-IR"/>
        </w:rPr>
        <w:t>والشک فی بقاء الاشتغال مسبّبیّ، والاستصحاب السببیّ مقدّم علی المسببّیّ و مزیل له، ولولا تقدّم السبّبیّ لم یسلّم مورد من موارد الاستصحاب عن معارضة استصحاب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القاصرین مکافأة لها من وجوه عدیدة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وجوه قصور أخبار الرجوع عن مقاومة المعارضة لأخبار البناء علی الصحّة وعدم الرجوع هو شذوذها وندورها بالنسبة إلی أخبار البناء علی الصحّة وعدم الرجوع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وجوه قصورها عن المعارضة أیضاً هو موافقتها للمحکیّ عن العامة کالثوری</w:t>
      </w:r>
      <w:r>
        <w:rPr>
          <w:rStyle w:val="FootnoteAnchor"/>
          <w:rtl w:val="true"/>
        </w:rPr>
        <w:footnoteReference w:id="1258"/>
      </w:r>
      <w:r>
        <w:rPr>
          <w:rFonts w:ascii="IRNazanin" w:hAnsi="IRNazanin" w:eastAsia="IRNazanin"/>
          <w:color w:val="111111"/>
          <w:sz w:val="28"/>
          <w:sz w:val="28"/>
          <w:szCs w:val="28"/>
          <w:rtl w:val="true"/>
          <w:lang w:bidi="fa-IR"/>
        </w:rPr>
        <w:t xml:space="preserve">وأبی حنیفة </w:t>
      </w:r>
      <w:r>
        <w:rPr>
          <w:rStyle w:val="FootnoteAnchor"/>
          <w:rtl w:val="true"/>
        </w:rPr>
        <w:footnoteReference w:id="1259"/>
      </w:r>
      <w:r>
        <w:rPr>
          <w:rFonts w:ascii="IRNazanin" w:hAnsi="IRNazanin" w:eastAsia="IRNazanin"/>
          <w:color w:val="111111"/>
          <w:sz w:val="28"/>
          <w:sz w:val="28"/>
          <w:szCs w:val="28"/>
          <w:rtl w:val="true"/>
          <w:lang w:bidi="fa-IR"/>
        </w:rPr>
        <w:t>وأحمد من القول بالرجوع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أولی من حملها علی الاستحباب الذی احتمل فی الاستبصار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بالوقف فی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الوقف فی الراوی هنا کون الراوی واقفیّاً مذهبه الواقفیّة ، لا کون الروایة موقوفة علی الصحابی غیر منتهیة إلی المعصومة علیه السلام ، وذلک لتضمن سنده زرعة عن سماعة ، وکلاهما واقفیان وإن کانا موثّقین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والاستناد فیه إلی وجوه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یسنح فی الخاطر لترجیح غسل المیت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الجنب تمکن الاغتسال بعد التیممّ، وعدم رجائه للمیّت ، لوجوب المبادرة إلی دفنه بعد تیمّمه ، فلا یرجی له ما یرجی للجنب من تمکّن الاغتسال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أحوجیّة المیّت من الحیّ، نظراً إلی انقطاعه بالنسبة إلی ما یرجی </w:t>
      </w:r>
    </w:p>
    <w:p>
      <w:pPr>
        <w:pStyle w:val="BookText"/>
        <w:rPr/>
      </w:pPr>
      <w:r>
        <w:rPr>
          <w:rFonts w:ascii="IRNazanin" w:hAnsi="IRNazanin" w:eastAsia="IRNazanin"/>
          <w:color w:val="111111"/>
          <w:sz w:val="28"/>
          <w:sz w:val="28"/>
          <w:szCs w:val="28"/>
          <w:rtl w:val="true"/>
          <w:lang w:bidi="fa-IR"/>
        </w:rPr>
        <w:t>فیه نفع بالتغسیل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تغسیل المیت علی إسقاط ما هو بمنزلة تکلیفین، أو تکلیفین و تکلیف الحیّ ، وهو واضح، و تکلیف المیّت ، کما یشهد به تیمّمه بتیممّ العاجز، بخلاف اغتسال الحیّ، فإنه مشتمل علی إسقاط تکلیف واحد عن نفسه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یسنح فی الخاطر من الوجوه الاعتباریّة لترجیح اغتسال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اغتسال الحیّ علی جهتی الرجحان النفسیّ والغیریّ لأجل الصلاة ، بخلاف تغسیل المیّت ، فإنه لا یشتمل إلا علی الجهة الواحدة التعبّدیة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اغتسال الحیّ علی ما یعود نفعه إلی النفس ، وتغسیل المیّت إلی ما یعود نفعه إلی الغیر ، فمراعاة ما یعود إلی النفس أقرب اعتباراً ممّا یعود إلی الغیر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أشرفیّة الحیّ من المیّت من حیث هو حیّ، فیترجّح اغتساله علی تغسیل المیّت، ترجیحاً للأشرف علی غیره</w:t>
      </w:r>
      <w:r>
        <w:rPr>
          <w:rFonts w:eastAsia="IRNazanin" w:cs="IRNazanin"/>
          <w:color w:val="111111"/>
          <w:sz w:val="28"/>
          <w:szCs w:val="28"/>
          <w:rtl w:val="true"/>
          <w:lang w:bidi="fa-IR"/>
        </w:rPr>
        <w:t xml:space="preserve">. </w:t>
      </w:r>
      <w:bookmarkStart w:id="81" w:name="pg1905_24749"/>
    </w:p>
    <w:p>
      <w:pPr>
        <w:pStyle w:val="Heading3"/>
        <w:numPr>
          <w:ilvl w:val="2"/>
          <w:numId w:val="1"/>
        </w:numPr>
        <w:rPr/>
      </w:pPr>
      <w:bookmarkStart w:id="82" w:name="__RefHeading___Toc3268785_3650668749"/>
      <w:bookmarkStart w:id="83" w:name="_Toc30"/>
      <w:bookmarkEnd w:id="81"/>
      <w:bookmarkEnd w:id="82"/>
      <w:r>
        <w:rPr>
          <w:rtl w:val="true"/>
        </w:rPr>
        <w:t xml:space="preserve">الرکن الرابع </w:t>
      </w:r>
      <w:r>
        <w:rPr>
          <w:rtl w:val="true"/>
        </w:rPr>
        <w:t xml:space="preserve">: </w:t>
      </w:r>
      <w:r>
        <w:rPr>
          <w:rtl w:val="true"/>
        </w:rPr>
        <w:t>فی النجاسات</w:t>
      </w:r>
      <w:bookmarkEnd w:id="8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جمیع ما ذکر أدلّة له أو مطلقاً نظر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ما ذکر لغیر الخفّاش أو المطلق الطائر ولو کان خفّاشاً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ما ذکر للمدّعی دلیلاً أو مؤیّد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الأول تعمیم المدّعی لمطلق الطائر ولو کان خفّاشاً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المعنی الثانی تعمیم لما ذکر له من الأدلّة ولو کان مؤیّداً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نسخة </w:t>
      </w:r>
      <w:r>
        <w:rPr>
          <w:rStyle w:val="FootnoteAnchor"/>
          <w:rtl w:val="true"/>
        </w:rPr>
        <w:footnoteReference w:id="1261"/>
      </w:r>
      <w:r>
        <w:rPr>
          <w:rFonts w:ascii="IRNazanin" w:hAnsi="IRNazanin" w:eastAsia="IRNazanin"/>
          <w:color w:val="111111"/>
          <w:sz w:val="28"/>
          <w:sz w:val="28"/>
          <w:szCs w:val="28"/>
          <w:rtl w:val="true"/>
          <w:lang w:bidi="fa-IR"/>
        </w:rPr>
        <w:t xml:space="preserve">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وأما علی نسخة سقوطه منها فالمتعین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کالثالث وإن کان التعارض بینه وبینه عموماً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الثالث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یطیر لا بأس بخرئه وبوله</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xml:space="preserve">والمراد من المعارض له هو الحسن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ووجه أعمیّته من الثالث هو شموله للمأکول اللحم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ترجیح عموم الأول ما فی المتن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لإمکان أن یکون المراد منه إزالة ما أصاب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المراد إزالة ما أصاب الثوب من النجاسة العرضیة علی المیّت، لا نجاسته العینّیة التی هی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أن یکون المراد من نجاسته وجوب غسل الملاقی له تعبّداً خاصّة، نظراً إلی نجاسة البئر بملاقاة النجس فی وجوب النزح تعبّداً علی رأی المتأخّرین، فسیأتی القول به عن الحلیّ </w:t>
      </w:r>
      <w:r>
        <w:rPr>
          <w:rStyle w:val="FootnoteAnchor"/>
          <w:rtl w:val="true"/>
        </w:rPr>
        <w:footnoteReference w:id="1264"/>
      </w:r>
      <w:r>
        <w:rPr>
          <w:rFonts w:ascii="IRNazanin" w:hAnsi="IRNazanin" w:eastAsia="IRNazanin"/>
          <w:color w:val="111111"/>
          <w:sz w:val="28"/>
          <w:sz w:val="28"/>
          <w:szCs w:val="28"/>
          <w:rtl w:val="true"/>
          <w:lang w:bidi="fa-IR"/>
        </w:rPr>
        <w:t>فی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إطلاق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مت ثوبک میّت فاغسل ما 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منع إطلاق الرضوی، نظراً إلی أن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مسّ ثوبک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مطلقاً یشمل المسّ مع الرطوبة وعدمها، إلا أن ذیله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أصابه</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ظاهر فی تقییده بالرطوبة ، لظهور الإصابة فی المسّ مع الرطوبة دون مطلق المسّ ، فیکون الرضوی علی ذلک کالخبرین </w:t>
      </w:r>
      <w:r>
        <w:rPr>
          <w:rStyle w:val="FootnoteAnchor"/>
          <w:rtl w:val="true"/>
        </w:rPr>
        <w:footnoteReference w:id="1266"/>
      </w:r>
      <w:r>
        <w:rPr>
          <w:rFonts w:ascii="IRNazanin" w:hAnsi="IRNazanin" w:eastAsia="IRNazanin"/>
          <w:color w:val="111111"/>
          <w:sz w:val="28"/>
          <w:sz w:val="28"/>
          <w:szCs w:val="28"/>
          <w:rtl w:val="true"/>
          <w:lang w:bidi="fa-IR"/>
        </w:rPr>
        <w:t>المتقدّمین الظاهرین فی الاختصاص بالرطوبة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إشارة إلی ضعف ما یمکن أن یناقش فی سند الرضویّ بالجهل، أو إطلاقه بواسطة تقییده بتقیید الخبرین السابقین الظاهرین فی الاختصاص بالرطوبة، حملاً لإطلاقه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ضعف المناقشة فی سنده هو ما تقرّر فی محلّه من تقویة 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ضعف المناقشة فی إطلاقه بالحمل علی المقیّد ما تقرّر فی محلّه من عدم جریان حمل المطلق علی المقید فی الأحکام الوضعیّة ، کما فیما نحن فیه ، کعدم جریانه فی الأحکام الندبیّة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لظاهر إطلاق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المیّت عند موته وبعد غسله والقبلة </w:t>
      </w:r>
    </w:p>
    <w:p>
      <w:pPr>
        <w:pStyle w:val="BookText"/>
        <w:rPr/>
      </w:pP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ظهوره فی اختصاص التنجیس بما بعد البرد هو نفی البأس عن مسّه عند الموت الظاهر فیما قبل برده ، بناءً علی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مستقلّ لا قید للمعطوف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لاطلاقها أو 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شهادة السیاق</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محمولة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ما تقدّم منه آنفاً من موافقة أکثر المخالفین لنا فی تنجیسهما، ومع ذلک کیف تحمل أخبار الخلاف علی التقیّة التی هی معنی الموافقة للمخالفین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إلی أن المراد من حملها علی التقیّة حملها علی النقیّة بالمعنی المحکیّ عن الحدائق </w:t>
      </w:r>
      <w:r>
        <w:rPr>
          <w:rStyle w:val="FootnoteAnchor"/>
          <w:rtl w:val="true"/>
        </w:rPr>
        <w:footnoteReference w:id="1269"/>
      </w:r>
      <w:r>
        <w:rPr>
          <w:rFonts w:ascii="IRNazanin" w:hAnsi="IRNazanin" w:eastAsia="IRNazanin"/>
          <w:color w:val="111111"/>
          <w:sz w:val="28"/>
          <w:sz w:val="28"/>
          <w:szCs w:val="28"/>
          <w:rtl w:val="true"/>
          <w:lang w:bidi="fa-IR"/>
        </w:rPr>
        <w:t xml:space="preserve">، وهو مجرّد إلقاء الخلاف، کما وجهوا به بعض اختلافات أخبارهم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أمرتهم بهذا لکیلا یعرفوا فیؤخذ برقابهم</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بیان النجاسة اللغوّیة خاصّة لیس من وظیفة الحکمة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اللغویّة عبارة عن القذارة والخباثة الظاهریّة، والشرعیّة عبارة عمّا یجب 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معنی ثالث غیر لغویّ ولا شرعیّ، اختاره بعض </w:t>
      </w:r>
      <w:r>
        <w:rPr>
          <w:rStyle w:val="FootnoteAnchor"/>
          <w:rtl w:val="true"/>
        </w:rPr>
        <w:footnoteReference w:id="1271"/>
      </w:r>
      <w:r>
        <w:rPr>
          <w:rFonts w:ascii="IRNazanin" w:hAnsi="IRNazanin" w:eastAsia="IRNazanin"/>
          <w:color w:val="111111"/>
          <w:sz w:val="28"/>
          <w:sz w:val="28"/>
          <w:szCs w:val="28"/>
          <w:rtl w:val="true"/>
          <w:lang w:bidi="fa-IR"/>
        </w:rPr>
        <w:t xml:space="preserve">الأجلّة فی الآیة </w:t>
      </w:r>
      <w:r>
        <w:rPr>
          <w:rStyle w:val="FootnoteAnchor"/>
          <w:rtl w:val="true"/>
        </w:rPr>
        <w:footnoteReference w:id="1272"/>
      </w:r>
      <w:r>
        <w:rPr>
          <w:rFonts w:ascii="IRNazanin" w:hAnsi="IRNazanin" w:eastAsia="IRNazanin"/>
          <w:color w:val="111111"/>
          <w:sz w:val="28"/>
          <w:sz w:val="28"/>
          <w:szCs w:val="28"/>
          <w:rtl w:val="true"/>
          <w:lang w:bidi="fa-IR"/>
        </w:rPr>
        <w:t xml:space="preserve">، وهو إرادة خصوص الخباثة الباطنیّة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ویضعّفه ما فی المتن من أنه لیس من المعانی المعهودة للفظ النجاسة حتی ینصرف إلیه </w:t>
      </w:r>
    </w:p>
    <w:p>
      <w:pPr>
        <w:pStyle w:val="BookText"/>
        <w:rPr/>
      </w:pPr>
      <w:r>
        <w:rPr>
          <w:rFonts w:ascii="IRNazanin" w:hAnsi="IRNazanin" w:eastAsia="IRNazanin"/>
          <w:color w:val="111111"/>
          <w:sz w:val="28"/>
          <w:sz w:val="28"/>
          <w:szCs w:val="28"/>
          <w:rtl w:val="true"/>
          <w:lang w:bidi="fa-IR"/>
        </w:rPr>
        <w:t xml:space="preserve">عند قیام القرینة الصارفة عن المعنی اللغوی ، بل لابدّ من المصیر إلی معناه الشرعی بعد قیام القرینة الصارفة عن المعنی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المصطلح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منع هذا القول بتصریحهم بأنه بقیّة المتناول من طعام أو شراب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وجه عدم مخالفة العمانی</w:t>
      </w:r>
      <w:r>
        <w:rPr>
          <w:rStyle w:val="FootnoteAnchor"/>
          <w:rtl w:val="true"/>
        </w:rPr>
        <w:footnoteReference w:id="1274"/>
      </w:r>
      <w:r>
        <w:rPr>
          <w:rFonts w:ascii="IRNazanin" w:hAnsi="IRNazanin" w:eastAsia="IRNazanin"/>
          <w:color w:val="111111"/>
          <w:sz w:val="28"/>
          <w:sz w:val="28"/>
          <w:szCs w:val="28"/>
          <w:rtl w:val="true"/>
          <w:lang w:bidi="fa-IR"/>
        </w:rPr>
        <w:t>علی تقدیر إرادته من طهارة سؤرهم طهارة الماء القلیل الذی باشروه هو قوله بعدم انفعال القلیل بمجرّد ملاقاة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من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کفلس بالتحریک </w:t>
      </w:r>
      <w:r>
        <w:rPr>
          <w:rStyle w:val="FootnoteAnchor"/>
          <w:rtl w:val="true"/>
        </w:rPr>
        <w:footnoteReference w:id="1275"/>
      </w: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العنب کرماً ذهاباً إلی أن الخمر یکتسب شاربها کرماً ، ولهذا سمّت الشعراء الخمر بابنة الکرم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الاسلام وحرّم الخمر نهاهم النبیّ صلّی الله علیه وآله عن قولهم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فإن الکرم قلب المؤمن، لأنه معدن التقوی</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بالمعجمتین، وهو عصیر العنب ، والشراب المتّخذ من البسر وحده من غیر أن تمسّه النار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وسکون الراء المهملة أو المعجمة، الشراب المتّخذ من </w:t>
      </w:r>
    </w:p>
    <w:p>
      <w:pPr>
        <w:pStyle w:val="BookText"/>
        <w:rPr/>
      </w:pPr>
      <w:r>
        <w:rPr>
          <w:rFonts w:ascii="IRNazanin" w:hAnsi="IRNazanin" w:eastAsia="IRNazanin"/>
          <w:color w:val="111111"/>
          <w:sz w:val="28"/>
          <w:sz w:val="28"/>
          <w:szCs w:val="28"/>
          <w:rtl w:val="true"/>
          <w:lang w:bidi="fa-IR"/>
        </w:rPr>
        <w:t>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الموحّدة وإسکان الفوقانیّة وقد تحرّک التاء کعنب ، هو الشراب المتّخذ من العسل، وهو شراب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والبختج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ثم الخاء المعجمة ثم التاء الفوقانیّة بعدها الجیم المعجمة ، العصیر المطبوخ، وأصله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معللة باغتسال الزانی فیها والجنب عن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ضعف تأیّد نجاسة عرق الزانی بالأخبار</w:t>
      </w:r>
      <w:r>
        <w:rPr>
          <w:rStyle w:val="FootnoteAnchor"/>
          <w:rtl w:val="true"/>
        </w:rPr>
        <w:footnoteReference w:id="1277"/>
      </w:r>
      <w:r>
        <w:rPr>
          <w:rFonts w:ascii="IRNazanin" w:hAnsi="IRNazanin" w:eastAsia="IRNazanin"/>
          <w:color w:val="111111"/>
          <w:sz w:val="28"/>
          <w:sz w:val="28"/>
          <w:szCs w:val="28"/>
          <w:rtl w:val="true"/>
          <w:lang w:bidi="fa-IR"/>
        </w:rPr>
        <w:t xml:space="preserve">الناهیة عن غسالة الحمّام، لقصور بعضها سنداً وبعضها دلالة، لمعارضتها بالأخبار الأخر النافیة للبأس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ولتعلیل النهی فی بعضها باغتسال مطلق الجنب ، وفی بعضها باغتسال ولد الزنا و أنه لا یطهر إلی سبعة آباء، مع عدم موافقة ظاهره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صراحة النهی ولا تعلیله باغتسال الزانی فی نجاسة خصوص عرقه ، الاحتمال إرادة التعبّد من النهی کما قیل، أو إرادة الکراهة والتنزیه کما علیه جمع ، أو إرادة المنع من مطهریّته لا طاهر یتّه کما عن المشهور ، أو إرادة نجاسته بغیر عرقه من منی، أو الخروج عن الإطلاق إلی الإضافة ،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حاله من أخبار النهی عن غسالة الحمّام کیف یمکن تأیّد نجاسة عرق الزانی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 عظم أنیاب الفیل ، وعلی ظهر السلحفاة واحدة السلاحف، وهی من حیوانات البحر معروفة،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خرچنک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عدیدة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مخالفتها الأصل والعمومات و الشهرة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من باب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الحاشیة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قریة بالجامعین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الجامعان بلد اسمه بغلة </w:t>
      </w:r>
      <w:r>
        <w:rPr>
          <w:rStyle w:val="FootnoteAnchor"/>
          <w:rtl w:val="true"/>
        </w:rPr>
        <w:footnoteReference w:id="1280"/>
      </w:r>
      <w:r>
        <w:rPr>
          <w:rFonts w:ascii="IRNazanin" w:hAnsi="IRNazanin" w:eastAsia="IRNazanin"/>
          <w:color w:val="111111"/>
          <w:sz w:val="28"/>
          <w:sz w:val="28"/>
          <w:szCs w:val="28"/>
          <w:rtl w:val="true"/>
          <w:lang w:bidi="fa-IR"/>
        </w:rPr>
        <w:t xml:space="preserve">، قریب الحلّة، وهی الحلّة المزیدیّة ، کما أن رأس البغل اسم صرّاف مشهور منسوب إلیه الدراهم فی ذلک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لاتّحاد زمانی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تعلیل لعدم کون الاجتماع حالاً مطلقاً ، وکذا التعلیل الذی بعده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ولامتناع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أنهما تعلیلان لخیریّة الاجتماع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w:t>
      </w:r>
      <w:r>
        <w:rPr>
          <w:rStyle w:val="FootnoteAnchor"/>
          <w:rtl w:val="true"/>
        </w:rPr>
        <w:footnoteReference w:id="1281"/>
      </w:r>
      <w:r>
        <w:rPr>
          <w:rFonts w:ascii="IRNazanin" w:hAnsi="IRNazanin" w:eastAsia="IRNazanin"/>
          <w:color w:val="111111"/>
          <w:sz w:val="28"/>
          <w:sz w:val="28"/>
          <w:szCs w:val="28"/>
          <w:rtl w:val="true"/>
          <w:lang w:bidi="fa-IR"/>
        </w:rPr>
        <w:t xml:space="preserve">المتقدّم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یکون قدر الدراهم مجتمعة فیغسله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بالمفهوم فی عدم وجوب إزالة المتفرّق، من جهة ظهور کون المجتمع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حالا مقدّرة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معه صقر صائداً به غداً، حتی یدخل افتراقه المفهوم من قید الاجتماع فی منطوق الاجتماع التقدیری، نظراً إلی أن الافتراق الفعلی المفروض مفهوماً للاجتماع یدخل فی الاجتماع التقدیری إذا أمکن اجتماعه فیما بعد، بخلاف الاجتماع الفعلی الظاهر من منطوق الاجتماع، فإنه لا یدخل فیه الافتراق الفعلی الظاهر من مفهومه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ظهور الصحیح المتقدّم فیما ذکر من کون الاجتماع خبرةاً لا حالاً؟ مقدّرة هو ظهور اتّحاد زمانی الاجتماع والکون بقدر الدرهم، مع اشتراط تغایر الزمانین فی المقدّرة اتّفاقاً ، لامتناع أن یتبّدل لفظ الدم المفروض مفهوماً للصحیح </w:t>
      </w:r>
    </w:p>
    <w:p>
      <w:pPr>
        <w:pStyle w:val="BookText"/>
        <w:rPr/>
      </w:pPr>
      <w:r>
        <w:rPr>
          <w:rFonts w:ascii="IRNazanin" w:hAnsi="IRNazanin" w:eastAsia="IRNazanin"/>
          <w:color w:val="111111"/>
          <w:sz w:val="28"/>
          <w:sz w:val="28"/>
          <w:szCs w:val="28"/>
          <w:rtl w:val="true"/>
          <w:lang w:bidi="fa-IR"/>
        </w:rPr>
        <w:t>إلی الاجتماع الفعلی بعد التفرق المفروض حتی یندرج فی الحال المقدّر للاجتماع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فرض الاجتماع حالا محقّقة فی الصحیح فهو وإن لم یمتنع إلا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من جهة توقّفه علی إضمار اسم أو خبر لیکون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یستلزم أن تکون النقط المتفرّقة من الدم المفروضة فی الروایة ، الراجع إلیها الضمیر المقدّر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ممتنع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فانحصر الأمر فی کون الاجتماع فی الصحیح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حالا مطلقا، لا مقدّرة ولا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تقدیره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الفاحش بزیادته علی الأصل بمرّة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مقدار الدرهم بدرهمین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حتّیه ثمّ اقرصیه ثم اغسلیه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المجمع عن الأزهری أن الحتّ أن یحکّ بطرف حجر أو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والقرص أن یدلک بأطراف الأصابع والأظفار دلکاً شدیداً، ویصبّ علیه الماء حتی یزول عنه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 الورق حتّاً من باب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 وحکّه</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الاستدلال بملاقاته البدن النجس العین</w:t>
      </w:r>
      <w:r>
        <w:rPr>
          <w:rFonts w:eastAsia="IRNazanin" w:cs="IRNazanin"/>
          <w:color w:val="111111"/>
          <w:sz w:val="28"/>
          <w:szCs w:val="28"/>
          <w:rtl w:val="true"/>
          <w:lang w:bidi="fa-IR"/>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الاستدلال بملاقاة الدم لبدن نجس العین ، فیکون کتنجیسه بنجاسة خارجیّة غیر معفوّ عنها کالبول والغائط، فالعفو عن الدم من حیث إنه دم لا یقتضیه ، لابتناء صحّة الاستدلال بذلک علی فرض تزاید نجاسة نجس العین عن نجاسة الدم ، وهو فی معرض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الخطابات فیها بمن یبعد ابتلاؤهم بدم الکافر والمیتة ، لندور الابتلاء بدمهما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الأمر بالتأمّل إشارة إلی دفع ما یتوهّم من عدم مرور ذلک، بأنه وإن لم یمرّ ذلک إلا أن المارّ سابقاً نظیره ، وهو اختصاص الخطابات فیها بالذکور علی وجه یستفاد منها الاختصاص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دفع توهّم أن ترک الاستفصال فی الخطابات یفید عمومها لما نحن فیه، بأن ترک الاستفصال إنما یفید عموم الأفراد الشائعة لا النادرة کنفس الإطلاق، فلا یزید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إلی أن سند الروایة وإن کان صحیحاً ، لکون الراوی البزنطی وهو ممّن أجمعت العصابة علی تصحیح ما یصحّ عنه، إلا أن دلالتها ضعیفة ، لکونها مجرّد إشعار ، و مخالف للإطلاقات و الشهرة الموهنة لها أیضاً جدأ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ضعّف إطلاق الأمر بالمرّتین، لمخالفته الأصل وإطلاقات غسل النجاسة، بالاقتصار علی القدر المتیقّن منه، وهو الغسل بالماء القلیل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ممنوعة</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أغلظیّة سائر النجاسات من البول إنما تقتضی أکثریّة الغسل والأولویّة لأجل إزالة عین النجاسة ، دون إزالة حکمها بعد فرض إزالة العین الذی محطّ نظر الفقیه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احتماله محامل 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الغسل علی الصبّ، لأنه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الأمر بالغسل علی الندب، لا الوجوب حتی ینافی الاکتفاء بالصبّ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الأمر بالغسل علی ضرب من التقیّة وإن لم یوافق العامة ، وهو إرادة إلقاء الخلاف بین الأصحاب لمصالح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اصبغیه بمشق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طین</w:t>
      </w:r>
      <w:r>
        <w:rPr>
          <w:rStyle w:val="FootnoteAnchor"/>
          <w:rtl w:val="true"/>
        </w:rPr>
        <w:footnoteReference w:id="1284"/>
      </w:r>
      <w:r>
        <w:rPr>
          <w:rFonts w:ascii="IRNazanin" w:hAnsi="IRNazanin" w:eastAsia="IRNazanin"/>
          <w:color w:val="111111"/>
          <w:sz w:val="28"/>
          <w:sz w:val="28"/>
          <w:szCs w:val="28"/>
          <w:rtl w:val="true"/>
          <w:lang w:bidi="fa-IR"/>
        </w:rPr>
        <w:t>أحمر، ومنه ثوب مِشَق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انتفاء الجزم عند الانفتاح لو أرید به الجزم الإجمالی ، الوجود الجزم قطعاً بکون الصلاة المطلوبة إما فی هذا الثوب المشتبه أو فی صاحبتها ، وبکون الصلاة فی کلّ من الثوبین المشتبهین واجب إما بالأصالة أو من باب المقدّمة لتحصیل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یمنع وجوب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المختلف فیه للمقدّمة إنما هو وجوبها الشرعیّ الأصلی، وأما وجوبها العقلیّ التبعی فمن المسلّمیات ، ومبنی المسألة علیه لا علی وجوبها المختلف فیه حتی یمکّن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بأولی من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سقوط</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هو أولی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الجزم أولی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الجزم بالوجه عند عدم التمکن منه أولی من سقوط أصل الستر والقیام واستیفاء الرکوع والسجود والجلوس ونحوها ممّا</w:t>
      </w:r>
    </w:p>
    <w:p>
      <w:pPr>
        <w:pStyle w:val="BookText"/>
        <w:rPr/>
      </w:pPr>
      <w:r>
        <w:rPr>
          <w:rFonts w:ascii="IRNazanin" w:hAnsi="IRNazanin" w:eastAsia="IRNazanin"/>
          <w:color w:val="111111"/>
          <w:sz w:val="28"/>
          <w:sz w:val="28"/>
          <w:szCs w:val="28"/>
          <w:rtl w:val="true"/>
          <w:lang w:bidi="fa-IR"/>
        </w:rPr>
        <w:t>یسقط فی صلاة العاری ، بل هو أولی، لأنه واجب واحد لا یعارض سقوطه مع سقوط واجبات عدیدة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مخالفته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 هذا الأصل هو الأصل المتقدّم،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المقتضی لإتیان المأمور به علی وجهه ، وعدم مانعیّة النسیان إلا من المؤاخذة حال النسیان لا من الإتیان بعد زوال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نسبة القول إلیه فی الکتاب المسطور محلّ 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المناقشة لیس عدم وجود التفصیل فی الکتاب المسطور، بل الوجه أن الکتاب المسطور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کتبه المعدّة لضبط الفتاوی کالمبسوط والخلاف حتی ینسب إلیه الفتوی بهذا التفصیل، وإنما هو معد</w:t>
      </w:r>
    </w:p>
    <w:p>
      <w:pPr>
        <w:pStyle w:val="BookText"/>
        <w:rPr/>
      </w:pPr>
      <w:r>
        <w:rPr>
          <w:rFonts w:ascii="IRNazanin" w:hAnsi="IRNazanin" w:eastAsia="IRNazanin"/>
          <w:color w:val="111111"/>
          <w:sz w:val="28"/>
          <w:sz w:val="28"/>
          <w:szCs w:val="28"/>
          <w:rtl w:val="true"/>
          <w:lang w:bidi="fa-IR"/>
        </w:rPr>
        <w:t>ظاهرة لمجرّد الجمع بین الأخبار بأیّ وجه یحتمل ولو خالف الظاهر والفتوی والعمل ، تکثیراً لوجوه دفع شبهة التناقض المتوهّم فی تعارض الأخبار الموجب الارتداد الشلمغانی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وجه اعتباریّ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نقل عنه من الاحتجاج بأنه لو علم بالنجاسة فی أثناء الصلاة وجب علیه الإعادة ، فکذا إذا علم بها بعد الفراغ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کونه اعتباریّاً أنه نوع من القیاس المعارض بمثله، وهو أنه لو لم یعلم بها فی الوقت لم یجب علیه الإعادة ، فکذا لو علم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مطلوبیّة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مقتضی تعلیق الحکم علی أمر هو موضوعیّة ذلک الأمر للحکم لا مطلوبیّته، إلا أن تعلیق الحکم التکلیفی علی أمر عدمی مشعر بمطلوبیّة فعله، وکون التکلیف المعلّق علی عدمه بمنزلة العقوبة لترکه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بموجب النضح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اختصاص الحکم بالمضی مع موجب النضح لا مع موجب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ناقش فی البناء جماعة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الأول بناءً علی القواعد إنما یتحقّق إذا کانت طهارة الساتر شرطاً واقعیّاً فی الصلاة کالطهارة، ومتی ثبت أن الشرط کذلک فخلوّ بعض الصلاة منه قاض بفسادها، کخلوّها بأجمعها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بیان منع الملازمة فکما عن المدارک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الجائز أن تکون الإعادة لوقوع الصلاة بأسرها مع النجاسة ، فلا یلزم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دفع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 اعترفت سابقاً بأن رؤیة النجاسة فی أثناء الصلاة مع ضیق الوقت من الإزالة فرد نادر فکیف یحمل إطلاق المعتبرین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اندفاعه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من حمل المطلق علی الفرد النادر هو وجود الفرد الشائع له، وأما المطلق غیر الموجود له فرد شائع فلا مانع من حمله علی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بإمکان فرض فرد شائع للخبر الأول، وهو حمله علی الدم المعفو، فیمنع ذلک من حمله علی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الفرض لا یتأتیّ فی الخبر الثانی، من جهة أن سیاقه مانع من الحمل علی الدم المعفو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قادح</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توهّم 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فی المتن هو تعمیم مطهّریّة الشمس </w:t>
      </w:r>
    </w:p>
    <w:p>
      <w:pPr>
        <w:pStyle w:val="BookText"/>
        <w:rPr/>
      </w:pPr>
      <w:r>
        <w:rPr>
          <w:rFonts w:ascii="IRNazanin" w:hAnsi="IRNazanin" w:eastAsia="IRNazanin"/>
          <w:color w:val="111111"/>
          <w:sz w:val="28"/>
          <w:sz w:val="28"/>
          <w:szCs w:val="28"/>
          <w:rtl w:val="true"/>
          <w:lang w:bidi="fa-IR"/>
        </w:rPr>
        <w:t xml:space="preserve">للبول وغیره من النجاسة الزائلة عینها بها، وللأرض وغیرها من مثل الحصر والبواری، مع أن الروایة </w:t>
      </w:r>
      <w:r>
        <w:rPr>
          <w:rStyle w:val="FootnoteAnchor"/>
          <w:rtl w:val="true"/>
        </w:rPr>
        <w:footnoteReference w:id="1288"/>
      </w:r>
      <w:r>
        <w:rPr>
          <w:rFonts w:ascii="IRNazanin" w:hAnsi="IRNazanin" w:eastAsia="IRNazanin"/>
          <w:color w:val="111111"/>
          <w:sz w:val="28"/>
          <w:sz w:val="28"/>
          <w:szCs w:val="28"/>
          <w:rtl w:val="true"/>
          <w:lang w:bidi="fa-IR"/>
        </w:rPr>
        <w:t>المستدلّ بها خاصة بالبول دون غیره وبالأرض دون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القادحیّة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اختصاصها بالأرض یعمّم بعدم القول بالفصل بین الأرض وأخویه، واختصاصها بکلّ من الأمرین من الأرض والبول یعمّم بعموم المعتبرة الأخری، منها الرضویّ المعمّم للأرض وغیرها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وقعت علیه الشمس من الأماکن</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وللبول وغیره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البول وغیره</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من البین إشکال اختصاص الروایة الأولی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بنوع من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حمل الفقرة علی ما إذا کان تبیس الشمس غیر مزیل لعین القذر منه ، کما هو الظاهر من توصیفه الموضع بالقذر مع تیبیس الشمس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ما إذا کان المتجفّف بعین الشمس هو الرجل أو الجبهة دون الأرض وأخویه ، کما لعله الظاهر من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نوع من التقیّة أو ضرب من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وجود المرجّح بین الأصلین المفروض تعارضهما ، بواسطة أن استصحاب نجاسة الملاقی بالفتح سببّی بالنسبة إلی استصحاب طهارة الملاقی بالکسر ، وقد استظهر</w:t>
      </w:r>
      <w:r>
        <w:rPr>
          <w:rStyle w:val="FootnoteAnchor"/>
          <w:rtl w:val="true"/>
        </w:rPr>
        <w:footnoteReference w:id="1291"/>
      </w:r>
      <w:r>
        <w:rPr>
          <w:rFonts w:ascii="IRNazanin" w:hAnsi="IRNazanin" w:eastAsia="IRNazanin"/>
          <w:color w:val="111111"/>
          <w:sz w:val="28"/>
          <w:sz w:val="28"/>
          <w:szCs w:val="28"/>
          <w:rtl w:val="true"/>
          <w:lang w:bidi="fa-IR"/>
        </w:rPr>
        <w:t>المصنف فی ماء الحمام الإجماع علی تقدیم استصحاب السبب علی استصحاب المسبّب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أنه إشارة إلی أنه علی تقدیر التعارض وعدم المرجح إنما یصار إلی </w:t>
      </w:r>
    </w:p>
    <w:p>
      <w:pPr>
        <w:pStyle w:val="BookText"/>
        <w:rPr/>
      </w:pPr>
      <w:r>
        <w:rPr>
          <w:rFonts w:ascii="IRNazanin" w:hAnsi="IRNazanin" w:eastAsia="IRNazanin"/>
          <w:color w:val="111111"/>
          <w:sz w:val="28"/>
          <w:sz w:val="28"/>
          <w:szCs w:val="28"/>
          <w:rtl w:val="true"/>
          <w:lang w:bidi="fa-IR"/>
        </w:rPr>
        <w:t xml:space="preserve">تساقطهما والرجوع إلی قاعدة الطهارة فیما لو اتّحد متعلّقهما، وأما فیما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إلی إعمال کلّ منهما فی محلّه، فیستصحب فی الملاقی بالکسر الطهارة السابقة، وفی الملاقی بالفتح النجاسة السابقة، لا إسقاطهما والرجوع إلی قاعدة الطهارة کما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اعتضاده بالأصل الذی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مرجعیّة أصالة الطهارة بعد فرض ابتلاء استصحاب النجاسة بمثله فی الملاقی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حمل الجفاف فیهما علی خلو الأرض من أعیان تلک النجاسة المسریة إلی القدم، لا الخلوّ عن مطلق الرطوبة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بوجوه اعتباریّة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المنتهی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استعمالها مطلقا یستلزم تحریم أخذها علی هیئة الاستعمال، کالطنبور</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الاتّخاذ مقدّمة للاستعمال ، ومقدّمة الحرام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الحقیقة نفی، ونفی الحقیقة یناسب النهی عن أصل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المناسب لإرادة حصول المطلوب، کما أن عدمه معرض 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المناسب لما قیل من حکمة التحریم، من حصول الخیلاء والتشبه بالمشرکین، والإسراف وکسر قلوب الفقراء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کونها وجوهاً اعتباریّة منع الملازمة،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کالطنبور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کون مقدّمة الحرام حراماً ، سیّما غیر السببیّ، کالاتّخاذ بالنسبة إلی الاستعمال ،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کون النهی فی الحقّیقة نفیاً، وکون نفی الحقّیقة یناسب النهی عن أصل وجودها،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الخیلاء والتشبّه والإسراف وغیر ذلک عللاً؟ مستنبطة للتحریم، لا عللاً؟ منصوصة حتی یتعدّی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w:t>
      </w:r>
    </w:p>
    <w:p>
      <w:pPr>
        <w:pStyle w:val="BookText"/>
        <w:rPr/>
      </w:pPr>
      <w:r>
        <w:rPr>
          <w:rFonts w:ascii="IRNazanin" w:hAnsi="IRNazanin" w:eastAsia="IRNazanin"/>
          <w:color w:val="111111"/>
          <w:sz w:val="28"/>
          <w:sz w:val="28"/>
          <w:szCs w:val="28"/>
          <w:rtl w:val="true"/>
          <w:lang w:bidi="fa-IR"/>
        </w:rPr>
        <w:t xml:space="preserve">انتقاض جمیع هذه الوجوه بما لا خلاف بین الطائفة فی إباحة اتّخاذه لتزیین المشاهد والمساجد المشرّفة ، کقنادیل الذهب والفضّة، تعظیماً للشعائر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بحدوث تلک السیرة، واستغناء تعظیم شعائر الله بمحلّلاته عن محرّماته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ضبّة من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الضبّة بالفتح والتشدید من حدید أو نحوه بشعب به الإناء ، وجمعه ضبات ، کحبّه وحبّات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وضببّته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له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مضبّب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فی المجمع</w:t>
      </w:r>
      <w:r>
        <w:rPr>
          <w:rStyle w:val="FootnoteAnchor"/>
          <w:rtl w:val="true"/>
        </w:rPr>
        <w:footnoteReference w:id="1293"/>
      </w:r>
      <w:r>
        <w:rPr>
          <w:rFonts w:ascii="IRNazanin" w:hAnsi="IRNazanin" w:eastAsia="IRNazanin"/>
          <w:color w:val="111111"/>
          <w:sz w:val="28"/>
          <w:sz w:val="28"/>
          <w:szCs w:val="28"/>
          <w:rtl w:val="true"/>
          <w:lang w:bidi="fa-IR"/>
        </w:rPr>
        <w:t xml:space="preserve">وفی القاموس المحیط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الضبة حدیدة عریضة یضبب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منها أن الضّبة ما یلفّ به الشیء من حدید ونحوه ، کما یلفّ بحبل ونحوه، لأجل الاستحکام أو التزیین أو إلصاق أحد الجزأین بالآخر،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اعتباراً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أصحّیة السند وأشهر یّته وأوفقیّته بالقواعد الشرعیّة ، کأصالة الطهارة واستصحابها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بضمّ الخاء المعجمة والفائین ککتاب ، جمع خفّ بضمّ الخاء و تشدید الفاء ، وهو ما یلبس فی الرجل ،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سرایة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سرایة للنجاسة من الباطن إلی الظاهر، بخلاف العکس، للفرق بینهما إما من جهة أن نسبة الباطن إلی الظاهر کنسبة السافل إلی العالی، فی عدم سرایة نجاسة السافل إلی العالی ، 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جهة أن بواطن </w:t>
      </w:r>
    </w:p>
    <w:p>
      <w:pPr>
        <w:pStyle w:val="BookText"/>
        <w:rPr/>
      </w:pPr>
      <w:r>
        <w:rPr>
          <w:rFonts w:ascii="IRNazanin" w:hAnsi="IRNazanin" w:eastAsia="IRNazanin"/>
          <w:color w:val="111111"/>
          <w:sz w:val="28"/>
          <w:sz w:val="28"/>
          <w:szCs w:val="28"/>
          <w:rtl w:val="true"/>
          <w:lang w:bidi="fa-IR"/>
        </w:rPr>
        <w:t>الظروف کبواطن الانسان فی عدم التنجّس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استتباع بواطن الظروف لظواهرها فی التطهّر بتطهّرها، کاستتباع ظروف الخمر المظروف فیها فی النطهّر بتطټره بمجرّد انقلابه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عدم سرایة نجاسة الباطن إلی الظاهر من الجهة الأخیرة مخالف للأصل، ومن الجهتین الأوّلتین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بالتأمّل لعلّه إشارة إلی أحد الوجوه المذکورة، أو إلی التفرقة بینها بالموافقة للأصل والمخالفة له، حسبما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واعتبر استنباط أمثال تلک الوجوه الفقهیّة ، فإنه لم یسبقنی فیها أحد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المزفّت بالدنان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دنّ، وهی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المجمع</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الراقود العظیم، أو أطول من الحبّ أو أصغر، له عسعس، لا یقعد إلا أن یحفر له</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المزفّت هو الظرف المطلیّ بالزفت ، وهو القیر، دون الدنان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الظرف المتّخذ من قشر الیقطین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من الیقطین بعد تیبیسه و تجویفه عن اللّبّ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الحنتم المفسّر بالمدهن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وسکون النون بعده التاء والمیم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کجعفر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القاموس </w:t>
      </w:r>
      <w:r>
        <w:rPr>
          <w:rStyle w:val="FootnoteAnchor"/>
          <w:rtl w:val="true"/>
        </w:rPr>
        <w:footnoteReference w:id="1297"/>
      </w:r>
      <w:r>
        <w:rPr>
          <w:rFonts w:ascii="IRNazanin" w:hAnsi="IRNazanin" w:eastAsia="IRNazanin"/>
          <w:color w:val="111111"/>
          <w:sz w:val="28"/>
          <w:sz w:val="28"/>
          <w:szCs w:val="28"/>
          <w:rtl w:val="true"/>
          <w:lang w:bidi="fa-IR"/>
        </w:rPr>
        <w:t xml:space="preserve">والمجمع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الجرار الخضر کانت تحمل فیه الخمر إلی المدینة ، ثم اتّسع فیها فقیل للخزف کلّه حنتم، واحده حنتمة</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والمدهن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القاموس</w:t>
      </w:r>
      <w:r>
        <w:rPr>
          <w:rStyle w:val="FootnoteAnchor"/>
          <w:rtl w:val="true"/>
        </w:rPr>
        <w:footnoteReference w:id="1299"/>
      </w:r>
      <w:r>
        <w:rPr>
          <w:rFonts w:ascii="IRNazanin" w:hAnsi="IRNazanin" w:eastAsia="IRNazanin"/>
          <w:color w:val="111111"/>
          <w:sz w:val="28"/>
          <w:sz w:val="28"/>
          <w:szCs w:val="28"/>
          <w:rtl w:val="true"/>
          <w:lang w:bidi="fa-IR"/>
        </w:rPr>
        <w:t>والمجمع</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فی وجه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تسرع الشدّة فیها لأجل دهنها ، أو لأنها کانت تعمل من طین یعجن بالدم والشعر فنهی عنها لیمتنع من عملها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شرب الکلب من الإناء بلسانه أو لطعه به ، وأکثر ما یکون فی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بوجوه عدیدة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الأشهریّة والأصحیّة والأوفقیّة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لوجوه مدخولة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نجاسة الإناء من ولوغ الخنزیر إلی أن یعفّر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إطلاق الکلب علی الخنزیر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فالسبع فی الجرذ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وفتح الراء کعمر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الفئران، علی ما عن غیر واحد من اللغوییّن </w:t>
      </w:r>
      <w:r>
        <w:rPr>
          <w:rStyle w:val="FootnoteAnchor"/>
          <w:rtl w:val="true"/>
        </w:rPr>
        <w:footnoteReference w:id="1301"/>
      </w:r>
      <w:r>
        <w:rPr>
          <w:rFonts w:ascii="IRNazanin" w:hAnsi="IRNazanin" w:eastAsia="IRNazanin"/>
          <w:color w:val="111111"/>
          <w:sz w:val="28"/>
          <w:sz w:val="28"/>
          <w:szCs w:val="28"/>
          <w:rtl w:val="true"/>
          <w:lang w:bidi="fa-IR"/>
        </w:rPr>
        <w:t>، أو الکبیر منها الکائن فی الفلوات دون البلاد، کما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الجاحظ أن الفرق بینه وبین الفّأر کالفرق ما بین الجاموس والبقر والبخاتی والعراب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جرذان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نجد مستنده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مستند الثلاث فیه ولا مستند السبع</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 أو قیل بوجدان کلّ من المستندین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مستند الثلاث </w:t>
      </w:r>
    </w:p>
    <w:p>
      <w:pPr>
        <w:pStyle w:val="BookText"/>
        <w:rPr/>
      </w:pPr>
      <w:r>
        <w:rPr>
          <w:rFonts w:ascii="IRNazanin" w:hAnsi="IRNazanin" w:eastAsia="IRNazanin"/>
          <w:color w:val="111111"/>
          <w:sz w:val="28"/>
          <w:sz w:val="28"/>
          <w:szCs w:val="28"/>
          <w:rtl w:val="true"/>
          <w:lang w:bidi="fa-IR"/>
        </w:rPr>
        <w:t xml:space="preserve">فیه فإطلاق الموثّق الآتی الشامل لکلّ نجاسة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الکوز والإناء یکون قذراً کیف یغسل، وکم مرّة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یصب فیه الماء فیحرک فیه، ثم یفرغ منه ذلک الماء ثم یصب فیه آخر، ثم یفرغ منه ذلک الماء ثم یصبّ فیه ماء آخر، ثم یفرغ منه وقد طهر</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الشهرة الصارفة لخبر التثلیث عن الوجوب إلی الاستحباب إنما هو فی غیر نجاسة الفأرة من سائر النجاسات، ولا ینافی ذلک بقاؤه علی الوجوب بالنسبة إلی نجاسة الفأرة، لعدم مخالفته للشهرة إن لم یوافقها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مستند تسبیع الغسل فیه فلعلّه ما عن المبسوط </w:t>
      </w:r>
      <w:r>
        <w:rPr>
          <w:rStyle w:val="FootnoteAnchor"/>
          <w:rtl w:val="true"/>
        </w:rPr>
        <w:footnoteReference w:id="1303"/>
      </w:r>
      <w:r>
        <w:rPr>
          <w:rFonts w:ascii="IRNazanin" w:hAnsi="IRNazanin" w:eastAsia="IRNazanin"/>
          <w:color w:val="111111"/>
          <w:sz w:val="28"/>
          <w:sz w:val="28"/>
          <w:szCs w:val="28"/>
          <w:rtl w:val="true"/>
          <w:lang w:bidi="fa-IR"/>
        </w:rPr>
        <w:t>مرسلاً من أنه روی فی الفأرة سبع إذا ماتت فی الإناء، أو تعمیم خبر</w:t>
      </w:r>
      <w:r>
        <w:rPr>
          <w:rStyle w:val="FootnoteAnchor"/>
          <w:rtl w:val="true"/>
        </w:rPr>
        <w:footnoteReference w:id="1304"/>
      </w:r>
      <w:r>
        <w:rPr>
          <w:rFonts w:ascii="IRNazanin" w:hAnsi="IRNazanin" w:eastAsia="IRNazanin"/>
          <w:color w:val="111111"/>
          <w:sz w:val="28"/>
          <w:sz w:val="28"/>
          <w:szCs w:val="28"/>
          <w:rtl w:val="true"/>
          <w:lang w:bidi="fa-IR"/>
        </w:rPr>
        <w:t>التسبیع فی الجرذ لمطلق الفأر، نظراً إلی أنه نوع منه ، کما یعمّ أحکام البقر للجاموس نظرة إلی نوع منه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یخلو کلّ منهما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الأمر بالتأمّل إشارة إلی کلّ من المستندین، أو إلی ما فیهما من الزین والشین </w:t>
      </w:r>
      <w:r>
        <w:rPr>
          <w:rFonts w:eastAsia="IRNazanin" w:cs="IRNazanin"/>
          <w:color w:val="111111"/>
          <w:sz w:val="28"/>
          <w:szCs w:val="28"/>
          <w:rtl w:val="true"/>
          <w:lang w:bidi="fa-IR"/>
        </w:rPr>
        <w:t xml:space="preserve">. </w:t>
      </w:r>
      <w:bookmarkStart w:id="84" w:name="pg1905_2476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3268787_3650668749"/>
      <w:bookmarkStart w:id="86" w:name="_Toc31"/>
      <w:bookmarkEnd w:id="84"/>
      <w:bookmarkEnd w:id="85"/>
      <w:r>
        <w:rPr>
          <w:rtl w:val="true"/>
        </w:rPr>
        <w:t>کتاب الصلاة</w:t>
      </w:r>
      <w:bookmarkEnd w:id="8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إثبات الحقیقة بذلک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الاشکال من جهة مخالفة ثبوت الحقیقة به لأصالة عدم النقل والاشتراک ، ومن جهة عدم جریان دیدن اللغوییّن فی نقل اللغات علی ضبط المعانی الحقیقیة فقط ، حتی یکون مجرّد تعدادهم معنی فی عداد معانی اللفظ مثبتاًلکونه من معانیه الحقیقیّة ، بل إنما دأبهم ودیدنهم علی نقل مطلق معانی اللفظ الحقیقیّة والمجازیّة من غیر تمییز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صلاة الاحتیاط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الوجه هو تعمیم ما یلتزمه الانسان لمطلق ما یجب بالعرض الا بالذات من الصلاة ، سواء کان الموجب له فعله الاختیاری کالنذر وشبهه ، أم غیر الاختیاری کالسهو والشکّ الموجبین لصلاة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بحرمتها مجاز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القطع بمجازیّته علی القول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مجازیّته علی هذا القول مبنیّ علی ثبوت المقدّمتین الخلافیتین ، من القول بثبوت الحقیقة الشرعیّة، والقول بکون الاسم لخصوص الصحیح منها لا الأعمّ، وإلا فعلی القول بمنع أیّ من المقدمتیّن لا مجازیّة فی إطلاق الصلاة علی الصلاة المحرّمة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علی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مفهوم تقیید الساقط بنوافل النهار فی بعض الأخبار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المعلّل بأنها زیادة فی الخمسین تطوّعاً، لیتمّ بدل کلّ رکعة من الفریضة رکعتان من التطوع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تعلیل عدم سقوط الوتیرة بذلک التعلیل أنها لیست فی الحقیقة بنافلة العشاء حتی تسقط بقصرها، بل هی لتتمیم تضاعف عدد النافلة علی عدد الفریضة بضعفین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رجحانهما علیه من وجوه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أصرحیّتهما فی الاجماع، وأکثریتهما عدداً منه، وأوفقیّتهما بقوله علیه السلام فیما تقدّم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النصوص والفتاوی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ظهور النصوص ظهور الملازمة المستفادة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صلحت الناقلة فی السفر تمت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قصر الفریضة وسقوط نافلتها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شهادة السیاق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التأمّل لعلّه إشارة إلی أن عدم الصلاحیّة بالإضافة إلی الفریضة لمّا کان للتحریم إجماعاً فلیکن بالإضافة إلی نافلتها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أن شهادة السیاق المذکور لا تقاوم قاعدة التسامح فی أدلّة السنن المقتضیة استحبابها بعد، ولا استصحابها استصحاب استحبابها السابق المتیقّن فی الحضر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عدم دلالة إطلاق السقوط وعدم الصلاحیّة فی الفتاوی والنصوص علی الحرمة والفساد، لورودها مورد توهّم حظر اللزوم أو تأکید رجحانه الثابت فی الحضر، فینصرف إلی رفع ما سبقت لرفعه من توهّم اللزوم وتأکید الرجحان السابق، لا لرفع أصل المشروعیّة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مکافئة لما سبقها من وجوه شتّی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أصحیّة سند السابقة، وأکثریّتها عدداً، وأشهریّتها ، ومخالفتها للعامّة</w:t>
      </w:r>
      <w:r>
        <w:rPr>
          <w:rStyle w:val="FootnoteAnchor"/>
          <w:rtl w:val="true"/>
        </w:rPr>
        <w:footnoteReference w:id="1306"/>
      </w:r>
      <w:r>
        <w:rPr>
          <w:rFonts w:ascii="IRNazanin" w:hAnsi="IRNazanin" w:eastAsia="IRNazanin"/>
          <w:color w:val="111111"/>
          <w:sz w:val="28"/>
          <w:sz w:val="28"/>
          <w:szCs w:val="28"/>
          <w:rtl w:val="true"/>
          <w:lang w:bidi="fa-IR"/>
        </w:rPr>
        <w:t xml:space="preserve">، بخلاف النصوص </w:t>
      </w:r>
      <w:r>
        <w:rPr>
          <w:rStyle w:val="FootnoteAnchor"/>
          <w:rtl w:val="true"/>
        </w:rPr>
        <w:footnoteReference w:id="1307"/>
      </w:r>
      <w:r>
        <w:rPr>
          <w:rFonts w:ascii="IRNazanin" w:hAnsi="IRNazanin" w:eastAsia="IRNazanin"/>
          <w:color w:val="111111"/>
          <w:sz w:val="28"/>
          <w:sz w:val="28"/>
          <w:szCs w:val="28"/>
          <w:rtl w:val="true"/>
          <w:lang w:bidi="fa-IR"/>
        </w:rPr>
        <w:t>المخالفة لها، فإنها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ناسیاً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وقع العصر بتمامها فی الوقت المشترک أو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المعترض المستطیر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 المعترض الممتّد فی عرض الأفق لا فی طوله، ومن المستطیر المنتشر فی الأفق لا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هذین القیدین إخراج الفجر الأول، فإنه بعکس ذلک،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مستطیل ثابت لا منتشر فی طول الأفق ولا فی عرضه کذنب السرحان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الاستثناء ظهور تام فی الأوقات المختصّة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ما هو الظاهر من کون الاستثناء متّصلاً لا منقطعاً ، وإلا کان ظاهراً فی ترتّب إحدی الصلاتین علی الأخری، لا فی خصوصیّة أحد الوقتین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إشعار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الوقتین لفظاً مشعر بتعدّدهما حقیقة من حیث الخصوصیّة، لا بمجرّد الاعتبار من حیث تعدّد الفعل الواقع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غیبوبة الشفق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بالتحریک بقیّة ضوء الشمس وحمرتها الباقی فی الأفق الغربی من بعد غیاب الشمس إلی وقت العشاء الآخرة، ثم یغیب ویبقی الشفق الأبیض منه إلی نصف 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التضییع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تأخیره إلی نصف اللیل من التضییع المعهود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تقویة ما ذکره من أن الأمر بتأخیر الفرضین إلی المثل والمثلین لبس إلا لأجل نافلتهما، بما هو المستفاد من التتبع واستقراء الأخبار والسیر من أنه لیس فی نظر الشارع أمر أهم من أداء الفریضة فی أول وقتها، حتی یسوغ تأخیر الفریضة لأجله، سوی نوافلها، فإنها هی التی تصلح لمزاحمة الفریضة و تأخیرها عن أول وقتها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بینهما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وجه دلالة التنفّل فی المزدلفة بین العشائین علی توسیع وقت نافلة المغرب لما بعد الشفق هو أن الإفاضة بعد الغروب من عرفات إلی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وقوع العشائین فی المزدلفة بعد الشفق عادة ، لما بین الموقفین من البعد المستلزم لذلک عادة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إلی أن وجه معارضة النصوص</w:t>
      </w:r>
      <w:r>
        <w:rPr>
          <w:rStyle w:val="FootnoteAnchor"/>
          <w:rtl w:val="true"/>
        </w:rPr>
        <w:footnoteReference w:id="1309"/>
      </w:r>
      <w:r>
        <w:rPr>
          <w:rFonts w:ascii="IRNazanin" w:hAnsi="IRNazanin" w:eastAsia="IRNazanin"/>
          <w:color w:val="111111"/>
          <w:sz w:val="28"/>
          <w:sz w:val="28"/>
          <w:szCs w:val="28"/>
          <w:rtl w:val="true"/>
          <w:lang w:bidi="fa-IR"/>
        </w:rPr>
        <w:t>المانعة عن التنفّل بین العشائین للجامع بینهما فی المزدلفة ، مع أن تقیید المنع فیها بالجمع مفهومه عدم المنع فی غیر الجمع، هو اتّفاق النصوص</w:t>
      </w:r>
      <w:r>
        <w:rPr>
          <w:rStyle w:val="FootnoteAnchor"/>
          <w:rtl w:val="true"/>
        </w:rPr>
        <w:footnoteReference w:id="1310"/>
      </w:r>
      <w:r>
        <w:rPr>
          <w:rFonts w:ascii="IRNazanin" w:hAnsi="IRNazanin" w:eastAsia="IRNazanin"/>
          <w:color w:val="111111"/>
          <w:sz w:val="28"/>
          <w:sz w:val="28"/>
          <w:szCs w:val="28"/>
          <w:rtl w:val="true"/>
          <w:lang w:bidi="fa-IR"/>
        </w:rPr>
        <w:t>والفتاوی علی استحباب الجمع بینهما فیه وعموم المنع من التنفّل فیه مطلقاً لمرید الجمع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فلتحمل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منع أصرحیّة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فی التوقیت من دلالة أفضلیّة النصف علی اشتراک ما قبله لما بعده فی فضیلة الوقت، بل الأمر بالعکس جدّاً، فلیحمل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التوقیت علی فوات وقت الفضیلة دون العکس، حملاً للظاهر علی الأظهر ، دون العکس وإن کان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بکثرة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المنع من جابریّة کثرة العدد لضعف السند ما لم تبلغ الکثرة إلی الشهرة روایة أو فتوی علی وجه</w:t>
      </w:r>
    </w:p>
    <w:p>
      <w:pPr>
        <w:pStyle w:val="BookText"/>
        <w:rPr/>
      </w:pPr>
      <w:r>
        <w:rPr>
          <w:rFonts w:ascii="IRNazanin" w:hAnsi="IRNazanin" w:eastAsia="IRNazanin"/>
          <w:color w:val="111111"/>
          <w:sz w:val="28"/>
          <w:sz w:val="28"/>
          <w:szCs w:val="28"/>
          <w:rtl w:val="true"/>
          <w:lang w:bidi="fa-IR"/>
        </w:rPr>
        <w:t>أو إلی منع أصل المدّعی ، وهو ضعف سندی المرویّ فی الفقیه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مستطرفات السرائر </w:t>
      </w:r>
      <w:r>
        <w:rPr>
          <w:rStyle w:val="FootnoteAnchor"/>
          <w:rtl w:val="true"/>
        </w:rPr>
        <w:footnoteReference w:id="1312"/>
      </w:r>
      <w:r>
        <w:rPr>
          <w:rFonts w:ascii="IRNazanin" w:hAnsi="IRNazanin" w:eastAsia="IRNazanin"/>
          <w:color w:val="111111"/>
          <w:sz w:val="28"/>
          <w:sz w:val="28"/>
          <w:szCs w:val="28"/>
          <w:rtl w:val="true"/>
          <w:lang w:bidi="fa-IR"/>
        </w:rPr>
        <w:t>، لما تقدم فی وجه الضعف و منعه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الإسفار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 إذا انکشف وأضاء،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السفر کشف الغطاء،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والسفرة</w:t>
      </w:r>
      <w:r>
        <w:rPr>
          <w:rStyle w:val="FootnoteAnchor"/>
          <w:rtl w:val="true"/>
        </w:rPr>
        <w:footnoteReference w:id="1314"/>
      </w:r>
      <w:r>
        <w:rPr>
          <w:rFonts w:ascii="IRNazanin" w:hAnsi="IRNazanin" w:eastAsia="IRNazanin"/>
          <w:color w:val="111111"/>
          <w:sz w:val="28"/>
          <w:sz w:val="28"/>
          <w:szCs w:val="28"/>
          <w:rtl w:val="true"/>
          <w:lang w:bidi="fa-IR"/>
        </w:rPr>
        <w:t xml:space="preserve">لکشفهم الغطاء بتأدیة الرسالة والسفارة بین المرسل و المرسل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علیه السلام تقیة السائل فی فعلهما بعده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قبل الفجر ومعه وبعده</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لیس تقیّة القائل فی قوله، لفرض عدم موافقته العامّة</w:t>
      </w:r>
      <w:r>
        <w:rPr>
          <w:rStyle w:val="FootnoteAnchor"/>
          <w:rtl w:val="true"/>
        </w:rPr>
        <w:footnoteReference w:id="1316"/>
      </w:r>
      <w:r>
        <w:rPr>
          <w:rFonts w:ascii="IRNazanin" w:hAnsi="IRNazanin" w:eastAsia="IRNazanin"/>
          <w:color w:val="111111"/>
          <w:sz w:val="28"/>
          <w:sz w:val="28"/>
          <w:szCs w:val="28"/>
          <w:rtl w:val="true"/>
          <w:lang w:bidi="fa-IR"/>
        </w:rPr>
        <w:t xml:space="preserve">، بل المراد تقیّة السائل فی فعلّه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السائل التقنیة فی فعلها بعده، لفرض موافقة فعله هذا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لأطراف العراق الغربیّة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مبدؤه من الموصل، ومنتهاه ما وراء النهر، وهی جزائر خالداد</w:t>
      </w:r>
      <w:r>
        <w:rPr>
          <w:rStyle w:val="FootnoteAnchor"/>
          <w:rtl w:val="true"/>
        </w:rPr>
        <w:footnoteReference w:id="1317"/>
      </w:r>
      <w:r>
        <w:rPr>
          <w:rFonts w:ascii="IRNazanin" w:hAnsi="IRNazanin" w:eastAsia="IRNazanin"/>
          <w:color w:val="111111"/>
          <w:sz w:val="28"/>
          <w:sz w:val="28"/>
          <w:szCs w:val="28"/>
          <w:rtl w:val="true"/>
          <w:lang w:bidi="fa-IR"/>
        </w:rPr>
        <w:t>، وأواسطة الکوفة ونواحیها، والغربیّ منه ما وقع فی طرف المغرب کالموصل ونواحیه ، والشرقیّ عکسه کالبصرة ونواحیها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ساعة کان رسول الله صلی الله علیه وآله یوتر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مغیب الشمس إلی صلاة المغرب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یقطع النوافل ویترکها ویتقاعد عنها وقت مغیب </w:t>
      </w:r>
    </w:p>
    <w:p>
      <w:pPr>
        <w:pStyle w:val="BookText"/>
        <w:rPr/>
      </w:pPr>
      <w:r>
        <w:rPr>
          <w:rFonts w:ascii="IRNazanin" w:hAnsi="IRNazanin" w:eastAsia="IRNazanin"/>
          <w:color w:val="111111"/>
          <w:sz w:val="28"/>
          <w:sz w:val="28"/>
          <w:szCs w:val="28"/>
          <w:rtl w:val="true"/>
          <w:lang w:bidi="fa-IR"/>
        </w:rPr>
        <w:t xml:space="preserve">الشمس إلی صلاة المغرب،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الأقربین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قطعهم ، کما هو مضمون الأخبار </w:t>
      </w:r>
      <w:r>
        <w:rPr>
          <w:rStyle w:val="FootnoteAnchor"/>
          <w:rtl w:val="true"/>
        </w:rPr>
        <w:footnoteReference w:id="1318"/>
      </w:r>
      <w:r>
        <w:rPr>
          <w:rFonts w:ascii="IRNazanin" w:hAnsi="IRNazanin" w:eastAsia="IRNazanin"/>
          <w:color w:val="111111"/>
          <w:sz w:val="28"/>
          <w:sz w:val="28"/>
          <w:szCs w:val="28"/>
          <w:rtl w:val="true"/>
          <w:lang w:bidi="fa-IR"/>
        </w:rPr>
        <w:t>الدالّة علی کراهة التنفّل وقت غروب الشمس وطلوعه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یتنفّل فی ذلک الوقت ، کما هو مضمون</w:t>
      </w:r>
      <w:r>
        <w:rPr>
          <w:rStyle w:val="FootnoteAnchor"/>
          <w:rtl w:val="true"/>
        </w:rPr>
        <w:footnoteReference w:id="1319"/>
      </w:r>
      <w:r>
        <w:rPr>
          <w:rFonts w:ascii="IRNazanin" w:hAnsi="IRNazanin" w:eastAsia="IRNazanin"/>
          <w:color w:val="111111"/>
          <w:sz w:val="28"/>
          <w:sz w:val="28"/>
          <w:szCs w:val="28"/>
          <w:rtl w:val="true"/>
          <w:lang w:bidi="fa-IR"/>
        </w:rPr>
        <w:t>ما یعارض أخبار کراهة التنفّل وقت الغروب وطلوعه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فوجه دلالة الخبر علی المدّعی من کون المغرب بذهاب الحمرة لا بمغیب الشمس ظاهر من تأخیره وقت صلاة المغرب عن وقت المغیب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وستر وأظلم وأجنّه اللیل ، ومنه تسمیة الأجنّة بالجن ، الاستنارهم عن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مجهولا غیر مضبوط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التحقیقی من جمیع الجهات بحیث لا یتفاوت أصلاً ولا یتخلّف أبداً، وإلا فبحسب التقریب والتخمین معلوم مضبوط، إلا أنه لما لم یکن دلیل علی اعتبار هذا الضبط ولو کان اختلافه یسیراً لم یعوّل علیه فی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یتطرق إلیه النظر بأنه کما یوجب المسارعة إلی فضیلة الواجب فی وقته، لکنّه یوجب فوات فضیلة التطویل المندوب إلیه فی الصلاة مطلقاًولو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فضیلة الفریضة أولی من فضیلة النافلة منه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مخالفته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 استتار القرص من رؤوس الجدران وقلل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أقرب وأحوط من القول باستتاره عن البصر ، ولم یکن مخالفاً للإجماع البسیط أیضاً لعدمه فی المسألة، إلا أنه مخالف للإجماع المرکب علی انحصار القول فی الأخذ بظاهر مضمون إحدی طائفتی الأخبار، وهی ذهاب الحمرة المشرقیّة أو مطلق استتار القرص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التوقیف فی العبادات هو الاقتصار فی شرعیّتها علی المتیقّن ، وهو فعلها لو لم تفعل أولاً، ومن أن قضیة استصحاب شرعیتّها هو جواز إعادتها ولو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فیه معنی ثالث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بقی من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یسع رکعة منها أو صلی رکعة منها قبل مضیّ وقتها أتّمها مقدّمة علی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أظهّر ما احتمل فیها من المعانی ، وإن لم یسبقنی إلی فهمه أحد فیما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اعتضاداً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تضعیفه بأن اشتراط تخفیف النافلة المزاحمة للفریضة فی الوقت وإن اعتضد بأصالة الاحتیاط وعدم مشروعیّة التطویل فیها، وقاعدة التوقیف فی العبادات القاضیة بالاقتصار علی المتیقّن من کیفیاتها المشروعة، وهو التخفیف فیما نحن فیه، إلا أنه مخالف لأصالة البراءة و لاستصحاب شرعیّة التطویل قبل المزاحمة فیما بعدها، ولإطلاق </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320"/>
      </w:r>
      <w:r>
        <w:rPr>
          <w:rFonts w:ascii="IRNazanin" w:hAnsi="IRNazanin" w:eastAsia="IRNazanin"/>
          <w:color w:val="111111"/>
          <w:sz w:val="28"/>
          <w:sz w:val="28"/>
          <w:szCs w:val="28"/>
          <w:rtl w:val="true"/>
          <w:lang w:bidi="fa-IR"/>
        </w:rPr>
        <w:t xml:space="preserve">بجواز المزاحمة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کلّاً من الاستصحاب وإطلاق الموثّق المفروض حجّیته حاکم ومقدّم علی سائر الأصول المعاضدة لاشتراط التخفیف ، بحیث لا تقاومه تلک الأصول المعارضة له فضلاً عن تقدیمها علیه ،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وجه النظر الذی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تقویة وجه النظر المذکور، باعتضاده بقضیّة قاعدة التوقیف فی العبادات، للاقتصار علی المتیقّن من شرعیّتها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تضعیفه بقضیّة استصحاب بقاء شرعیّة فعل النافلة ما دام وقتها باقیاً ، ولو تأخّرت عن فعل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فتکون الروایة </w:t>
      </w:r>
      <w:r>
        <w:rPr>
          <w:rStyle w:val="FootnoteAnchor"/>
          <w:rtl w:val="true"/>
        </w:rPr>
        <w:footnoteReference w:id="1321"/>
      </w:r>
      <w:r>
        <w:rPr>
          <w:rFonts w:ascii="Amiri" w:hAnsi="Amiri" w:eastAsia="Amiri" w:cs="Amiri"/>
          <w:color w:val="111111"/>
          <w:sz w:val="28"/>
          <w:sz w:val="28"/>
          <w:szCs w:val="28"/>
          <w:rtl w:val="true"/>
          <w:lang w:bidi="ar-SA"/>
        </w:rPr>
        <w:t xml:space="preserve">لذلک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دفع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شذوذها من جهة جواز الجماعة فی النافلة لا ینافی صحّة الاستدلال بها من جهة جواز النافلة فی وقت الفریضة، کالعام المخصّص حیث إن التخصیص فیه لا ینافی حجّینه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المنافاة إنما هو فیما لو اشتملت الروایة علی فقرتین إحداهما شاذّة والأخری غیر شاذّة، لم یقدح شذوذ فقرة منها فی الفقرة غیر الشادة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اشتملت علی الفقرتین بلفظ واحد کما فیما نحن فیه فلا مناص من قدحها وترکها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لعلّه إشارة إلی إمکان منع صیرورة الروایة لذلک شاذّة، بأن مخالفة </w:t>
      </w:r>
    </w:p>
    <w:p>
      <w:pPr>
        <w:pStyle w:val="BookText"/>
        <w:rPr/>
      </w:pPr>
      <w:r>
        <w:rPr>
          <w:rFonts w:ascii="IRNazanin" w:hAnsi="IRNazanin" w:eastAsia="IRNazanin"/>
          <w:color w:val="111111"/>
          <w:sz w:val="28"/>
          <w:sz w:val="28"/>
          <w:szCs w:val="28"/>
          <w:rtl w:val="true"/>
          <w:lang w:bidi="fa-IR"/>
        </w:rPr>
        <w:t>جواز الجماعة فی النافلة للاجماع واستلزامه شذوذ الروایة کما یصلح قرینة الصرف النافلة فیها إلی الفریضة المعادة ، کذلک یصلح قرینة لصرف الجماعة فیها إلی مجرد المعنیة من دون قصد الجماعة فیها ، إذ لیس التأویل الأول أولی من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یحصل فی الواجب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إشارة إلی أن الفضل وإن کان غیر الأفضلیّة إلا أن ظهوره فی المستحبّ أکثر من ظهوره فی الواجب ، فالعدول عن أظهریّته فی المندوب إلی ما دونه من غیر قرینة صارفة خلاف البلاغة ، وإن کان بمعنی الأفضلیّة أصرّح فی الدلالة علیه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البردین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المجمع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البردان العصران، وهما الغداة والعشیّ،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النهار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ظلالهما</w:t>
      </w:r>
      <w:r>
        <w:rPr>
          <w:rFonts w:eastAsia="IRNazanin" w:cs="IRNazanin"/>
          <w:color w:val="111111"/>
          <w:sz w:val="28"/>
          <w:szCs w:val="28"/>
          <w:rtl w:val="true"/>
          <w:lang w:bidi="fa-IR"/>
        </w:rPr>
        <w:t>»</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أبردوا بالصلاة</w:t>
      </w:r>
      <w:r>
        <w:rPr>
          <w:rStyle w:val="FootnoteAnchor"/>
          <w:rtl w:val="true"/>
        </w:rPr>
        <w:footnoteReference w:id="1323"/>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عجّلوها فی أول وقتها ، من برد النهار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إشارة إلی أن دلالة المکاتبة علی المطلوب مبنیّ علی أن یکون المراد من القضاء فی السؤال هو فعل النوافل ،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 xml:space="preserve">، لا فعلها بعد خروج وقتها الذی هو معناه المصطلح،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هو فعلها بعد خروج وقتها لا فعلها المطلق، وإلا فلا دلالة لها علی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علی العکس أدلّ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تعارض العموم من وجه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لتصادقهما فی قضاء المنسیّ، حیث إن الأخبار </w:t>
      </w:r>
      <w:r>
        <w:rPr>
          <w:rStyle w:val="FootnoteAnchor"/>
          <w:rtl w:val="true"/>
        </w:rPr>
        <w:footnoteReference w:id="1325"/>
      </w:r>
      <w:r>
        <w:rPr>
          <w:rFonts w:ascii="IRNazanin" w:hAnsi="IRNazanin" w:eastAsia="IRNazanin"/>
          <w:color w:val="111111"/>
          <w:sz w:val="28"/>
          <w:sz w:val="28"/>
          <w:szCs w:val="28"/>
          <w:rtl w:val="true"/>
          <w:lang w:bidi="fa-IR"/>
        </w:rPr>
        <w:t>المانعة مانعة من فعلّه فی الأوقات المکروهة ، وهذه الأخبار مجوّزة لفعلّه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وتفارق أخبار المنع من حیث شمول عمومها للنوافل المبتدأة، بخلاف الأخبار </w:t>
      </w:r>
      <w:r>
        <w:rPr>
          <w:rStyle w:val="FootnoteAnchor"/>
          <w:rtl w:val="true"/>
        </w:rPr>
        <w:footnoteReference w:id="1326"/>
      </w:r>
      <w:r>
        <w:rPr>
          <w:rFonts w:ascii="IRNazanin" w:hAnsi="IRNazanin" w:eastAsia="IRNazanin"/>
          <w:color w:val="111111"/>
          <w:sz w:val="28"/>
          <w:sz w:val="28"/>
          <w:szCs w:val="28"/>
          <w:rtl w:val="true"/>
          <w:lang w:bidi="fa-IR"/>
        </w:rPr>
        <w:t>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وتفارق المجوّزة من حیث شمولها لغیر ذات الرکوع والسجود کصلاة الجنازة ، بخلاف الأخبار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أوجبت هی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شهرة الکراهة إما مانعة من حمل مطلق أخبار</w:t>
      </w:r>
      <w:r>
        <w:rPr>
          <w:rStyle w:val="FootnoteAnchor"/>
          <w:rtl w:val="true"/>
        </w:rPr>
        <w:footnoteReference w:id="1327"/>
      </w:r>
      <w:r>
        <w:rPr>
          <w:rFonts w:ascii="IRNazanin" w:hAnsi="IRNazanin" w:eastAsia="IRNazanin"/>
          <w:color w:val="111111"/>
          <w:sz w:val="28"/>
          <w:sz w:val="28"/>
          <w:szCs w:val="28"/>
          <w:rtl w:val="true"/>
          <w:lang w:bidi="fa-IR"/>
        </w:rPr>
        <w:t xml:space="preserve">الکراهة علی النقیّة ، وإما مقتضیة لإثبات الکراهة بنفسها، وذلک مبنیّ علی ما هو علیه من حجّیة الشهرة بنفسها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الوقتین الأولین من أوقات الکراهة ، وهما عند طلوع الشمس وعند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الخلاف </w:t>
      </w:r>
      <w:r>
        <w:rPr>
          <w:rStyle w:val="FootnoteAnchor"/>
          <w:rtl w:val="true"/>
        </w:rPr>
        <w:footnoteReference w:id="1328"/>
      </w:r>
      <w:r>
        <w:rPr>
          <w:rFonts w:ascii="IRNazanin" w:hAnsi="IRNazanin" w:eastAsia="IRNazanin"/>
          <w:color w:val="111111"/>
          <w:sz w:val="28"/>
          <w:sz w:val="28"/>
          <w:szCs w:val="28"/>
          <w:rtl w:val="true"/>
          <w:lang w:bidi="fa-IR"/>
        </w:rPr>
        <w:t xml:space="preserve">الثالث،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الثالث ، وهو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أطیب ریحاً من قضیب الأس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 ما یقبض علیه من عصا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والآس شجر معروف ، یسمی بالفارسیّة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وللزوم تبعیّة الوقت للأفعال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الصلاة بوقوع جزء منها فی الوقت یستلزم تبعیّة الوقت للفعل ، بحیث لو اختصر الفعل کان فی غیر وقته وإن طول کان فی وقته ، دون تأصّل الوقت ومضروبینّه للفعل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عدم حضور الوقت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التفسیرین تعلّق النسیان فی الأول بحکم الوقت وهو مراعاته ، وفی الثانی بنفس الوقت وموضوعه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حالة المستقبل أو 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القبلة علی الأول من مقولة الکیف، وعلی الثانی من مقولة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اسم عین ، وعلی الثانی اسم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وحملوا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کلامهم علی الجهة ینافی ما فهموه من تعیین استقبال عین المسجد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فهمهم ذلک أن لازم کلامهم تعیین عین المسجد والحرم، لا أن مرادهم تعیینه حتی ینافی حمله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الأقرب الجواز مع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لأقربیّة الجمع مهما أمکن من الطرح، وإلا فلا وجه لأقربیّة الجواز مع الکراهة مع الاعتراف بأرجحّیة نصوص المنع علی نصوص الجواز بوجوه عدیدة ،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الشولة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لنجمین کائنین أمام رأس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صورة ما ذکره </w:t>
      </w:r>
    </w:p>
    <w:p>
      <w:pPr>
        <w:pStyle w:val="BookText"/>
        <w:rPr/>
      </w:pPr>
      <w:r>
        <w:rPr>
          <w:rFonts w:ascii="IRNazanin" w:hAnsi="IRNazanin" w:eastAsia="IRNazanin"/>
          <w:color w:val="111111"/>
          <w:sz w:val="28"/>
          <w:sz w:val="28"/>
          <w:szCs w:val="28"/>
          <w:rtl w:val="true"/>
          <w:lang w:bidi="fa-IR"/>
        </w:rPr>
        <w:t>الأصحاب من النجوم المجعولة من علائم قبلة أهل کلّ إقلیم من الأقالیم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ما صرّح به الحلّی فی السرائر</w:t>
      </w:r>
      <w:r>
        <w:rPr>
          <w:rStyle w:val="FootnoteAnchor"/>
          <w:rtl w:val="true"/>
        </w:rPr>
        <w:footnoteReference w:id="1330"/>
      </w:r>
      <w:r>
        <w:rPr>
          <w:rFonts w:ascii="IRNazanin" w:hAnsi="IRNazanin" w:eastAsia="IRNazanin"/>
          <w:color w:val="111111"/>
          <w:sz w:val="28"/>
          <w:sz w:val="28"/>
          <w:szCs w:val="28"/>
          <w:rtl w:val="true"/>
          <w:lang w:bidi="fa-IR"/>
        </w:rPr>
        <w:t xml:space="preserve">والسبزواریّ فی الذخیرة </w:t>
      </w:r>
      <w:r>
        <w:rPr>
          <w:rStyle w:val="FootnoteAnchor"/>
          <w:rtl w:val="true"/>
        </w:rPr>
        <w:footnoteReference w:id="1331"/>
      </w:r>
      <w:r>
        <w:rPr>
          <w:rFonts w:ascii="IRNazanin" w:hAnsi="IRNazanin" w:eastAsia="IRNazanin"/>
          <w:color w:val="111111"/>
          <w:sz w:val="28"/>
          <w:sz w:val="28"/>
          <w:szCs w:val="28"/>
          <w:rtl w:val="true"/>
          <w:lang w:bidi="fa-IR"/>
        </w:rPr>
        <w:t>مکبّر، وأن تصغیره فی بعض الألسنة غلط ، کما صرّح به غیر واحد من اللغویین</w:t>
      </w:r>
      <w:r>
        <w:rPr>
          <w:rStyle w:val="FootnoteAnchor"/>
          <w:rtl w:val="true"/>
        </w:rPr>
        <w:footnoteReference w:id="133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صغّر، لیتمیّز عن البرج</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تصغیره علی ذلک من اصطلاح المنجّمین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الروض </w:t>
      </w:r>
      <w:r>
        <w:rPr>
          <w:rStyle w:val="FootnoteAnchor"/>
          <w:rtl w:val="true"/>
        </w:rPr>
        <w:footnoteReference w:id="1334"/>
      </w:r>
      <w:r>
        <w:rPr>
          <w:rFonts w:ascii="IRNazanin" w:hAnsi="IRNazanin" w:eastAsia="IRNazanin"/>
          <w:color w:val="111111"/>
          <w:sz w:val="28"/>
          <w:sz w:val="28"/>
          <w:szCs w:val="28"/>
          <w:rtl w:val="true"/>
          <w:lang w:bidi="fa-IR"/>
        </w:rPr>
        <w:t>فی تحقیق معنی الجهة من أن غایة السهولة والتوسعة فیها هو الاکتفاء بمحتمل المصادفة بعین الکعبة دون ما لا یحتمل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 الواحد وإن تمکّن من الأربع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بالقرعة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رجع الشارح إلی تفصیل أقوال صورة التمکّن من الجهات الأربع دون المسألة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عدم التمکّن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الاکتفاء بالواحدة وعدمه عند التمکّن من الزیادة وعدم التمکّن من الأربع متفرع و مبنیّ علی القول </w:t>
      </w:r>
    </w:p>
    <w:p>
      <w:pPr>
        <w:pStyle w:val="BookText"/>
        <w:rPr/>
      </w:pPr>
      <w:r>
        <w:rPr>
          <w:rFonts w:ascii="IRNazanin" w:hAnsi="IRNazanin" w:eastAsia="IRNazanin"/>
          <w:color w:val="111111"/>
          <w:sz w:val="28"/>
          <w:sz w:val="28"/>
          <w:szCs w:val="28"/>
          <w:rtl w:val="true"/>
          <w:lang w:bidi="fa-IR"/>
        </w:rPr>
        <w:t>بالاکتفاء بالواحدة وعدمه عند التمکّن من الأربع، فإذا اکتفی بالواحدة فی صورة التمکّن من الأربع اکتفی بها أیضاً فی صورة عدم التمکن من الأربع بالأولویة ، وإن تمکّن من الزیادة علی الواحدة، وإذا لم یکتف بالواحدة فی صورة التمکّن من الأربع لم یکتف بها أیضاً فی صورة عدم التمکّن من الأربع إذا تمکّن من الزیادة ، القاعدة عدم سقوط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اکتفاء الشارح عن تفصیل حکم صورة عدم التمکّن من الأربع بتفصیل حکم صورة التمکن من الأربع وأقوالها و ترجیح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به سیاق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حیث إنه صریح فی بیان حکم المنحرف عن القبلة نسیاناً بعد الصلاة، لا بیان حکم قبلة المتحیّر قبل الصلاة الذی نحن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کلّ من مرّ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مرّ من الجاهل والناسی لمراعاة القبلة أوجهتها، والمصلی لضیق الوقت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لاختصاص الأصول بمنع الإلحاق فی صورة عدم الاعادة فی الوقت لا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عدم إلحاق الناسی والجاهل بالظانّ إنما یقتضی عدم الإلحاق فی صورة عدم الإعادة فی الوقت ، وهی خصوص صورة ما إذا صلّی إلی ما بین المشرق والمغرب، دون الصورتین الأخیرتین،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فی الوقت وعدم الاعادة فی خارجه،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صلّی إلی نفس المشرق والمغرب أو إلی استندبار القبلة ، فإن الأصل فیهما إلحاق الناسی و الجاهل </w:t>
      </w:r>
    </w:p>
    <w:p>
      <w:pPr>
        <w:pStyle w:val="BookText"/>
        <w:rPr/>
      </w:pPr>
      <w:r>
        <w:rPr>
          <w:rFonts w:ascii="IRNazanin" w:hAnsi="IRNazanin" w:eastAsia="IRNazanin"/>
          <w:color w:val="111111"/>
          <w:sz w:val="28"/>
          <w:sz w:val="28"/>
          <w:szCs w:val="28"/>
          <w:rtl w:val="true"/>
          <w:lang w:bidi="fa-IR"/>
        </w:rPr>
        <w:t>بالظانّ فی الاعادة فی الوقت وعدمه فی خارج الوقت ، حسبما قرّر فی المتن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الصور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مصادفة الصلاة إلی ما بین مشرق القبلة ومغربها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 مشرق القبلة ومغربها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استدبار القبلة وعکسها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 أو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إشارة إلی الخلاف المتقدّم فی أن إجزاء صلاة واحدة إلی أی جهة شاء من المتحیّر فی القبلة هل یختصّ بمن لم یتمکّن من غیر الواحدة ، أو یعمّ المتمکّن من الزیادة والصلاة إلی سائر الجهات؟</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سیور النعل، وهو الذی یدخل بین الإصبعین ، ویدخل طرفه الثقب الذی فی صدر النعل المشدود 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الفراء والکیمخت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الفراء بالکسر والمدّ جمع فرو 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یلبس من الجلود التی صوفها معها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والکیمخت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مستعرب معناه فی العربیّة غمد السیف، وفی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 علی ما نقل عن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المجمع أن الکیمخت بالفتح والسکون جلد المیتة المملوح،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الصاغری </w:t>
      </w:r>
      <w:r>
        <w:rPr>
          <w:rStyle w:val="FootnoteAnchor"/>
          <w:rtl w:val="true"/>
        </w:rPr>
        <w:footnoteReference w:id="1335"/>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یتقلّد السیف ویصلّی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 دوات منه ما کان ذکیّاً </w:t>
      </w:r>
    </w:p>
    <w:p>
      <w:pPr>
        <w:pStyle w:val="BookText"/>
        <w:rPr/>
      </w:pPr>
      <w:r>
        <w:rPr>
          <w:rFonts w:ascii="IRNazanin" w:hAnsi="IRNazanin" w:eastAsia="IRNazanin"/>
          <w:color w:val="111111"/>
          <w:sz w:val="28"/>
          <w:sz w:val="28"/>
          <w:szCs w:val="28"/>
          <w:rtl w:val="true"/>
          <w:lang w:bidi="fa-IR"/>
        </w:rPr>
        <w:t>ومنه ما یکون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بن الحسین علیه السلام رجلاً صرداً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وکسر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یجد البرد سریعاً،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مصراد لمن یشتّد علیه البرد ولا یطیقه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بتحریک القاف والراء المهملة والظاء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السلم یدبغ به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العضاه</w:t>
      </w:r>
      <w:r>
        <w:rPr>
          <w:rStyle w:val="FootnoteAnchor"/>
          <w:rtl w:val="true"/>
        </w:rPr>
        <w:footnoteReference w:id="1337"/>
      </w:r>
      <w:r>
        <w:rPr>
          <w:rFonts w:ascii="IRNazanin" w:hAnsi="IRNazanin" w:eastAsia="IRNazanin"/>
          <w:color w:val="111111"/>
          <w:sz w:val="28"/>
          <w:sz w:val="28"/>
          <w:szCs w:val="28"/>
          <w:rtl w:val="true"/>
          <w:lang w:bidi="fa-IR"/>
        </w:rPr>
        <w:t>، الواحدة سلمة، کقصب وقصبّة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فی الفارسیة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درخت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قلنسوة أو تکّة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واللام وضمّ السین ، جمعه قلانس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یلبس فی الرأس ، وفی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التکک ، کسدرة وسدر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 جمع جورب 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لفّافة الرجل ،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 اعتباری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 الوجه الاعتباری مقایسة المحمول ممّا لا یؤکل بالمحمول من النجاسة ، بل وبالملبوس الذی لا تتمّ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ضعفه حینئذ وضوح کونه قیاساً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بوبر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برّی معروف،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توره</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w:t>
      </w:r>
    </w:p>
    <w:p>
      <w:pPr>
        <w:pStyle w:val="BookText"/>
        <w:rPr/>
      </w:pPr>
      <w:r>
        <w:rPr>
          <w:rFonts w:ascii="IRNazanin" w:hAnsi="IRNazanin" w:eastAsia="IRNazanin"/>
          <w:color w:val="111111"/>
          <w:sz w:val="28"/>
          <w:sz w:val="28"/>
          <w:szCs w:val="28"/>
          <w:rtl w:val="true"/>
          <w:lang w:bidi="fa-IR"/>
        </w:rPr>
        <w:t>بالتأمّل إشارة إلی إمکان دعوی الفرق بین العاضد والمعتضد، واحتمال استناد المنع عن الخزّ المغشوش بوبره إلی عدّه لباساً للمصلّی، فلا ینهض دلیلاً علی المنع من وبره المحمول الذی لا یعدّ لباساً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لباس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التعلیق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الفراء والکیمخت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الکلمتین حرفأ بحرف مع إضافة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وکمخ بأنفه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فی تفسیر الکیمحت هنا، ووضعنا المکرر هنا فی المتن کما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بالکسر والمدّ جمع فرو بفتح أوله ما یلبس من الجلود التی صوفها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کنتّور، جمعه سما میر کتنانیر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معروفة یتّخذ من جلدها فراءً مثمنة، تکون ببلاد الترک ، تشبه النمر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 الذی هو 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برّیة غیر مأکولة اللحم، یؤخذ منه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جراء الثعلب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 فرخ </w:t>
      </w:r>
      <w:r>
        <w:rPr>
          <w:rStyle w:val="FootnoteAnchor"/>
          <w:rtl w:val="true"/>
        </w:rPr>
        <w:footnoteReference w:id="1340"/>
      </w:r>
      <w:r>
        <w:rPr>
          <w:rFonts w:ascii="IRNazanin" w:hAnsi="IRNazanin" w:eastAsia="IRNazanin"/>
          <w:color w:val="111111"/>
          <w:sz w:val="28"/>
          <w:sz w:val="28"/>
          <w:szCs w:val="28"/>
          <w:rtl w:val="true"/>
          <w:lang w:bidi="fa-IR"/>
        </w:rPr>
        <w:t xml:space="preserve">ابن آوی الذی 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برّیّ معروف، ویسمی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توره</w:t>
      </w:r>
      <w:r>
        <w:rPr>
          <w:rStyle w:val="FootnoteAnchor"/>
          <w:rtl w:val="true"/>
        </w:rPr>
        <w:footnoteReference w:id="1341"/>
      </w:r>
      <w:r>
        <w:rPr>
          <w:rFonts w:ascii="IRNazanin" w:hAnsi="IRNazanin" w:eastAsia="IRNazanin"/>
          <w:color w:val="111111"/>
          <w:sz w:val="28"/>
          <w:sz w:val="28"/>
          <w:szCs w:val="28"/>
          <w:rtl w:val="true"/>
          <w:lang w:bidi="fa-IR"/>
        </w:rPr>
        <w:t xml:space="preserve">، کما یسمّی الأرنب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علی حدّ الیربوع، أکبر من الفأرة ، شعره فی غایة النعومة، یتّخذ من جلده الفراء، وهو کالفنک ، کثیراً ما یکون فی بلاد الصقالبة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الآذربایجان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والحواصل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حوصل طیر کبیر، له حوصلة عظیمة ، یتّخذ منه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والمناطیق جمع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یشدّ به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والکیمخت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مستعرب ، معناه فی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غمد السیف ،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 علی ما نقل عن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رأیته فی المجمع أن الکیمخت بالفتح فالسکون جلد المیتة المملوح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الصاغریّ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وکمخ بأنفه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یتقلّد السیف ویصلّی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ما کان ذکیّاً ومنه ما کان میتة، فقال ما علمت أنه میتة فلا تصلّ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والخفاف جمع 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یلبس فی الرجل ،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اللبن واللَّبأ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بفتحتین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الآدمیّ والحیوانات، جمعه ألبان، کسبب وأسباب،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وزان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اللبن عند الولادة، أکثره ثلاث حلبات وأقلّه حلبة ، جمعه ألباء کأعناب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 خلف الرباعیّة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حوافر الدابّة ، وبالفارسیّة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الصوف والشعر والریش والوبر من المیتة وغیر المیتة ذکیّاً فلا بأس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الصوف ونحوه ذکیّاً،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بمعنی المخفّف من المثقل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وَعْدُ رَبِّنَا لَمَفْعُولًا</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وإلا فلا معنی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ولا الوصلیّة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الشعر ونحوه من المیتة وغیر المیتة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فی الخزّ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تنزل البحر وترعی من البرّ، ذکاتها إخراجها من الماء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 صوف غنم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کلاب الماء</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الإشعار السابق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الإشعار الثانی من الصحیحة </w:t>
      </w:r>
      <w:r>
        <w:rPr>
          <w:rStyle w:val="FootnoteAnchor"/>
          <w:rtl w:val="true"/>
        </w:rPr>
        <w:footnoteReference w:id="1345"/>
      </w:r>
      <w:r>
        <w:rPr>
          <w:rFonts w:ascii="IRNazanin" w:hAnsi="IRNazanin" w:eastAsia="IRNazanin"/>
          <w:color w:val="111111"/>
          <w:sz w:val="28"/>
          <w:sz w:val="28"/>
          <w:szCs w:val="28"/>
          <w:rtl w:val="true"/>
          <w:lang w:bidi="fa-IR"/>
        </w:rPr>
        <w:t xml:space="preserve">المتقدّمة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إشعارها بتلازم الوبر والجلد فی الحلّیة مطلقاًحتی فی الصلاة، لا إشعاره الأول باختصاص الحلیة باللبس دون الصلاة ، فإنه لا یلائم الجواز المعلول به بل ینافیه ، بخلاف إشعاره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والأصل ما ذکره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هذا الأصل لا یلائم کونه بمعنی الدلیل ، بل إنما یلائم کونه بمعنی الأحوط أو قاعدة الاشتغال أو قاعدة العمومات المانعة بعمومها عن الصلاة فیما لا یؤکل لحمه، وهو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الحواصل الخوارزمیّة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الحواصل جمع حوصل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کبیر له حوصلة عظیمة، یتّخذ منه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والخوارزمیّة منسوبة إلی خوارزم وهی جرجان، وهو اسمها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الحریر والدیباج</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 من الثیاب الإبریسم، والدیباج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الاستبرق منه ، وهو الدیباج الغلیظ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أرید بکلّ من الحریر والدیباج مطلق الثیاب المتّخذة من الإبریسم ، کان عطف کلّ منهما علی الآخر من باب عطف المرادف علی المرادف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بکلّ منهما غیر ما أرید من الآخر،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خاصّاً من المتّخذ من الإبریسم ، کان العطف من باب عطف المبائن علی المبائن ، کما هو الأظهر من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بالحریر مطلق المتّخذ من الإبریسم، ومن الدیباج نوع خاصّ منه ، کان العطف من باب عطف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کتفّاح شیء یکون علی وسط الیهود والنصاری ، والجمع زنانیر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فیندفع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الأصل الدافع لدخول التدثّر فی إطلاق اللبس، سواء أرید به أصالة عدم حرمته أو عدم دخوله فی إطلاق اللبس، معارض بما هو أقوی منه ، من أصالة عدم انصراف إطلاق اللبس عنه بعد تسلیم صدق اللبس علیه بالفرض، وذلک لأن انصراف المطلق إلی الفرد الشائع کالنقل ناشیء عن طرق کثرة الاستعمال الموجب له ، والأصل عند الشکّ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بالثوب أن یکون سداه و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السدی کحصی خلاف اللحمة، وهو ما یمدّ طویلاً فی النسج والزرّ بالکسر وشدّ الراء واحد أزرار القمیص، وفی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بالتحریک علم التوب من طراز ونحوه ، والعلامة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علمه دیباجاً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بالتحریک علم الثوب من طراز ونحوه ، وهو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الأکمام والذیل وحول الزیق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الأکمام جمع کمّ وهو الردن،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وزیق القمیص ما أحاط بالعنق، وبالفارسیّة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جبّة کسروانیّة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الکسروانیّة ککسروی منسوب إلی کسری ملک من ملوک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واللبنة بالکسر الجرّبان بالضمّ والتشدید، وهو جیب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والفرج هنا بمعنی الذیل أو الفتق والشقّ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القاموس</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القمیص بکسر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ولبینة بروزن 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خشتک پیراهن است، وجیب القمیص بفتح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پیراهن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یتمّ علی رأی جماعة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الجبریّة منهم المجوزین للتکلیف بالمحال اللازم من اجتماع الأمر والنهی فی الواحد الشخصی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انحصار تمامیّته فی هذا الرأی السخیف الخاصّ بالجبریّة من العامّة</w:t>
      </w:r>
      <w:r>
        <w:rPr>
          <w:rStyle w:val="FootnoteAnchor"/>
          <w:rtl w:val="true"/>
        </w:rPr>
        <w:footnoteReference w:id="1347"/>
      </w:r>
      <w:r>
        <w:rPr>
          <w:rFonts w:ascii="IRNazanin" w:hAnsi="IRNazanin" w:eastAsia="IRNazanin"/>
          <w:color w:val="111111"/>
          <w:sz w:val="28"/>
          <w:sz w:val="28"/>
          <w:szCs w:val="28"/>
          <w:rtl w:val="true"/>
          <w:lang w:bidi="fa-IR"/>
        </w:rPr>
        <w:t xml:space="preserve">، بل یتمّ أیضاً علی الرأی السدید المشهور المنصور بین الخاصّة والعامّة من تعلّق الأحکام بالطبائع لا الأفراد، ولهذا جوزه جملة من أساطین الأصولییّن ، کصاحب القوانین </w:t>
      </w:r>
      <w:r>
        <w:rPr>
          <w:rStyle w:val="FootnoteAnchor"/>
          <w:rtl w:val="true"/>
        </w:rPr>
        <w:footnoteReference w:id="1348"/>
      </w:r>
      <w:r>
        <w:rPr>
          <w:rFonts w:ascii="IRNazanin" w:hAnsi="IRNazanin" w:eastAsia="IRNazanin"/>
          <w:color w:val="111111"/>
          <w:sz w:val="28"/>
          <w:sz w:val="28"/>
          <w:szCs w:val="28"/>
          <w:rtl w:val="true"/>
          <w:lang w:bidi="fa-IR"/>
        </w:rPr>
        <w:t>والإشارات</w:t>
      </w:r>
      <w:r>
        <w:rPr>
          <w:rStyle w:val="FootnoteAnchor"/>
          <w:rtl w:val="true"/>
        </w:rPr>
        <w:footnoteReference w:id="1349"/>
      </w:r>
      <w:r>
        <w:rPr>
          <w:rFonts w:ascii="IRNazanin" w:hAnsi="IRNazanin" w:eastAsia="IRNazanin"/>
          <w:color w:val="111111"/>
          <w:sz w:val="28"/>
          <w:sz w:val="28"/>
          <w:szCs w:val="28"/>
          <w:rtl w:val="true"/>
          <w:lang w:bidi="fa-IR"/>
        </w:rPr>
        <w:t>والضوابط</w:t>
      </w:r>
      <w:r>
        <w:rPr>
          <w:rStyle w:val="FootnoteAnchor"/>
          <w:rtl w:val="true"/>
        </w:rPr>
        <w:footnoteReference w:id="1350"/>
      </w:r>
      <w:r>
        <w:rPr>
          <w:rFonts w:ascii="IRNazanin" w:hAnsi="IRNazanin" w:eastAsia="IRNazanin"/>
          <w:color w:val="111111"/>
          <w:sz w:val="28"/>
          <w:sz w:val="28"/>
          <w:szCs w:val="28"/>
          <w:rtl w:val="true"/>
          <w:lang w:bidi="fa-IR"/>
        </w:rPr>
        <w:t xml:space="preserve">، بل نسب إلی </w:t>
      </w:r>
    </w:p>
    <w:p>
      <w:pPr>
        <w:pStyle w:val="BookText"/>
        <w:rPr/>
      </w:pPr>
      <w:r>
        <w:rPr>
          <w:rFonts w:ascii="IRNazanin" w:hAnsi="IRNazanin" w:eastAsia="IRNazanin"/>
          <w:color w:val="111111"/>
          <w:sz w:val="28"/>
          <w:sz w:val="28"/>
          <w:szCs w:val="28"/>
          <w:rtl w:val="true"/>
          <w:lang w:bidi="fa-IR"/>
        </w:rPr>
        <w:t xml:space="preserve">الفضل ابن شاذان </w:t>
      </w:r>
      <w:r>
        <w:rPr>
          <w:rStyle w:val="FootnoteAnchor"/>
          <w:rtl w:val="true"/>
        </w:rPr>
        <w:footnoteReference w:id="1351"/>
      </w:r>
      <w:r>
        <w:rPr>
          <w:rFonts w:ascii="IRNazanin" w:hAnsi="IRNazanin" w:eastAsia="IRNazanin"/>
          <w:color w:val="111111"/>
          <w:sz w:val="28"/>
          <w:sz w:val="28"/>
          <w:szCs w:val="28"/>
          <w:rtl w:val="true"/>
          <w:lang w:bidi="fa-IR"/>
        </w:rPr>
        <w:t>والکلینی</w:t>
      </w:r>
      <w:r>
        <w:rPr>
          <w:rStyle w:val="FootnoteAnchor"/>
          <w:rtl w:val="true"/>
        </w:rPr>
        <w:footnoteReference w:id="1352"/>
      </w:r>
      <w:r>
        <w:rPr>
          <w:rFonts w:ascii="IRNazanin" w:hAnsi="IRNazanin" w:eastAsia="IRNazanin"/>
          <w:color w:val="111111"/>
          <w:sz w:val="28"/>
          <w:sz w:val="28"/>
          <w:szCs w:val="28"/>
          <w:rtl w:val="true"/>
          <w:lang w:bidi="fa-IR"/>
        </w:rPr>
        <w:t xml:space="preserve">والسلطان </w:t>
      </w:r>
      <w:r>
        <w:rPr>
          <w:rStyle w:val="FootnoteAnchor"/>
          <w:rtl w:val="true"/>
        </w:rPr>
        <w:footnoteReference w:id="1353"/>
      </w:r>
      <w:r>
        <w:rPr>
          <w:rFonts w:ascii="IRNazanin" w:hAnsi="IRNazanin" w:eastAsia="IRNazanin"/>
          <w:color w:val="111111"/>
          <w:sz w:val="28"/>
          <w:sz w:val="28"/>
          <w:szCs w:val="28"/>
          <w:rtl w:val="true"/>
          <w:lang w:bidi="fa-IR"/>
        </w:rPr>
        <w:t>والذریعة</w:t>
      </w:r>
      <w:r>
        <w:rPr>
          <w:rStyle w:val="FootnoteAnchor"/>
          <w:rtl w:val="true"/>
        </w:rPr>
        <w:footnoteReference w:id="1354"/>
      </w:r>
      <w:r>
        <w:rPr>
          <w:rFonts w:ascii="IRNazanin" w:hAnsi="IRNazanin" w:eastAsia="IRNazanin"/>
          <w:color w:val="111111"/>
          <w:sz w:val="28"/>
          <w:sz w:val="28"/>
          <w:szCs w:val="28"/>
          <w:rtl w:val="true"/>
          <w:lang w:bidi="fa-IR"/>
        </w:rPr>
        <w:t>والخوانساری</w:t>
      </w:r>
      <w:r>
        <w:rPr>
          <w:rStyle w:val="FootnoteAnchor"/>
          <w:rtl w:val="true"/>
        </w:rPr>
        <w:footnoteReference w:id="1355"/>
      </w:r>
      <w:r>
        <w:rPr>
          <w:rFonts w:ascii="IRNazanin" w:hAnsi="IRNazanin" w:eastAsia="IRNazanin"/>
          <w:color w:val="111111"/>
          <w:sz w:val="28"/>
          <w:sz w:val="28"/>
          <w:szCs w:val="28"/>
          <w:rtl w:val="true"/>
          <w:lang w:bidi="fa-IR"/>
        </w:rPr>
        <w:t>ووالدهوالشیروانی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والکاشانی وصدر الدین</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وأستادنا العلامّة ، وذلک لأن جمیع الموانع المذکورة من جوازه منحصرة فیما زعم من استلزام جوازه لاجتماع الضدین فی محلّ واحد شخصی، کما صرح به السیّد الشارح وصاحب المعالم </w:t>
      </w:r>
      <w:r>
        <w:rPr>
          <w:rStyle w:val="FootnoteAnchor"/>
          <w:rtl w:val="true"/>
        </w:rPr>
        <w:footnoteReference w:id="1357"/>
      </w:r>
      <w:r>
        <w:rPr>
          <w:rFonts w:ascii="IRNazanin" w:hAnsi="IRNazanin" w:eastAsia="IRNazanin"/>
          <w:color w:val="111111"/>
          <w:sz w:val="28"/>
          <w:sz w:val="28"/>
          <w:szCs w:val="28"/>
          <w:rtl w:val="true"/>
          <w:lang w:bidi="fa-IR"/>
        </w:rPr>
        <w:t>والفصول</w:t>
      </w:r>
      <w:r>
        <w:rPr>
          <w:rStyle w:val="FootnoteAnchor"/>
          <w:rtl w:val="true"/>
        </w:rPr>
        <w:footnoteReference w:id="1358"/>
      </w:r>
      <w:r>
        <w:rPr>
          <w:rFonts w:ascii="IRNazanin" w:hAnsi="IRNazanin" w:eastAsia="IRNazanin"/>
          <w:color w:val="111111"/>
          <w:sz w:val="28"/>
          <w:sz w:val="28"/>
          <w:szCs w:val="28"/>
          <w:rtl w:val="true"/>
          <w:lang w:bidi="fa-IR"/>
        </w:rPr>
        <w:t>من المانعین، وهو مبنیّ علی القول بتعلّق الأحکام بالأفراد لا الطبائع، وإلا فعلی القول بالطبائع لا یلزم اللازم المذکور من اجتماع الحکمین المتضادّین فی محلّ واحد شخصی، بل غایة ما یلزم اجتماعهما فی الطبیعتین المتّحدتین من حیث الوجود المتعدّدتین من حیث الموجود، ولا محذور فیه ، لأن المحذور إنما یلزم من اتّحاد الموجود لا الاتّحاد فی مجرّد الوجود مع تعدّد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یستلزم عدم اجتماع أمر آخر معه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الثالث فی مسألة الضدّ الخاصّ ، من أنه وإن لم یقتض الأمر بالشیء النهی عن ضدّه الخاصّ إلا أنه یقتضی عدم الأمر به عقلاً، لامتناع الأمر بالمتضادّین فی وقت واحد، فإذا لم یکن الضدّ مأموراً به فیبطل، لأن الصحّة إنما هی مقتضی الأمر وبدونه یبطل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فیه من الردّ والمنع ما ذکره القوانین فی التنبیه الأول من تنبیهات مسألة الضدّ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علی تسلیم صحّته إنما یتمّ فی العبادات دون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اقتضائه عدم الأمر مطلقاً ، إذ الذی یقتضیه الأمر بالشیء عدم الأمر بالضدّ إذا کان مضیّقاً ، وأما إذا کان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استحالة فی اجتماع الأمر المضیّق والأمر الموسع</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علم انحصار دلیل بطلان الصلاة فی اللباس المغصوب فی الشهرة والإجماعات المنقولة والنصّ المجبور بها،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انظر فیما تصلّی وعلی ما تصلّی، إن لم یکن من وجهه وحلّه فلا قبول</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 دون القاعدتین المذکور تین ، لمّا عرفت من منع تمامیتهما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زعم المصنف تمامیّتهما تبعاً لأکثر الخاصة وخلافاً لأکثر العامّة ناشیء عن النصّ المجبور بالشهرة، ولکنّه دلیل خارجیّ خاصّ لا یثبت القاعدة الکلّیة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الثوب المموّه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وتمویه الثوب بالذهب هو تلبیسه وطلیه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الثنیّة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الثنیّة من الانسان جمعها ثنایا و ثنایات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الفم أربع ، فی الأعلی والأسفل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مناقشة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کون المتیقّن من رفع النسیان خصوص رفع المؤاخذة و العقاب فی خصوص حال النسیان، لا رفع سائر الآثار من القضاء والإعادة حتی بعد زوال النسیان، إلا علی القول بعموم حذف المتعلّق ، کما لا یبعد عن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لورود خبر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لمانعیّتهما من وضع إبهامی الرجل اللذین هما من المساجد السبع علی الأرض، سیّما فی الشمشک ، وهو علی ما قبل المشّایة البغدادیة، ولیس فیه نصّ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العصفر بضمّ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معروف یصبغ به ، و یسمّی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والمضرّج بالزعفران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الملطّخ به ، من التضریج وهو التلطیخ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والثوب المفدم بإسکان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المصبوغ بالحمرة صبغاً مشبعاً ، کأنّه لتناهی حمرته کالممتنع من قبول زیادة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وتفسیره بمطلق الخاثر معناه مطلق ثخین اللون وشدیده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المیّت لا المتقدّم ذکره ، وهو من ألقاب أبی الحسن الأول موسی بن جعفر علیه السلام، وإنما لقّب به ردعاً للواقفیّة المنکرة لموته المدّعیة بقاءه وأنه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قمیص صفیق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الصفیق خلاف الرقیق ، ومنه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بالصفیق مَن الثیاب، فإن مَن رقّ ثوبه رقّ دینه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بطویل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الذیل ، أو واسع الفتق والشقّ، علی الخلاف فی معنی فرج القباء، فقد یستعمل فی الفتق والشقّ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وبهما نظر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وجهه من جهة عدم مسلّمیة الستر بمطلق النورة للعورة وغیرها الجسد المرأة ما لم یستر الحجم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أنه لو سلّم الستر بهما مطلقاً فإنما هو لدلیل خاصّ مخرج لا یقاس علیهما سائر الموارد، وذلک لاحتمال استناد ستر العورة بمطلق النورة إلی أخبار أن النورة سترة</w:t>
      </w:r>
      <w:r>
        <w:rPr>
          <w:rStyle w:val="FootnoteAnchor"/>
          <w:rtl w:val="true"/>
        </w:rPr>
        <w:footnoteReference w:id="1362"/>
      </w:r>
      <w:r>
        <w:rPr>
          <w:rFonts w:ascii="IRNazanin" w:hAnsi="IRNazanin" w:eastAsia="IRNazanin"/>
          <w:color w:val="111111"/>
          <w:sz w:val="28"/>
          <w:sz w:val="28"/>
          <w:szCs w:val="28"/>
          <w:rtl w:val="true"/>
          <w:lang w:bidi="fa-IR"/>
        </w:rPr>
        <w:t>، واستناد ستر جسد المرأة بمطلق الساتر إلی السیرة علیه ، فلا یقاس علیهما سائر موارد وجوب الستر کالصلاة ونحوها ، اقتصارة فی الخروج عن عمومات وجوب الستر علی القدر المتیقّن من المخرج والمخصّص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کلا وجهی النظر نظر لا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ینسج من أدیم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الجلد المدبوغ ، و وجه الأرض وما ظهر منها ، والمناسب للنسج منه کونه بمعنی الجلد لا غیر ، والجمع أدم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بإرجاع أخبار التحنّک إلی الإسدال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منه العکس، وهو إرجاع أخبار الإسدال إلی التحنّک، نظرا إلی عدم انفکاک التحنّک بطرف العمامة عن إسدال جزئه الآخر أو جزئه الأول، بخلاف الإسدال ، فإنه ینفکّ عن التحنّک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حمل المطلق علی المقیّد أولی من العکس، لما فیه من الجمع ، بخلاف العکس، فإن فیه الطرح، فکذا ما هو من قبیله کما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التخییر بینهما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السویّة، أو التفاضل واختلاف مراتب الفضل والاستحباب، علی أن یکون الإسدال مستحبّاً والتحنّک أفضل منه وأشدّ استحبابة ، أو علی أن یکون ترک التحنّک مکروهاً وترک الإسدال أکثر وأشدّ </w:t>
      </w:r>
    </w:p>
    <w:p>
      <w:pPr>
        <w:pStyle w:val="BookText"/>
        <w:rPr/>
      </w:pPr>
      <w:r>
        <w:rPr>
          <w:rFonts w:ascii="IRNazanin" w:hAnsi="IRNazanin" w:eastAsia="IRNazanin"/>
          <w:color w:val="111111"/>
          <w:sz w:val="28"/>
          <w:sz w:val="28"/>
          <w:szCs w:val="28"/>
          <w:rtl w:val="true"/>
          <w:lang w:bidi="fa-IR"/>
        </w:rPr>
        <w:t>کراهة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وجوه الجمع فی المستحبّات التی لا یجری فیها ما یجری فی غیرها من حمل المطلق علی المقیّد ، سیّما بالنظر إلی قاعدة التسامح فی أدلّة السنن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من تلک الجموع کلّها هو إبقاء التحنّک والاسدال علی ما هما علیه ظاهراً من استحباب کلّ منهما تعییناً، لا تخیبراً ولا غیره من الإرجاع والتأویل، وذلک لعدم المنافاة المتوهّم فی استحباب کلّ منهما تعییناً ، وإمکان الجمع بین التحنّک بطرف العمامة والإسدال بجزئه الأخیر کما فیما استطال الطرف علی قدر یسع للتحنک به والإسدال بآخره، أو التحنّک بأحد طرفی العمامّة والإسدال بطرفها الآخر، کما هو المستحبّ فی تحنیک المیّت بکلّ من طرفی العمامة ، فلا منافاة حینئذ فی استحباب کلّ منهما تعیین حتی یتکلّف فی الجمع بینهما بتلک الجموع والتأویلات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أقف فیما أعلم علی مَن سبقنی إلی بیان هذین الوجهین لرفع المنافاة المتوهمة فی البین ، سوی أنّی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ذلک بمدّة مدیدة وقفت علی شاهد الجمع الأخیر فی صریح بعض نصوص الباب فی الوسائل، من أن الرضاعلیه السلام خرج بعض الأعیاد کما خرج رسول الله وأمیر المؤمنین، بعمامة بیضاء من قطن ، ملقیاً طرفاً منها علی صدره و طرفاً بین کتفیه، الخبر</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فی المسألة إشکالات و 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الإشکالات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طائفتین أخبار التحنّک والإسدال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دفعه بأبلغ وجه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أخبار </w:t>
      </w:r>
      <w:r>
        <w:rPr>
          <w:rStyle w:val="FootnoteAnchor"/>
          <w:rtl w:val="true"/>
        </w:rPr>
        <w:footnoteReference w:id="1365"/>
      </w:r>
      <w:r>
        <w:rPr>
          <w:rFonts w:ascii="IRNazanin" w:hAnsi="IRNazanin" w:eastAsia="IRNazanin"/>
          <w:color w:val="111111"/>
          <w:sz w:val="28"/>
          <w:sz w:val="28"/>
          <w:szCs w:val="28"/>
          <w:rtl w:val="true"/>
          <w:lang w:bidi="fa-IR"/>
        </w:rPr>
        <w:t xml:space="preserve">التحتک طرّاً، مع تخصیص الفقهاء الزیادة بحال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جهة اختصاص وضع الکتب الفقهیّة ببیان حکم حال المصلّی حال </w:t>
      </w:r>
    </w:p>
    <w:p>
      <w:pPr>
        <w:pStyle w:val="BookText"/>
        <w:rPr/>
      </w:pPr>
      <w:r>
        <w:rPr>
          <w:rFonts w:ascii="IRNazanin" w:hAnsi="IRNazanin" w:eastAsia="IRNazanin"/>
          <w:color w:val="111111"/>
          <w:sz w:val="28"/>
          <w:sz w:val="28"/>
          <w:szCs w:val="28"/>
          <w:rtl w:val="true"/>
          <w:lang w:bidi="fa-IR"/>
        </w:rPr>
        <w:t>الصلاة من بین سائر أحواله، دون تخصیص أصل الحکم به، کما صرّح به غیر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جهة أن المراد من العمامة فیما ورد فی بعض الأخبار </w:t>
      </w:r>
      <w:r>
        <w:rPr>
          <w:rStyle w:val="FootnoteAnchor"/>
          <w:rtl w:val="true"/>
        </w:rPr>
        <w:footnoteReference w:id="1366"/>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مع العمامة خیر من أربع رکعات بغیر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العمامة مع الحنک ، بقرینة أخبار </w:t>
      </w:r>
      <w:r>
        <w:rPr>
          <w:rStyle w:val="FootnoteAnchor"/>
          <w:rtl w:val="true"/>
        </w:rPr>
        <w:footnoteReference w:id="1367"/>
      </w:r>
      <w:r>
        <w:rPr>
          <w:rFonts w:ascii="IRNazanin" w:hAnsi="IRNazanin" w:eastAsia="IRNazanin"/>
          <w:color w:val="111111"/>
          <w:sz w:val="28"/>
          <w:sz w:val="28"/>
          <w:szCs w:val="28"/>
          <w:rtl w:val="true"/>
          <w:lang w:bidi="fa-IR"/>
        </w:rPr>
        <w:t>منع التعمّم بلا 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أخبار ترک التحنّک علی ما یترتّب علی ترک الواجب،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الطابقیة عمة إبلیس</w:t>
      </w:r>
      <w:r>
        <w:rPr>
          <w:rFonts w:eastAsia="IRNazanin" w:cs="IRNazanin"/>
          <w:color w:val="111111"/>
          <w:sz w:val="28"/>
          <w:szCs w:val="28"/>
          <w:rtl w:val="true"/>
          <w:lang w:bidi="fa-IR"/>
        </w:rPr>
        <w:t>»</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وضعها علی رأسه</w:t>
      </w:r>
      <w:r>
        <w:rPr>
          <w:rStyle w:val="FootnoteAnchor"/>
          <w:rtl w:val="true"/>
        </w:rPr>
        <w:footnoteReference w:id="1369"/>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تعمّم ولم یتحنّک فأصابه داء لا یلومن إلا نفسه</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بیننا وبین المشرکین بالتلحّی</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النصوص الظاهراً فی تحریم ترکه، والمشتملة علی ما یترتّب علی ترک الواجب، مع إجماع من عدی الصدوق</w:t>
      </w:r>
      <w:r>
        <w:rPr>
          <w:rStyle w:val="FootnoteAnchor"/>
          <w:rtl w:val="true"/>
        </w:rPr>
        <w:footnoteReference w:id="1372"/>
      </w:r>
      <w:r>
        <w:rPr>
          <w:rFonts w:ascii="IRNazanin" w:hAnsi="IRNazanin" w:eastAsia="IRNazanin"/>
          <w:color w:val="111111"/>
          <w:sz w:val="28"/>
          <w:sz w:val="28"/>
          <w:szCs w:val="28"/>
          <w:rtl w:val="true"/>
          <w:lang w:bidi="fa-IR"/>
        </w:rPr>
        <w:t>ومشائخه علی استحبابه وکراهة ترکه دون حرمته، فکیف التوفیق ؟ ویمکّن دفعه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استقراب مذهب الصدوق علی ما یقتضیه ظاهر النصوص وإن خالف المشهور، إذ رت شهرة 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ظاهر النصوص علی المبالغة مجازاً ، من جهة أن تأکّد استحبابه وکراهة ترکه لمّا کان بمثابة قریبة إلی وجوب الفعل وحرمة ترکه صحّ التعبیر عنه بما یعبّر عن الوجوب وحرمة الترک مبالغةً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جهة أن فعلّه لمّا اشتمل علی المصالح المکمونة القریبة إلی الوجوب والإلزام، وترکه علی المفاسد المکمونة القریبة إلی الحرمة والحظر، عبّر عنه </w:t>
      </w:r>
    </w:p>
    <w:p>
      <w:pPr>
        <w:pStyle w:val="BookText"/>
        <w:rPr/>
      </w:pPr>
      <w:r>
        <w:rPr>
          <w:rFonts w:ascii="IRNazanin" w:hAnsi="IRNazanin" w:eastAsia="IRNazanin"/>
          <w:color w:val="111111"/>
          <w:sz w:val="28"/>
          <w:sz w:val="28"/>
          <w:szCs w:val="28"/>
          <w:rtl w:val="true"/>
          <w:lang w:bidi="fa-IR"/>
        </w:rPr>
        <w:t>بما هو ظاهر فی الإلزام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جهة أن نفس التحنّک وإن لم یشتمل علی المصالح القریبة إلی الإلزام ، إلا أنه لمّا کان التلبّس بمثله کاشفاً عن الالتزام بالواجبات و ترک مثله کاشفاً عن عدم المبالاة بالمحرمات، صح أن یعبّر ویرتّب علیه ما یترتّب علی المنکشف من الإلزام والحظر، کما یرتّب علی المقدّمات السببّیة ما یترتّب علی المسببات من الآثار والأحکام، وعلی خلاف المروءة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فی السوق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الحزازات غیر المحرّمة ما یترتّب علی المحرمات والمعاصی الکبیرة، من نفی الوثوق بالعدالة وسقوطها، مع أنه لیس من الکبائر ولا الصغائر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بأحد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الوجه الأخیر یندفع إشکال اشتراک أکثر المندوبات والمکروهات الشرعیّة للواجبات والمحّرمات فی التعبیر، وفیما یترتّب علیها من الآثار والوعد والوعید المترتبّین علی المطلوبات الحتمیّة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التنبیهات ، فمنها مافی مفتاح الفلاح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 من المخالفین کیف أنکروا التحنّک مع أنهم رووا فی صحاحهم نهی النبیّ صلی الله علیه وآله عن الاقتعاط، وأمره صلی الله علیه وآله وانه بالتلحّی</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الاقتعاط فی الصحاح بالتعمّم من دون تحنّک </w:t>
      </w:r>
      <w:r>
        <w:rPr>
          <w:rStyle w:val="FootnoteAnchor"/>
          <w:rtl w:val="true"/>
        </w:rPr>
        <w:footnoteReference w:id="137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الأعجب و الخطب الأشنع من ذلک إنکار بعض الفرق الحادثة فیما یقارب عصرنا من الأمامیّة لاستحبابه وارتکابه، وتأسّی بعض أصحابنا المعاصرین لهم، مع تواتر نصوصهم الظاهرة فی وجوبه وحرمة ترکه ، واستمرار سیرة الصلحاء خلفاً عن سلف علیه ، ببعض المصالح المرسلة ، والاستحسانات الوهمیّة ، والاجتهادات الواهیة، المقابلة للنصوص والسیرة </w:t>
      </w:r>
    </w:p>
    <w:p>
      <w:pPr>
        <w:pStyle w:val="BookText"/>
        <w:rPr/>
      </w:pPr>
      <w:r>
        <w:rPr>
          <w:rFonts w:ascii="IRNazanin" w:hAnsi="IRNazanin" w:eastAsia="IRNazanin"/>
          <w:color w:val="111111"/>
          <w:sz w:val="28"/>
          <w:sz w:val="28"/>
          <w:szCs w:val="28"/>
          <w:rtl w:val="true"/>
          <w:lang w:bidi="fa-IR"/>
        </w:rPr>
        <w:t xml:space="preserve">القطعیّة، ولیس ذلک إلا من التسویلات الشیطانیّة الموجبة للحرمان والخسران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الشاذّ لا یقول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قال به الشاذّ إنما هو نفی استحباب الرداء فی صورة تعدّد القمیص، لا عن صورة کثافته ولو کان متّحداً، فإن نفیه عن هذه الصورة لا یقول به الشاذّ، فکیف تجعل الروایة الدالّة علی ما لا یقول به مؤیّداً لما یقول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یوجّه بأن مراده التأیید بعد صرف المؤیّد عمّا لا یقول به إلی ما یقول به ، بواسطة أولّویة الجمع مهما أمکّن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أنه نجس ممسوخ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 تحویل صورة إلی ما هو أقبح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ومسخ الحدید باعتبار تحویله عن اسم الأرض الذی کان مسجدا وطهوراً أو صعیداً طیّباً إلی ما هو خبیث و قبیح، وهو المعنیّ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مسخ الملح والرمل، المعلّل به النهی عن الصلاة علی الزجاج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الملح والرمل وهما ممسوخان</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الثیاب السابریّة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ضرب من الثیاب الرقاق تعمل بسابور موضع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وسابور ملک ، معرب 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أفاد علماً بالرضا المباح معه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تقیید الاذن الأخیر بالعلم دون تقیید الاذن الصریح والفحوی فلأن الصریح والفحوی من مدالیل الألفاظ المعتبرة فیها الظنّ ، بخلاف شاهد الحال ، فإنه لمّا لم یکن من مدالیل الألفاظ ، بل کان من مدالیل الحال، ولم یکن دلیل </w:t>
      </w:r>
    </w:p>
    <w:p>
      <w:pPr>
        <w:pStyle w:val="BookText"/>
        <w:rPr/>
      </w:pPr>
      <w:r>
        <w:rPr>
          <w:rFonts w:ascii="IRNazanin" w:hAnsi="IRNazanin" w:eastAsia="IRNazanin"/>
          <w:color w:val="111111"/>
          <w:sz w:val="28"/>
          <w:sz w:val="28"/>
          <w:szCs w:val="28"/>
          <w:rtl w:val="true"/>
          <w:lang w:bidi="fa-IR"/>
        </w:rPr>
        <w:t>علی حجّیته ما عدی المفید للعلم منه ، اقتصر علی المقیّد بالعلم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تقیید الرضا المعلوم منه بالمباح معه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فللاحتراز عن الرضا المعلوم غیر المبیح معه التصرّف، وهو الرضا التقدیری الشأنیّ المعلّق علی شیء لم یعلم به ذو الحال من نسب وسبب ، بحیث لو علم به لرضی رضاً فعلیّاً منجّزاً، فإن هذا النحو من الرضاً وإن کان معلوماً إلا أنه غیر مبیح للتصرّفات ولا مجز للزوم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هذا النحو من الرضا لا یجزی عن الإجازة الملزمة للمعاملات الفضولیّة، کذلک لا یبیح سائر التصرّفات المعلقة علی الرضا فی النصوص والفتوی، وذلک لأن المتبادر من ذلک الرضا هو الرضا الفعلّی المنجّز لا التقدیری المعلّق، فإن إطلاق الرضا علیه مجاز بعلاقة المشارفة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وخمار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من تخمیر الرأس وهو تغطیته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الخمار خمر ، ککتاب وکتب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وفتح الحاء المهملة واحدة الملاحف التی یلتحف بها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یتغطّی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المرأة فی درع وملحفة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التحاف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قائل بالفرق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إشارة إلی إمکان قلب عدم القول بالفصل، بتقریب أنها تدلّ علی لزوم ستر جزء من القدمین فیتمّ اللزوم فی الباقی بعدم القائل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إمکان الجواب بأن ضمیمة عدم اللزوم أقوی من ضمیمة اللزوم من وجوه عدیدة ، من جهة الشهرة والأصل وغیرهما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مجرّد استلزام ستر الشعر المنسدل علی العنق لستر العنق علی تقدیر تسلیمه لا یستلزم وجوب ستر العنق بالأصالة، لأن ستره بالملازمة یحتمل کونه من باب التبعیّة والمقدّمة لستر الملزوم، لا من باب الأصالة الذی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بابتنائه علی کون المراد بالوجوب الشرعیّ لا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 ابتنائه علی ذلک ، و احتمال ابتنائه علی نفی أهلیّة التکلیف عنها مطلقا حتی التکلیف الشرطیّ، کما هو مقتضی القول بأن عبادة الصبیّ تمرینّیة لا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المبنی أیضاً ضعیف، بل أضعف من المبنیّ الأول، المخالفته الاعتبار وظواهر الأخبار</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الفرائض و نوافلها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شرعیّة عبادات الصبیّ إذا 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ینقل خلافه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نفهم معنی ظاهراً لهذه العبارة سوی 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ینقل خلاف شذوذه جماعة، أو کون النسخة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خلافه أحد، أو نقل خلافه جماعة ، وإلا لم یفهم منها معنی مناسب للمقام،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سبیل إلی الثانی ، والأول بعید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وجه نفی السبیل إلی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عموم عدم الإیماء فی العاری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إطلاق</w:t>
      </w:r>
      <w:r>
        <w:rPr>
          <w:rStyle w:val="FootnoteAnchor"/>
          <w:rtl w:val="true"/>
        </w:rPr>
        <w:footnoteReference w:id="1377"/>
      </w:r>
      <w:r>
        <w:rPr>
          <w:rFonts w:ascii="IRNazanin" w:hAnsi="IRNazanin" w:eastAsia="IRNazanin"/>
          <w:color w:val="111111"/>
          <w:sz w:val="28"/>
          <w:sz w:val="28"/>
          <w:szCs w:val="28"/>
          <w:rtl w:val="true"/>
          <w:lang w:bidi="fa-IR"/>
        </w:rPr>
        <w:t xml:space="preserve">النصوص والفتاوی المتقدّمة بالإیماء وأما وجه بعد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اختصاص عدم الإیماء بالمقتدی دون المنفرد فهو إطلاق</w:t>
      </w:r>
      <w:r>
        <w:rPr>
          <w:rStyle w:val="FootnoteAnchor"/>
          <w:rtl w:val="true"/>
        </w:rPr>
        <w:footnoteReference w:id="1378"/>
      </w:r>
      <w:r>
        <w:rPr>
          <w:rFonts w:ascii="IRNazanin" w:hAnsi="IRNazanin" w:eastAsia="IRNazanin"/>
          <w:color w:val="111111"/>
          <w:sz w:val="28"/>
          <w:sz w:val="28"/>
          <w:szCs w:val="28"/>
          <w:rtl w:val="true"/>
          <w:lang w:bidi="fa-IR"/>
        </w:rPr>
        <w:t xml:space="preserve">أدلة اشتراط الرکوع والسجود حتی فی العاری، فإن إطلاق اشتراطهما وإن کان معارضاً بإطلاق اشتراط التستر فی الصلاة ، إلا أن مراعاة </w:t>
      </w:r>
    </w:p>
    <w:p>
      <w:pPr>
        <w:pStyle w:val="BookText"/>
        <w:rPr/>
      </w:pPr>
      <w:r>
        <w:rPr>
          <w:rFonts w:ascii="IRNazanin" w:hAnsi="IRNazanin" w:eastAsia="IRNazanin"/>
          <w:color w:val="111111"/>
          <w:sz w:val="28"/>
          <w:sz w:val="28"/>
          <w:szCs w:val="28"/>
          <w:rtl w:val="true"/>
          <w:lang w:bidi="fa-IR"/>
        </w:rPr>
        <w:t>اشتراط التستّر وإلغاء اشتراط الرکوع والسجود الحقیقییّن لیس بأولی من العکس، إن لم یکن العکس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لولانصوص الإیماء ترجیح جانب اشتراط الرکوع والسجود فی صلاة العراة علی مراعاة اشتراط التستّر فی صلاة، خصوصاً إذا کان التستّر من الناظر المحترم لا لخصوص اشتراط الصلاة به، إلا أن ذلک بعد فرض إطلاق النصوص بالإیماء اجتهاد فی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توجیه النصوص بأن وجه ترجیح جانب التستّر فیها علی جانب اشتراط الرکوع والسجود دون العکس وجود بدلیة الإیماء عنهما فی الصلاة، وعدم بدلیة شیء عن التستّر المعتبر فی الصلاة، فلهذا رفع الید عن اشتراطهما فی صلاة العاری مطلقا، ولم یرفع الیدّ عن اشتراط التستّر فیها عند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التأمّل فی صلاة العراة بالإیماء اجتهاد فی مقابلة النصوص، مضافاً إلی اتضاح وجه النصوص وإطلاقها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کلامه الالزام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العامّة علی مقتضی قیاسهم وأصولهم ، وإلا ففی نصوصنا ما هو صریح فی البطلان ، کقولهم فی أخبار الخمس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أحللنا لهم المساکن لتصحّ صلاتهم</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قوله علیه السلام لکمیل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فیما تصلّی، وعلی ما تصلّی، إن لم یکن من وجهه وحله فلا قبول</w:t>
      </w:r>
      <w:r>
        <w:rPr>
          <w:rFonts w:eastAsia="IRNazanin" w:cs="IRNazanin"/>
          <w:color w:val="111111"/>
          <w:sz w:val="28"/>
          <w:szCs w:val="28"/>
          <w:rtl w:val="true"/>
          <w:lang w:bidi="fa-IR"/>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وضعفها سنداً أو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بالشهرة والإجماعات المنقولة ، وهو عمدة دلیل بطلان العبادة فی المکان المغصوب ، لا قاعدة امتناع اجتماع الأمر والنهی فی محلّ واحد، ولا اقتضاء النهی عن الشیء عدم الأمر بضدّه الخاصّ، کما زعمهما الشارح، </w:t>
      </w:r>
    </w:p>
    <w:p>
      <w:pPr>
        <w:pStyle w:val="BookText"/>
        <w:rPr/>
      </w:pPr>
      <w:r>
        <w:rPr>
          <w:rFonts w:ascii="IRNazanin" w:hAnsi="IRNazanin" w:eastAsia="IRNazanin"/>
          <w:color w:val="111111"/>
          <w:sz w:val="28"/>
          <w:sz w:val="28"/>
          <w:szCs w:val="28"/>
          <w:rtl w:val="true"/>
          <w:lang w:bidi="fa-IR"/>
        </w:rPr>
        <w:t xml:space="preserve">لما فیهما من المنع المتقدّم فی باب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فی باب الصلاة فی اللباس المغصوب بأبلغ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زعم تمامیّة القاعدتین ، بل و نسبة الأولی منهما إلی أکثر الأصحاب ، ناشیء عن وجود النصّ والإجماع فی الفرع، والغفلة عن کون الدلیل الخارجی الخاص لا یثبت القاعدة الکلّیة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السیّد غریب ، لعدم مصیره إلی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رفع الغرابة عنه بأن منعه إنما هو من حجّیة استصحاب الأحکام، الا من حجّیة مطلق الاستصحاب حتی استصحاب الموضوعات، کما فیما نحن فیه، فإن المستصحب فیه هو موضوع الإذن السابق بشاهد الحال، لا حکمه من جواز الصلاة وإن ترتب علیه ذلک بدلالة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ووجّهه بأن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الشهید فی الذکری </w:t>
      </w:r>
      <w:r>
        <w:rPr>
          <w:rStyle w:val="FootnoteAnchor"/>
          <w:rtl w:val="true"/>
        </w:rPr>
        <w:footnoteReference w:id="1382"/>
      </w:r>
      <w:r>
        <w:rPr>
          <w:rFonts w:ascii="IRNazanin" w:hAnsi="IRNazanin" w:eastAsia="IRNazanin"/>
          <w:color w:val="111111"/>
          <w:sz w:val="28"/>
          <w:sz w:val="28"/>
          <w:szCs w:val="28"/>
          <w:rtl w:val="true"/>
          <w:lang w:bidi="fa-IR"/>
        </w:rPr>
        <w:t xml:space="preserve">ما ادّعاه من عدم تأثیر إذن المالک فی الصحّة بأن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التوجیه ما فی الذکری من منع الأصل وبطلان القیاس ، فلا یتمّ الحکم فی الفرع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کان القیاس مع الفارق، وهو ورود النصّ </w:t>
      </w:r>
      <w:r>
        <w:rPr>
          <w:rStyle w:val="FootnoteAnchor"/>
          <w:rtl w:val="true"/>
        </w:rPr>
        <w:footnoteReference w:id="1383"/>
      </w:r>
      <w:r>
        <w:rPr>
          <w:rFonts w:ascii="IRNazanin" w:hAnsi="IRNazanin" w:eastAsia="IRNazanin"/>
          <w:color w:val="111111"/>
          <w:sz w:val="28"/>
          <w:sz w:val="28"/>
          <w:szCs w:val="28"/>
          <w:rtl w:val="true"/>
          <w:lang w:bidi="fa-IR"/>
        </w:rPr>
        <w:t xml:space="preserve">والاجماع علی اشتراط القدرة علی تسلیم المبیع فی صحّة البیع ، وعدم ما یدلّ علی اشتراطها فی صحّة الإذن وبقائه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مراعاة عدم القائل بالفرق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بالفرق فی الأخبار </w:t>
      </w:r>
      <w:r>
        <w:rPr>
          <w:rStyle w:val="FootnoteAnchor"/>
          <w:rtl w:val="true"/>
        </w:rPr>
        <w:footnoteReference w:id="1384"/>
      </w:r>
      <w:r>
        <w:rPr>
          <w:rFonts w:ascii="IRNazanin" w:hAnsi="IRNazanin" w:eastAsia="IRNazanin"/>
          <w:color w:val="111111"/>
          <w:sz w:val="28"/>
          <w:sz w:val="28"/>
          <w:szCs w:val="28"/>
          <w:rtl w:val="true"/>
          <w:lang w:bidi="fa-IR"/>
        </w:rPr>
        <w:t xml:space="preserve">المجوّزة بین القابل وغیر القابل للحمل علی شیء یجمع به بینهما وبین الأخبار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مسجد حیطانه کوی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والکسر جمع کوّة وکوّ بالضمّ والتشدید ، الخرق والثقبة فی الحائط ، والتذکیر للکبیر، والتأنیث للصغیر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أنسب بمقام الکراهة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یتوسّع فی الکراهة ما لا یتوسّع فی الحرمة ، ولهذا لا یحمل المطلق علی المقیّد فی باب الکراهة کما یحمل فی باب الحرمة ، ویتسامح فی إثبات الکراهة بما لا یتسامح فی إثبات الحرمة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الشاذکونة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الذال معرب الفارسیّ ، الفرش الذی ینام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غلاظ مضربة تعمل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المکان یکون حشّاً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 بالضمّ والتشدید ، والفتح أکثر من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هنا موضع الحاجة و مجمع العذرة ، کالمحشّة لمجمع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حشّ البستان، لأنهم کثیراً ما کانوا یتغوّطون فی البساتین، فلما اتّخذوا الکنیف خلفاً عنها أطلقوا الاسم علیها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الحشّ حشّان، کضیف وضیفان ، ومن ثمّ قیل للمخرج الحشّ، والجمع الحشوش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هی مطلق مبارکها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لأن مرابضها هو جمع مربض بفتح المیم وکسر الباء موضع ربضها ، وهو کالجلوس أو الاضطجاع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ومبارکها هو منازلها التی تأوی إلیها، </w:t>
      </w:r>
    </w:p>
    <w:p>
      <w:pPr>
        <w:pStyle w:val="BookText"/>
        <w:rPr/>
      </w:pPr>
      <w:r>
        <w:rPr>
          <w:rFonts w:ascii="IRNazanin" w:hAnsi="IRNazanin" w:eastAsia="IRNazanin"/>
          <w:color w:val="111111"/>
          <w:sz w:val="28"/>
          <w:sz w:val="28"/>
          <w:szCs w:val="28"/>
          <w:rtl w:val="true"/>
          <w:lang w:bidi="fa-IR"/>
        </w:rPr>
        <w:t>دون مناخها لخصوص علفها، أو خصوص حول الماء لتشرب علی بعد من منهل،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علی بعد من شربها الأول، وذلک لأن الإبل تسقی فی أول الورود إلی المعطن والمناخ الذی حول الماء، ویسمی ذلک السقی الأول بالنهل، ثم تسقی الثانیة، ویسمّی بالعلل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التوجّه إلی القبر أعمّ من اتّخاذه 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مبنیّ علی أن المراد من اتخاذه قبلة هو التوجّه إلیه بدلاً عن التوجّه إلی القبلة، لا التوجّه إلیه المصادف للتوجّه إلی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منهما من الاضطراب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اختلاف نسختی الخبر من حیث الزیادة والنقیصة لو أوجب الاضطراب ففیما اختلفتا فیه من الزیادة، لا فیما اتّفقتا علیه من غیر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لا یوجب الاضطراب حتی فیما اختلفتا فیه من الزیادة بأصالة عدم کونها زیادة، وإن عورضت بأصالة عدم نقیصة الناقص ، کتقّدم المثبت علی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أن أصالة عدم الزیادة ممّا یترتّب علیه أثر، بخلاف أصالة عدم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السهو فی الزیادة أشدّ وأقوی من السهو فی النقیصة، فتقدّم أصالة عدم الزیادة علی أصالة عدم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اختلاف المنسوب إلیه الخبر لا یوجب اضطراب الخبر ، بعد فرض صحة ذلک المنسوب إلیه علی التقدیرین،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یوجب اضطرابه لو لم یکن معصوماً فی أحد التقدیرین، علی تأمل فی اضطرابه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صریح الخبر أو فحواه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صراحته فمبنیّ علی ظهور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فی بیت فیه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عن بیت المجوسی لا البیت الکائن فیه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فحواه فمبنیّ </w:t>
      </w:r>
    </w:p>
    <w:p>
      <w:pPr>
        <w:pStyle w:val="BookText"/>
        <w:rPr/>
      </w:pPr>
      <w:r>
        <w:rPr>
          <w:rFonts w:ascii="IRNazanin" w:hAnsi="IRNazanin" w:eastAsia="IRNazanin"/>
          <w:color w:val="111111"/>
          <w:sz w:val="28"/>
          <w:sz w:val="28"/>
          <w:szCs w:val="28"/>
          <w:rtl w:val="true"/>
          <w:lang w:bidi="fa-IR"/>
        </w:rPr>
        <w:t xml:space="preserve">علی ظهوره فی النهی عن البیت الکائن فیه مجوسی ، فیدلّ علی النهی عن بیت 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بالأولویة والفحوی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کالأتّون والفرن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الأتّون کتنّور ، وقد یخفّف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أخدود الخباز و الجصّاص و نحوه ، جمعه أتن وأتانین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والأخدود شقّ فی الأرض مستطیل ، من خدّ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والفرن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المخبز یخبز فی الفرنی ، وهو خبز غلیظ مستدیر، أو خبزة مُصَعنَبَة مضمومة الجوانب إلی الوسط تشوی ثم ترش سمناً ولبناً وسکر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جوادّ 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بالمدّ والتشدید جمع جادّة 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الکثیر الأطروقة لا مطلق الطریق، وإن کان فی بعض الأخبار </w:t>
      </w:r>
      <w:r>
        <w:rPr>
          <w:rStyle w:val="FootnoteAnchor"/>
          <w:rtl w:val="true"/>
        </w:rPr>
        <w:footnoteReference w:id="1387"/>
      </w:r>
      <w:r>
        <w:rPr>
          <w:rFonts w:ascii="IRNazanin" w:hAnsi="IRNazanin" w:eastAsia="IRNazanin"/>
          <w:color w:val="111111"/>
          <w:sz w:val="28"/>
          <w:sz w:val="28"/>
          <w:szCs w:val="28"/>
          <w:rtl w:val="true"/>
          <w:lang w:bidi="fa-IR"/>
        </w:rPr>
        <w:t>کراهة مطلق الطرق ولو لم تکن 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تعطّل الصلاة المارّة، وأما لو عطّلتها اتّجه الحرمة بل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والاستدلال الأول غیر 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استحباب الشیء أعمّ من کراهة ترکه ، بناء علی ما هو المحقق فی محلّه من منع الملازمة بین استحباب الشیء وکراهة ترکه ، بخلاف وجوب الشیء وحرمة ترکه، فإنهما متلازمان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للفرق الفارق بین الوجوب والاستحباب، حیث إن الوجوب هو رجحان الفعل مع المنع من ترکه ، فیلزمه حرمة الترک، بخلاف الاستحباب، فإنه رجحان الفعل مع الإذن فی ترکه ، فلا یلزمه کراهة ترکه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یخص البأس المنفیّ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یخصّ البأس المنفیّ فیها بمحاذاة المرأة للمصلّی کما هو صریح الخبر</w:t>
      </w:r>
      <w:r>
        <w:rPr>
          <w:rStyle w:val="FootnoteAnchor"/>
          <w:rtl w:val="true"/>
        </w:rPr>
        <w:footnoteReference w:id="1388"/>
      </w:r>
      <w:r>
        <w:rPr>
          <w:rFonts w:ascii="IRNazanin" w:hAnsi="IRNazanin" w:eastAsia="IRNazanin"/>
          <w:color w:val="111111"/>
          <w:sz w:val="28"/>
          <w:sz w:val="28"/>
          <w:szCs w:val="28"/>
          <w:rtl w:val="true"/>
          <w:lang w:bidi="fa-IR"/>
        </w:rPr>
        <w:t>، لا المواجهة له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معارض لکراهة مواجهة المصلّی إنسانة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ما ب بالی من الأخبار ما یدلّ علی کراهة مواجهة غیر المصلّی المصلّی بوجهه أیضاً،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أفلح وجه صلی علیه</w:t>
      </w:r>
      <w:r>
        <w:rPr>
          <w:rFonts w:eastAsia="IRNazanin" w:cs="IRNazanin"/>
          <w:color w:val="111111"/>
          <w:sz w:val="28"/>
          <w:szCs w:val="28"/>
          <w:rtl w:val="true"/>
          <w:lang w:bidi="fa-IR"/>
        </w:rPr>
        <w:t xml:space="preserve">»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الکراهة علی ذلک لکلّ من المواجهین المصلّی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ضعف المعارضة ، لکن لا من جهة تقدیم الاستصحاب فی الشکّ السببّی علی المسببّی، حتی یمنع بما هو علیه من مساواة نسبة أدلّة الاستصحاب إلی کلّ من السبّب والمسببّی علی حدّ سواء، فلا تقدیم للسبّبی علی المسببّی عنده إلا بمرجّح خارجیّ، بل من جهة تقدیم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بقاء الأرضیة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الاستصحاب الحکمی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بقاء الشغل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 من 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لو لم یقدّم الاستصحاب الموضوعیّ علی الحکمیّ لزم خلوّ نصوص الاستصحاب عن مورد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فی عدم الخلاف فی تقدیم الموضوعیّ علی الحکمیّ، مع الخلاف فی تقدیم السببّی علی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الرجل علی کدس حنطة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المکُدسُ بالضمّ الحبّ المحصود المجموع ، علی ما فی القاموس</w:t>
      </w:r>
      <w:r>
        <w:rPr>
          <w:rStyle w:val="FootnoteAnchor"/>
          <w:rtl w:val="true"/>
        </w:rPr>
        <w:footnoteReference w:id="1390"/>
      </w:r>
      <w:r>
        <w:rPr>
          <w:rFonts w:ascii="IRNazanin" w:hAnsi="IRNazanin" w:eastAsia="IRNazanin"/>
          <w:color w:val="111111"/>
          <w:sz w:val="28"/>
          <w:sz w:val="28"/>
          <w:szCs w:val="28"/>
          <w:rtl w:val="true"/>
          <w:lang w:bidi="fa-IR"/>
        </w:rPr>
        <w:t xml:space="preserve">کما أن قوله فی الرضوی </w:t>
      </w:r>
      <w:r>
        <w:rPr>
          <w:rStyle w:val="FootnoteAnchor"/>
          <w:rtl w:val="true"/>
        </w:rPr>
        <w:footnoteReference w:id="1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بفتحتین ، وسکون 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جمّار </w:t>
      </w:r>
    </w:p>
    <w:p>
      <w:pPr>
        <w:pStyle w:val="BookText"/>
        <w:rPr/>
      </w:pPr>
      <w:r>
        <w:rPr>
          <w:rFonts w:ascii="IRNazanin" w:hAnsi="IRNazanin" w:eastAsia="IRNazanin"/>
          <w:color w:val="111111"/>
          <w:sz w:val="28"/>
          <w:sz w:val="28"/>
          <w:szCs w:val="28"/>
          <w:rtl w:val="true"/>
          <w:lang w:bidi="fa-IR"/>
        </w:rPr>
        <w:t xml:space="preserve">النخل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المسح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یسجد علی المسح</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 xml:space="preserve">بالکسر فالسکون واحد المسوح، ویعبّر عنه بالبلاس، وهو کساء معروف ، ومنه حدیث فاطمة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علّقت مسحاً علی بابها</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القفر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السجود علی القفر </w:t>
      </w:r>
      <w:r>
        <w:rPr>
          <w:rStyle w:val="FootnoteAnchor"/>
          <w:rtl w:val="true"/>
        </w:rPr>
        <w:footnoteReference w:id="1395"/>
      </w:r>
      <w:r>
        <w:rPr>
          <w:rFonts w:ascii="IRNazanin" w:hAnsi="IRNazanin" w:eastAsia="IRNazanin"/>
          <w:color w:val="111111"/>
          <w:sz w:val="28"/>
          <w:sz w:val="28"/>
          <w:szCs w:val="28"/>
          <w:rtl w:val="true"/>
          <w:lang w:bidi="fa-IR"/>
        </w:rPr>
        <w:t xml:space="preserve">هو ردیء القیر المستعمل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یشبه الزفت، ورائحته کرائحة القیر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ما هو المقرر فی محلّه من أن محلّ النزاع المرغوب عنه إنما هو فی استعمال اللفظ فی معنییه الحقیقیّ والمجازی من غیر توسیط إرادة المعنی الجامع بینهما، وأما مع توسیط إرادته فلیس بمرغوب عنه ، بل مرغوب فیه ، ویستی بعموم المجاز الخارج عن محلّ النزاع المذکور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فتقدیمها علیها لعلّه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الفرق المذکور بینهما حال الاختیار ، بالاجماع علی عدم جواز السجود علی ظهر الکف حال الاختیار، والخلاف فی القطن والکتان ، فرق اعتباریّ عقلیّ لا یفید حال الاضطرار سوی أولّویة الترتیب بینهما اعتباراً لا شرعاً کما هو المدّعی، إلا أن یثبته شرعاً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أو باستصحاب الشغل فی العبادة ، والاحتیاط، علی تأمّل فیها أیضاً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أیضاً ضعف دلالة من وجه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وجهه الآخر هو ظهور الأمکنة الجائز فیها الصلاة مع نجاستها فیما یقوم علیه المصلی، لا ما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معارضة إطلاقها لإطلاق نصوص المنع من الصلاة فی الحمّام </w:t>
      </w:r>
      <w:r>
        <w:rPr>
          <w:rStyle w:val="FootnoteAnchor"/>
          <w:rtl w:val="true"/>
        </w:rPr>
        <w:footnoteReference w:id="1397"/>
      </w:r>
      <w:r>
        <w:rPr>
          <w:rFonts w:ascii="IRNazanin" w:hAnsi="IRNazanin" w:eastAsia="IRNazanin"/>
          <w:color w:val="111111"/>
          <w:sz w:val="28"/>
          <w:sz w:val="28"/>
          <w:szCs w:val="28"/>
          <w:rtl w:val="true"/>
          <w:lang w:bidi="fa-IR"/>
        </w:rPr>
        <w:t xml:space="preserve">وبیوت الغائط </w:t>
      </w:r>
      <w:r>
        <w:rPr>
          <w:rStyle w:val="FootnoteAnchor"/>
          <w:rtl w:val="true"/>
        </w:rPr>
        <w:footnoteReference w:id="1398"/>
      </w:r>
      <w:r>
        <w:rPr>
          <w:rFonts w:ascii="IRNazanin" w:hAnsi="IRNazanin" w:eastAsia="IRNazanin"/>
          <w:color w:val="111111"/>
          <w:sz w:val="28"/>
          <w:sz w:val="28"/>
          <w:szCs w:val="28"/>
          <w:rtl w:val="true"/>
          <w:lang w:bidi="fa-IR"/>
        </w:rPr>
        <w:t>ومواضع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الوجه الأول راجع إلی ما فی المتن من احتمال اختصاصها بغیر موضع الجبهة ، ولیس بوجه آخر لضعف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الآخر فهو وإن تعیّن کونه المراد من وجه آخر، إلا أنه یمکّن دفعه بما تقّدم فی محلّه من حمل الأخبار المانعة علی الکراهة أو تعدّی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المراد من توصیف الوجه الآخر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لذکره کثیر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ترک الأذان بسماع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الاحتمال المذکور وإن کان خلاف ظاهر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الجمعة بأذان هؤلاء</w:t>
      </w:r>
      <w:r>
        <w:rPr>
          <w:rStyle w:val="FootnoteAnchor"/>
          <w:rtl w:val="true"/>
        </w:rPr>
        <w:footnoteReference w:id="1399"/>
      </w:r>
      <w:r>
        <w:rPr>
          <w:rFonts w:ascii="IRNazanin" w:hAnsi="IRNazanin" w:eastAsia="IRNazanin"/>
          <w:color w:val="111111"/>
          <w:sz w:val="28"/>
          <w:sz w:val="28"/>
          <w:szCs w:val="28"/>
          <w:rtl w:val="true"/>
          <w:lang w:bidi="fa-IR"/>
        </w:rPr>
        <w:t>إلا أنه موافق لظاهر تعلیله بأنهم أشدّ مواظبة علی الوقت، بل لتصریحه، حیث لا یصلحّ ولا ینطبق التعلیل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جمیعه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وجه النظر فی الأول ، فلأن النهی عن الجهر وإن کان نهیاً عن الکیفیة إلا أنه من الکیفیّات اللازمة بل المقوّمة للقراءة المقتضیة للفساد، لا من الکیفیّات المفارقة له غیر المقتضیة للفساد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النظر فی الوجه الأخیر ، فلأن کراهة الأذان للجماعة الثانیة مالم تتفرّق الأولی لعلّه لأجل التعبّد أو احترام الجماعة الأولی ، لا لأجل عدم اشتراط السماع فی الاعتداد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ویحتمل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لاحتمال اختصاص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الإمضاء إذا لم یکن من نیّته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بالناسی، فلا یشمل العامد نظرة إلی أن منطوقه جواب عن خصوص الناسی فیضمر فیه الناسی فاعلاً، لا مطلق الرجل حتی یشمل 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بهذا إن لم یحتمل التحریم 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التحریم مانع من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 وهو احتمال التحریم فی المسألة، لأن التحریم الشرعیّ فیه لا وجه له، والتشریعیّ منه مختصّ بصورة ما إذا قصد التشریع بالفعل، لا قصد رجاء الواقع کما هو الواقع ، فلا مسرح لاحتماله فی المسألة وما شابهها من العبادات الخلافیة الماتیّ بها برجاء المطلوبیّة لا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ذکرنا مسلّمیّة حسن الاحتیاط عند الفقهاء ، بل الفتوی به فی بعض موارد الشکّ فی الحیضة بالجمع بین تروک الحائض وعمل المستحاضة، فتصلی وتصوم احتیاط بمجرّد احتمال المطلوبیّة والتسامح فی أدلّة السنن ، فلو احتمل حرمة عبادتها لم یحسن الاحتیاط والتسامح فی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وجود النهی الصریح عن صلاة الحائض ، فمن جهة وروده عقیب توهّم الحظر لا یوجب احتمال الحرّمة المنافیة للاحتیاط عند احتمال 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یحتمل تحریم عبادة الشاکّة فی الحیضة إذا فعلت برجاء الواقع مع وجود النهی الصریح عن صلاة الحائض ، لم یحتمل فی سائر العبادات الخلافیة المأتیّ بها برجاء المطلوبیّة لا التشریع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الکبری ، وهی مانعیّة احتمال الحرمة للاحتیاط والتسامح فی أدلّة السنن، إلا علی القول بتقدیم دفع المفسدة علی جلب المنفعة عند دوران </w:t>
      </w:r>
    </w:p>
    <w:p>
      <w:pPr>
        <w:pStyle w:val="BookText"/>
        <w:rPr/>
      </w:pPr>
      <w:r>
        <w:rPr>
          <w:rFonts w:ascii="IRNazanin" w:hAnsi="IRNazanin" w:eastAsia="IRNazanin"/>
          <w:color w:val="111111"/>
          <w:sz w:val="28"/>
          <w:sz w:val="28"/>
          <w:szCs w:val="28"/>
          <w:rtl w:val="true"/>
          <w:lang w:bidi="fa-IR"/>
        </w:rPr>
        <w:t>الاحتمال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ووجوبها کذلک خرق للإجماع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العاطفة حتی یکون لمطلق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باستحباب الأذان فی کلّ موضع مع وجوب الإقامة کذلک خرق للاجماع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کل من قال باستحباب الأذان فی کلّ موضع قال باستحباب الإقامة کذلک، ومن قال بوجوبه کذلک قال بوجوبها کذلک، فالتفصیل باستحبابه مع وجوبها خرق للإجماع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النحو من مخالفة الاجماع یسمّی اصطلاحاً قولاً بالفصل لا خرق الاجماع، لأن خرق الإجماع فی اصطلاحهم هو مخالفة الحکم المجمع علیه ، کالقول بوجوب ما أجمع علی غیر وجوبه من سائر الأحکام، والقول بالفصل هو مخالفة موضوع الحکم المجمع علیه من عموم أو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کالتفصیل بین ما أجمع علی إطلاق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القول بالفصل وخرق الاجماع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الإجماع البسیط فلتصادقهما علی مثل القول بوجوب بعض أفراد ما أجمع علی إباحة کلها ، و تفارقهما فی مثل القول بوجوب بعض أفراد ما أجمع علی وجوب کلّها ، ووجوب ما أجمع علی 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المرکّب فلتصادقهما علی مثل القول بوجوب بعض أفراد ما أجمع علی حرمة کلّها أو إباحة کلّها، وتفارقهما فی مثل القول بوجوب بعض أفراد ما أجمع علی وجوب کلّها أو استحباب کلّها، ووجوب ما أجمع علی حرمته أو إباحته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باستحباب الأذان مع وجوب الإقامة ، المجمع علی </w:t>
      </w:r>
    </w:p>
    <w:p>
      <w:pPr>
        <w:pStyle w:val="BookText"/>
        <w:rPr/>
      </w:pPr>
      <w:r>
        <w:rPr>
          <w:rFonts w:ascii="IRNazanin" w:hAnsi="IRNazanin" w:eastAsia="IRNazanin"/>
          <w:color w:val="111111"/>
          <w:sz w:val="28"/>
          <w:sz w:val="28"/>
          <w:szCs w:val="28"/>
          <w:rtl w:val="true"/>
          <w:lang w:bidi="fa-IR"/>
        </w:rPr>
        <w:t xml:space="preserve">استحبابهما معاً أو وجوبهما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الأول لا الثانی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موارد افتراق القول بالفصل عن خرق الإجماع لا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لوحدة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وحدة السیاق کما یحتمل أن تقتضی بملاحظة مادلّ علی استحباب الأذان لاستحباب الإقامة أیضاً، کذلک یحتمل أن تقتضی بملاحظة ما دلّ علی وجوب الإقامة لوجوب الأذان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إمکان دفعه بأن ضمیمة الأصل ممّا دلّ علی استحباب الأذان المقتضی لاستحباب الإقامة أیضاً بوحدة السیاق، أقوی من ضمیمة ألعکس مما دل علی وجوب الإقامة المقتضی لوجوب الأذان أیضاً بوحدة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الفرق فی الأمور الخارجة من حیث الدخول فی عموم ما فات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الواجبات منها کالطهارة عن الحدث والخبث، وبین المستحبات کالأذان والإقامة ، فلا یمکن الاستدلال بدخول الواجبات منها علی دخول المستحبات، خصوصاً الأذان والإقامة ممّا یحتمل اعتباره مستقلاً، لا شرطاً ولا شطراً فی الصلاة کالطهارة والاستقبال المقیس علیه ، ومع هذین الفرقین یشکل المقایسة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معاضدته بما مرّ من الأخبار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بظواهرها الناهیة عن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المعاضدة ، لورود تلک النواهی عقیب توهّم اللزوم، وقد تقرّر فی محلّه أن النهی المتعقّب لتوهّم الوجوب کالأمر المتعقّب لتوهّم الحظر لمجرّد الإباحة ورفع ذلک الأمر المتوهّم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 فلا دلالة لتلک النواهی الناهیة عن الأذان والإقامة علی </w:t>
      </w:r>
    </w:p>
    <w:p>
      <w:pPr>
        <w:pStyle w:val="BookText"/>
        <w:rPr/>
      </w:pPr>
      <w:r>
        <w:rPr>
          <w:rFonts w:ascii="IRNazanin" w:hAnsi="IRNazanin" w:eastAsia="IRNazanin"/>
          <w:color w:val="111111"/>
          <w:sz w:val="28"/>
          <w:sz w:val="28"/>
          <w:szCs w:val="28"/>
          <w:rtl w:val="true"/>
          <w:lang w:bidi="fa-IR"/>
        </w:rPr>
        <w:t>سقوطهما عزیمة، وإنما تدلّ علی السقوط رخصة، ویعاضده النصوص الأخر الدالّة علی کون السقوط رخصة لا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الناوی بأذانه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التفصیل منافی لإطلاق ما سیأتی</w:t>
      </w:r>
      <w:r>
        <w:rPr>
          <w:rStyle w:val="FootnoteAnchor"/>
          <w:rtl w:val="true"/>
        </w:rPr>
        <w:footnoteReference w:id="1401"/>
      </w:r>
      <w:r>
        <w:rPr>
          <w:rFonts w:ascii="IRNazanin" w:hAnsi="IRNazanin" w:eastAsia="IRNazanin"/>
          <w:color w:val="111111"/>
          <w:sz w:val="28"/>
          <w:sz w:val="28"/>
          <w:szCs w:val="28"/>
          <w:rtl w:val="true"/>
          <w:lang w:bidi="fa-IR"/>
        </w:rPr>
        <w:t xml:space="preserve">من النص </w:t>
      </w:r>
      <w:r>
        <w:rPr>
          <w:rStyle w:val="FootnoteAnchor"/>
          <w:rtl w:val="true"/>
        </w:rPr>
        <w:footnoteReference w:id="1402"/>
      </w:r>
      <w:r>
        <w:rPr>
          <w:rFonts w:ascii="IRNazanin" w:hAnsi="IRNazanin" w:eastAsia="IRNazanin"/>
          <w:color w:val="111111"/>
          <w:sz w:val="28"/>
          <w:sz w:val="28"/>
          <w:szCs w:val="28"/>
          <w:rtl w:val="true"/>
          <w:lang w:bidi="fa-IR"/>
        </w:rPr>
        <w:t xml:space="preserve">والفتوی بجواز الاجتزاء بأذان الجار، بل لو فرضنا اختصاص النصّ </w:t>
      </w:r>
      <w:r>
        <w:rPr>
          <w:rStyle w:val="FootnoteAnchor"/>
          <w:rtl w:val="true"/>
        </w:rPr>
        <w:footnoteReference w:id="1403"/>
      </w:r>
      <w:r>
        <w:rPr>
          <w:rFonts w:ascii="IRNazanin" w:hAnsi="IRNazanin" w:eastAsia="IRNazanin"/>
          <w:color w:val="111111"/>
          <w:sz w:val="28"/>
          <w:sz w:val="28"/>
          <w:szCs w:val="28"/>
          <w:rtl w:val="true"/>
          <w:lang w:bidi="fa-IR"/>
        </w:rPr>
        <w:t xml:space="preserve">بالجماعة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مورد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للتنبیه بالأدنی علی الأعلی، کما سیصرّح</w:t>
      </w:r>
      <w:r>
        <w:rPr>
          <w:rStyle w:val="FootnoteAnchor"/>
          <w:rtl w:val="true"/>
        </w:rPr>
        <w:footnoteReference w:id="1404"/>
      </w:r>
      <w:r>
        <w:rPr>
          <w:rFonts w:ascii="IRNazanin" w:hAnsi="IRNazanin" w:eastAsia="IRNazanin"/>
          <w:color w:val="111111"/>
          <w:sz w:val="28"/>
          <w:sz w:val="28"/>
          <w:szCs w:val="28"/>
          <w:rtl w:val="true"/>
          <w:lang w:bidi="fa-IR"/>
        </w:rPr>
        <w:t>به هو تبعاً للشهید</w:t>
      </w:r>
      <w:r>
        <w:rPr>
          <w:rStyle w:val="FootnoteAnchor"/>
          <w:rtl w:val="true"/>
        </w:rPr>
        <w:footnoteReference w:id="140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احتمال استفادة تقیید الجلسة بالخفیف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الأذان والإقامة سبحة</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 نظراً إلی أن المنفی لیس السبحة المقارنة للجلسة قطعاً ، فتعیّن کونه المتأخّرة عنها المستلزمة لتطویل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والترجیع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الترجیع المکروه فی الأذان والإقامة هو الترجیع فی الکلام ، وهو تکرار الفصل زیادة علی الموظف، لا الترجیع فی الصوت، وهو مدّ الصوت بنحو الغناء، کما یظهر من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تصریح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تصریح الخبر بلفظ الترجیع فواضح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تصریحه بمعناه المشهور، فلما عرفت من أن معناه المشهور هو تکرار تمام الفصل زیادة علی الموظّف ، ومعنی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الإعادة فی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له ولغیره، وهو </w:t>
      </w:r>
    </w:p>
    <w:p>
      <w:pPr>
        <w:pStyle w:val="BookText"/>
        <w:rPr/>
      </w:pPr>
      <w:r>
        <w:rPr>
          <w:rFonts w:ascii="IRNazanin" w:hAnsi="IRNazanin" w:eastAsia="IRNazanin"/>
          <w:color w:val="111111"/>
          <w:sz w:val="28"/>
          <w:sz w:val="28"/>
          <w:szCs w:val="28"/>
          <w:rtl w:val="true"/>
          <w:lang w:bidi="fa-IR"/>
        </w:rPr>
        <w:t>تکرار أبعاض الفصل زیادة علی الموظف لا إعادة تمامه ، نظراً إلی أن الإعادة فیه غیر الإعادة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التأمّل فی موافقة الترجیع فی الرضویّ </w:t>
      </w:r>
      <w:r>
        <w:rPr>
          <w:rStyle w:val="FootnoteAnchor"/>
          <w:rtl w:val="true"/>
        </w:rPr>
        <w:footnoteReference w:id="1407"/>
      </w:r>
      <w:r>
        <w:rPr>
          <w:rFonts w:ascii="IRNazanin" w:hAnsi="IRNazanin" w:eastAsia="IRNazanin"/>
          <w:color w:val="111111"/>
          <w:sz w:val="28"/>
          <w:sz w:val="28"/>
          <w:szCs w:val="28"/>
          <w:rtl w:val="true"/>
          <w:lang w:bidi="fa-IR"/>
        </w:rPr>
        <w:t>للخبر المذکور، فلعلّه إشارة إلی احتمال کون المراد من الترجیع هو الترجیع فی الصوت لا فی الکلمة کما فیما نحن فیه، أو إلی وجه الفرق بین معنی الخبر ومعنی الترجیع المشهور فی فصول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التثویب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التردید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الدعاء ، تفعیل من ثاب یثوب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أن الرجل إذا جاء مستصرخاً لوحّ بثوبه فیکون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اوه اندادا </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ثم کثر حتی سمّی الدعاء تثویباً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لا نراه أذانةاً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ما فی الخبر </w:t>
      </w:r>
      <w:r>
        <w:rPr>
          <w:rStyle w:val="FootnoteAnchor"/>
          <w:rtl w:val="true"/>
        </w:rPr>
        <w:footnoteReference w:id="1409"/>
      </w:r>
      <w:r>
        <w:rPr>
          <w:rFonts w:ascii="IRNazanin" w:hAnsi="IRNazanin" w:eastAsia="IRNazanin"/>
          <w:color w:val="111111"/>
          <w:sz w:val="28"/>
          <w:sz w:val="28"/>
          <w:szCs w:val="28"/>
          <w:rtl w:val="true"/>
          <w:lang w:bidi="fa-IR"/>
        </w:rPr>
        <w:t>من احتمال کون المنفیّ عنه البأس هو القول به فی خارج الأذان، لا فی أثنائه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المناقشة فی الدلالة واهیة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المناقشة فهی احتمال کون المراد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هو نفی الشرک والریاء والسمعة فی العبادة ، لا نفی صحّة العبادة غیر المقرونة بالنّیة ، وبقوله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عمل إلا بنیّة </w:t>
      </w:r>
      <w:r>
        <w:rPr>
          <w:rStyle w:val="FootnoteAnchor"/>
          <w:rtl w:val="true"/>
        </w:rPr>
        <w:footnoteReference w:id="1411"/>
      </w:r>
      <w:r>
        <w:rPr>
          <w:rFonts w:ascii="IRNazanin" w:hAnsi="IRNazanin" w:eastAsia="IRNazanin"/>
          <w:color w:val="111111"/>
          <w:sz w:val="28"/>
          <w:sz w:val="28"/>
          <w:szCs w:val="28"/>
          <w:rtl w:val="true"/>
          <w:lang w:bidi="fa-IR"/>
        </w:rPr>
        <w:t xml:space="preserve">هو نفی الکمال </w:t>
      </w:r>
    </w:p>
    <w:p>
      <w:pPr>
        <w:pStyle w:val="BookText"/>
        <w:rPr/>
      </w:pPr>
      <w:r>
        <w:rPr>
          <w:rFonts w:ascii="IRNazanin" w:hAnsi="IRNazanin" w:eastAsia="IRNazanin"/>
          <w:color w:val="111111"/>
          <w:sz w:val="28"/>
          <w:sz w:val="28"/>
          <w:szCs w:val="28"/>
          <w:rtl w:val="true"/>
          <w:lang w:bidi="fa-IR"/>
        </w:rPr>
        <w:t xml:space="preserve">لا نفی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کونها واهیة فهو ظهور الآیة والروایة فی نفی الصحّة لا الکمال ، ولو بضمیمة الاتّفاق وأقربیّة نفی الصحّة إلی نفی الحقیقة التی هی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وجه ضعف الأول فلعدم اختصاصه بالشرط، واشتراکه بینه وبین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ضعف الثانی فلما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کون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مفتاحها التکبیر</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 xml:space="preserve">تحریمها التکبیر لا أول جزئها التکبیر ، کما ورد التنصیص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التکبیر، وتحلیلها التسلیم</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فی سائر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المراد به أول الأفعال الظاهرة، لا ما یشمل القلبی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أوّلیّة التکبیر فی تعداد أجزاء الصلاة لا ینافی دخول النیّة أیضاً فیها، باعتبار مقارنتها التکبیر تقارن معیّة لا سبق ولحوق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کأکثر الوجوه المستدلّ بها علی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استدلّ به علی الجزئیّة أنها مقارنة للتکبیر الذی هو جزء ورکن، فتکون جزءًا، وأن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414"/>
      </w:r>
      <w:r>
        <w:rPr>
          <w:rFonts w:ascii="IRNazanin" w:hAnsi="IRNazanin" w:eastAsia="IRNazanin"/>
          <w:color w:val="111111"/>
          <w:sz w:val="28"/>
          <w:sz w:val="28"/>
          <w:szCs w:val="28"/>
          <w:rtl w:val="true"/>
          <w:lang w:bidi="fa-IR"/>
        </w:rPr>
        <w:t>مشعر باعتبار العبادة حال الإخلاص، وهو المراد بالنیّة ، ولا نعنی بالجزء إلا ما کان منتظماً مع الشیء بحیث یشمل الکلّ حقیقة واحدة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الضعف، فلوضوح أن أعتبار المقارنة علی سائر التقادیر لا تقتضی الجزئیّة قطعاً ، کوضوح عدم دلالّة إشعار الآیة باعتبار العبادة حال الإخلاص علی دخول الإخلاص فیها علی وجه الجزئیّة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استدلّ به علی شرطیّتها أنها لو کانت جزءًا لافتقرت إلی نیّة أخری، ویتسلسل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وبأنّها تتعلّق بالصلاة ، فلو کانت جزءًا لتعلّق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والتسلسل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ضعف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من تعلّقها بالصلاة تعلّقها بمسمّی الصلاة حتی بنیتّها فهو مصادرة وممنوع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به تعلّقها بباقی أفعال الصلاة فهو لا ینافی کونها جزءًا منها ، إذ لا یلزم تعلّق الشیء بنفسه ، ضرورة مغایرة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للمتعلّق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حینئنذ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المسألة قول بالتوقّف والتردّد، نظراً إلی ما عن جامع المقاصد من أن خاصّة الشرط والجزءً معاً قد اجتمعتا فی النیة، فإن تقدّمها علی جمیع الأفعال حتی التکبیر الذی هو أول الصلاة یلحقها بالشروط ، واعتبار ما یعتبر فی الصلاة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باقی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ذلک یلحقها بالأجزاء</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علیه الجواهر </w:t>
      </w:r>
      <w:r>
        <w:rPr>
          <w:rStyle w:val="FootnoteAnchor"/>
          <w:rtl w:val="true"/>
        </w:rPr>
        <w:footnoteReference w:id="1416"/>
      </w:r>
      <w:r>
        <w:rPr>
          <w:rFonts w:ascii="IRNazanin" w:hAnsi="IRNazanin" w:eastAsia="IRNazanin"/>
          <w:color w:val="111111"/>
          <w:sz w:val="28"/>
          <w:sz w:val="28"/>
          <w:szCs w:val="28"/>
          <w:rtl w:val="true"/>
          <w:lang w:bidi="fa-IR"/>
        </w:rPr>
        <w:t>بمنع اعتبار ما یعتبر فی الصلاة فیها ، بل هو مبنیّ علی القول بجزئیتّها، والمفروض أنه أول الکلام، أو علی دلیل بالخصوص ، والمفروض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ولکنّها بالشرط أشبه ، کما صرّح به الماتن والجواهر </w:t>
      </w:r>
      <w:r>
        <w:rPr>
          <w:rStyle w:val="FootnoteAnchor"/>
          <w:rtl w:val="true"/>
        </w:rPr>
        <w:footnoteReference w:id="1417"/>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الأشبهنیة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الحقیقة الشرعیّة المتشرعیّة والذی فی أیدیهم معاملة نیّة الصلاة کمعاملة القصد فی غیرها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الصلاة ، وما نواها، وهی منویّة أو غیر منویّة، ونحو ذلک ممّا هو کالصریح فی خروجها عنها، وأنها نحو نیة الضرب والأکل وغیرهما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یتفرّع بعضها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الفروع التی لا تتفرّع علیهما ما فی جامع المقاصد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من أن فائدة القولین تظهر فیمن سها عن فعل النیّة بعد التکبیر ففعلها ثم تذکّر فعلها سابقة ، بطلت علی الثانی خاصّة، لزیادة الرکن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وظنّی أن هذا لیس بشیء، لأن استحضار النیّة فی مجموع الصلاة هو المعتبر لولا المشقّة، ولأن الاکتفاء بالاستدامة ارتفاق بالمکلّف، فلا یکون استحضارها فی أثناء الصلاة عمداً أو سهواً منافیاً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القصد إلی استینافها یقتضی بطلان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یختصّ بکونها رکناً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یفرّق بینهما فی الفرض ، بل قد یفرّق بینهما فی صورة العمد أیضا لا بقصد الاستیناف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الفروع القلیلة الفائدة ما عن الذکری </w:t>
      </w:r>
      <w:r>
        <w:rPr>
          <w:rStyle w:val="FootnoteAnchor"/>
          <w:rtl w:val="true"/>
        </w:rPr>
        <w:footnoteReference w:id="1420"/>
      </w:r>
      <w:r>
        <w:rPr>
          <w:rFonts w:ascii="IRNazanin" w:hAnsi="IRNazanin" w:eastAsia="IRNazanin"/>
          <w:color w:val="111111"/>
          <w:sz w:val="28"/>
          <w:sz w:val="28"/>
          <w:szCs w:val="28"/>
          <w:rtl w:val="true"/>
          <w:lang w:bidi="fa-IR"/>
        </w:rPr>
        <w:t>من أنه لا جدوی للمسألة إلا فیما اندر ، کالنذر لمن یصلّی فی وقت کذا وابتداء فی وقت کذا، فإن جعلناها جزء استحق وبریء، وإلا فلا ثمرة لها فی الغالب، للاتّفاق علی بطلان الصلاة بقواتها ولو نسیاناً ، سواء جعلناها شرطاً أو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یتخیّل من أن القول بالشرطیّة یستلزم جواز إیقاعها قاعداً، وغیر مستقبل ، بل وغیر متطهّر، ولا مستور العورة، فلیس بسدید، إذ المقارنة المعتبرة للجزءً تنفی هذه الاحتمالات ولو جعلناها شرطاً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کالصریح فی أن اعتبار ذلک علی تقدیر الشرطیّة لمّا یقارنها 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نوقش فیه أیضاً بأنه مع فرض سبقها علی التکبیر ، وأنها عبارة عن تصوّر ما ستعرفه ممّا یحتاج إلی امتداد زمان، یتصوّر حینئذالثمرة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w:t>
      </w:r>
    </w:p>
    <w:p>
      <w:pPr>
        <w:pStyle w:val="BookText"/>
        <w:rPr/>
      </w:pPr>
      <w:r>
        <w:rPr>
          <w:rFonts w:ascii="IRNazanin" w:hAnsi="IRNazanin" w:eastAsia="IRNazanin"/>
          <w:color w:val="111111"/>
          <w:sz w:val="28"/>
          <w:sz w:val="28"/>
          <w:szCs w:val="28"/>
          <w:rtl w:val="true"/>
          <w:lang w:bidi="fa-IR"/>
        </w:rPr>
        <w:t>علی کون المعتبر مقارنة المعیّة یتّجه ما ذکره، لکن المفروض التصریح منه ومن غیره بأن مقارنتها علی وجهین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جعلها لله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للشهیدین</w:t>
      </w:r>
      <w:r>
        <w:rPr>
          <w:rStyle w:val="FootnoteAnchor"/>
          <w:rtl w:val="true"/>
        </w:rPr>
        <w:footnoteReference w:id="1421"/>
      </w:r>
      <w:r>
        <w:rPr>
          <w:rFonts w:ascii="IRNazanin" w:hAnsi="IRNazanin" w:eastAsia="IRNazanin"/>
          <w:color w:val="111111"/>
          <w:sz w:val="28"/>
          <w:sz w:val="28"/>
          <w:szCs w:val="28"/>
          <w:rtl w:val="true"/>
          <w:lang w:bidi="fa-IR"/>
        </w:rPr>
        <w:t xml:space="preserve">وغیرهما ، مستندین بأن الله تعالی غایة کلّ 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علیهم بأن قول الحکماء إن الله تعالی غایة الغایات أنه منتهی العلل الفاعلیّة ، وقصده لا یجدی فی العبادة، بل لابدّ من قصد العلّة الغائیّة بقصد إحدی الجهات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من باب المحاکمة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أراد الشهیدان من أنه تعالی غایة کلّ قصد انتهاء العلل الفاعلیة إلیه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قول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مع المورد المانع من کفایته فی صحّة العبادة، لعدم صلوحه غایة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أرادا به انتهاء جمیع الجهات والغایات المصحّحة للعبادة إلی جهة ذاته المجرّدة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لعلّه الظاهر من قرینة حال الشهیدین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معهما فی الاکتفاء بفعله لله عن سائر الجهات، لدلالته علیها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یصدق الامتثال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 فإن صدق الامتثال عرفاً و شرعاً و عقلاً لا یتوقّف علی أزید من نیّة القربة، ولا دلیل شرعاً ولا عقلاً علی اعتبار ما یزید علی نیّة القربة فی صحّة العبادة وفی 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تعیّن مافی الذمّة شرعاً واتّحاده و عدم اشترا که فلان تعیینه تحصیل للحاصل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صورة تعدّده و اشتراکه بین المتعدّد، فلأن صرفه إلی بعض الأفراد دون بعض وإن استلزم الترجیح بلا مرجحّ، إلا أن ذلک إنما یقتضی اعتبار التعیین </w:t>
      </w:r>
    </w:p>
    <w:p>
      <w:pPr>
        <w:pStyle w:val="BookText"/>
        <w:rPr/>
      </w:pPr>
      <w:r>
        <w:rPr>
          <w:rFonts w:ascii="IRNazanin" w:hAnsi="IRNazanin" w:eastAsia="IRNazanin"/>
          <w:color w:val="111111"/>
          <w:sz w:val="28"/>
          <w:sz w:val="28"/>
          <w:szCs w:val="28"/>
          <w:rtl w:val="true"/>
          <w:lang w:bidi="fa-IR"/>
        </w:rPr>
        <w:t>فی احتساب الفعل عن بعض ما فی الذمّة دون بعض لا فی صحّته ، فإن أصل الصحّة إنما یحصّل بمجرّد نیّة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احتسابه فی مقام الاشتراک شرعاً بین أفراد متعدّدة عن بعضها المعیّن دون بعض یتوقّف علی التعیین ، کما صرّح به الشهید </w:t>
      </w:r>
      <w:r>
        <w:rPr>
          <w:rStyle w:val="FootnoteAnchor"/>
          <w:rtl w:val="true"/>
        </w:rPr>
        <w:footnoteReference w:id="1422"/>
      </w:r>
      <w:r>
        <w:rPr>
          <w:rFonts w:ascii="IRNazanin" w:hAnsi="IRNazanin" w:eastAsia="IRNazanin"/>
          <w:color w:val="111111"/>
          <w:sz w:val="28"/>
          <w:sz w:val="28"/>
          <w:szCs w:val="28"/>
          <w:rtl w:val="true"/>
          <w:lang w:bidi="fa-IR"/>
        </w:rPr>
        <w:t xml:space="preserve">فی بعض تحقیقاته فی نیّة الصوم، ولله دره من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التفریعات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المتفرّع علی اعتبار نیة الوجه هو فساد مالم ینو فیه الوجّه، وأما فساد مانوی فیه الخلاف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خصوصاً فی صورة السهو لا العمد، فإنه نظیر ما لو نوی صوم یوم زاعماً کونه من شعبان فبان کونه من رمضان، ونظیر ما لو نوی الائتمام بعادل زاعماً أنه زید فبان أنه عمرو، إلی غیر ذلک من الفروع المصرّح بتصحیحها غیر واحد من أجلّة الفقهاء</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الفساد فلیس من جهة اعتبار نیّة الوجه ، بل من جهة نیّة الخلاف الموجب للتشریع المحرّم ، وکون ما قصد لم یقع وما وقع لم یقصد حسبما حرّر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ضعف التفصیل ومنع الملازمة، بأن قصد التعیین علی تقدیر اعتباره فی المتعبّد به المشترک بین القصر والاتمام فإنما یعتبر من حین الشروع فی الفصل الممیّز بینهما، لا من حین الشروع فی مبدئه المشترک بین الفصلین، حتی یستلزم العدول فی الأثناء من القصر إلی الاتمام وقوع الزائد بغیر نیة ، فالملازمة ممنوعة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هذه التفاسیر کلّها تناسب القول بأن النیّة عبارة عن الصورة </w:t>
      </w:r>
    </w:p>
    <w:p>
      <w:pPr>
        <w:pStyle w:val="BookText"/>
        <w:rPr/>
      </w:pPr>
      <w:r>
        <w:rPr>
          <w:rFonts w:ascii="Amiri" w:hAnsi="Amiri" w:eastAsia="Amiri" w:cs="Amiri"/>
          <w:color w:val="111111"/>
          <w:sz w:val="28"/>
          <w:sz w:val="28"/>
          <w:szCs w:val="28"/>
          <w:rtl w:val="true"/>
          <w:lang w:bidi="ar-SA"/>
        </w:rPr>
        <w:t xml:space="preserve">المخطرة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نفس الداعی و الخطور کالفرق بین وجود الشیء والعلم به ، فإن الداعی عبارة عن النیّة الباعثة علی فعل المنویّ، والخطور عبارة عن تلک النیّة مع قید العلم والالتفات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محلّ الخلاف والنزاع فلیس فی مبدأ حدوث النیّة ، إذ هی فی مبدأ حدوثها لا تنفکّ عن الخطور والالتفات علی کلّ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أثناء العمل المنویّ، إذ هی فی الأثناء تنفکّ عن الخطور والالتفات لا محالة بالنسبة إلی غیر المعصوم عن الغفلة، خصوصاً فی الأعمال الطویلة المرکّبة من الأجزاء الکثیرة، ولهذا اتّفق القولان علی الاکتفاء بالداعی وعدم اعتبار الخطور فی أثناء العمل، لاستلزامه التعذّر أو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النزاع والخلاف فی کون النیة الداعی أو الخطور إنما هو فی محلّ الشروع وعند الشروع فی المنویّ بأحد تفاسیره المذکورة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الترجیح فمع القول بالداعی ، للأصل ، وعدم الدلیل عقلاً ولا شرعاً علی اعتبار ما یزید علی النیّة فی العبادة علی وجه یستند وجود المنوی إلی وجودها ولو فی القوّة الحافظة دون القوة المخطرة، ولکن بحیث لم ینمح عن الذهن بالمرّة وإن غاب عنه، وإلا انقطع الاستناد قطعاً ولم یکتف بها جزماً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واستدامتها 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بقاء الاستدامة الحکمیّة هو بقاء النیّة فی تمام العمل علی وجه یستند تمام العمل إلیها ، احترازاً عمّا انمحت عن الذهن وخلا جزء العمل عنها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التعبیر عن ذلک بالاستدامة الحکمیّة مبنیّ علی کون المعتبر فی ابتداء العمل هو استحضار النیّة وخطورها دون مجرّد الداعی منها، وإلا کان الباقی منها فی </w:t>
      </w:r>
    </w:p>
    <w:p>
      <w:pPr>
        <w:pStyle w:val="BookText"/>
        <w:rPr/>
      </w:pPr>
      <w:r>
        <w:rPr>
          <w:rFonts w:ascii="IRNazanin" w:hAnsi="IRNazanin" w:eastAsia="IRNazanin"/>
          <w:color w:val="111111"/>
          <w:sz w:val="28"/>
          <w:sz w:val="28"/>
          <w:szCs w:val="28"/>
          <w:rtl w:val="true"/>
          <w:lang w:bidi="fa-IR"/>
        </w:rPr>
        <w:t xml:space="preserve">الأثناء هو استدامتها حقیقة لا حکماً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مؤوّل بتأویلات غیر 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کحمل القضاء الذی فی بعضها علی قضاء أصل الصلاة ، لا قضاء التکبیرة المنسیّة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 التکبیرة المنسیّة علی غیر تکبیرة الإحرام من تکبیرات الافتتاح، والقضاء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 نسیان التکبیرة فیها علی الشق فی التکبیرة لا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عن نوع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النظر منع کون تحریک اللسان مع القدرة علی النطق أحد الواجبین حتیّ لا یسقط بسقوط المعسور، وإنما وجوبه وجوب مقدّمیّ لأجل التوصّل إلی ذی المقدّمة، فتسقط بسقوط ذیه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یحره</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المجاوبة ، والتحاور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Style w:val="FootnoteAnchor"/>
          <w:rtl w:val="true"/>
        </w:rPr>
        <w:footnoteReference w:id="1424"/>
      </w:r>
      <w:r>
        <w:rPr>
          <w:rFonts w:ascii="IRNazanin" w:hAnsi="IRNazanin" w:eastAsia="IRNazanin"/>
          <w:color w:val="111111"/>
          <w:sz w:val="28"/>
          <w:sz w:val="28"/>
          <w:szCs w:val="28"/>
          <w:rtl w:val="true"/>
          <w:lang w:bidi="fa-IR"/>
        </w:rPr>
        <w:t>أنهم علیه السلام علی ینطقون حین الولادة کما فی الأخبار، فکیف یمتنع علیه النطق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الوافی الجواب بأنه لعلّ المراد أنه علیه السلام لم یفصح بالتکبیرة إلا فی السابعة، لا أنه لم یکبر إلا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البحار</w:t>
      </w:r>
      <w:r>
        <w:rPr>
          <w:rStyle w:val="FootnoteAnchor"/>
          <w:rtl w:val="true"/>
        </w:rPr>
        <w:footnoteReference w:id="1425"/>
      </w:r>
      <w:r>
        <w:rPr>
          <w:rFonts w:ascii="IRNazanin" w:hAnsi="IRNazanin" w:eastAsia="IRNazanin"/>
          <w:color w:val="111111"/>
          <w:sz w:val="28"/>
          <w:sz w:val="28"/>
          <w:szCs w:val="28"/>
          <w:rtl w:val="true"/>
          <w:lang w:bidi="fa-IR"/>
        </w:rPr>
        <w:t>الجواب بأنه لعلّ ذلک کان عند الناس لأجل التخوف من الناس ، أو تعلیم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الالتزام بلوازم البشریّة و العادیّة فیما عدا مقام الإعجاز ، من سائر أحوالهم الغالبة الموافقة لأحوال الناس فی الصحّة والمرض والفقر والغناء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أبعد من عروض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لأنه کلّما قصر فی زمان الفرض بعد عن عروض المبطل فی </w:t>
      </w:r>
    </w:p>
    <w:p>
      <w:pPr>
        <w:pStyle w:val="BookText"/>
        <w:rPr/>
      </w:pPr>
      <w:r>
        <w:rPr>
          <w:rFonts w:ascii="IRNazanin" w:hAnsi="IRNazanin" w:eastAsia="IRNazanin"/>
          <w:color w:val="111111"/>
          <w:sz w:val="28"/>
          <w:sz w:val="28"/>
          <w:szCs w:val="28"/>
          <w:rtl w:val="true"/>
          <w:lang w:bidi="fa-IR"/>
        </w:rPr>
        <w:t xml:space="preserve">أثنائه ، وقرب لحوق المأموم بإمامه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الغالب فی صلاته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الغالب وقوعه جماعة منه إنما هو فی الفرائض دون المندوبات والنوافل الکثیرة بل الأکثر، اللازمة بعضها علیه ، واستحباب الافتتاح بسبع تکبیرات غیر مختصّة بالفرائض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وبها یصرف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وانحرم</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 لتفسیر الأخبار </w:t>
      </w:r>
      <w:r>
        <w:rPr>
          <w:rStyle w:val="FootnoteAnchor"/>
          <w:rtl w:val="true"/>
        </w:rPr>
        <w:footnoteReference w:id="1427"/>
      </w:r>
      <w:r>
        <w:rPr>
          <w:rFonts w:ascii="IRNazanin" w:hAnsi="IRNazanin" w:eastAsia="IRNazanin"/>
          <w:color w:val="111111"/>
          <w:sz w:val="28"/>
          <w:sz w:val="28"/>
          <w:szCs w:val="28"/>
          <w:rtl w:val="true"/>
          <w:lang w:bidi="fa-IR"/>
        </w:rPr>
        <w:t xml:space="preserve">النحر فیها برفع الیدین فی التکبیرة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فقار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فقارة کسحاب جمع سحابة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الخرز الذی یضمّ النخاع، الذی یسمّی خرز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الخیط الأبیض داخل عظم الرقبة ممتدُاً من الرقبة إلی أصل الذنب ، یکون فی جوف الفقار، بالفتح والضمّ والکسر علی اختلاف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والصلب الظهّر ، وکلّ شیء من الظهّر فیه فقار فذلک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تستند بخمرک وأنت تصلّی</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واراک من خزف أو جبل أو 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بمعونة التفسیر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المفسّر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یصلی قائماً، والمریض یصلّی </w:t>
      </w:r>
    </w:p>
    <w:p>
      <w:pPr>
        <w:pStyle w:val="BookText"/>
        <w:rPr/>
      </w:pPr>
      <w:r>
        <w:rPr>
          <w:rFonts w:ascii="IRNazanin" w:hAnsi="IRNazanin" w:eastAsia="IRNazanin"/>
          <w:color w:val="111111"/>
          <w:sz w:val="28"/>
          <w:sz w:val="28"/>
          <w:szCs w:val="28"/>
          <w:rtl w:val="true"/>
          <w:lang w:bidi="fa-IR"/>
        </w:rPr>
        <w:t>جالساً، والأضعف من المریض یصلّی علی جنبه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احتیاج الاستدلال بها علی المدّعی إلی تکلّف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إخراج ما عدا الصلاة وما عدا الفاتحة خاصّة أو هی والسورة، للعلم بعدم وجوب القراءة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الوجوب الشرطیّ والشرعیّ من الأمر علی فرض العموم للفرض والنفل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فمحمول علی محامل أقربها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ترک البسملة علی صورة النسیان لا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الإنکار لا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عدم سماع الراوی لها لبعده، لا عدم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عدم لزوم الجهر بها فی محلّ الإخفات ، کما هو ظاهر بعضها </w:t>
      </w:r>
      <w:r>
        <w:rPr>
          <w:rStyle w:val="FootnoteAnchor"/>
          <w:rtl w:val="true"/>
        </w:rPr>
        <w:footnoteReference w:id="1431"/>
      </w:r>
      <w:r>
        <w:rPr>
          <w:rFonts w:ascii="IRNazanin" w:hAnsi="IRNazanin" w:eastAsia="IRNazanin"/>
          <w:color w:val="111111"/>
          <w:sz w:val="28"/>
          <w:sz w:val="28"/>
          <w:szCs w:val="28"/>
          <w:rtl w:val="true"/>
          <w:lang w:bidi="fa-IR"/>
        </w:rPr>
        <w:t>أو علی عدم قراءة السورة مع الفاتحة، کما یجوز فی النوافل وفی الضرورة لضیق وقت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حرف مع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المشدّد حرف مع زیادة ، لا التشدید ، فإنه من کیفیّات الحرف لا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فالإخلال بالتشدید إما بحذف الحرف المدغم مثلاً، أو بتحریکه، أو بفک الإدغام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الأول مندرج فی الاخلال بحرف، ولعلّه خصّه حینئذ بالذکر الخفائه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والثالث إخلال بکیفیة الحرف، لأنه حرّکه بعد سکونه ، أو بموالاته، لما عن الکشف</w:t>
      </w:r>
      <w:r>
        <w:rPr>
          <w:rStyle w:val="FootnoteAnchor"/>
          <w:rtl w:val="true"/>
        </w:rPr>
        <w:footnoteReference w:id="143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فلک الإدغام من ترک الموالاة إن تشابه الحرفان، وإلا فهو إبدال حرف بغیره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إما إشارة إلی أن وجه أولویّة ترجمة القراءة عند العجز من ترجمة التکبیرة عند العجز کون التکبیرة رکنّاً ، فإذا جاز ترجمتها عند العجز فغیر 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بالترجمة عند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إشارة إلی إمکان منع الأولویّة ، بأن عدم سقوط التکبیرة عند العجز من جهة رکنیتها ، بخلاف القراءة، فإنها لمّا لم تکن رکناً احتمل سقوطها عند العجز، فلا یتعین ترجمتها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أنه وإن أمکن دخول ترجمة الذکر فی إطلاق الذکر المأمور به ، کدخول ترجمات ألفاظ العقود فی إطلاق العقود الملزمة عند من لم یعتبر العربیّة فیها، إلا أنه معارض بأقربة ترجمة القراءة من ترجمة الذکر الذی هو بدل عنها، نظرا إلی أولویّة ترجمة الأصل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ترجمة بدله الاضطراری وهو الذکر، ولکنّها أولویّة اعتباریّة لعلّها لا تعارض ما فرض من إطلاق الذکر علی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عن شوب مناقشة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نفی الخلاف فمناقشته هو وجود الخلاف صریحاً من التذکرة</w:t>
      </w:r>
      <w:r>
        <w:rPr>
          <w:rStyle w:val="FootnoteAnchor"/>
          <w:rtl w:val="true"/>
        </w:rPr>
        <w:footnoteReference w:id="1433"/>
      </w:r>
      <w:r>
        <w:rPr>
          <w:rFonts w:ascii="IRNazanin" w:hAnsi="IRNazanin" w:eastAsia="IRNazanin"/>
          <w:color w:val="111111"/>
          <w:sz w:val="28"/>
          <w:sz w:val="28"/>
          <w:szCs w:val="28"/>
          <w:rtl w:val="true"/>
          <w:lang w:bidi="fa-IR"/>
        </w:rPr>
        <w:t>وغیره ، وظاهراً من إطلاق القراءة فی بعض النصوص</w:t>
      </w:r>
      <w:r>
        <w:rPr>
          <w:rStyle w:val="FootnoteAnchor"/>
          <w:rtl w:val="true"/>
        </w:rPr>
        <w:footnoteReference w:id="1434"/>
      </w:r>
      <w:r>
        <w:rPr>
          <w:rFonts w:ascii="IRNazanin" w:hAnsi="IRNazanin" w:eastAsia="IRNazanin"/>
          <w:color w:val="111111"/>
          <w:sz w:val="28"/>
          <w:sz w:val="28"/>
          <w:szCs w:val="28"/>
          <w:rtl w:val="true"/>
          <w:lang w:bidi="fa-IR"/>
        </w:rPr>
        <w:t>والفتوی ومعاقد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الاستدلال بالاقتصار فی التعویض المخالف للأصل علی موضع الوفاق، فمناقشته المعارضة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بالمعسور</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استدلاله بکون الجهل بالسورة مع ضیق الوقت من الضرورة المسقطة لها ، فمناقشته أن ما یلحق بالضرورة المسقطة لها هو الجهل بها مع ضیق الوقت عن التعلم والتعویض عنها معاً، وأما الجهل بها مع ضیق الوقت عن التعلم لا عن التعویض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منع إلحاقه بالضرورة المسقطة لها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المقابلة بالصحیح تدلّ علی اعتبار مفهوم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مقابلة المریض بالصحیح قرینة دالّة علی اعتبار مفهوم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القول بعدم اعتبار مفهوم الوصف فی نفسه ، وإلا لما احتاج فی اعتبار مفهومه إلی قرینة المقابلة، بل اعتبر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نفس النص ، ومن جهة قرینة المقابلة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تلک النصوص</w:t>
      </w:r>
      <w:r>
        <w:rPr>
          <w:rStyle w:val="FootnoteAnchor"/>
          <w:rtl w:val="true"/>
        </w:rPr>
        <w:footnoteReference w:id="1436"/>
      </w:r>
      <w:r>
        <w:rPr>
          <w:rFonts w:ascii="IRNazanin" w:hAnsi="IRNazanin" w:eastAsia="IRNazanin"/>
          <w:color w:val="111111"/>
          <w:sz w:val="28"/>
          <w:sz w:val="28"/>
          <w:szCs w:val="28"/>
          <w:rtl w:val="true"/>
          <w:lang w:bidi="fa-IR"/>
        </w:rPr>
        <w:t xml:space="preserve">والفتاوی سقوط السورة فی التطوّع ، وفی حال الخوف والمرض والاستعجال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فی تلک المقامات رخصة ، إلا فی مقام الخوف وضیق الوقت عزیمة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جاء بالساقط بنیّة الجزئیّة ففی فساد الصلاة به وعدمه و جهان متفرعان علی کون السقوط عزیمة أو رخصة، ففیما کان السقوط فسیه رخصة لا تفسد الصلاة باتیان الساقط ، وفیما کان فیه عزیمة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حال الخوف وضیق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تفسد الصلاة بإتیان الساقط بنیّة الجزئیّة، للتشریع المبطل ، کما یتمّ البطلان أیضاً لو جاء بالساقط رخصة بنیّة الوجوب، وعدم السقوط تشریعا علی القول بأن نیّة الخلاف فی الأجزاء مبطل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إطلاق لفظ البدأة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المصنف الإیراد فی حاشیة منه بأن المراد بالبدأة فی تلک الروایة هو علّة إیجاب الله تعالی قراءة الفاتحة من بین السور،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سائر السور</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فإنه أراد أن یبیّن فیه علّة وجوب قراءة الفاتحة وعدم وجوب غیرها فی الصلاة، لا علة وجوب تقدیمها علی سائر السور حتی یستدلّ به علی وجوبها فی الصلاة ،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الإیراد مبنیّ علی أن یکون الظاهر من البدأة بالحمد هو اختیاره من بین السور لا تقدیمه علی غیره من السور،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لاستلزام ذلک تعمّد الإخلال بفعل الصلاة فی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الملازمة ممنوع، بل هی مبتنیة علی ما لو تشاغل بالسورة المفوّتة قبل إدراک رکعة من الوقت، وأما لو تشاغل بها بعده فلا یستلزم التشاغل بها الإخلال بفعل الصلاة فی وقتها المأمور به ، لصحة ما أدرک رکعة من وقته وإن فعل محرّماً بتفویت وقته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تشاغل بها حتی ضاق الوقت عن قراءة السورة فرکع بدونها، لما سمعته من سقوطها فی الضیق الذی لا یتفاوت فیه بین ما یکون بسوء اختیار المکلف وعدمه ، لکن ینبغی تقییده بما إذا لم یقصد الجزئیّة بما قرأ من السورة وإلا بطلت، بناء علی ما عندهم من البطلان بمثل هذا التشریع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بطلان اللازم علی تقدیر صحّة الملازمة ممنوع، لابتنائه علی أن مستلزم المحرّم محرّم وإن لم یکن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بحث، بل منع، إذ لیس هو بالنسبة إلی الفریضة الفائتة وقتها – سیّما إذا کانت الفریضة الثانیة لا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مسألة الضد التی یقوی فیها عدم النهی عن الأضداد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المسألة وسابقتها فروع جلیلة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فروع المسألتین أنه لو قرأ إحدی السورتین المحظورتین فی الصلاة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کالعزیمة والمفوّتة للوقت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الصلاة قطعاً، للنهی المقتضی له فی الصلاة جزمة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البطلان هل یحصل بمجرّد الشروع فی إحدی السورتین کما یقتضیه إطلاق النهی عنها، أم بعد تحقّق الزیادة فی المکتوبة بالسجدة فی قراءة العزیمة و تقویت الوقت فی قراءة المفوّتة ، کما یقتضیه تعلیل النهی بلزوم الزیادة والتفویت؟ وجهان أقواهما أو أظهّرهما الثانی التحکیم ظهور العلّة المنصوصة علی ظهور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لو قرأها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قرأها سهواً ،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یتذکّر قبل تجاوز النصف، أو بعد تجاوزه، أو بعد تمامه قبل الدخول فی الرکوع،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تذکّر بعد الدخول فی الرکوع فلا خلاف فی صحّة صلاته و عدم حرمته ، العموم</w:t>
      </w:r>
      <w:r>
        <w:rPr>
          <w:rStyle w:val="FootnoteAnchor"/>
          <w:rtl w:val="true"/>
        </w:rPr>
        <w:footnoteReference w:id="1438"/>
      </w:r>
      <w:r>
        <w:rPr>
          <w:rFonts w:ascii="IRNazanin" w:hAnsi="IRNazanin" w:eastAsia="IRNazanin"/>
          <w:color w:val="111111"/>
          <w:sz w:val="28"/>
          <w:sz w:val="28"/>
          <w:szCs w:val="28"/>
          <w:rtl w:val="true"/>
          <w:lang w:bidi="fa-IR"/>
        </w:rPr>
        <w:t>رفع السهو</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تذکّر قبل تجاوز النصف فیلزمه العدول ، إلا فیما لو تجاوز السجدة أو المقدار المفوّت من المفونّة، فیحتمل تعیّن الاتمام علیه ، لوقوعه فیما یخشی الفرار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تذکّر بعد تجاوز النصف لزمه العدول أیضاً إلی سورة أخری، لوجوب السورة علیه، والنهی عن العزیمة والمفوّته ، فهو فی عهدة التکلیف، والمنع من العدول مع تجاوز النصف إنما هو حیث یکون البقاء مجزیة، إلا فیما لو تذکّر بعد تجاوز السجدة ومحلّ التفویت ، فیحتمل تعین الاتمام علیه ، لوقوعه فیما یخشی الفرار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یقوی عدم جواز </w:t>
      </w:r>
    </w:p>
    <w:p>
      <w:pPr>
        <w:pStyle w:val="BookText"/>
        <w:rPr/>
      </w:pPr>
      <w:r>
        <w:rPr>
          <w:rFonts w:ascii="IRNazanin" w:hAnsi="IRNazanin" w:eastAsia="IRNazanin"/>
          <w:color w:val="111111"/>
          <w:sz w:val="28"/>
          <w:sz w:val="28"/>
          <w:szCs w:val="28"/>
          <w:rtl w:val="true"/>
          <w:lang w:bidi="fa-IR"/>
        </w:rPr>
        <w:t>العدول لو تذکّر بعد إتمامها وإن لم یرکع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وجهه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فی الجواهر</w:t>
      </w:r>
      <w:r>
        <w:rPr>
          <w:rStyle w:val="FootnoteAnchor"/>
          <w:rtl w:val="true"/>
        </w:rPr>
        <w:footnoteReference w:id="1439"/>
      </w:r>
      <w:r>
        <w:rPr>
          <w:rFonts w:ascii="IRNazanin" w:hAnsi="IRNazanin" w:eastAsia="IRNazanin"/>
          <w:color w:val="111111"/>
          <w:sz w:val="28"/>
          <w:sz w:val="28"/>
          <w:szCs w:val="28"/>
          <w:rtl w:val="true"/>
          <w:lang w:bidi="fa-IR"/>
        </w:rPr>
        <w:t xml:space="preserve">من الإیراد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اختصاص النصوص بالرجل ، بل فیها الفعل المبنیّ للمجهول و نحوه ممّا یشملهما معاً، سیّما عموم</w:t>
      </w:r>
      <w:r>
        <w:rPr>
          <w:rStyle w:val="FootnoteAnchor"/>
          <w:rtl w:val="true"/>
        </w:rPr>
        <w:footnoteReference w:id="1440"/>
      </w:r>
      <w:r>
        <w:rPr>
          <w:rFonts w:ascii="IRNazanin" w:hAnsi="IRNazanin" w:eastAsia="IRNazanin"/>
          <w:color w:val="111111"/>
          <w:sz w:val="28"/>
          <w:sz w:val="28"/>
          <w:szCs w:val="28"/>
          <w:rtl w:val="true"/>
          <w:lang w:bidi="fa-IR"/>
        </w:rPr>
        <w:t>العلّة المنصوصة للجهر والإخفات فیما تقدّم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فلیس اختصاص النصوص بالرجل الامورداًلا یعارض عموم قاعدة الاشتراک الثابتة بالاجماع والنصّ، بل الواجب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جابراً و موهناً ، بل و جهة ومدرکاً فی اشتراک المرأة للرجل فی وجوب الإخفات فی مواضعه، الشهرة المحکیّة عن ظاهر جماعة ، بل نفی الخلاف بین مَن یعتمد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یظهر بذیله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ذیله فی وجوب الجهر علی المرأة حال الإمامة ، وإلا فالعمل به علی وجه الندب مصرّح به فی الوسائل</w:t>
      </w:r>
      <w:r>
        <w:rPr>
          <w:rStyle w:val="FootnoteAnchor"/>
          <w:rtl w:val="true"/>
        </w:rPr>
        <w:footnoteReference w:id="1441"/>
      </w:r>
      <w:r>
        <w:rPr>
          <w:rFonts w:ascii="IRNazanin" w:hAnsi="IRNazanin" w:eastAsia="IRNazanin"/>
          <w:color w:val="111111"/>
          <w:sz w:val="28"/>
          <w:sz w:val="28"/>
          <w:szCs w:val="28"/>
          <w:rtl w:val="true"/>
          <w:lang w:bidi="fa-IR"/>
        </w:rPr>
        <w:t>والجواهر</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فما ذکروه مشکل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 من جهة عموم معقد الشهرة وإجماع المنتهی</w:t>
      </w:r>
      <w:r>
        <w:rPr>
          <w:rStyle w:val="FootnoteAnchor"/>
          <w:rtl w:val="true"/>
        </w:rPr>
        <w:footnoteReference w:id="1443"/>
      </w:r>
      <w:r>
        <w:rPr>
          <w:rFonts w:ascii="IRNazanin" w:hAnsi="IRNazanin" w:eastAsia="IRNazanin"/>
          <w:color w:val="111111"/>
          <w:sz w:val="28"/>
          <w:sz w:val="28"/>
          <w:szCs w:val="28"/>
          <w:rtl w:val="true"/>
          <w:lang w:bidi="fa-IR"/>
        </w:rPr>
        <w:t xml:space="preserve">، وکشف اللثام </w:t>
      </w:r>
      <w:r>
        <w:rPr>
          <w:rStyle w:val="FootnoteAnchor"/>
          <w:rtl w:val="true"/>
        </w:rPr>
        <w:footnoteReference w:id="1444"/>
      </w:r>
      <w:r>
        <w:rPr>
          <w:rFonts w:ascii="IRNazanin" w:hAnsi="IRNazanin" w:eastAsia="IRNazanin"/>
          <w:color w:val="111111"/>
          <w:sz w:val="28"/>
          <w:sz w:val="28"/>
          <w:szCs w:val="28"/>
          <w:rtl w:val="true"/>
          <w:lang w:bidi="fa-IR"/>
        </w:rPr>
        <w:t>علی أن صوتها عورة، وعموم النهی المذکور فی أمالی الصدوق</w:t>
      </w:r>
      <w:r>
        <w:rPr>
          <w:rStyle w:val="FootnoteAnchor"/>
          <w:rtl w:val="true"/>
        </w:rPr>
        <w:footnoteReference w:id="1445"/>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تکلّم المرأة مع الأجانب بأکثر من خمس کلمات فی الضرورة، ومن إمکان اختصاص ذلک کلّه أو تخصیصه بصورة الریبة والفتنة بإسماع الأجانب ، دون صورة الأمن منها، للأصل والسیرة المستمرّة، وظاهر الکتاب والسته، یعنی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w:t>
      </w:r>
      <w:r>
        <w:rPr>
          <w:rStyle w:val="FootnoteAnchor"/>
          <w:rtl w:val="true"/>
        </w:rPr>
        <w:footnoteReference w:id="1446"/>
      </w:r>
      <w:r>
        <w:rPr>
          <w:rFonts w:ascii="IRNazanin" w:hAnsi="IRNazanin" w:eastAsia="IRNazanin"/>
          <w:color w:val="111111"/>
          <w:sz w:val="28"/>
          <w:sz w:val="28"/>
          <w:szCs w:val="28"/>
          <w:rtl w:val="true"/>
          <w:lang w:bidi="fa-IR"/>
        </w:rPr>
        <w:t xml:space="preserve">المفتر بالوسط منها فی السنّة، ولمعروفیّة قصّة </w:t>
      </w:r>
      <w:r>
        <w:rPr>
          <w:rStyle w:val="FootnoteAnchor"/>
          <w:rtl w:val="true"/>
        </w:rPr>
        <w:footnoteReference w:id="1447"/>
      </w:r>
      <w:r>
        <w:rPr>
          <w:rFonts w:ascii="IRNazanin" w:hAnsi="IRNazanin" w:eastAsia="IRNazanin"/>
          <w:color w:val="111111"/>
          <w:sz w:val="28"/>
          <w:sz w:val="28"/>
          <w:szCs w:val="28"/>
          <w:rtl w:val="true"/>
          <w:lang w:bidi="fa-IR"/>
        </w:rPr>
        <w:t>فاطمة علیها السلام ، ونحو ذلک ممّا یطول ذکره، منها أحادیث روایات النساء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جمیع ذلک للحاجة یدفعها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معلومة خلافها أیضاً، وجوب </w:t>
      </w:r>
      <w:r>
        <w:rPr>
          <w:rStyle w:val="FootnoteAnchor"/>
          <w:rtl w:val="true"/>
        </w:rPr>
        <w:footnoteReference w:id="1448"/>
      </w:r>
      <w:r>
        <w:rPr>
          <w:rFonts w:ascii="IRNazanin" w:hAnsi="IRNazanin" w:eastAsia="IRNazanin"/>
          <w:color w:val="111111"/>
          <w:sz w:val="28"/>
          <w:sz w:val="28"/>
          <w:szCs w:val="28"/>
          <w:rtl w:val="true"/>
          <w:lang w:bidi="fa-IR"/>
        </w:rPr>
        <w:t xml:space="preserve">تقیید الحاجة بما یسوغ لها رفع مثل هذه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منها، ضرورة وجوب الجهر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کون صوتها عورة معارض بما دلّ علی وجوب الجهر من وجه ، فیحتاج تحکیمه علبه حینئذ إلی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إمکان اختصاص الحرمة بالسامع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ما عن الحدائق </w:t>
      </w:r>
      <w:r>
        <w:rPr>
          <w:rStyle w:val="FootnoteAnchor"/>
          <w:rtl w:val="true"/>
        </w:rPr>
        <w:footnoteReference w:id="1449"/>
      </w:r>
      <w:r>
        <w:rPr>
          <w:rFonts w:ascii="IRNazanin" w:hAnsi="IRNazanin" w:eastAsia="IRNazanin"/>
          <w:color w:val="111111"/>
          <w:sz w:val="28"/>
          <w:sz w:val="28"/>
          <w:szCs w:val="28"/>
          <w:rtl w:val="true"/>
          <w:lang w:bidi="fa-IR"/>
        </w:rPr>
        <w:t>وحاشیة الأستاد من أنه علی تقدیر الحرمة لا وجه للفساد، ضرورة کون النهی عن أمر خارج</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 علیه الجواهر وغیره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الجهر لیس إلا الحروف المقرؤة ، ضرورة کونها أصواتا مقطعة، عالیة کان الصوت أو خفیا، فلیس هو حینئذ أمرأاً زائداًعلی ما حصل به طبیعة الحرف مفارقاً له ، کی یتوجّه عدم البطلان ،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الغناء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مراد الأصولیّین بجعل الجهر والإخفات من الصفات اللازمة</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إشعاره به من 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إشعار عدّه من علامات المؤمن، الظاهر فی المؤمن الکامل لا المقابل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تهذّه هذّ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 بالذال المعجمة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القطع ، ثم استعیر لسرعة القراءة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یهذّ القرآن من باب قتل،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یسرّده و یسرع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تسرعوا بقراءة القرآن کما تسرعون فی قراءة الشعر، ولا تفرّقوا بعضه عن بعض وتنثروه کنثر الرمل، ولکن بیّنوه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بالمفصّل</w:t>
      </w:r>
      <w:r>
        <w:rPr>
          <w:rFonts w:eastAsia="IRNazanin" w:cs="IRNazanin"/>
          <w:color w:val="111111"/>
          <w:sz w:val="28"/>
          <w:szCs w:val="28"/>
          <w:rtl w:val="true"/>
          <w:lang w:bidi="fa-IR"/>
        </w:rPr>
        <w:t>»</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لکثرة ما یقع فیه من فصول التسمیة بین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أوله أیضاً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وقصاره من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ومطوّلاته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متوسّطاته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الشمول علی أن یکون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سفر أو حضر</w:t>
      </w:r>
      <w:r>
        <w:rPr>
          <w:rFonts w:eastAsia="IRNazanin" w:cs="IRNazanin"/>
          <w:color w:val="111111"/>
          <w:sz w:val="28"/>
          <w:szCs w:val="28"/>
          <w:rtl w:val="true"/>
          <w:lang w:bidi="fa-IR"/>
        </w:rPr>
        <w:t>»</w:t>
      </w:r>
      <w:r>
        <w:rPr>
          <w:rStyle w:val="FootnoteAnchor"/>
          <w:rtl w:val="true"/>
        </w:rPr>
        <w:footnoteReference w:id="1452"/>
      </w:r>
      <w:r>
        <w:rPr>
          <w:rFonts w:ascii="IRNazanin" w:hAnsi="IRNazanin" w:eastAsia="IRNazanin"/>
          <w:color w:val="111111"/>
          <w:sz w:val="28"/>
          <w:sz w:val="28"/>
          <w:szCs w:val="28"/>
          <w:rtl w:val="true"/>
          <w:lang w:bidi="fa-IR"/>
        </w:rPr>
        <w:t>ظرفأ للصلاة المعادة لا للإعادة، وهو ممنوع بل الأقربیة تقتضی العکس، وهو کونه ظرفاً للإعادة لا للمعادة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یکفی فی شمول الظهر إطلاق الصحیح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سورة الجمعة والمنافقین یوم الجمعة</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وصریح ما فی الوسائل </w:t>
      </w:r>
      <w:r>
        <w:rPr>
          <w:rStyle w:val="FootnoteAnchor"/>
          <w:rtl w:val="true"/>
        </w:rPr>
        <w:footnoteReference w:id="1454"/>
      </w:r>
      <w:r>
        <w:rPr>
          <w:rFonts w:ascii="IRNazanin" w:hAnsi="IRNazanin" w:eastAsia="IRNazanin"/>
          <w:color w:val="111111"/>
          <w:sz w:val="28"/>
          <w:sz w:val="28"/>
          <w:szCs w:val="28"/>
          <w:rtl w:val="true"/>
          <w:lang w:bidi="fa-IR"/>
        </w:rPr>
        <w:t xml:space="preserve">عن العلل والعیون </w:t>
      </w:r>
    </w:p>
    <w:p>
      <w:pPr>
        <w:pStyle w:val="BookText"/>
        <w:rPr/>
      </w:pPr>
      <w:r>
        <w:rPr>
          <w:rFonts w:ascii="IRNazanin" w:hAnsi="IRNazanin" w:eastAsia="IRNazanin"/>
          <w:color w:val="111111"/>
          <w:sz w:val="28"/>
          <w:sz w:val="28"/>
          <w:szCs w:val="28"/>
          <w:rtl w:val="true"/>
          <w:lang w:bidi="fa-IR"/>
        </w:rPr>
        <w:t xml:space="preserve">بأن قراء تهما سنّة یوم الجمعة فی الغداة والظهر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عن ثواب الأعمال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کلّ مؤمن إذا کان لنا شیعة أن یقرأ لیلة الجمعة بالجمعة وسبّح اسم ربّک الأعلی، وفی صلاة الظهر بالجمعة والمنافقین</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النصوص</w:t>
      </w:r>
      <w:r>
        <w:rPr>
          <w:rStyle w:val="FootnoteAnchor"/>
          <w:rtl w:val="true"/>
        </w:rPr>
        <w:footnoteReference w:id="1456"/>
      </w:r>
      <w:r>
        <w:rPr>
          <w:rFonts w:ascii="IRNazanin" w:hAnsi="IRNazanin" w:eastAsia="IRNazanin"/>
          <w:color w:val="111111"/>
          <w:sz w:val="28"/>
          <w:sz w:val="28"/>
          <w:szCs w:val="28"/>
          <w:rtl w:val="true"/>
          <w:lang w:bidi="fa-IR"/>
        </w:rPr>
        <w:t xml:space="preserve">الظاهرة بل الصریحة فی شمول الظهر ، بل الخاصّة بعضها بخصوص الظهر ، المعاضدة بفهم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لعلّه إشارة إلی منع استفادة إطلاق الجمعة علی الظهر من الصحیح إلا بواسطة اتّصاله بقرینة السفر، لا من دون وساطتها ، فلا یستفید إطلاقها علی الظهر من غیر قرینة 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إطلاقه علی الظهر من غیر قرینة لفظیّة فلیس من باب عموم المجاز والاشتراک حتی یشمل الجمعة ، فیستدل به علی عدم وجوب سورة الجمعة فی الجمعة أیضاً، بل لعلّه من باب إطلاق المطلق وإرادة فرد وهو الظهر ، کإطلاق الأسد علی خصوص الرجل الشجاع، فلا یشمل الفرد الآخر وهو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للأمر بخفض الصوت علی تقدیره وجه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وجهه التقیّة ، کما حکی استحبابه عندهم </w:t>
      </w:r>
      <w:r>
        <w:rPr>
          <w:rStyle w:val="FootnoteAnchor"/>
          <w:rtl w:val="true"/>
        </w:rPr>
        <w:footnoteReference w:id="1457"/>
      </w:r>
      <w:r>
        <w:rPr>
          <w:rFonts w:ascii="IRNazanin" w:hAnsi="IRNazanin" w:eastAsia="IRNazanin"/>
          <w:color w:val="111111"/>
          <w:sz w:val="28"/>
          <w:sz w:val="28"/>
          <w:szCs w:val="28"/>
          <w:rtl w:val="true"/>
          <w:lang w:bidi="fa-IR"/>
        </w:rPr>
        <w:t xml:space="preserve">فی الجواهر </w:t>
      </w:r>
      <w:r>
        <w:rPr>
          <w:rStyle w:val="FootnoteAnchor"/>
          <w:rtl w:val="true"/>
        </w:rPr>
        <w:footnoteReference w:id="1458"/>
      </w:r>
      <w:r>
        <w:rPr>
          <w:rFonts w:ascii="Amiri" w:hAnsi="Amiri" w:eastAsia="Amiri" w:cs="Amiri"/>
          <w:color w:val="111111"/>
          <w:sz w:val="28"/>
          <w:sz w:val="28"/>
          <w:szCs w:val="28"/>
          <w:rtl w:val="true"/>
          <w:lang w:bidi="ar-SA"/>
        </w:rPr>
        <w:t>،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خبر ومن کلام الراوی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کونه خبراً لا إنشاء ، و من کلام الراوی لا المرویّ عنه ، مبنیّ علی 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أحسنها، بصیغة الماضی المنفیّ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بصیغة إنشاء </w:t>
      </w:r>
    </w:p>
    <w:p>
      <w:pPr>
        <w:pStyle w:val="BookText"/>
        <w:rPr/>
      </w:pPr>
      <w:r>
        <w:rPr>
          <w:rFonts w:ascii="IRNazanin" w:hAnsi="IRNazanin" w:eastAsia="IRNazanin"/>
          <w:color w:val="111111"/>
          <w:sz w:val="28"/>
          <w:sz w:val="28"/>
          <w:szCs w:val="28"/>
          <w:rtl w:val="true"/>
          <w:lang w:bidi="fa-IR"/>
        </w:rPr>
        <w:t>التعجّب،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اخفض الصوت</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بصیغة الماضی لا الأمر، کذلک حمل خفض الصوت علی التقیّة مبنیّ علی عطفه علی جملة النفی لا المنفی،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أخفض صوته الامام تقنیة، لا ما أخفض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یقتضی 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فیه من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حصر اقتضاء الفساد بذلک ، بل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الجواهر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شاهد علی اقتضائه مع تعلّقه ولو بالأمر الخارج، سیّما من مثل الشارع المعدّ لبیان الصحّة والفساد اللذین هما المقصد الأهمّ فی العبادة، وخصوصاً بملاحظة حاله فی الاتّکال علی بیانهما فی مثل هذه المرکّبات بالأمر والنهی ، بل لعلّه المتعارف فی بیان کلّ مرکّب حسّی أو عقلیّ ، کما لا یخفی علی من اختبر العرف، وأنه متی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هذا فی هذا، انتقل منه إلی إرادة الفساد، ولذا أسلفنا فی غیر المقام أنه یمکّن دعوی ظهور الأوامر والنواهی فی بیان المرکّبات بالتحتّم الشرطیّ خاصّة دون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منعوا عن کون التأمین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 المانعون بعد نقلهم الإجماعات المستفیضة حتی من العامّة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وإجماع أهل العربیّة </w:t>
      </w:r>
      <w:r>
        <w:rPr>
          <w:rStyle w:val="FootnoteAnchor"/>
          <w:rtl w:val="true"/>
        </w:rPr>
        <w:footnoteReference w:id="1462"/>
      </w:r>
      <w:r>
        <w:rPr>
          <w:rFonts w:ascii="IRNazanin" w:hAnsi="IRNazanin" w:eastAsia="IRNazanin"/>
          <w:color w:val="111111"/>
          <w:sz w:val="28"/>
          <w:sz w:val="28"/>
          <w:szCs w:val="28"/>
          <w:rtl w:val="true"/>
          <w:lang w:bidi="fa-IR"/>
        </w:rPr>
        <w:t xml:space="preserve">علی أنه لیس دعاء ولا قرآناً ولا تسبیحاًة، علی أقوال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المشهور المرویّ عن معانی الأخبار </w:t>
      </w:r>
      <w:r>
        <w:rPr>
          <w:rStyle w:val="FootnoteAnchor"/>
          <w:rtl w:val="true"/>
        </w:rPr>
        <w:footnoteReference w:id="1463"/>
      </w:r>
      <w:r>
        <w:rPr>
          <w:rFonts w:ascii="IRNazanin" w:hAnsi="IRNazanin" w:eastAsia="IRNazanin"/>
          <w:color w:val="111111"/>
          <w:sz w:val="28"/>
          <w:sz w:val="28"/>
          <w:szCs w:val="28"/>
          <w:rtl w:val="true"/>
          <w:lang w:bidi="fa-IR"/>
        </w:rPr>
        <w:t xml:space="preserve">أنه من کلام الآدمییّن ،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تقال </w:t>
      </w:r>
    </w:p>
    <w:p>
      <w:pPr>
        <w:pStyle w:val="BookText"/>
        <w:rPr/>
      </w:pPr>
      <w:r>
        <w:rPr>
          <w:rFonts w:ascii="IRNazanin" w:hAnsi="IRNazanin" w:eastAsia="IRNazanin"/>
          <w:color w:val="111111"/>
          <w:sz w:val="28"/>
          <w:sz w:val="28"/>
          <w:szCs w:val="28"/>
          <w:rtl w:val="true"/>
          <w:lang w:bidi="fa-IR"/>
        </w:rPr>
        <w:t>أو تکتب للختم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w:t>
      </w:r>
      <w:r>
        <w:rPr>
          <w:rStyle w:val="FootnoteAnchor"/>
          <w:rtl w:val="true"/>
        </w:rPr>
        <w:footnoteReference w:id="1464"/>
      </w:r>
      <w:r>
        <w:rPr>
          <w:rFonts w:ascii="IRNazanin" w:hAnsi="IRNazanin" w:eastAsia="IRNazanin"/>
          <w:color w:val="111111"/>
          <w:sz w:val="28"/>
          <w:sz w:val="28"/>
          <w:szCs w:val="28"/>
          <w:rtl w:val="true"/>
          <w:lang w:bidi="fa-IR"/>
        </w:rPr>
        <w:t xml:space="preserve">أنها خاتم ربّ العالمین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 بها براءة أهل الجنة وبراءة أهل النار</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کما عن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الظاهر أیضاً من أخبار </w:t>
      </w:r>
      <w:r>
        <w:rPr>
          <w:rStyle w:val="FootnoteAnchor"/>
          <w:rtl w:val="true"/>
        </w:rPr>
        <w:footnoteReference w:id="1466"/>
      </w:r>
      <w:r>
        <w:rPr>
          <w:rFonts w:ascii="IRNazanin" w:hAnsi="IRNazanin" w:eastAsia="IRNazanin"/>
          <w:color w:val="111111"/>
          <w:sz w:val="28"/>
          <w:sz w:val="28"/>
          <w:szCs w:val="28"/>
          <w:rtl w:val="true"/>
          <w:lang w:bidi="fa-IR"/>
        </w:rPr>
        <w:t xml:space="preserve">، المنع، إذ من المستبعد جدّاً استفاضة النهی عنها فی النصوص </w:t>
      </w:r>
      <w:r>
        <w:rPr>
          <w:rStyle w:val="FootnoteAnchor"/>
          <w:rtl w:val="true"/>
        </w:rPr>
        <w:footnoteReference w:id="1467"/>
      </w:r>
      <w:r>
        <w:rPr>
          <w:rFonts w:ascii="IRNazanin" w:hAnsi="IRNazanin" w:eastAsia="IRNazanin"/>
          <w:color w:val="111111"/>
          <w:sz w:val="28"/>
          <w:sz w:val="28"/>
          <w:szCs w:val="28"/>
          <w:rtl w:val="true"/>
          <w:lang w:bidi="fa-IR"/>
        </w:rPr>
        <w:t xml:space="preserve">والفتاوی دعاء، والفرض اتّفاق النصوص </w:t>
      </w:r>
      <w:r>
        <w:rPr>
          <w:rStyle w:val="FootnoteAnchor"/>
          <w:rtl w:val="true"/>
        </w:rPr>
        <w:footnoteReference w:id="1468"/>
      </w:r>
      <w:r>
        <w:rPr>
          <w:rFonts w:ascii="IRNazanin" w:hAnsi="IRNazanin" w:eastAsia="IRNazanin"/>
          <w:color w:val="111111"/>
          <w:sz w:val="28"/>
          <w:sz w:val="28"/>
          <w:szCs w:val="28"/>
          <w:rtl w:val="true"/>
          <w:lang w:bidi="fa-IR"/>
        </w:rPr>
        <w:t>والفتاوی علی جواز الدعاء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التحریر </w:t>
      </w:r>
      <w:r>
        <w:rPr>
          <w:rStyle w:val="FootnoteAnchor"/>
          <w:rtl w:val="true"/>
        </w:rPr>
        <w:footnoteReference w:id="1469"/>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1470"/>
      </w:r>
      <w:r>
        <w:rPr>
          <w:rFonts w:ascii="IRNazanin" w:hAnsi="IRNazanin" w:eastAsia="IRNazanin"/>
          <w:color w:val="111111"/>
          <w:sz w:val="28"/>
          <w:sz w:val="28"/>
          <w:szCs w:val="28"/>
          <w:rtl w:val="true"/>
          <w:lang w:bidi="fa-IR"/>
        </w:rPr>
        <w:t>ونهایة الإحکام</w:t>
      </w:r>
      <w:r>
        <w:rPr>
          <w:rStyle w:val="FootnoteAnchor"/>
          <w:rtl w:val="true"/>
        </w:rPr>
        <w:footnoteReference w:id="1471"/>
      </w:r>
      <w:r>
        <w:rPr>
          <w:rFonts w:ascii="IRNazanin" w:hAnsi="IRNazanin" w:eastAsia="IRNazanin"/>
          <w:color w:val="111111"/>
          <w:sz w:val="28"/>
          <w:sz w:val="28"/>
          <w:szCs w:val="28"/>
          <w:rtl w:val="true"/>
          <w:lang w:bidi="fa-IR"/>
        </w:rPr>
        <w:t>وکشف الرموز</w:t>
      </w:r>
      <w:r>
        <w:rPr>
          <w:rStyle w:val="FootnoteAnchor"/>
          <w:rtl w:val="true"/>
        </w:rPr>
        <w:footnoteReference w:id="1472"/>
      </w:r>
      <w:r>
        <w:rPr>
          <w:rFonts w:ascii="IRNazanin" w:hAnsi="IRNazanin" w:eastAsia="IRNazanin"/>
          <w:color w:val="111111"/>
          <w:sz w:val="28"/>
          <w:sz w:val="28"/>
          <w:szCs w:val="28"/>
          <w:rtl w:val="true"/>
          <w:lang w:bidi="fa-IR"/>
        </w:rPr>
        <w:t xml:space="preserve">والمهذب </w:t>
      </w:r>
      <w:r>
        <w:rPr>
          <w:rStyle w:val="FootnoteAnchor"/>
          <w:rtl w:val="true"/>
        </w:rPr>
        <w:footnoteReference w:id="1473"/>
      </w:r>
      <w:r>
        <w:rPr>
          <w:rFonts w:ascii="IRNazanin" w:hAnsi="IRNazanin" w:eastAsia="IRNazanin"/>
          <w:color w:val="111111"/>
          <w:sz w:val="28"/>
          <w:sz w:val="28"/>
          <w:szCs w:val="28"/>
          <w:rtl w:val="true"/>
          <w:lang w:bidi="fa-IR"/>
        </w:rPr>
        <w:t>البارع والروض</w:t>
      </w:r>
      <w:r>
        <w:rPr>
          <w:rStyle w:val="FootnoteAnchor"/>
          <w:rtl w:val="true"/>
        </w:rPr>
        <w:footnoteReference w:id="1474"/>
      </w:r>
      <w:r>
        <w:rPr>
          <w:rFonts w:ascii="IRNazanin" w:hAnsi="IRNazanin" w:eastAsia="IRNazanin"/>
          <w:color w:val="111111"/>
          <w:sz w:val="28"/>
          <w:sz w:val="28"/>
          <w:szCs w:val="28"/>
          <w:rtl w:val="true"/>
          <w:lang w:bidi="fa-IR"/>
        </w:rPr>
        <w:t xml:space="preserve">والکشاف </w:t>
      </w:r>
      <w:r>
        <w:rPr>
          <w:rStyle w:val="FootnoteAnchor"/>
          <w:rtl w:val="true"/>
        </w:rPr>
        <w:footnoteReference w:id="1475"/>
      </w:r>
      <w:r>
        <w:rPr>
          <w:rFonts w:ascii="Amiri" w:hAnsi="Amiri" w:eastAsia="Amiri" w:cs="Amiri"/>
          <w:color w:val="111111"/>
          <w:sz w:val="28"/>
          <w:sz w:val="28"/>
          <w:szCs w:val="28"/>
          <w:rtl w:val="true"/>
          <w:lang w:bidi="ar-SA"/>
        </w:rPr>
        <w:t xml:space="preserve">، بل عن کلّ العامّة </w:t>
      </w:r>
      <w:r>
        <w:rPr>
          <w:rStyle w:val="FootnoteAnchor"/>
          <w:rtl w:val="true"/>
        </w:rPr>
        <w:footnoteReference w:id="1476"/>
      </w:r>
      <w:r>
        <w:rPr>
          <w:rFonts w:ascii="Amiri" w:hAnsi="Amiri" w:eastAsia="Amiri" w:cs="Amiri"/>
          <w:color w:val="111111"/>
          <w:sz w:val="28"/>
          <w:sz w:val="28"/>
          <w:szCs w:val="28"/>
          <w:rtl w:val="true"/>
          <w:lang w:bidi="ar-SA"/>
        </w:rPr>
        <w:t xml:space="preserve">واتّفاق أهل العربیّة </w:t>
      </w:r>
      <w:r>
        <w:rPr>
          <w:rStyle w:val="FootnoteAnchor"/>
          <w:rtl w:val="true"/>
        </w:rPr>
        <w:footnoteReference w:id="1477"/>
      </w:r>
      <w:r>
        <w:rPr>
          <w:rFonts w:ascii="IRNazanin" w:hAnsi="IRNazanin" w:eastAsia="IRNazanin"/>
          <w:color w:val="111111"/>
          <w:sz w:val="28"/>
          <w:sz w:val="28"/>
          <w:szCs w:val="28"/>
          <w:rtl w:val="true"/>
          <w:lang w:bidi="fa-IR"/>
        </w:rPr>
        <w:t xml:space="preserve">، أنها اسم للدعاء ، واسم للفظ الفعل، واسم صوت سمّی به الفعل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وحیهل ، وهلم، أصوات سمیت بها الأفعال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وأسرع، وأقبل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علی ذلک یشکل الاستناد فی إبطالها الصلاة بمجرّد ما فی التحریر وما بعده من کتب الخاصّة بأن الاسم غیر المسمی، فإن مجرد مغایرة الاسم للمستی لا یقتضی التفرقة المذکورة فی الابطال وعدمه ، إلا بضمیمة نهی النصوص </w:t>
      </w:r>
    </w:p>
    <w:p>
      <w:pPr>
        <w:pStyle w:val="BookText"/>
        <w:rPr/>
      </w:pPr>
      <w:r>
        <w:rPr>
          <w:rFonts w:ascii="IRNazanin" w:hAnsi="IRNazanin" w:eastAsia="IRNazanin"/>
          <w:color w:val="111111"/>
          <w:sz w:val="28"/>
          <w:sz w:val="28"/>
          <w:szCs w:val="28"/>
          <w:rtl w:val="true"/>
          <w:lang w:bidi="fa-IR"/>
        </w:rPr>
        <w:t>والفتاوی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الواحدی فی الوسیط</w:t>
      </w:r>
      <w:r>
        <w:rPr>
          <w:rStyle w:val="FootnoteAnchor"/>
          <w:rtl w:val="true"/>
        </w:rPr>
        <w:footnoteReference w:id="1478"/>
      </w:r>
      <w:r>
        <w:rPr>
          <w:rFonts w:ascii="IRNazanin" w:hAnsi="IRNazanin" w:eastAsia="IRNazanin"/>
          <w:color w:val="111111"/>
          <w:sz w:val="28"/>
          <w:sz w:val="28"/>
          <w:szCs w:val="28"/>
          <w:rtl w:val="true"/>
          <w:lang w:bidi="fa-IR"/>
        </w:rPr>
        <w:t xml:space="preserve">و الحسن البصری </w:t>
      </w:r>
      <w:r>
        <w:rPr>
          <w:rStyle w:val="FootnoteAnchor"/>
          <w:rtl w:val="true"/>
        </w:rPr>
        <w:footnoteReference w:id="1479"/>
      </w:r>
      <w:r>
        <w:rPr>
          <w:rFonts w:ascii="IRNazanin" w:hAnsi="IRNazanin" w:eastAsia="IRNazanin"/>
          <w:color w:val="111111"/>
          <w:sz w:val="28"/>
          <w:sz w:val="28"/>
          <w:szCs w:val="28"/>
          <w:rtl w:val="true"/>
          <w:lang w:bidi="fa-IR"/>
        </w:rPr>
        <w:t xml:space="preserve">أنه اسم من أسمائه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شهر آشوب </w:t>
      </w:r>
      <w:r>
        <w:rPr>
          <w:rStyle w:val="FootnoteAnchor"/>
          <w:rtl w:val="true"/>
        </w:rPr>
        <w:footnoteReference w:id="1480"/>
      </w:r>
      <w:r>
        <w:rPr>
          <w:rFonts w:ascii="IRNazanin" w:hAnsi="IRNazanin" w:eastAsia="IRNazanin"/>
          <w:color w:val="111111"/>
          <w:sz w:val="28"/>
          <w:sz w:val="28"/>
          <w:szCs w:val="28"/>
          <w:rtl w:val="true"/>
          <w:lang w:bidi="fa-IR"/>
        </w:rPr>
        <w:t xml:space="preserve">الردّ علیهم بأنه لو کان لوجدناه فی أسمائه تعالی ، ولقلنا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آمین ، بل لو سلّم کونه اسماً من أسمائه وجواز إتیانه مفرداً غیر مرکّب مع شیء آخر لم یعلم جوازه فی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الأول کلام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محمد بن إسماعیل عن الفضل بن شاذان کلام مشهور ، وهو الخلاف المشهور فی کونه محمد بن إسماعیل النیشابوری، أو ابن البزیع، أو البرمکی، أو غیرهم من المشترکین له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الخلاف المشهور فی تعیینه و اشتراکه غیر قادح فی صحّة سنده علی المشهور المنصور، من وجوه عدیدة وقرائن أکیدة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صرّح به مشهور الأساطین من أن شهادة التتبّع وملاحظة الطبقة وسائر القرائن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الکلینّی عنه، وروایته عسن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کونه النیشابوری المکنّی بأبی الحسن الملّقب ببندفر ، المتکلّم الفاضل البارع ، المعدود حدیثه حسناً ومقبولاً عند بعض ، وصحیحاً فی صرّیح الأکثر ، کالشیخ</w:t>
      </w:r>
      <w:r>
        <w:rPr>
          <w:rStyle w:val="FootnoteAnchor"/>
          <w:rtl w:val="true"/>
        </w:rPr>
        <w:footnoteReference w:id="1481"/>
      </w:r>
      <w:r>
        <w:rPr>
          <w:rFonts w:ascii="Amiri" w:hAnsi="Amiri" w:eastAsia="Amiri" w:cs="Amiri"/>
          <w:color w:val="111111"/>
          <w:sz w:val="28"/>
          <w:sz w:val="28"/>
          <w:szCs w:val="28"/>
          <w:rtl w:val="true"/>
          <w:lang w:bidi="ar-SA"/>
        </w:rPr>
        <w:t xml:space="preserve">والعلامة </w:t>
      </w:r>
      <w:r>
        <w:rPr>
          <w:rStyle w:val="FootnoteAnchor"/>
          <w:rtl w:val="true"/>
        </w:rPr>
        <w:footnoteReference w:id="1482"/>
      </w:r>
      <w:r>
        <w:rPr>
          <w:rFonts w:ascii="IRNazanin" w:hAnsi="IRNazanin" w:eastAsia="IRNazanin"/>
          <w:color w:val="111111"/>
          <w:sz w:val="28"/>
          <w:sz w:val="28"/>
          <w:szCs w:val="28"/>
          <w:rtl w:val="true"/>
          <w:lang w:bidi="fa-IR"/>
        </w:rPr>
        <w:t>والشهید</w:t>
      </w:r>
      <w:r>
        <w:rPr>
          <w:rStyle w:val="FootnoteAnchor"/>
          <w:rtl w:val="true"/>
        </w:rPr>
        <w:footnoteReference w:id="1483"/>
      </w:r>
      <w:r>
        <w:rPr>
          <w:rFonts w:ascii="IRNazanin" w:hAnsi="IRNazanin" w:eastAsia="IRNazanin"/>
          <w:color w:val="111111"/>
          <w:sz w:val="28"/>
          <w:sz w:val="28"/>
          <w:szCs w:val="28"/>
          <w:rtl w:val="true"/>
          <w:lang w:bidi="fa-IR"/>
        </w:rPr>
        <w:t xml:space="preserve">والمحقق الثانی </w:t>
      </w:r>
      <w:r>
        <w:rPr>
          <w:rStyle w:val="FootnoteAnchor"/>
          <w:rtl w:val="true"/>
        </w:rPr>
        <w:footnoteReference w:id="1484"/>
      </w:r>
      <w:r>
        <w:rPr>
          <w:rFonts w:ascii="IRNazanin" w:hAnsi="IRNazanin" w:eastAsia="IRNazanin"/>
          <w:color w:val="111111"/>
          <w:sz w:val="28"/>
          <w:sz w:val="28"/>
          <w:szCs w:val="28"/>
          <w:rtl w:val="true"/>
          <w:lang w:bidi="fa-IR"/>
        </w:rPr>
        <w:t>والداماد</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کما بیّن مفصّلاً فی رجال أبی علی</w:t>
      </w:r>
      <w:r>
        <w:rPr>
          <w:rStyle w:val="FootnoteAnchor"/>
          <w:rtl w:val="true"/>
        </w:rPr>
        <w:footnoteReference w:id="1486"/>
      </w:r>
      <w:r>
        <w:rPr>
          <w:rFonts w:ascii="IRNazanin" w:hAnsi="IRNazanin" w:eastAsia="IRNazanin"/>
          <w:color w:val="111111"/>
          <w:sz w:val="28"/>
          <w:sz w:val="28"/>
          <w:szCs w:val="28"/>
          <w:rtl w:val="true"/>
          <w:lang w:bidi="fa-IR"/>
        </w:rPr>
        <w:t>، علی وجه یرفع الاشتراک بینه وبین أبن بزیع، سیّما بقرینة روایته عن الفضل، وأن ابن بزیع یروی عنه الفضل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محمد بن إسماعیل عن الفضل من مشائخ الإجازة للحدیث المنقول عن کتب الفضل، لا واسطة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ما اشتهر فی کلّ عصر من وثاقة مشائخ الإجازة وعدالتهم وورعهم علی وجه لا یحتاج إلی التنصیص بحسن حالهم ، کما هو طریقة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جهة عدم توقف صحة أحادیث کتب الفضل بالنسبة إلی الکلینی علی حسن حال المجیز له، لتواتر نسبة الکتاب إلی الفضل عند الکلینی، کما هو ظاهر الجواهر </w:t>
      </w:r>
      <w:r>
        <w:rPr>
          <w:rStyle w:val="FootnoteAnchor"/>
          <w:rtl w:val="true"/>
        </w:rPr>
        <w:footnoteReference w:id="1487"/>
      </w:r>
      <w:r>
        <w:rPr>
          <w:rFonts w:ascii="IRNazanin" w:hAnsi="IRNazanin" w:eastAsia="IRNazanin"/>
          <w:color w:val="111111"/>
          <w:sz w:val="28"/>
          <w:sz w:val="28"/>
          <w:szCs w:val="28"/>
          <w:rtl w:val="true"/>
          <w:lang w:bidi="fa-IR"/>
        </w:rPr>
        <w:t xml:space="preserve">، وعن أمین الأسترابادی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اشتراکه بین أبن بزیع وأکثر المحمدّین من بنی إسماعیل لو سلّم لا یقدح فی صحّة نقله، لأن أکثر مشترکاته فی الاسم بل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محمد بن إسماعیل بن جعفرعلیه السلام الساعی فی قتل عمّه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 سیّما ابن بزیع الذی هو عمدة من اشتبه اشتراکه معه، بل انحصر اشتباه الاشتراک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ذلک کلّه أن الاشتراک المشهور فی محمد بن إسماعیل عن الفضل غیر قادح فی صحّة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تعیینه ورفع الاشتراک بملاحظة الطبقة وسائر القرائن المذکورة فی محلّه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من جهة کونه من مشائخ الإجازة للحدیث المنقول عن الفضل غیر المتوقّف علی التنصیص، إما لاشتهار مشائخ الإجازة فی کلّ عصر بالوثاقة والصیانة </w:t>
      </w:r>
    </w:p>
    <w:p>
      <w:pPr>
        <w:pStyle w:val="BookText"/>
        <w:rPr/>
      </w:pPr>
      <w:r>
        <w:rPr>
          <w:rFonts w:ascii="IRNazanin" w:hAnsi="IRNazanin" w:eastAsia="IRNazanin"/>
          <w:color w:val="111111"/>
          <w:sz w:val="28"/>
          <w:sz w:val="28"/>
          <w:szCs w:val="28"/>
          <w:rtl w:val="true"/>
          <w:lang w:bidi="fa-IR"/>
        </w:rPr>
        <w:t>والعدالة علی وجه لا یحتاج فی توثیقهم إلی التنصیص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لتواتر نسبة کتب الفضل إلیه عند الکلینی ، فلا یحتاج الکلینی فی تصحیح</w:t>
      </w:r>
    </w:p>
    <w:p>
      <w:pPr>
        <w:pStyle w:val="BookText"/>
        <w:rPr/>
      </w:pPr>
      <w:r>
        <w:rPr>
          <w:rFonts w:ascii="IRNazanin" w:hAnsi="IRNazanin" w:eastAsia="IRNazanin"/>
          <w:color w:val="111111"/>
          <w:sz w:val="28"/>
          <w:sz w:val="28"/>
          <w:szCs w:val="28"/>
          <w:rtl w:val="true"/>
          <w:lang w:bidi="fa-IR"/>
        </w:rPr>
        <w:t xml:space="preserve">النسبة إلی توثیق ناقلها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جهة اشتراکه بین الثقات علی تقدیر تسلیم الاشتراک ، لا بین المجاهیل</w:t>
      </w:r>
    </w:p>
    <w:p>
      <w:pPr>
        <w:pStyle w:val="BookText"/>
        <w:rPr/>
      </w:pPr>
      <w:r>
        <w:rPr>
          <w:rFonts w:ascii="IRNazanin" w:hAnsi="IRNazanin" w:eastAsia="IRNazanin"/>
          <w:color w:val="111111"/>
          <w:sz w:val="28"/>
          <w:sz w:val="28"/>
          <w:szCs w:val="28"/>
          <w:rtl w:val="true"/>
          <w:lang w:bidi="fa-IR"/>
        </w:rPr>
        <w:t xml:space="preserve">والضعفاء حتی یقدح الاشتراک فی 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أن رفع التناقض عن روایتی </w:t>
      </w:r>
      <w:r>
        <w:rPr>
          <w:rStyle w:val="FootnoteAnchor"/>
          <w:rtl w:val="true"/>
        </w:rPr>
        <w:footnoteReference w:id="1489"/>
      </w:r>
      <w:r>
        <w:rPr>
          <w:rFonts w:ascii="IRNazanin" w:hAnsi="IRNazanin" w:eastAsia="IRNazanin"/>
          <w:color w:val="111111"/>
          <w:sz w:val="28"/>
          <w:sz w:val="28"/>
          <w:szCs w:val="28"/>
          <w:rtl w:val="true"/>
          <w:lang w:bidi="fa-IR"/>
        </w:rPr>
        <w:t>حریز لا ینحصر فیما ذکر من حمل الأولی علی الثانیة ، بل یحصل أیضاً بحمل الثانیة علی الاستحباب أو الوجوب التخییری بین مضمونها ومضمون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یخلو عن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النظر فیه لعلّه من جهتی السند والدلالة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جهة سنده فلأن فیه أبا البختری وهب بن وهب، المشهور بین علماء الرجال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بکونه کذّاباً قاضیاً عامیّاً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جهة دلالته فلظهوره فی إجزاء الرکوع عن سجود التلاوة وسقوط السجود لها بالمرّة، والقول به شاذّ جدّاً، ومنافی لإطلاق أدلّة فوریّة السجود السالم عن المعارض</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إما من طرحه، أو حمله علی مَن لم یتمکّن من السجود فأومأ له ، کما هو مضمون بعض النصوص </w:t>
      </w:r>
      <w:r>
        <w:rPr>
          <w:rStyle w:val="FootnoteAnchor"/>
          <w:rtl w:val="true"/>
        </w:rPr>
        <w:footnoteReference w:id="1491"/>
      </w:r>
      <w:r>
        <w:rPr>
          <w:rFonts w:ascii="IRNazanin" w:hAnsi="IRNazanin" w:eastAsia="IRNazanin"/>
          <w:color w:val="111111"/>
          <w:sz w:val="28"/>
          <w:sz w:val="28"/>
          <w:szCs w:val="28"/>
          <w:rtl w:val="true"/>
          <w:lang w:bidi="fa-IR"/>
        </w:rPr>
        <w:t xml:space="preserve">، وحمله الشیخ </w:t>
      </w:r>
      <w:r>
        <w:rPr>
          <w:rStyle w:val="FootnoteAnchor"/>
          <w:rtl w:val="true"/>
        </w:rPr>
        <w:footnoteReference w:id="1492"/>
      </w:r>
      <w:r>
        <w:rPr>
          <w:rFonts w:ascii="Amiri" w:hAnsi="Amiri" w:eastAsia="Amiri" w:cs="Amiri"/>
          <w:color w:val="111111"/>
          <w:sz w:val="28"/>
          <w:sz w:val="28"/>
          <w:szCs w:val="28"/>
          <w:rtl w:val="true"/>
          <w:lang w:bidi="ar-SA"/>
        </w:rPr>
        <w:t xml:space="preserve">علیه أیضاً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منافاة ذلک لنفی الخلاف، والنصوص </w:t>
      </w:r>
      <w:r>
        <w:rPr>
          <w:rStyle w:val="FootnoteAnchor"/>
          <w:rtl w:val="true"/>
        </w:rPr>
        <w:footnoteReference w:id="1493"/>
      </w:r>
      <w:r>
        <w:rPr>
          <w:rFonts w:ascii="IRNazanin" w:hAnsi="IRNazanin" w:eastAsia="IRNazanin"/>
          <w:color w:val="111111"/>
          <w:sz w:val="28"/>
          <w:sz w:val="28"/>
          <w:szCs w:val="28"/>
          <w:rtl w:val="true"/>
          <w:lang w:bidi="fa-IR"/>
        </w:rPr>
        <w:t xml:space="preserve">المزبورة الدالّة علی اعتبار القصد ، و تقیید إطلاق الرکوع باعتباره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معنی قول النبیّ صلی الله علیه وآله وسلم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معنی قول الباقرعلیه السلام </w:t>
      </w:r>
      <w:r>
        <w:rPr>
          <w:rStyle w:val="FootnoteAnchor"/>
          <w:rtl w:val="true"/>
        </w:rPr>
        <w:footnoteReference w:id="1495"/>
      </w:r>
      <w:r>
        <w:rPr>
          <w:rFonts w:ascii="IRNazanin" w:hAnsi="IRNazanin" w:eastAsia="IRNazanin"/>
          <w:color w:val="111111"/>
          <w:sz w:val="28"/>
          <w:sz w:val="28"/>
          <w:szCs w:val="28"/>
          <w:rtl w:val="true"/>
          <w:lang w:bidi="fa-IR"/>
        </w:rPr>
        <w:t xml:space="preserve">فی صحیح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اعتدل حتی یرجع کل عضو منک إلی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رکع فلیتم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موافقة الاتمام لمعنی الطمأنینة فی اللفظ کما هو واضحّ، ولا فی المعنی ، لظهور إتمام الرکوع فیما یقابل نقصه من حیث الأجزاء کالذکر ونحوه، لا فیما یقابل فساده من حیث تخلل </w:t>
      </w:r>
      <w:r>
        <w:rPr>
          <w:rStyle w:val="FootnoteAnchor"/>
          <w:rtl w:val="true"/>
        </w:rPr>
        <w:footnoteReference w:id="1496"/>
      </w:r>
      <w:r>
        <w:rPr>
          <w:rFonts w:ascii="IRNazanin" w:hAnsi="IRNazanin" w:eastAsia="IRNazanin"/>
          <w:color w:val="111111"/>
          <w:sz w:val="28"/>
          <w:sz w:val="28"/>
          <w:szCs w:val="28"/>
          <w:rtl w:val="true"/>
          <w:lang w:bidi="fa-IR"/>
        </w:rPr>
        <w:t>شیء من شروط صحّته کالطمأنینة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أعمیة الإتمام مما یقابل النقص والفساد ، فمع ذلک لیست الطمأنینة معنی الإتمام کما قال المصنف ، إلا بنوع من إطلاق العامّ وإرادة الخاصّ تجوّزاً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عدم موافقة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مرسوم فی نسخ الریاض</w:t>
      </w:r>
      <w:r>
        <w:rPr>
          <w:rStyle w:val="FootnoteAnchor"/>
          <w:rtl w:val="true"/>
        </w:rPr>
        <w:footnoteReference w:id="1497"/>
      </w:r>
      <w:r>
        <w:rPr>
          <w:rFonts w:ascii="IRNazanin" w:hAnsi="IRNazanin" w:eastAsia="IRNazanin"/>
          <w:color w:val="111111"/>
          <w:sz w:val="28"/>
          <w:sz w:val="28"/>
          <w:szCs w:val="28"/>
          <w:rtl w:val="true"/>
          <w:lang w:bidi="fa-IR"/>
        </w:rPr>
        <w:t>المطبوعة وغیرها لما هو المنقول فی نسخ الجواهر</w:t>
      </w:r>
      <w:r>
        <w:rPr>
          <w:rStyle w:val="FootnoteAnchor"/>
          <w:rtl w:val="true"/>
        </w:rPr>
        <w:footnoteReference w:id="1498"/>
      </w:r>
      <w:r>
        <w:rPr>
          <w:rFonts w:ascii="IRNazanin" w:hAnsi="IRNazanin" w:eastAsia="IRNazanin"/>
          <w:color w:val="111111"/>
          <w:sz w:val="28"/>
          <w:sz w:val="28"/>
          <w:szCs w:val="28"/>
          <w:rtl w:val="true"/>
          <w:lang w:bidi="fa-IR"/>
        </w:rPr>
        <w:t xml:space="preserve">والوسائل </w:t>
      </w:r>
      <w:r>
        <w:rPr>
          <w:rStyle w:val="FootnoteAnchor"/>
          <w:rtl w:val="true"/>
        </w:rPr>
        <w:footnoteReference w:id="1499"/>
      </w:r>
      <w:r>
        <w:rPr>
          <w:rFonts w:ascii="IRNazanin" w:hAnsi="IRNazanin" w:eastAsia="IRNazanin"/>
          <w:color w:val="111111"/>
          <w:sz w:val="28"/>
          <w:sz w:val="28"/>
          <w:szCs w:val="28"/>
          <w:rtl w:val="true"/>
          <w:lang w:bidi="fa-IR"/>
        </w:rPr>
        <w:t xml:space="preserve">الصحیحة الموافقة لمعنی الطمأنینة جدّاً، من قوله ته بدلّ إذا رکع فلیتم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فلیتمکّن، والمقاربة لصریح ما فی بعض النصوص الأخر من قوله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ارکع حتی تطمئنّ راکعاً، ثم ارفع رأسک حتی تعتدل قائماً، ثم اسجد حتی تطمئنّ ساجداً</w:t>
      </w:r>
      <w:r>
        <w:rPr>
          <w:rStyle w:val="FootnoteAnchor"/>
          <w:rtl w:val="true"/>
        </w:rPr>
        <w:footnoteReference w:id="150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اختلاف نسخ الریاض فی نقل النبویّ المذکور مع نسخ الجواهر والوسائل ناشیء عن النقل بالمعنی المخالف للمنقول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الطمأنینة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یتمّ أیضاً وإن لم یزد، ضرورة عدم التلازم بین بقائه راکعاً والاطمئنان ، فقد یصدق علیه راکعاً بأول مسمّی الرکوع وهو مضطرب یمیناً وشمالاً، إذ 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الأکثر، بل عن ظاهر المنتهی</w:t>
      </w:r>
      <w:r>
        <w:rPr>
          <w:rStyle w:val="FootnoteAnchor"/>
          <w:rtl w:val="true"/>
        </w:rPr>
        <w:footnoteReference w:id="1501"/>
      </w:r>
      <w:r>
        <w:rPr>
          <w:rFonts w:ascii="IRNazanin" w:hAnsi="IRNazanin" w:eastAsia="IRNazanin"/>
          <w:color w:val="111111"/>
          <w:sz w:val="28"/>
          <w:sz w:val="28"/>
          <w:szCs w:val="28"/>
          <w:rtl w:val="true"/>
          <w:lang w:bidi="fa-IR"/>
        </w:rPr>
        <w:t>الإجماع علیه السکون حتی یرجع کلّ عضو إلی مستقرّه ، کما هو معنی الصحیح المتقدّم أیضاً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المشهور خلافه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ودلیلهم تحکیم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لاتعاد الصلاة إلا من خمس</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 xml:space="preserve">علی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لمن </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صلبه</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وضوح ضعف الاستدلال علی نفی الوجوب بنفی الرکنّیة ، لعدم الملازمة بین الوجوب والرکنّیة ، ولا بین نفی الرکنّیة ونفی الوجوب ، وإنما الملازمة بین الرکنیّة والوجوب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منشاً الاشتباه 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قول المشهور فی الرفع والطمأنینة بالوجوب دون الرکنّیة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القول بالرکنیة فیهما شاذّ وإفراط ، کذلک القول بنفی الوجوب فیهما </w:t>
      </w:r>
    </w:p>
    <w:p>
      <w:pPr>
        <w:pStyle w:val="BookText"/>
        <w:rPr/>
      </w:pPr>
      <w:r>
        <w:rPr>
          <w:rFonts w:ascii="Amiri" w:hAnsi="Amiri" w:eastAsia="Amiri" w:cs="Amiri"/>
          <w:color w:val="111111"/>
          <w:sz w:val="28"/>
          <w:sz w:val="28"/>
          <w:szCs w:val="28"/>
          <w:rtl w:val="true"/>
          <w:lang w:bidi="ar-SA"/>
        </w:rPr>
        <w:t>شاذّ و تفریط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أقلّته قدمای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إبتشدید اللام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الجثّة 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قبیل عطف العامّ علی الخاصّ،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 سَحَابًا ثِقَالًا</w:t>
      </w:r>
      <w:r>
        <w:rPr>
          <w:rFonts w:eastAsia="Amiri" w:cs="Amiri" w:ascii="Amiri" w:hAnsi="Amiri"/>
          <w:color w:val="111111"/>
          <w:sz w:val="28"/>
          <w:szCs w:val="28"/>
          <w:rtl w:val="true"/>
          <w:lang w:bidi="ar-SA"/>
        </w:rPr>
        <w:t xml:space="preserve">) </w:t>
      </w:r>
      <w:r>
        <w:rPr>
          <w:rStyle w:val="FootnoteAnchor"/>
          <w:rtl w:val="true"/>
        </w:rPr>
        <w:footnoteReference w:id="150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حملت سحاباً 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علی ما مرّ فی النهی عن قراءة العزیمة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تعلیل النهی عنها بعموم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زیادة فی المکتوبة</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وتأمّل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إمکان منع الأولویة، وأنه لا ملازمة عقلاً ولا شرعاًبین عدم البطلان بالنقیصة لعدمه بالزیادة فضلاً عن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بینهما ملازمة وأولویّة اعتباریّة لاقطعیّة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علیک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 لما لا یقول به الأصحاب من الاعتداد بالشکّ بعد التجاوز عن المحلّ، ومن نفی سجدتی السهو عن تارک السجدة الواحدة، مع أن ظاهرهم الإجماع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 دلّ علیها فیها یدلّ علیها هنا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کفایة المسمّی فی الجبهة یدلّ علی کفایة المسمّی فی سائر الأعضاء بالفحوی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الأولویّة لعلّه من جهة أنه إذا اکتفی بالمسمّی فیما هو معظم واجبات السجدة ، بل عین حقیقة السجدة المنوط تحقّقها به وجود و عدمة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ففیما دونه من سائر </w:t>
      </w:r>
    </w:p>
    <w:p>
      <w:pPr>
        <w:pStyle w:val="BookText"/>
        <w:rPr/>
      </w:pPr>
      <w:r>
        <w:rPr>
          <w:rFonts w:ascii="IRNazanin" w:hAnsi="IRNazanin" w:eastAsia="IRNazanin"/>
          <w:color w:val="111111"/>
          <w:sz w:val="28"/>
          <w:sz w:val="28"/>
          <w:szCs w:val="28"/>
          <w:rtl w:val="true"/>
          <w:lang w:bidi="fa-IR"/>
        </w:rPr>
        <w:t>الأجزاء والواجبات المعتبرة فیها شرعا أولی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تطول قصّتها</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الناصیة ، والجمع قصص، کغرفة وغرف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نهی</w:t>
      </w:r>
      <w:r>
        <w:rPr>
          <w:rStyle w:val="FootnoteAnchor"/>
          <w:rtl w:val="true"/>
        </w:rPr>
        <w:footnoteReference w:id="1508"/>
      </w:r>
      <w:r>
        <w:rPr>
          <w:rFonts w:ascii="IRNazanin" w:hAnsi="IRNazanin" w:eastAsia="IRNazanin"/>
          <w:color w:val="111111"/>
          <w:sz w:val="28"/>
          <w:sz w:val="28"/>
          <w:szCs w:val="28"/>
          <w:rtl w:val="true"/>
          <w:lang w:bidi="fa-IR"/>
        </w:rPr>
        <w:t>عن القنازع والقصص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الخبر المخالف له ضعیف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اتّحاد الخبر المخالف ، بل هو متعدّد ، منها ما فی الوافی </w:t>
      </w:r>
      <w:r>
        <w:rPr>
          <w:rStyle w:val="FootnoteAnchor"/>
          <w:rtl w:val="true"/>
        </w:rPr>
        <w:footnoteReference w:id="1509"/>
      </w:r>
      <w:r>
        <w:rPr>
          <w:rFonts w:ascii="IRNazanin" w:hAnsi="IRNazanin" w:eastAsia="IRNazanin"/>
          <w:color w:val="111111"/>
          <w:sz w:val="28"/>
          <w:sz w:val="28"/>
          <w:szCs w:val="28"/>
          <w:rtl w:val="true"/>
          <w:lang w:bidi="fa-IR"/>
        </w:rPr>
        <w:t xml:space="preserve">عن التهذیب </w:t>
      </w:r>
      <w:r>
        <w:rPr>
          <w:rStyle w:val="FootnoteAnchor"/>
          <w:rtl w:val="true"/>
        </w:rPr>
        <w:footnoteReference w:id="1510"/>
      </w:r>
      <w:r>
        <w:rPr>
          <w:rFonts w:ascii="IRNazanin" w:hAnsi="IRNazanin" w:eastAsia="IRNazanin"/>
          <w:color w:val="111111"/>
          <w:sz w:val="28"/>
          <w:sz w:val="28"/>
          <w:szCs w:val="28"/>
          <w:rtl w:val="true"/>
          <w:lang w:bidi="fa-IR"/>
        </w:rPr>
        <w:t xml:space="preserve">عن أحمد، عن معاویة بن حکیم، عن أبی مالک الحضرمی، عن الحسین بن حماد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فتقع جبهتی علی الموضع المرتفع،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ثم 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مافیه أیضاً عن التهذیب </w:t>
      </w:r>
      <w:r>
        <w:rPr>
          <w:rStyle w:val="FootnoteAnchor"/>
          <w:rtl w:val="true"/>
        </w:rPr>
        <w:footnoteReference w:id="1511"/>
      </w:r>
      <w:r>
        <w:rPr>
          <w:rFonts w:ascii="IRNazanin" w:hAnsi="IRNazanin" w:eastAsia="IRNazanin"/>
          <w:color w:val="111111"/>
          <w:sz w:val="28"/>
          <w:sz w:val="28"/>
          <w:szCs w:val="28"/>
          <w:rtl w:val="true"/>
          <w:lang w:bidi="fa-IR"/>
        </w:rPr>
        <w:t xml:space="preserve">، عن المفضل بن صالح ، عن الحسین بن حماد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الرجل یسجد علی الحصی،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رأسه حتی یستمکن</w:t>
      </w:r>
      <w:r>
        <w:rPr>
          <w:rFonts w:eastAsia="IRNazanin" w:cs="IRNazanin"/>
          <w:color w:val="111111"/>
          <w:sz w:val="28"/>
          <w:szCs w:val="28"/>
          <w:rtl w:val="true"/>
          <w:lang w:bidi="fa-IR"/>
        </w:rPr>
        <w:t>)</w:t>
      </w:r>
      <w:r>
        <w:rPr>
          <w:rStyle w:val="FootnoteAnchor"/>
          <w:rtl w:val="true"/>
        </w:rPr>
        <w:footnoteReference w:id="151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الوسائل عن الشیخ فی کتاب الغیبة</w:t>
      </w:r>
      <w:r>
        <w:rPr>
          <w:rStyle w:val="FootnoteAnchor"/>
          <w:rtl w:val="true"/>
        </w:rPr>
        <w:footnoteReference w:id="1513"/>
      </w:r>
      <w:r>
        <w:rPr>
          <w:rFonts w:ascii="IRNazanin" w:hAnsi="IRNazanin" w:eastAsia="IRNazanin"/>
          <w:color w:val="111111"/>
          <w:sz w:val="28"/>
          <w:sz w:val="28"/>
          <w:szCs w:val="28"/>
          <w:rtl w:val="true"/>
          <w:lang w:bidi="fa-IR"/>
        </w:rPr>
        <w:t>، وعن الطبرسّی فی الاحتجاج</w:t>
      </w:r>
      <w:r>
        <w:rPr>
          <w:rStyle w:val="FootnoteAnchor"/>
          <w:rtl w:val="true"/>
        </w:rPr>
        <w:footnoteReference w:id="1514"/>
      </w:r>
      <w:r>
        <w:rPr>
          <w:rFonts w:ascii="IRNazanin" w:hAnsi="IRNazanin" w:eastAsia="IRNazanin"/>
          <w:color w:val="111111"/>
          <w:sz w:val="28"/>
          <w:sz w:val="28"/>
          <w:szCs w:val="28"/>
          <w:rtl w:val="true"/>
          <w:lang w:bidi="fa-IR"/>
        </w:rPr>
        <w:t xml:space="preserve">، عن محمد بن عبدالله بن جعفر الحمیری، عن صاحب الزمان علیه السلام ، أنه کتب إلیه یسأله عن المصلّی یکون فی صلاة اللیل فی ظلمة ، فإذا سجد یغلط بالسّجادة ویضع جبهته علی مسح أو نطع، فإذا رفع رأسه </w:t>
      </w:r>
    </w:p>
    <w:p>
      <w:pPr>
        <w:pStyle w:val="BookText"/>
        <w:rPr/>
      </w:pPr>
      <w:r>
        <w:rPr>
          <w:rFonts w:ascii="IRNazanin" w:hAnsi="IRNazanin" w:eastAsia="IRNazanin"/>
          <w:color w:val="111111"/>
          <w:sz w:val="28"/>
          <w:sz w:val="28"/>
          <w:szCs w:val="28"/>
          <w:rtl w:val="true"/>
          <w:lang w:bidi="fa-IR"/>
        </w:rPr>
        <w:t>وجد السّجادة ، هل یعتدّ بهذه السجدة أم 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یستو جالسةاً فلا شیء علیه فی رفع رأسه لطلب الخمرة</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ضعف الاسناد ، سیّما فی الروایة الأخیرة، فإنها موثّقة جدّاً ، إلا أن العمل بإطلاقها مخالف لفتوی المشهور، حتی إن الشیخ</w:t>
      </w:r>
      <w:r>
        <w:rPr>
          <w:rStyle w:val="FootnoteAnchor"/>
          <w:rtl w:val="true"/>
        </w:rPr>
        <w:footnoteReference w:id="1516"/>
      </w:r>
      <w:r>
        <w:rPr>
          <w:rFonts w:ascii="IRNazanin" w:hAnsi="IRNazanin" w:eastAsia="IRNazanin"/>
          <w:color w:val="111111"/>
          <w:sz w:val="28"/>
          <w:sz w:val="28"/>
          <w:szCs w:val="28"/>
          <w:rtl w:val="true"/>
          <w:lang w:bidi="fa-IR"/>
        </w:rPr>
        <w:t>حملها علی الاضطرار المتعذّر معه السجود الصحیح إلا بالرفع دون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من ضعف اسنادها هو المخالفة لفتوی المشهور أیضاً لا غیر ، وإلا فلا ضعف فی أحد من رواة الروایات الثلاث، سوی ما فی المفضّل بن صالح الخاصّ توسّطه بالروایّة الثانیة لا غیر، مضافاً إلی روایة الأجلّة عنه ، کابن أبی عمیر وابن المغیرة والحسن بن محبوب والبزنطی، فی الصحیح یشهد بوثاقته والاعتماد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کونه کثیر الروایة وسدیدها و مفتی بها ، إلی غیر ذلک ممّا یضعّف اتّهامه بالکذب والغلوّ، کما صرّح به أهل الرجال</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الکلام المشهور فی محمد بن إسماعیل هو کونه مشترکاً لا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اشتراکه ، و تعینه بملاحظة الطبقة وغیرها من القرائن المعینة له فی النیشابوری الجلیل العدل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قدح السند باشتراکه ، لأن اشتراکه علی تقدیره إنما هو بین الثقات لا بین الثقة وغیره، حسبما تقدّم</w:t>
      </w:r>
      <w:r>
        <w:rPr>
          <w:rStyle w:val="FootnoteAnchor"/>
          <w:rtl w:val="true"/>
        </w:rPr>
        <w:footnoteReference w:id="151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لا ینحصر فی خبر محمد بن إسماعیل ، بل هی أخبار مستفیضة منها الصحیح المتقدّم</w:t>
      </w:r>
      <w:r>
        <w:rPr>
          <w:rStyle w:val="FootnoteAnchor"/>
          <w:rtl w:val="true"/>
        </w:rPr>
        <w:footnoteReference w:id="1519"/>
      </w:r>
      <w:r>
        <w:rPr>
          <w:rFonts w:ascii="IRNazanin" w:hAnsi="IRNazanin" w:eastAsia="IRNazanin"/>
          <w:color w:val="111111"/>
          <w:sz w:val="28"/>
          <w:sz w:val="28"/>
          <w:szCs w:val="28"/>
          <w:rtl w:val="true"/>
          <w:lang w:bidi="fa-IR"/>
        </w:rPr>
        <w:t>و غیره، علی وجه حمل الشیخ</w:t>
      </w:r>
      <w:r>
        <w:rPr>
          <w:rStyle w:val="FootnoteAnchor"/>
          <w:rtl w:val="true"/>
        </w:rPr>
        <w:footnoteReference w:id="1520"/>
      </w:r>
      <w:r>
        <w:rPr>
          <w:rFonts w:ascii="IRNazanin" w:hAnsi="IRNazanin" w:eastAsia="IRNazanin"/>
          <w:color w:val="111111"/>
          <w:sz w:val="28"/>
          <w:sz w:val="28"/>
          <w:szCs w:val="28"/>
          <w:rtl w:val="true"/>
          <w:lang w:bidi="fa-IR"/>
        </w:rPr>
        <w:t>ما یعارضها من نصوص الجواز علی الاضطرار المتعذّر معه السجود الصحیح إلا بالرفع دون الجر، لا علی التفصیل المشهور بین الوضع علی المرتفع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مخالفة الأصحاب لاحتملنا جمعاً ثالثاً ، وهو حمل أخبار </w:t>
      </w:r>
      <w:r>
        <w:rPr>
          <w:rStyle w:val="FootnoteAnchor"/>
          <w:rtl w:val="true"/>
        </w:rPr>
        <w:footnoteReference w:id="1521"/>
      </w:r>
      <w:r>
        <w:rPr>
          <w:rFonts w:ascii="IRNazanin" w:hAnsi="IRNazanin" w:eastAsia="IRNazanin"/>
          <w:color w:val="111111"/>
          <w:sz w:val="28"/>
          <w:sz w:val="28"/>
          <w:szCs w:val="28"/>
          <w:rtl w:val="true"/>
          <w:lang w:bidi="fa-IR"/>
        </w:rPr>
        <w:t>المنع من الرفع علی الکراهة، وأخبار الأمر به علی الأذن و الرخصة ، کما هو طریق الجمع المألوف بین الأمر والنهی فی سائر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من یرفع له الخمرة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وإسکان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سّجادة صغیرة منسوجة من 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الوافی 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أم سلمة قال لها وهی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الخمرة، وهی مقدار ما یضع الرجل علیه وجهه فی سجوده ، من حصیر أو نسیجة خوص ونحوه من النبات ، ولا تکون خمرة إلا فی هذا المقدار، وسمیت خمرة لأن خیوطها مستورة بسعفها</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مروحة إلی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بتروّح بها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تروّحت بالمروحة ، کأنّه من الطیب ، لأن الریح تلیّن به وتطیّب بعد أن لم تکن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المروحة فی عرف عربنا بالمهفّة ، وفی الفارسیّة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یجلس علی ورکه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والکسر ککتف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فوق الفخذ مؤنّثة ، والورکان ما </w:t>
      </w:r>
    </w:p>
    <w:p>
      <w:pPr>
        <w:pStyle w:val="BookText"/>
        <w:rPr/>
      </w:pPr>
      <w:r>
        <w:rPr>
          <w:rFonts w:ascii="IRNazanin" w:hAnsi="IRNazanin" w:eastAsia="IRNazanin"/>
          <w:color w:val="111111"/>
          <w:sz w:val="28"/>
          <w:sz w:val="28"/>
          <w:szCs w:val="28"/>
          <w:rtl w:val="true"/>
          <w:lang w:bidi="fa-IR"/>
        </w:rPr>
        <w:t xml:space="preserve">فوق الفخذین کالکتفین فوق العضدین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اختصاص لنفس التورّک بالجلوس علی ما فوق الفخذ الأیسر، إلا أن نصوص الحکم باستحبابه فی الصلاة خصّته به ، بل لم تعبّر إلا بالجلوس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نصّاً ولا فتوئً فی تفسیر التورک بما ذکرنا، عدا ما عن الإسکافی</w:t>
      </w:r>
      <w:r>
        <w:rPr>
          <w:rStyle w:val="FootnoteAnchor"/>
          <w:rtl w:val="true"/>
        </w:rPr>
        <w:footnoteReference w:id="1523"/>
      </w:r>
      <w:r>
        <w:rPr>
          <w:rFonts w:ascii="IRNazanin" w:hAnsi="IRNazanin" w:eastAsia="IRNazanin"/>
          <w:color w:val="111111"/>
          <w:sz w:val="28"/>
          <w:sz w:val="28"/>
          <w:szCs w:val="28"/>
          <w:rtl w:val="true"/>
          <w:lang w:bidi="fa-IR"/>
        </w:rPr>
        <w:t>من تفسیره بوضع الألیتین علی بطن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الظاهر التورک لغة وعرفاً وشرعاً، وعدم مستند له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لإرادته من وضع الألیتین علی بطن القدمین نفس الجائز غیر المکروه من کیفیات الجلوس فی الصلاة، لا تفسیر التورّک المستحبّ به، وإلا فقد حکی عنه فی التشهّد تفسیره بما ذکرنا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خلاف فتوئً و لانصّاً فی الحکم باستحبابه فی الصلاة ، عداما عن زیادات التهذیب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تنفض أصابعک ولا تورّک، فإن قوما قد عذّبوا بنفض الأصابع والتورّک</w:t>
      </w:r>
      <w:r>
        <w:rPr>
          <w:rFonts w:eastAsia="IRNazanin" w:cs="IRNazanin"/>
          <w:color w:val="111111"/>
          <w:sz w:val="28"/>
          <w:szCs w:val="28"/>
          <w:rtl w:val="true"/>
          <w:lang w:bidi="fa-IR"/>
        </w:rPr>
        <w:t xml:space="preserve">»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شذوذه، ووجوب طرحه، ومخالفته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 بإرادة التورّک حال القیام فی الصلاة لا الجلوس، وهو أن یضع یدیه علی ورکه فی الصلاة حال القیام لا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التقیید بإقعاء الکلب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ما فی الوافی وعن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إلصاق الألیتین بالأرض و نصب الساقین والفخذین مع وضع الیدین علی الأرض، کما یقعی الکلب ویجلس علی أسته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تحتفز</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الاحتفاز والتحفّز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بإهمال الحاء وإعجام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التضمّم والتجمّع فی السجود والجلوس،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احتفز وتحفّز إذا تضممّ وتجمعّ فی سجوده وجلوسه ، عکس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والتخوّی فی السجود، وهو تجافی البطن عن الأرض ورفعها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کراهة الاحتفاز بمعنی التضممّ والتجمعّ فی السجود ، واستحباب عکسه وهو التخوّی والتجؤّف فیه ، إنما یختصّ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 المرأة فبالعکس ،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سجد الرجل فلیخوّ، وإذا سجدت المرأة فلتحتفز</w:t>
      </w:r>
      <w:r>
        <w:rPr>
          <w:rFonts w:eastAsia="IRNazanin" w:cs="IRNazanin"/>
          <w:color w:val="111111"/>
          <w:sz w:val="28"/>
          <w:szCs w:val="28"/>
          <w:rtl w:val="true"/>
          <w:lang w:bidi="fa-IR"/>
        </w:rPr>
        <w:t>»</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سجدت تضممّت، والرجل إذا سجد تفتّح</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التدبّر فی أن المراد من إجزاء الحمد لیس إجزاؤه عن التشّهد الواجب کما قد یتوهّم، بل المراد إجزاؤه عمّا یتحبّ فیه من التحیّات المعروفة بین الخاصّة سیّما العامّة</w:t>
      </w:r>
      <w:r>
        <w:rPr>
          <w:rStyle w:val="FootnoteAnchor"/>
          <w:rtl w:val="true"/>
        </w:rPr>
        <w:footnoteReference w:id="1529"/>
      </w:r>
      <w:r>
        <w:rPr>
          <w:rFonts w:ascii="IRNazanin" w:hAnsi="IRNazanin" w:eastAsia="IRNazanin"/>
          <w:color w:val="111111"/>
          <w:sz w:val="28"/>
          <w:sz w:val="28"/>
          <w:szCs w:val="28"/>
          <w:rtl w:val="true"/>
          <w:lang w:bidi="fa-IR"/>
        </w:rPr>
        <w:t>، ومن تعقّب الشهادتین بالشهادة علی المعاد والبعث، وتعقّب الصلاة علی النبیّ صلی الله علیه وآله وسلم بالتسلیم والترحّم والتفضّل والدعاء له بالشفاعة، وغیرها من السنن</w:t>
      </w:r>
      <w:r>
        <w:rPr>
          <w:rStyle w:val="FootnoteAnchor"/>
          <w:rtl w:val="true"/>
        </w:rPr>
        <w:footnoteReference w:id="1530"/>
      </w:r>
      <w:r>
        <w:rPr>
          <w:rFonts w:ascii="IRNazanin" w:hAnsi="IRNazanin" w:eastAsia="IRNazanin"/>
          <w:color w:val="111111"/>
          <w:sz w:val="28"/>
          <w:sz w:val="28"/>
          <w:szCs w:val="28"/>
          <w:rtl w:val="true"/>
          <w:lang w:bidi="fa-IR"/>
        </w:rPr>
        <w:t>المأثورة فی التشهد، المهجورة اسماً ورسماً فی هذه الأعصار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قاعداً علی الأرض</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نافیة لاناهیة ، معطوفة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 فهی من تفسیر الإقعاء لا معنی مغایر له کما قد یتوهّم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متروکیة ظاهر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العمل بظاهر بعضه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الإتمام بإرادة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تقییده بصورة عدم حصول المنافی للصلاة غیر ضارّ فی حجّیة الباقی، لأنه کالعامّ المخصّص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نصّ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إشارة إلی دفع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التحلیل قد یحصل بالمنافیات والمحرّمات فضلاً عن المستحباّت، فلا یکون نصّاًفی الوجوب، بأن إفساد الصلاة وإبطالها غیر التحلیل، أما علی القول بأنها اسم للصحیحة فظاهر ، وعلی الأعمّ فالفاسدة غیر محتاجة إلی تحلیل، مع أن المتبادر من الإطلاق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التحلیل هو الإتیان بما یحلّل المنافی، لا أنه نفس 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القائلین بالاستحباب یقولون یحصل التحلیل بالتشّهد، ومن المعلوم أن تحصیل الحاصل محال، مع أن مفاد النصّ</w:t>
      </w:r>
      <w:r>
        <w:rPr>
          <w:rStyle w:val="FootnoteAnchor"/>
          <w:rtl w:val="true"/>
        </w:rPr>
        <w:footnoteReference w:id="1533"/>
      </w:r>
      <w:r>
        <w:rPr>
          <w:rFonts w:ascii="IRNazanin" w:hAnsi="IRNazanin" w:eastAsia="IRNazanin"/>
          <w:color w:val="111111"/>
          <w:sz w:val="28"/>
          <w:sz w:val="28"/>
          <w:szCs w:val="28"/>
          <w:rtl w:val="true"/>
          <w:lang w:bidi="fa-IR"/>
        </w:rPr>
        <w:t>بقاء التحریم إلی تمام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حتمال استناد البطلان إلی نیّة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الدلیل أعمّ من صورة تشریعه فی النیّة عمداً وعدمه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المتم إن کان جاهلاً بالحکم لم یبطل إتمامه نصّاً وفتویً فی شیء من الصورتین ، وإلا بطل نصّاً وفتوئً فی کلا الصورتین أیضاً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اقتضاء مثله البطلان ، ضرورة کون الزیادة المشرّع بها خارج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ربما نوقش فی أصل حرمته فضلا ًعن اقتضائه الفساد، لأنها بالنسبة إلی ما قبل الزیادة المشرّع بها نیّة مجرّدة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النیّة المجرّدة لا تکتب علی هذه الأمة ، وبالنسبة إلی ما بعدها وإن لم تکن مجردة إلا أنها خارجة عن الصلاة فلا تکون مفسدة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معنی 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عدم المعنی لطلبه بالمعنی اللغوی إنما یکون قرینة کون المراد منه التسلیم المطلوب لو لم یتعقّب الأمر به توهّم الحظر، وأما مع تعقّبه الحظر فیتعّین کونه لمطلق الإباحة والاذن دون الوجوب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سائر النصوص</w:t>
      </w:r>
      <w:r>
        <w:rPr>
          <w:rStyle w:val="FootnoteAnchor"/>
          <w:rtl w:val="true"/>
        </w:rPr>
        <w:footnoteReference w:id="1534"/>
      </w:r>
      <w:r>
        <w:rPr>
          <w:rFonts w:ascii="IRNazanin" w:hAnsi="IRNazanin" w:eastAsia="IRNazanin"/>
          <w:color w:val="111111"/>
          <w:sz w:val="28"/>
          <w:sz w:val="28"/>
          <w:szCs w:val="28"/>
          <w:rtl w:val="true"/>
          <w:lang w:bidi="fa-IR"/>
        </w:rPr>
        <w:t xml:space="preserve">المستفیضة الصحیحة الصریحة فی کون الانصراف والتحلیل والفراغ إنما یحصل بالتسلیم لا بمجرد التشهد قرینة صرف الانصراف بمجرّد التشّهد عن معناه اللغوی إلی التسلیم الواجب ، من باب حمل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الانصراف بعد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المقیّد بالتسلیم، أو من باب حمل الظاهر علی النصّ والأظهر ، وردّ المتشابه إلی المحکم المأمور به فی نصوصهم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أقوی وجوه الجمع بین النصوص المتعارضة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أو فقیّتها بالسؤال فی صدر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الأوفقیّة أن السائل فرض تطویل الامام فی التشّهد ، فالظاهر تحقّقه منه فی الجملة ، فلا یناسب الأمر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مقعد الملکین من ابن آدم الشدقین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الشدق بالفتح والکسر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الفم ، وجمع المفتوح شدوق کفلوس ، والمکسور أشداق کأحمال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عدم القدح فی انعقاد الاجماع بخروجه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وجه عدم قدح مخالفة الصدوق</w:t>
      </w:r>
      <w:r>
        <w:rPr>
          <w:rStyle w:val="FootnoteAnchor"/>
          <w:rtl w:val="true"/>
        </w:rPr>
        <w:footnoteReference w:id="1535"/>
      </w:r>
      <w:r>
        <w:rPr>
          <w:rFonts w:ascii="IRNazanin" w:hAnsi="IRNazanin" w:eastAsia="IRNazanin"/>
          <w:color w:val="111111"/>
          <w:sz w:val="28"/>
          <w:sz w:val="28"/>
          <w:szCs w:val="28"/>
          <w:rtl w:val="true"/>
          <w:lang w:bidi="fa-IR"/>
        </w:rPr>
        <w:t>وانعقاد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مذهب الخاصّة</w:t>
      </w:r>
      <w:r>
        <w:rPr>
          <w:rStyle w:val="FootnoteAnchor"/>
          <w:rtl w:val="true"/>
        </w:rPr>
        <w:footnoteReference w:id="1536"/>
      </w:r>
      <w:r>
        <w:rPr>
          <w:rFonts w:ascii="IRNazanin" w:hAnsi="IRNazanin" w:eastAsia="IRNazanin"/>
          <w:color w:val="111111"/>
          <w:sz w:val="28"/>
          <w:sz w:val="28"/>
          <w:szCs w:val="28"/>
          <w:rtl w:val="true"/>
          <w:lang w:bidi="fa-IR"/>
        </w:rPr>
        <w:t>، فلأن المناط فی حجّیة الاجماع و تحقّقه عندهم علی دخول المعصوم، فلا یقدح فی تحقّقه خروج معلوم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مذهب العامّة </w:t>
      </w:r>
      <w:r>
        <w:rPr>
          <w:rStyle w:val="FootnoteAnchor"/>
          <w:rtl w:val="true"/>
        </w:rPr>
        <w:footnoteReference w:id="1537"/>
      </w:r>
      <w:r>
        <w:rPr>
          <w:rFonts w:ascii="IRNazanin" w:hAnsi="IRNazanin" w:eastAsia="IRNazanin"/>
          <w:color w:val="111111"/>
          <w:sz w:val="28"/>
          <w:sz w:val="28"/>
          <w:szCs w:val="28"/>
          <w:rtl w:val="true"/>
          <w:lang w:bidi="fa-IR"/>
        </w:rPr>
        <w:t>فلأن المعتبر فی تحقّقه عندهم اتّفاق جمیع أهل عصر واحد، فلا یقدّح خروج المنقرض عصره فی 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 والعتمة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بالعشاء العشاء الأولی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 و بالعتمة العشاء الآخرة ، کما صرّح به الوافی</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لوروده مورد التقیّة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نصوص الأمر بالقنوت علی التقیّة لا ینافی ما تقدّم من حمل نصوص الترک علیها أیضاً ، لأن المحمول من نصوص فعلّه علیها إنما هو نصوص فعله فی خصوص الجهریة من الصلوات لا مطلقاً، ومن نصوص ترکه علیها إنما هو نصوص ترکه فی غیر الجهریّة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التفصیل هو مذهب العامة </w:t>
      </w:r>
      <w:r>
        <w:rPr>
          <w:rStyle w:val="FootnoteAnchor"/>
          <w:rtl w:val="true"/>
        </w:rPr>
        <w:footnoteReference w:id="1539"/>
      </w:r>
      <w:r>
        <w:rPr>
          <w:rFonts w:ascii="IRNazanin" w:hAnsi="IRNazanin" w:eastAsia="IRNazanin"/>
          <w:color w:val="111111"/>
          <w:sz w:val="28"/>
          <w:sz w:val="28"/>
          <w:szCs w:val="28"/>
          <w:rtl w:val="true"/>
          <w:lang w:bidi="fa-IR"/>
        </w:rPr>
        <w:t xml:space="preserve">کما یستفاد من نصوص </w:t>
      </w:r>
      <w:r>
        <w:rPr>
          <w:rStyle w:val="FootnoteAnchor"/>
          <w:rtl w:val="true"/>
        </w:rPr>
        <w:footnoteReference w:id="1540"/>
      </w:r>
      <w:r>
        <w:rPr>
          <w:rFonts w:ascii="IRNazanin" w:hAnsi="IRNazanin" w:eastAsia="IRNazanin"/>
          <w:color w:val="111111"/>
          <w:sz w:val="28"/>
          <w:sz w:val="28"/>
          <w:szCs w:val="28"/>
          <w:rtl w:val="true"/>
          <w:lang w:bidi="fa-IR"/>
        </w:rPr>
        <w:t>الباب أیضا، فارتفع المنافاة المتوهّم من حمل الفعل والترک علی التقیة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حکی عن الماتن فی المعتبر</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فی حاشیة الوافی</w:t>
      </w:r>
      <w:r>
        <w:rPr>
          <w:rStyle w:val="FootnoteAnchor"/>
          <w:rtl w:val="true"/>
        </w:rPr>
        <w:footnoteReference w:id="1542"/>
      </w:r>
      <w:r>
        <w:rPr>
          <w:rFonts w:ascii="IRNazanin" w:hAnsi="IRNazanin" w:eastAsia="IRNazanin"/>
          <w:color w:val="111111"/>
          <w:sz w:val="28"/>
          <w:sz w:val="28"/>
          <w:szCs w:val="28"/>
          <w:rtl w:val="true"/>
          <w:lang w:bidi="fa-IR"/>
        </w:rPr>
        <w:t xml:space="preserve">عن المعتبر لیس ما ذکر، بل احتماله فی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قبل الرکوع وإن شئت فبعد</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 xml:space="preserve">آن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حمل الخبر فی التهذیبین </w:t>
      </w:r>
      <w:r>
        <w:rPr>
          <w:rStyle w:val="FootnoteAnchor"/>
          <w:rtl w:val="true"/>
        </w:rPr>
        <w:footnoteReference w:id="1544"/>
      </w:r>
      <w:r>
        <w:rPr>
          <w:rFonts w:ascii="IRNazanin" w:hAnsi="IRNazanin" w:eastAsia="IRNazanin"/>
          <w:color w:val="111111"/>
          <w:sz w:val="28"/>
          <w:sz w:val="28"/>
          <w:szCs w:val="28"/>
          <w:rtl w:val="true"/>
          <w:lang w:bidi="fa-IR"/>
        </w:rPr>
        <w:t>علی القضاء أو التقنیة علی مذهب بعضهم فی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ینفهما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الفهم لا النفی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یفهم القولان المذکوران من غیر الجامع</w:t>
      </w:r>
      <w:r>
        <w:rPr>
          <w:rStyle w:val="FootnoteAnchor"/>
          <w:rtl w:val="true"/>
        </w:rPr>
        <w:footnoteReference w:id="1545"/>
      </w:r>
      <w:r>
        <w:rPr>
          <w:rFonts w:ascii="IRNazanin" w:hAnsi="IRNazanin" w:eastAsia="IRNazanin"/>
          <w:color w:val="111111"/>
          <w:sz w:val="28"/>
          <w:sz w:val="28"/>
          <w:szCs w:val="28"/>
          <w:rtl w:val="true"/>
          <w:lang w:bidi="fa-IR"/>
        </w:rPr>
        <w:t xml:space="preserve">والکتب الأربعة </w:t>
      </w:r>
      <w:r>
        <w:rPr>
          <w:rStyle w:val="FootnoteAnchor"/>
          <w:rtl w:val="true"/>
        </w:rPr>
        <w:footnoteReference w:id="154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أن الصلاة اسم للأرکان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عدم مبطلیّة الصلاة بمشکوک المبطلیّة من الأفعال علی القول بکون الصلاة اسماً للأعمّ لا الصحیح إنما هو علی ما هو علیه تبعاً للذخیرة</w:t>
      </w:r>
      <w:r>
        <w:rPr>
          <w:rStyle w:val="FootnoteAnchor"/>
          <w:rtl w:val="true"/>
        </w:rPr>
        <w:footnoteReference w:id="1547"/>
      </w:r>
      <w:r>
        <w:rPr>
          <w:rFonts w:ascii="IRNazanin" w:hAnsi="IRNazanin" w:eastAsia="IRNazanin"/>
          <w:color w:val="111111"/>
          <w:sz w:val="28"/>
          <w:sz w:val="28"/>
          <w:szCs w:val="28"/>
          <w:rtl w:val="true"/>
          <w:lang w:bidi="fa-IR"/>
        </w:rPr>
        <w:t>من عدم إجراء أصالة عدم الشرطیّة والجزئیّة فی الأجزاء والشروط الارتباطیّة المشکوکة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ما علیه المشهور من عدم الفرق فی مجری الأصل لنفی الأجزاء والشروط المشکوکة بین الصحیحیّ والأعمیّ ، سوی انحصار الأصل النافی لها علی الصحیحیّ فی البراءة وعلی الأعمیّ فی الأعمّ منه ومن الإطلاق، فلا وجه لابتناء مجری الأصل المذکور علی الأعمیّ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الشامل للأمرین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دفع ما یتوهّم من استلزام شمول الأمرین الاستعماله فی معنیین، بأن شموله لهما من قبیل شمول المطلق لفردیه ، لا استعمال المشترک فی معنبیه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تحتفز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الاحتفاز والتحفّز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الحاء وإعجام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التضمّم والتجمعّ فی السجود والجلوس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احتفز إذا تضممّ وتجمعّ فی سجوده وجلوسه ، عکس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والتخوّی فی السجود ، وهو تجافی البطن عن الأرض ورفعها عنه ، حسبما تقدّم</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تحتفز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زیادة هناک ، لا فی ضمن شرح کراهة الإقعاء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حکمه فی ضمن شرح کراهة الإقعاء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لحاقب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w:t>
      </w:r>
      <w:r>
        <w:rPr>
          <w:rStyle w:val="FootnoteAnchor"/>
          <w:rtl w:val="true"/>
        </w:rPr>
        <w:footnoteReference w:id="1549"/>
      </w:r>
      <w:r>
        <w:rPr>
          <w:rFonts w:ascii="IRNazanin" w:hAnsi="IRNazanin" w:eastAsia="IRNazanin"/>
          <w:color w:val="111111"/>
          <w:sz w:val="28"/>
          <w:sz w:val="28"/>
          <w:szCs w:val="28"/>
          <w:rtl w:val="true"/>
          <w:lang w:bidi="fa-IR"/>
        </w:rPr>
        <w:t xml:space="preserve">الحاقن بحابس البول، والحاقب بحابس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بمنزلة من هو فی ثیابه</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تتمّة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الحاقن و الحاقب بمنزلة من یکون البول والغائط فی ثیابه ، فی نفی الصلاة من باب المبالغة بمعنی نفی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تسمیت العاطس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الجوهری التسمیت بالسین المهملة وبالشین المعجمة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للعاطس</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تغلب </w:t>
      </w:r>
      <w:r>
        <w:rPr>
          <w:rStyle w:val="FootnoteAnchor"/>
          <w:rtl w:val="true"/>
        </w:rPr>
        <w:footnoteReference w:id="1552"/>
      </w:r>
      <w:r>
        <w:rPr>
          <w:rFonts w:ascii="IRNazanin" w:hAnsi="IRNazanin" w:eastAsia="IRNazanin"/>
          <w:color w:val="111111"/>
          <w:sz w:val="28"/>
          <w:sz w:val="28"/>
          <w:szCs w:val="28"/>
          <w:rtl w:val="true"/>
          <w:lang w:bidi="fa-IR"/>
        </w:rPr>
        <w:t>اختیار السین المهملة ، لأنه مأخوذ من السمت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w:t>
      </w:r>
    </w:p>
    <w:p>
      <w:pPr>
        <w:pStyle w:val="BookText"/>
        <w:rPr/>
      </w:pPr>
      <w:r>
        <w:rPr>
          <w:rFonts w:ascii="IRNazanin" w:hAnsi="IRNazanin" w:eastAsia="IRNazanin"/>
          <w:color w:val="111111"/>
          <w:sz w:val="28"/>
          <w:sz w:val="28"/>
          <w:szCs w:val="28"/>
          <w:rtl w:val="true"/>
          <w:lang w:bidi="fa-IR"/>
        </w:rPr>
        <w:t>عبیدة</w:t>
      </w:r>
      <w:r>
        <w:rPr>
          <w:rStyle w:val="FootnoteAnchor"/>
          <w:rtl w:val="true"/>
        </w:rPr>
        <w:footnoteReference w:id="1553"/>
      </w: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لیدع تسمیت أخیه إذا عطس، فیطالب به یوم القیامة، فیقضی له علیه</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یجوز بغیر العربیّة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الصدوق </w:t>
      </w:r>
      <w:r>
        <w:rPr>
          <w:rStyle w:val="FootnoteAnchor"/>
          <w:rtl w:val="true"/>
        </w:rPr>
        <w:footnoteReference w:id="1555"/>
      </w:r>
      <w:r>
        <w:rPr>
          <w:rFonts w:ascii="IRNazanin" w:hAnsi="IRNazanin" w:eastAsia="IRNazanin"/>
          <w:color w:val="111111"/>
          <w:sz w:val="28"/>
          <w:sz w:val="28"/>
          <w:szCs w:val="28"/>
          <w:rtl w:val="true"/>
          <w:lang w:bidi="fa-IR"/>
        </w:rPr>
        <w:t>فیما حکی عنه من الاستدلال علیه بعموم الصحیح المتقدّم من أنه لا بأس أن یتکلّم الرجل فی صلاة الفریضة بکلّ شیء یناجی به ربه عزّوجلّ</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 xml:space="preserve">وبعموم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وبعموم ما أرسله عن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ناجیت به ربّک فی الصلاة فلیس بکلام</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عموم ما رواه الکلینیّ عن الصادق 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 الله عزّوجلّ به والنبی صلی الله علیه وآله وسلم فهو من الصلاة</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 xml:space="preserve">وکما أن هذه النصوص مخصصة النصوص </w:t>
      </w:r>
      <w:r>
        <w:rPr>
          <w:rStyle w:val="FootnoteAnchor"/>
          <w:rtl w:val="true"/>
        </w:rPr>
        <w:footnoteReference w:id="1560"/>
      </w:r>
      <w:r>
        <w:rPr>
          <w:rFonts w:ascii="IRNazanin" w:hAnsi="IRNazanin" w:eastAsia="IRNazanin"/>
          <w:color w:val="111111"/>
          <w:sz w:val="28"/>
          <w:sz w:val="28"/>
          <w:szCs w:val="28"/>
          <w:rtl w:val="true"/>
          <w:lang w:bidi="fa-IR"/>
        </w:rPr>
        <w:t>النهی عن الکلام فی الصلاة ، کذلک عمومها مخصص لعمومات النهی عن الکلام فی الصلاة، مع کونها بأسرها مطلقات منصرفة إلی کلام الناس غیر الشامل للدعاء مطلقا ، بل و تقیید بعضها صریحاً بکلام الناس ، فلا یشمل الدعاء مطلقاً ولو بغیر العربیة ، بخلاف نصوص</w:t>
      </w:r>
      <w:r>
        <w:rPr>
          <w:rStyle w:val="FootnoteAnchor"/>
          <w:rtl w:val="true"/>
        </w:rPr>
        <w:footnoteReference w:id="1561"/>
      </w:r>
      <w:r>
        <w:rPr>
          <w:rFonts w:ascii="IRNazanin" w:hAnsi="IRNazanin" w:eastAsia="IRNazanin"/>
          <w:color w:val="111111"/>
          <w:sz w:val="28"/>
          <w:sz w:val="28"/>
          <w:szCs w:val="28"/>
          <w:rtl w:val="true"/>
          <w:lang w:bidi="fa-IR"/>
        </w:rPr>
        <w:t xml:space="preserve">جواز الدعاء فی الصلاة، فإنها عمومات متراکمة بعضها ببعض، معاضدة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ضعف استدلال السیّد الشارح بعموم النهی عن الکلام فی الصلاة علی اشتراط کون الدعاء المرخوص فیه عربیّاً، بل وضعف استدلاله بذلک علی کونه غیر محرّم، لما عرفت من عدم عموم فیها أولاً، وانصراف ما هو مطلق </w:t>
      </w:r>
    </w:p>
    <w:p>
      <w:pPr>
        <w:pStyle w:val="BookText"/>
        <w:rPr/>
      </w:pPr>
      <w:r>
        <w:rPr>
          <w:rFonts w:ascii="IRNazanin" w:hAnsi="IRNazanin" w:eastAsia="IRNazanin"/>
          <w:color w:val="111111"/>
          <w:sz w:val="28"/>
          <w:sz w:val="28"/>
          <w:szCs w:val="28"/>
          <w:rtl w:val="true"/>
          <w:lang w:bidi="fa-IR"/>
        </w:rPr>
        <w:t xml:space="preserve">منها إلی کلام الناس ثانیاً ، بل و تقیید بعضها به بالصراحة ثالثاً، بل وتعلّق النهی علی تقدیره بأمر خارج عن الصلاة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ذکرت الله به فهو من الصلاة، کون الدعاء بالمحرّم فی الصلاة من أجزاء الصلاة ، فیبطلها النهی المتعلّق به جزمة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وجه الاجماع المنقول علی اشتراط کونه مباحاً، وبطلان الصلاة به إذا کان محرّماًمطلقاً ولو جهل حرمته أو بطلانه ، لعدم کون الجهل فی الأحکام عذراً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احتمالها الساعة التی توقع فیها الصلاة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الاحتمال ما روی فی تلک الساعة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الله تعالی عبد فیها خیراً إلا أعطاه</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 xml:space="preserve">بعد تخصیصها بما روی فی المصباح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الساعة التی یستجاب فیها الدعاء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فراغ الامام من الخطبة إلی أن تستوی الصفوف بالناس</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أشعر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تحدید وقت الفریضة فی السفر بحین الزوال والابتداء بفریضة الجمعة دون نافلتها بعد الزوال لیس علی الضیق بل علی الفضیلة، فلتکن الجمعة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شراک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سیور النعل التی تکون علی وجهها توثق 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استبان الفیء فی أصل الحائط من الجانب الشرقیّ عند الزوال فصار فی رؤیة العین قدر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أقلّ ما یعلم به الزوال، ولیس بتحدید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 یختلف باختلاف الأزمنة والأمکنة ، وإنما یتبیّن ذلک فی مثل </w:t>
      </w:r>
    </w:p>
    <w:p>
      <w:pPr>
        <w:pStyle w:val="BookText"/>
        <w:rPr/>
      </w:pPr>
      <w:r>
        <w:rPr>
          <w:rFonts w:ascii="IRNazanin" w:hAnsi="IRNazanin" w:eastAsia="IRNazanin"/>
          <w:color w:val="111111"/>
          <w:sz w:val="28"/>
          <w:sz w:val="28"/>
          <w:szCs w:val="28"/>
          <w:rtl w:val="true"/>
          <w:lang w:bidi="fa-IR"/>
        </w:rPr>
        <w:t xml:space="preserve">مکّة من البلاد التی </w:t>
      </w:r>
      <w:r>
        <w:rPr>
          <w:rStyle w:val="FootnoteAnchor"/>
          <w:rtl w:val="true"/>
        </w:rPr>
        <w:footnoteReference w:id="1564"/>
      </w:r>
      <w:r>
        <w:rPr>
          <w:rFonts w:ascii="Amiri" w:hAnsi="Amiri" w:eastAsia="Amiri" w:cs="Amiri"/>
          <w:color w:val="111111"/>
          <w:sz w:val="28"/>
          <w:sz w:val="28"/>
          <w:szCs w:val="28"/>
          <w:rtl w:val="true"/>
          <w:lang w:bidi="ar-SA"/>
        </w:rPr>
        <w:t>فیها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یتّجه علی القول بکونها أسامی للأعمّ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مراراً من أن المبتنی علی الأعمیّة إنما هو النفی بأصالة الإطلاق، وأما النفی بأصالة البراءة فیجری علی کلّ من قولی الصحیحیّ والأعمّی، کما قرر وجهه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ظاهر بل صریّح فی أن المراد بإمام الجمعة إمام الأصل، لا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ظهوره فضلاً عن صراحته فی ذلک ، بل هو ظاهر بل هو صریح فی أن المراد بإمام الجمعة مطلق مَن یحسن الخطبتین ولو لم یکن إمام الأصل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فلوقوع التعمیم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صلّوا جماعة</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 xml:space="preserve">، مع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یحسن الخطبتین فی کلام الراوی لتلک الروایة الموثّقة، فی الوافی</w:t>
      </w:r>
      <w:r>
        <w:rPr>
          <w:rStyle w:val="FootnoteAnchor"/>
          <w:rtl w:val="true"/>
        </w:rPr>
        <w:footnoteReference w:id="1566"/>
      </w:r>
      <w:r>
        <w:rPr>
          <w:rFonts w:ascii="IRNazanin" w:hAnsi="IRNazanin" w:eastAsia="IRNazanin"/>
          <w:color w:val="111111"/>
          <w:sz w:val="28"/>
          <w:sz w:val="28"/>
          <w:szCs w:val="28"/>
          <w:rtl w:val="true"/>
          <w:lang w:bidi="fa-IR"/>
        </w:rPr>
        <w:t xml:space="preserve">والوسائل </w:t>
      </w:r>
      <w:r>
        <w:rPr>
          <w:rStyle w:val="FootnoteAnchor"/>
          <w:rtl w:val="true"/>
        </w:rPr>
        <w:footnoteReference w:id="1567"/>
      </w:r>
      <w:r>
        <w:rPr>
          <w:rFonts w:ascii="IRNazanin" w:hAnsi="IRNazanin" w:eastAsia="IRNazanin"/>
          <w:color w:val="111111"/>
          <w:sz w:val="28"/>
          <w:sz w:val="28"/>
          <w:szCs w:val="28"/>
          <w:rtl w:val="true"/>
          <w:lang w:bidi="fa-IR"/>
        </w:rPr>
        <w:t>نقلا عن الکافی</w:t>
      </w:r>
      <w:r>
        <w:rPr>
          <w:rStyle w:val="FootnoteAnchor"/>
          <w:rtl w:val="true"/>
        </w:rPr>
        <w:footnoteReference w:id="1568"/>
      </w:r>
      <w:r>
        <w:rPr>
          <w:rFonts w:ascii="IRNazanin" w:hAnsi="IRNazanin" w:eastAsia="IRNazanin"/>
          <w:color w:val="111111"/>
          <w:sz w:val="28"/>
          <w:sz w:val="28"/>
          <w:szCs w:val="28"/>
          <w:rtl w:val="true"/>
          <w:lang w:bidi="fa-IR"/>
        </w:rPr>
        <w:t xml:space="preserve">والتهذیبین </w:t>
      </w:r>
      <w:r>
        <w:rPr>
          <w:rStyle w:val="FootnoteAnchor"/>
          <w:rtl w:val="true"/>
        </w:rPr>
        <w:footnoteReference w:id="1569"/>
      </w:r>
      <w:r>
        <w:rPr>
          <w:rFonts w:ascii="IRNazanin" w:hAnsi="IRNazanin" w:eastAsia="IRNazanin"/>
          <w:color w:val="111111"/>
          <w:sz w:val="28"/>
          <w:sz w:val="28"/>
          <w:szCs w:val="28"/>
          <w:rtl w:val="true"/>
          <w:lang w:bidi="fa-IR"/>
        </w:rPr>
        <w:t>عن سماعة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الامام فرکعتان، وأما مَن یصلّی وحده فهی أربع رکعات بمنزلة الظهر،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یخطب، فأما إذا لم یکن إمام یخطب فهی أربع رکعات وإن 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فهم الراوی إن کان حجة فلیعتبر تفسیره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یحسن الخطبة، وإلا فلا یعتبر تعمیمه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صلّوا جماعة المستلزم لکون المراد من الأمام إمام الأصل، وهل هو إلا کالتفکیک بین المتلازمین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 فلتصریح غیر واحد من نصوص</w:t>
      </w:r>
      <w:r>
        <w:rPr>
          <w:rStyle w:val="FootnoteAnchor"/>
          <w:rtl w:val="true"/>
        </w:rPr>
        <w:footnoteReference w:id="1570"/>
      </w:r>
      <w:r>
        <w:rPr>
          <w:rFonts w:ascii="IRNazanin" w:hAnsi="IRNazanin" w:eastAsia="IRNazanin"/>
          <w:color w:val="111111"/>
          <w:sz w:val="28"/>
          <w:sz w:val="28"/>
          <w:szCs w:val="28"/>
          <w:rtl w:val="true"/>
          <w:lang w:bidi="fa-IR"/>
        </w:rPr>
        <w:t>الباب منطوقاً و مفهوماً بإناطة الجمعة و تعلیقها علی مَن یحسن الخطبة وجوداً وعدماً، ومن المقرّر المنصوص أن الأخبار کالقرآن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فلفهم جملة من قدماء الأصحاب و محدّثیهم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کصاحبی الوافی </w:t>
      </w:r>
      <w:r>
        <w:rPr>
          <w:rStyle w:val="FootnoteAnchor"/>
          <w:rtl w:val="true"/>
        </w:rPr>
        <w:footnoteReference w:id="1571"/>
      </w:r>
      <w:r>
        <w:rPr>
          <w:rFonts w:ascii="IRNazanin" w:hAnsi="IRNazanin" w:eastAsia="IRNazanin"/>
          <w:color w:val="111111"/>
          <w:sz w:val="28"/>
          <w:sz w:val="28"/>
          <w:szCs w:val="28"/>
          <w:rtl w:val="true"/>
          <w:lang w:bidi="fa-IR"/>
        </w:rPr>
        <w:t xml:space="preserve">والوسائل </w:t>
      </w:r>
      <w:r>
        <w:rPr>
          <w:rStyle w:val="FootnoteAnchor"/>
          <w:rtl w:val="true"/>
        </w:rPr>
        <w:footnoteReference w:id="1572"/>
      </w:r>
      <w:r>
        <w:rPr>
          <w:rFonts w:ascii="IRNazanin" w:hAnsi="IRNazanin" w:eastAsia="IRNazanin"/>
          <w:color w:val="111111"/>
          <w:sz w:val="28"/>
          <w:sz w:val="28"/>
          <w:szCs w:val="28"/>
          <w:rtl w:val="true"/>
          <w:lang w:bidi="fa-IR"/>
        </w:rPr>
        <w:t>کون المراد مَن إمام الجمعة هو من یحسن الخطبة لا إمام الأصل ، ولا أقلّ من کونهم من أهل خبرة فهم الحدیث، المعتبر فهمهم کفهم سائر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أن المتبادر من لفظ الامام حیث یطلق ولم یضف إلی الجماعة هو المعصوم علیه السلام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تبادر المعصوم منه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فتصریح علماء اللغة</w:t>
      </w:r>
      <w:r>
        <w:rPr>
          <w:rStyle w:val="FootnoteAnchor"/>
          <w:rtl w:val="true"/>
        </w:rPr>
        <w:footnoteReference w:id="1573"/>
      </w:r>
      <w:r>
        <w:rPr>
          <w:rFonts w:ascii="IRNazanin" w:hAnsi="IRNazanin" w:eastAsia="IRNazanin"/>
          <w:color w:val="111111"/>
          <w:sz w:val="28"/>
          <w:sz w:val="28"/>
          <w:szCs w:val="28"/>
          <w:rtl w:val="true"/>
          <w:lang w:bidi="fa-IR"/>
        </w:rPr>
        <w:t>بأعمیّته من المعصوم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إطلاقه فی باب الجمعة کإطلاقه فی أحادیث الجماعة وصلاة الجنازة والاستسقاء والآیات، وکإطلاق الوالی والقاضی والحاکم فی سائر أبواب الفقه علی الأعمّ من المعصوم، وإلا لاختصّ بالمعصوم فی جمیع أبواب الاقتداء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الجماعة والجهاد والاستسقاء وأبواب الحدود والقضاء والافتاء، وغیر ذلک من مناصب الفقهاء والعدول التی لم یلتزم باختصاصها به أحد من الخصماء، والحال أنها فی المقتضی للاختصاص والمانع من التعمیم الو سلما سواء، إن لم تکن هی بالتخصیص من الجمعة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 القرائن و التصریحات الکثیرة فی نصوص</w:t>
      </w:r>
      <w:r>
        <w:rPr>
          <w:rStyle w:val="FootnoteAnchor"/>
          <w:rtl w:val="true"/>
        </w:rPr>
        <w:footnoteReference w:id="1575"/>
      </w:r>
      <w:r>
        <w:rPr>
          <w:rFonts w:ascii="IRNazanin" w:hAnsi="IRNazanin" w:eastAsia="IRNazanin"/>
          <w:color w:val="111111"/>
          <w:sz w:val="28"/>
          <w:sz w:val="28"/>
          <w:szCs w:val="28"/>
          <w:rtl w:val="true"/>
          <w:lang w:bidi="fa-IR"/>
        </w:rPr>
        <w:t xml:space="preserve">الباب علی تعمیم إمام الجمعة وعدم اختصاصه بالمعصوم، کما لا یخفی علی المنصف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إشارة إلی أن ندور وجود امام الجماعة ، مع عدم تمکّنه من الخطبة علی الوجه الموجب لانصراف اشتراطه إلی اشتراط العصمة فی الأمام، علی تقدیر تسلیمه إنما هو بالنسبة إلی هذا الزمان حیث بلغ فیه أکثر الأحکام إلی حد الضرورة غیر المختفیة علی أغلب الناس ، سیّما علی أئمّة جماعتهم، وأما بالنسبة إلی زمان المعصومین المختفی فیه أکثر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بالنسبة إلی عوام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یندر انفکاک وجوده عن معرفة الخطبة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وجوه من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الوجوه کلّها ضعیفة الدلالة علی انحصار إمام الجمعة فی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 فلأن اتّصاف امام الجمعة بالعلم والفقه والفضل زائداً علی ما یعتبر فی إمام الجماعة من العدالة ، علی تقدیر تسلیمه وعدم وروده مورد بیان الکامل أو الغالب، لا یلازم المدّعی وهو عصمة إمام الجمعة، بل یصدق علی کل من عرف أحکام الجمعة و آدابها وشرائطها من الخطبة ونحوها أنه عالم فقیه فاضل، خصوصاً بمعناها اللغوی والعرفی غیر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المشبه به وهو عصمة إمام العید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تشبیه الجمعة بالعید فی النصّ لیس فی الکیفیّة وهی الشرائط ، بل فی خصوص الکمیّة وهو عدد الرکعات، لکون التشبیه مسوقاً لبیانه ، ولکونه أظهر خواصّ المشبّه به ، فینصرف التشبیه إلیه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 فلان و جوب تخطّی الناس من بعد لا یدلّ علی کونها منصب شخص </w:t>
      </w:r>
    </w:p>
    <w:p>
      <w:pPr>
        <w:pStyle w:val="BookText"/>
        <w:rPr/>
      </w:pPr>
      <w:r>
        <w:rPr>
          <w:rFonts w:ascii="IRNazanin" w:hAnsi="IRNazanin" w:eastAsia="IRNazanin"/>
          <w:color w:val="111111"/>
          <w:sz w:val="28"/>
          <w:sz w:val="28"/>
          <w:szCs w:val="28"/>
          <w:rtl w:val="true"/>
          <w:lang w:bidi="fa-IR"/>
        </w:rPr>
        <w:t>خاص، بل لعلّه من جهة عدم جواز إقامة الجمعتین فی أقلّ من ثلاثة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وناهیک هذه الاجماعات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ناهیک بزید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تعجّب و استعظام ، و تأویلها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غایة تنهاک عن طلب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حاصل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هذه عن طلب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ظهور رجوعها إلی ما عدا الأحکام الواردة فی الخطبة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هذا الظهور قیام القرینة الخارجة علی وجوب الخطبة فکذا ما یعطف علیها ، اتّحاداً للنسق بین المعطوف والمعطوف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الاستناد به لذلک مناقشة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عرفته من تضمّنه کثیراً من المستحبّات، بحیث لا یمکن الاستناد إلیه لإثبات شیء من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لاطلاق الموثّقة</w:t>
      </w:r>
      <w:r>
        <w:rPr>
          <w:rFonts w:eastAsia="Amiri" w:cs="Amiri" w:ascii="Amiri" w:hAnsi="Amiri"/>
          <w:color w:val="111111"/>
          <w:sz w:val="28"/>
          <w:szCs w:val="28"/>
          <w:rtl w:val="true"/>
          <w:lang w:bidi="ar-SA"/>
        </w:rPr>
        <w:t>»</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اعتبار القراءة وعدمه فی الخطبة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احتماله التصحیف</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وقوع لفظة الجمعة مکان لفظة العید سهواً ، ثم صار ذلک سبباً لإیراد الصدوق الحدیث فی باب الجمعة، أو زعمه وروده فیه ، کما یظهر من بعض تصانیفه الأخر منها الهدایة </w:t>
      </w:r>
      <w:r>
        <w:rPr>
          <w:rStyle w:val="FootnoteAnchor"/>
          <w:rtl w:val="true"/>
        </w:rPr>
        <w:footnoteReference w:id="1577"/>
      </w:r>
      <w:r>
        <w:rPr>
          <w:rFonts w:ascii="IRNazanin" w:hAnsi="IRNazanin" w:eastAsia="IRNazanin"/>
          <w:color w:val="111111"/>
          <w:sz w:val="28"/>
          <w:sz w:val="28"/>
          <w:szCs w:val="28"/>
          <w:rtl w:val="true"/>
          <w:lang w:bidi="fa-IR"/>
        </w:rPr>
        <w:t xml:space="preserve">، وذلک لمّا ثبت و تقرّر أن الخطبة فی الجمعة قبل الصلاة، وقد مضت النصوص </w:t>
      </w:r>
      <w:r>
        <w:rPr>
          <w:rStyle w:val="FootnoteAnchor"/>
          <w:rtl w:val="true"/>
        </w:rPr>
        <w:footnoteReference w:id="1578"/>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إنما ورد حدیث عثمان فی العیدین مرتین، والأخبار کالقرآن یفسر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الوافی</w:t>
      </w:r>
      <w:r>
        <w:rPr>
          <w:rStyle w:val="FootnoteAnchor"/>
          <w:rtl w:val="true"/>
        </w:rPr>
        <w:footnoteReference w:id="157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905_24868"/>
      <w:bookmarkStart w:id="88" w:name="pg1905_24868"/>
      <w:bookmarkEnd w:id="8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pg1905_24868"/>
      <w:bookmarkStart w:id="90" w:name="__RefHeading___Toc3268789_3650668749"/>
      <w:bookmarkStart w:id="91" w:name="_Toc32"/>
      <w:bookmarkEnd w:id="89"/>
      <w:bookmarkEnd w:id="90"/>
      <w:r>
        <w:rPr>
          <w:rtl w:val="true"/>
        </w:rPr>
        <w:t>کتاب التجارة</w:t>
      </w:r>
      <w:bookmarkEnd w:id="9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ینتفع من المیتة بإهاب ولا 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بیان ضعفه و تقویة خلافه، بأن الأوفق لمشهور المتأخّرین، والأقوی والأشبه بأصالة البراءة والحلّ، وعموم القاعدة المستفادة من قوله فی روایة 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شیء یکون لهم فیه الصلاح من جهة من الجهات فذلک کلّه حلال</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 xml:space="preserve">، وروایة دعائم الاسلام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بیع کلّ ما یباح الانتفاع به</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 xml:space="preserve">، وإطلاق النصوص </w:t>
      </w:r>
      <w:r>
        <w:rPr>
          <w:rStyle w:val="FootnoteAnchor"/>
          <w:rtl w:val="true"/>
        </w:rPr>
        <w:footnoteReference w:id="1582"/>
      </w:r>
      <w:r>
        <w:rPr>
          <w:rFonts w:ascii="IRNazanin" w:hAnsi="IRNazanin" w:eastAsia="IRNazanin"/>
          <w:color w:val="111111"/>
          <w:sz w:val="28"/>
          <w:sz w:val="28"/>
          <w:szCs w:val="28"/>
          <w:rtl w:val="true"/>
          <w:lang w:bidi="fa-IR"/>
        </w:rPr>
        <w:t xml:space="preserve">المستفیضة المجوزة بیع المشتبه بالمیتة ممن یستحلّ المیتة، والمجوّزة للاستصباح ونحوه بالدهن المتنجس وبیعه للاستصباح ونحوه ، والمجوّزة للعمل والتخریز بشعر الخنزیر ، والاستقاء بحبل الخنزیر وجلوّد المیتة، وتحلیل الجبن من إنفحة المیتة ولبن ضرع المیتة ، وطهارة القرن والحافر والعظم والسنّ والریش والشعر والصوف والإنفحة واللبن والبیض من المیتة، واتفاق النصوص </w:t>
      </w:r>
      <w:r>
        <w:rPr>
          <w:rStyle w:val="FootnoteAnchor"/>
          <w:rtl w:val="true"/>
        </w:rPr>
        <w:footnoteReference w:id="1583"/>
      </w:r>
      <w:r>
        <w:rPr>
          <w:rFonts w:ascii="IRNazanin" w:hAnsi="IRNazanin" w:eastAsia="IRNazanin"/>
          <w:color w:val="111111"/>
          <w:sz w:val="28"/>
          <w:sz w:val="28"/>
          <w:szCs w:val="28"/>
          <w:rtl w:val="true"/>
          <w:lang w:bidi="fa-IR"/>
        </w:rPr>
        <w:t xml:space="preserve">والفتاوی المجوّزة بیع کلب الصید وثمنه بل وکلب الماشیة والحائط ، کاتّفاق النصوص </w:t>
      </w:r>
      <w:r>
        <w:rPr>
          <w:rStyle w:val="FootnoteAnchor"/>
          <w:rtl w:val="true"/>
        </w:rPr>
        <w:footnoteReference w:id="1584"/>
      </w:r>
      <w:r>
        <w:rPr>
          <w:rFonts w:ascii="IRNazanin" w:hAnsi="IRNazanin" w:eastAsia="IRNazanin"/>
          <w:color w:val="111111"/>
          <w:sz w:val="28"/>
          <w:sz w:val="28"/>
          <w:szCs w:val="28"/>
          <w:rtl w:val="true"/>
          <w:lang w:bidi="fa-IR"/>
        </w:rPr>
        <w:t>والفتاوی علی تقدیر الدیة لها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w:t>
      </w:r>
      <w:r>
        <w:rPr>
          <w:rStyle w:val="FootnoteAnchor"/>
          <w:rtl w:val="true"/>
        </w:rPr>
        <w:footnoteReference w:id="1585"/>
      </w:r>
      <w:r>
        <w:rPr>
          <w:rFonts w:ascii="IRNazanin" w:hAnsi="IRNazanin" w:eastAsia="IRNazanin"/>
          <w:color w:val="111111"/>
          <w:sz w:val="28"/>
          <w:sz w:val="28"/>
          <w:szCs w:val="28"/>
          <w:rtl w:val="true"/>
          <w:lang w:bidi="fa-IR"/>
        </w:rPr>
        <w:t xml:space="preserve">هو تخصیص العمومات المانعة من الانتفاع بها إن لم نقل بتخصصها فی نفسها بخصوص الانتفاعات الغالبة المتعارفة المعهودة الکلیّة النوعیّة ، کالأکل والشرب واللبس والإطعام والبیع علی النحو المقصود، ممّا یحلّ ویطهر ویطعم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بأصل عدم خیار الردّ والفسخ بالزنا، وبمفهوم الحصر والعدد ، لا یقاوم الاحتیاط فی أمر الفروج ، والمفهوم لا یقاوم منطوق النصوص </w:t>
      </w:r>
      <w:r>
        <w:rPr>
          <w:rStyle w:val="FootnoteAnchor"/>
          <w:rtl w:val="true"/>
        </w:rPr>
        <w:footnoteReference w:id="1586"/>
      </w:r>
      <w:r>
        <w:rPr>
          <w:rFonts w:ascii="Amiri" w:hAnsi="Amiri" w:eastAsia="Amiri" w:cs="Amiri"/>
          <w:color w:val="111111"/>
          <w:sz w:val="28"/>
          <w:sz w:val="28"/>
          <w:szCs w:val="28"/>
          <w:rtl w:val="true"/>
          <w:lang w:bidi="ar-SA"/>
        </w:rPr>
        <w:t>الأخر ، وترجیحها بمخالفة العامّة وموافقة الکتاب ،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1587"/>
      </w:r>
      <w:bookmarkStart w:id="92" w:name="pg1905_2487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3268791_3650668749"/>
      <w:bookmarkStart w:id="94" w:name="_Toc33"/>
      <w:bookmarkEnd w:id="92"/>
      <w:bookmarkEnd w:id="93"/>
      <w:r>
        <w:rPr>
          <w:rtl w:val="true"/>
        </w:rPr>
        <w:t>کتاب المواریث</w:t>
      </w:r>
      <w:bookmarkEnd w:id="9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جنایته علی بیت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ظاهره وإن کان الاختصاص بالدیة لا مطلق الارث ، وأن دیته للامام أعمّ من وجود وارث مسلم غیره ، لکن بقرینة اتّفاق النصوص والفتاوی یدفع ظهوره من جهة الاختصاص والعموم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النماء المتجّدد بعد الموت وقبل القسمة تابع للأصل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الأصل باقیاً علی ملک المیّت فالنماء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انتقل إلی ملک الورثة ولو متزلزلاً فیخرج بخروج الأصل ،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التوریث من الوارث الحی لا من المورثّ المیّت ، وکون مطلق الکفر مانعة لا استمراره إلی القسمة مانع ، وهو کما تری خلاف الظاهر ، ولم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ورود النصّ الصحیح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صراحة النصّ</w:t>
      </w:r>
      <w:r>
        <w:rPr>
          <w:rStyle w:val="FootnoteAnchor"/>
          <w:rtl w:val="true"/>
        </w:rPr>
        <w:footnoteReference w:id="1588"/>
      </w:r>
      <w:r>
        <w:rPr>
          <w:rFonts w:ascii="IRNazanin" w:hAnsi="IRNazanin" w:eastAsia="IRNazanin"/>
          <w:color w:val="111111"/>
          <w:sz w:val="28"/>
          <w:sz w:val="28"/>
          <w:szCs w:val="28"/>
          <w:rtl w:val="true"/>
          <w:lang w:bidi="fa-IR"/>
        </w:rPr>
        <w:t>نظر ، نظراً إلی أنه قضیّة فی واقعة لا صراحة فیها ولا عموم ، لاحتمال دفع الامام حقّه إلی من أسلّم لمصلحة خفیّة ، أو مزید لطف و تقریب طاعة و تنزیه العصمة عن التهمة ، لا استحقاق حقّ ، کما فی عرضه الاسلام علیهم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أبویه فی الاسلام والکفر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فالکفر التبعیّ کالکفر الأصلی ، لکن الاسلام المجازی لیس کالاسلام الحقیقی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أکثر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أنه وإن ضعّف مالک بن أعین بالاشتراک بین </w:t>
      </w:r>
    </w:p>
    <w:p>
      <w:pPr>
        <w:pStyle w:val="BookText"/>
        <w:rPr/>
      </w:pPr>
      <w:r>
        <w:rPr>
          <w:rFonts w:ascii="IRNazanin" w:hAnsi="IRNazanin" w:eastAsia="IRNazanin"/>
          <w:color w:val="111111"/>
          <w:sz w:val="28"/>
          <w:sz w:val="28"/>
          <w:szCs w:val="28"/>
          <w:rtl w:val="true"/>
          <w:lang w:bidi="fa-IR"/>
        </w:rPr>
        <w:t>عامّی مخالف مذموم ، وهو أخو زرارة ، وبین خاصّی ممدوح ثقة ، وهو الجهنی ، إلاّ أنّ تصریح المعظم</w:t>
      </w:r>
      <w:r>
        <w:rPr>
          <w:rStyle w:val="FootnoteAnchor"/>
          <w:rtl w:val="true"/>
        </w:rPr>
        <w:footnoteReference w:id="1589"/>
      </w:r>
      <w:r>
        <w:rPr>
          <w:rFonts w:ascii="IRNazanin" w:hAnsi="IRNazanin" w:eastAsia="IRNazanin"/>
          <w:color w:val="111111"/>
          <w:sz w:val="28"/>
          <w:sz w:val="28"/>
          <w:szCs w:val="28"/>
          <w:rtl w:val="true"/>
          <w:lang w:bidi="fa-IR"/>
        </w:rPr>
        <w:t xml:space="preserve">بصحّة روایته والفتوی به یخرجه عن الضعف والاشتراک ، ویعین کونه الثقة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محامل تطبیقه علی الأصول حمله علی الأحکام الواقعیّة السرّیّة ، وهو کون الیهود والنصاری فی الواقع ممالیک الامام ، وأموالهم فیء للاسلام والامام بذله لغیر المستحقّ علی وجه الاستحقاق الادعائی من باب المماشاة الظاهری وأذن خیر ، من باب اللطف المقرّب للطاعة والمبعّد عن المعصیة ، وإدخال أیتام النصرانی وأرحامه فی الاسلام طوعاً أو طمعاً ، ولله درّه من لطف خفی یدق خفاء عن فهم زکیّ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لأبویه نصرانیا 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إسلامه التبعیّ وان کان کالاسلام الأصلی یوجب سبقه الارتداد لا الکفر والاسترقاق ، لکن فی إیجابه ارتداده عن فطرة لا عن ملة حتی لا یستتاب بل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لأنها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نفی توریث القاتل الدیة فی الصحیحة</w:t>
      </w:r>
      <w:r>
        <w:rPr>
          <w:rStyle w:val="FootnoteAnchor"/>
          <w:rtl w:val="true"/>
        </w:rPr>
        <w:footnoteReference w:id="1590"/>
      </w:r>
      <w:r>
        <w:rPr>
          <w:rFonts w:ascii="IRNazanin" w:hAnsi="IRNazanin" w:eastAsia="IRNazanin"/>
          <w:color w:val="111111"/>
          <w:sz w:val="28"/>
          <w:sz w:val="28"/>
          <w:szCs w:val="28"/>
          <w:rtl w:val="true"/>
          <w:lang w:bidi="fa-IR"/>
        </w:rPr>
        <w:t xml:space="preserve">، وإن کان مطلقاً ، لکن یحتمل التقیید بالعمد أو شبه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نقف علی مَن فرق بین الخطأ المحض وشبه العمد فی توریث قتل الخطأ وعدم توریثه ، أو التفصیل بین توریث ماعدا الدیة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 علی الوجوب لیس محتملاً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احتمال التبرّع والاستحباب ، سیّما فی قضایا </w:t>
      </w:r>
    </w:p>
    <w:p>
      <w:pPr>
        <w:pStyle w:val="BookText"/>
        <w:rPr/>
      </w:pPr>
      <w:r>
        <w:rPr>
          <w:rFonts w:ascii="IRNazanin" w:hAnsi="IRNazanin" w:eastAsia="IRNazanin"/>
          <w:color w:val="111111"/>
          <w:sz w:val="28"/>
          <w:sz w:val="28"/>
          <w:szCs w:val="28"/>
          <w:rtl w:val="true"/>
          <w:lang w:bidi="fa-IR"/>
        </w:rPr>
        <w:t>الأحوال خالی من الإجمال ، ویقوی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ظاهر فی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إثبات الشیء وإن لم ینف ما عداه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مانعیّة العبودیة وإن لم ینف مانعیة الزوجیة فضلاً عن إثباتها ، لکن مانعیّة العبودیة لو لم تکن عند وجود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علاقة الزوجیّة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لغوأ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والفرق بین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توریث المبعّض ببعضه بنسبة الحریّة ونصیب حریته من ترکته لوارثه الحر خاصة علی الوجه الأول ، ومشترکة بینه وبین مالک الرقیّة علی الوجه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لاستحقاق مالک الرقیة نصیب الحریة بوجه من الوجوه ، لا بحق الإرثیة ، ولا بحق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وجه لاشتراک الوارث مع المالک فی نصیب الرقیة ، لا إرثأ ولا ملکاً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الشارح فی توجیهه فهو وهم فی مقابل النصّ ، بل لم یعرف قائل به ، سوی نسبته إلی بعض الناس ، وأظنّه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البنتین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أقرب رحمة من الأختین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ولأنهما لو لم یلحقا بما فوق للحقا بالواحدة ، ولغا قید الواحدة منطوقاً ومفهوماً ، بخلاف قید مافوق بلحوق ما عداه به پلغو مفهوم لا منطوقة ، وهو من المجاز وحسن البدیع فی متعارف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اعتبار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مجرد استحسان عقلی وقیاس ظنّی علی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علیه </w:t>
      </w:r>
    </w:p>
    <w:p>
      <w:pPr>
        <w:pStyle w:val="BookText"/>
        <w:rPr/>
      </w:pPr>
      <w:r>
        <w:rPr>
          <w:rFonts w:ascii="IRNazanin" w:hAnsi="IRNazanin" w:eastAsia="IRNazanin"/>
          <w:color w:val="111111"/>
          <w:sz w:val="28"/>
          <w:sz w:val="28"/>
          <w:szCs w:val="28"/>
          <w:rtl w:val="true"/>
          <w:lang w:bidi="fa-IR"/>
        </w:rPr>
        <w:t>الغرم کان له الغنم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غرم العاقلة دیة الخطأ یجبر بغنم الارث ، وغرم قضاء أکبر الأولاد ما فات عن أبیه الفائت یجبر باستحقاقه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الشارح من أنّه علی تقدیر اعتبار الجبر إنما یجبر النقص المعدم ، وأما النقص فیما نحن فیه فهو مجبور بشیء آخر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بفریضة دنیا بدلاً عن فریضة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النقص الوارد علی البنتین أیضاً وارد علی أحد الأبوین ، فلم یختص الجبر والردّ بالبنتین دون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بضمیمة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أنه لو اعتبر الضمیمة فی لحوق الرابعة، لاعتبر سائر الضمائم فی إلحاق الرحل والراحلة والکتب العلمیّة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حجب رقیّة الولد الوالدین و الزوجین عن کمال التصیب بحجب رقیّة الإخوة لهما قیاس ، ومع الفارق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یل و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إشکال حصول الإجماع مع مخالفة مثل الصدوق</w:t>
      </w:r>
      <w:r>
        <w:rPr>
          <w:rStyle w:val="FootnoteAnchor"/>
          <w:rtl w:val="true"/>
        </w:rPr>
        <w:footnoteReference w:id="1591"/>
      </w:r>
      <w:r>
        <w:rPr>
          <w:rFonts w:ascii="IRNazanin" w:hAnsi="IRNazanin" w:eastAsia="IRNazanin"/>
          <w:color w:val="111111"/>
          <w:sz w:val="28"/>
          <w:sz w:val="28"/>
          <w:szCs w:val="28"/>
          <w:rtl w:val="true"/>
          <w:lang w:bidi="fa-IR"/>
        </w:rPr>
        <w:t xml:space="preserve">والعمانی </w:t>
      </w:r>
      <w:r>
        <w:rPr>
          <w:rStyle w:val="FootnoteAnchor"/>
          <w:rtl w:val="true"/>
        </w:rPr>
        <w:footnoteReference w:id="1592"/>
      </w:r>
      <w:r>
        <w:rPr>
          <w:rFonts w:ascii="Amiri" w:hAnsi="Amiri" w:eastAsia="Amiri" w:cs="Amiri"/>
          <w:color w:val="111111"/>
          <w:sz w:val="28"/>
          <w:sz w:val="28"/>
          <w:szCs w:val="28"/>
          <w:rtl w:val="true"/>
          <w:lang w:bidi="ar-SA"/>
        </w:rPr>
        <w:t xml:space="preserve">من القدماء ، ومخالفة مثل العلامّة </w:t>
      </w:r>
      <w:r>
        <w:rPr>
          <w:rStyle w:val="FootnoteAnchor"/>
          <w:rtl w:val="true"/>
        </w:rPr>
        <w:footnoteReference w:id="1593"/>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شیء لما أکنّه البطن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کنه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نهایته</w:t>
      </w:r>
      <w:r>
        <w:rPr>
          <w:rStyle w:val="FootnoteAnchor"/>
          <w:rtl w:val="true"/>
        </w:rPr>
        <w:footnoteReference w:id="159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لانجبار ضعف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للأظهر لا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کلّهم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موتی عند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أخاک لأبیک وإن لم یکن أولی بک من أخیک الأمّک عند اجتماعه مع أخیک لأبویک ، حیث یرث الأخ الأمّی مع کلّ من الأبوینی أو الأبی ، ولا یرث الأخ الأبی مع الأبوینی ، إلا أن أولویتّه بک لا ینحصر فی احتمال اختصاصه بالردّ ، بل یکفی فی أولویتّه بک قیامه مقام الأبوینی عند فقد الأبوینی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حیث یسقط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إشکال کون الفرق بین النصّین </w:t>
      </w:r>
      <w:r>
        <w:rPr>
          <w:rStyle w:val="FootnoteAnchor"/>
          <w:rtl w:val="true"/>
        </w:rPr>
        <w:footnoteReference w:id="1595"/>
      </w:r>
      <w:r>
        <w:rPr>
          <w:rFonts w:ascii="IRNazanin" w:hAnsi="IRNazanin" w:eastAsia="IRNazanin"/>
          <w:color w:val="111111"/>
          <w:sz w:val="28"/>
          <w:sz w:val="28"/>
          <w:szCs w:val="28"/>
          <w:rtl w:val="true"/>
          <w:lang w:bidi="fa-IR"/>
        </w:rPr>
        <w:t>فارقاً فی عموم المنزلة وعدمه ، فإنه لو اقتضی تقیید النص عموم المنزلة لاقتضاه الإطلاق أیضاً، وإن لم یقتضه المطلق ولو بضمیمة الصوارف المتقدّمة من الشهرة وغیرها لم یقتضه المقیّد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منه موافقة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تنصیف المال بین العم وابن الأخ نقله عن یونس مشهور ، وإن نقل عن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المنقول بالتنصیف فغیر مشهور ، بل شاذّ غیر منقول إلا عن یونس ، علی تأمّل فی صحّة النقل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توجیهه بأن بین العمّ والمیّت ثلاث بطون ، وکذلک بین ابن الأخ وابن </w:t>
      </w:r>
    </w:p>
    <w:p>
      <w:pPr>
        <w:pStyle w:val="BookText"/>
        <w:rPr/>
      </w:pPr>
      <w:r>
        <w:rPr>
          <w:rFonts w:ascii="IRNazanin" w:hAnsi="IRNazanin" w:eastAsia="IRNazanin"/>
          <w:color w:val="111111"/>
          <w:sz w:val="28"/>
          <w:sz w:val="28"/>
          <w:szCs w:val="28"/>
          <w:rtl w:val="true"/>
          <w:lang w:bidi="fa-IR"/>
        </w:rPr>
        <w:t xml:space="preserve">المیّت ثلاث بطون ، وهما جمیعاً من طریق الأب ، یجعل المال بینهما نصفین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فغلط ، لأنّهما وإن کانا جمیعاً کما وصف ، إلا أن ابن الأخ من ولد الأخ، والعمّ من ولد الجدّ، وولد الأب أولی من ولد الجدّ وإن نزلوا ، کما أن ابن الابن أولی من الأخ ، لأن ابن الابن من ولد المیّت ، والأخ من ولد الأب ، وولد المیت أولی من ولد الأب ، وإن کان فی البطون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 المیّت وخاله أولی به من عمّ أبیه وخاله ، وهما أولی من عمّ جدّ المیّت وخاله ، کما أن جدّ الأدنی أولی من جد الأبعد ، وهکذا ترتیب الطبقات جمیعها علی قاعدة عموم 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 الْأَرْحَامِ بَعْضُهُمْ أَوْلَى بِبَعْضٍ</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فی تسلیم المخالفة من جهة إلحاق کلالة أعمام الأمّی بإخوة الأتی لیس بمجرد القیاس ، بل بعموم قاعدة أولویة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الأئمة عالیة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التأمّل فی أصل خبره فضلاً عن صحّته ، وفی تعلیله بأنه جمع الکلالتین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السببین لأن الأبعد من ذی السببین یبعد حجب الأقرب من ذی السبب الواحد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فی حجّیتها لأحد حتی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التأمّل إشارة إلی أن شهرة الفتاوی و الروایات إن بلغت حدّ الحجّیة کما هی کذلک ، فهی صریحة فی إطلاق حرمان الزوجة من الأراضی مطلقةاً، عیناً وقیمة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تبلغ مبلغ الحجّیة علی أصله الغیر الأصیل لم یصح الاستدلال بها علی المدّعی ، فضلاً عمّا لا دلالة فیه ، بل علی خلافه أدلّ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فینبغی الحکم فیه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حکمة منع صحّة العقد مشترکة الورود ، یقتضی المنع مطلقاً من الطرفین ، إذ کما یقتضی المنع من طرف الزوج لأجل توفیر إرثه علی ورثته ، کذلک المنع من طرف الزوجة یقتضی توفیر إرثها علی ورثتها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لا یستلزم خروج الأم 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خروج البنات یستلزم خروج الأمّ بالفحوی والأولویّة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لامتناع حصول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حرّیة الأولاد وإن کان تابعاً لحرّیة الأم، لکنّه انعتاق لا عتق حتی یتبعه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ظهور اختصاص الولاء بمن أعتق معارض بظهور اختصاص جز ولاء الحرة بحرّة الأصل لا المعتقة ، خصوصا علی ما تقدّم من المبسوط</w:t>
      </w:r>
      <w:r>
        <w:rPr>
          <w:rStyle w:val="FootnoteAnchor"/>
          <w:rtl w:val="true"/>
        </w:rPr>
        <w:footnoteReference w:id="1597"/>
      </w:r>
      <w:r>
        <w:rPr>
          <w:rFonts w:ascii="IRNazanin" w:hAnsi="IRNazanin" w:eastAsia="IRNazanin"/>
          <w:color w:val="111111"/>
          <w:sz w:val="28"/>
          <w:sz w:val="28"/>
          <w:szCs w:val="28"/>
          <w:rtl w:val="true"/>
          <w:lang w:bidi="fa-IR"/>
        </w:rPr>
        <w:t xml:space="preserve">وغیره من ثبوت ولاء أم الولد لورثة مولاها بعد انعتاقها من نصیب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لتخصیص الشارح الحرّة بالمعتقة ، بل الأولی تعمیمها وتعمیم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لولاء من انعتق علیه أحد قراباته قهراً ، کما عرفته عن المبسوط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وجود الفارق فیما عدا النفقة من سائر حقوق الزوجیّة ، من المضاجعة والمواقعة ، ودیة عزل النطفة ، وخیار فسخ النکاح بالعنن والخصاء والجبّ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علیه نصوص الکتاب والسنِة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فَتَذَرُوهَا كَالْمُعَلَّقَةِ</w:t>
      </w:r>
      <w:r>
        <w:rPr>
          <w:rFonts w:eastAsia="IRNazanin" w:cs="IRNazanin"/>
          <w:color w:val="111111"/>
          <w:sz w:val="28"/>
          <w:szCs w:val="28"/>
          <w:rtl w:val="true"/>
          <w:lang w:bidi="fa-IR"/>
        </w:rPr>
        <w:t>)</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لا تترک معطلّة</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النساء </w:t>
      </w:r>
    </w:p>
    <w:p>
      <w:pPr>
        <w:pStyle w:val="BookText"/>
        <w:rPr/>
      </w:pPr>
      <w:r>
        <w:rPr>
          <w:rFonts w:ascii="IRNazanin" w:hAnsi="IRNazanin" w:eastAsia="IRNazanin"/>
          <w:color w:val="111111"/>
          <w:sz w:val="28"/>
          <w:sz w:val="28"/>
          <w:szCs w:val="28"/>
          <w:rtl w:val="true"/>
          <w:lang w:bidi="fa-IR"/>
        </w:rPr>
        <w:t>الرجال</w:t>
      </w:r>
      <w:r>
        <w:rPr>
          <w:rStyle w:val="FootnoteAnchor"/>
          <w:rtl w:val="true"/>
        </w:rPr>
        <w:footnoteReference w:id="160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أکثر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أکثریّة زمان الخروج لا یستلزم أکثریة الخارج ، لکن یشمله إطلاق الأبعدّیة والانبعاث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فی القسمة بین القولین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الفریضة مرّة أو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إعطاء الخنثی نصفی میراثی الرجل والمرأة ، أو إعطاء کلّ من الخنثی و غیره نصفی النصیبین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القول الأوّل وإن استلزم الکسر لکن لا یستلزم النقص ، بخلاف القول الثانی ، فإنه لتحصیل عدد صحیح فی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یخلو عن نقص جزء من واحد ، وإن کان الأحوط إتمام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التأمّل إشارة إلی أن التوریث بین أخوین ذی الولد وعدیمه وإن کان خلاف الأصل ، لکن توریث الأبعد أبعد من الأصل والقاعدة ، خصوصاً علی القول بأن علّة التوارث مطلق الاشتباه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یتمّ الاستناد إلیه لإثبات المطلوب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التأمّل إشارة إلی أن عدم اطّراد علّة الحکم فی بعض أفراد موضوعه کما لا یقتضی عدم اطّراده مطلقة ، کذلک اطّراده فی بعض الأفراد لا یقتضی اطّراده مطلقاً ، إلا من باب التغلیب وإلحاق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من لوازم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التوریث بالنسب أو السبب الفاسد ، بل مطلق ترتیب أحکام الصحیح علی الفاسد والباطل ، من العقود والایقاعات والعقائد </w:t>
      </w:r>
    </w:p>
    <w:p>
      <w:pPr>
        <w:pStyle w:val="BookText"/>
        <w:rPr/>
      </w:pPr>
      <w:r>
        <w:rPr>
          <w:rFonts w:ascii="Amiri" w:hAnsi="Amiri" w:eastAsia="Amiri" w:cs="Amiri"/>
          <w:color w:val="111111"/>
          <w:sz w:val="28"/>
          <w:sz w:val="28"/>
          <w:szCs w:val="28"/>
          <w:rtl w:val="true"/>
          <w:lang w:bidi="ar-SA"/>
        </w:rPr>
        <w:t xml:space="preserve">والمذاهب الفاسدة والآراء الباطلة حتی قطع القطّاع، خلاف الأصول والقواعد المحکمة عند المخطّئة من أهل الصواب بالأدلّة الأربعة ، ضرورة بطلان التصویب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المخطیء فی أصول الدین غیر معذور ، وأن الکفار مکلفون بفروع الدین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إلزام الذّمی بالذمّة إذا التزم بشرائطها ، وإلزامهم بما التزموا به أنفسهم ممّا یضرّ بهم ، کقبول الجزیة والأموال الربویّة وثمن الخمر والخنزیر ، فإنما هو لیس من الأحکام الواقعیّة ، بل من باب المماشاة والمداراة ، وضرب من التقیّة والمصالح المدنیة ، کالأوامر الإرشادیة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w:t>
      </w:r>
      <w:r>
        <w:rPr>
          <w:rFonts w:eastAsia="Amiri" w:cs="Amiri" w:ascii="Amiri" w:hAnsi="Amiri"/>
          <w:color w:val="111111"/>
          <w:sz w:val="28"/>
          <w:szCs w:val="28"/>
          <w:rtl w:val="true"/>
          <w:lang w:bidi="ar-SA"/>
        </w:rPr>
        <w:t xml:space="preserve">) </w:t>
      </w:r>
      <w:r>
        <w:rPr>
          <w:rStyle w:val="FootnoteAnchor"/>
          <w:rtl w:val="true"/>
        </w:rPr>
        <w:footnoteReference w:id="160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05_24900"/>
      <w:bookmarkStart w:id="96" w:name="pg1905_24900"/>
      <w:bookmarkEnd w:id="9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pg1905_24900"/>
      <w:bookmarkStart w:id="98" w:name="__RefHeading___Toc3268793_3650668749"/>
      <w:bookmarkStart w:id="99" w:name="_Toc34"/>
      <w:bookmarkEnd w:id="97"/>
      <w:bookmarkEnd w:id="98"/>
      <w:r>
        <w:rPr>
          <w:rtl w:val="true"/>
        </w:rPr>
        <w:t>کتاب القضاء</w:t>
      </w:r>
      <w:bookmarkEnd w:id="9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خبر الوصیة إنما یدلّ علی أصل الإمهال لا علی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 الأخیر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احتمال التقیّة فی الخبر</w:t>
      </w:r>
      <w:r>
        <w:rPr>
          <w:rStyle w:val="FootnoteAnchor"/>
          <w:rtl w:val="true"/>
        </w:rPr>
        <w:footnoteReference w:id="1606"/>
      </w:r>
      <w:r>
        <w:rPr>
          <w:rFonts w:ascii="IRNazanin" w:hAnsi="IRNazanin" w:eastAsia="IRNazanin"/>
          <w:color w:val="111111"/>
          <w:sz w:val="28"/>
          <w:sz w:val="28"/>
          <w:szCs w:val="28"/>
          <w:rtl w:val="true"/>
          <w:lang w:bidi="fa-IR"/>
        </w:rPr>
        <w:t>بعید ، مع عدم المعارض له من</w:t>
      </w:r>
    </w:p>
    <w:p>
      <w:pPr>
        <w:pStyle w:val="BookText"/>
        <w:rPr/>
      </w:pPr>
      <w:r>
        <w:rPr>
          <w:rFonts w:ascii="IRNazanin" w:hAnsi="IRNazanin" w:eastAsia="IRNazanin"/>
          <w:color w:val="111111"/>
          <w:sz w:val="28"/>
          <w:sz w:val="28"/>
          <w:szCs w:val="28"/>
          <w:rtl w:val="true"/>
          <w:lang w:bidi="fa-IR"/>
        </w:rPr>
        <w:t>النصوص وفتوی الأصحاب ، خصوصاً مع شهرة العمل به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وإرادتهم ما هنا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احتمال المسامحة فی التعبیر ، بحذف مضاف أو إضمار أو مجاز ، وإن کان شائعة فی المحاورات إلا أنه فی الفتاوی الشرعیّة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خلاف الظاهر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الاتّفاق ، وخلاف الکتاب والسنّة ، بل وخلاف الأصل الأصیل ، وهو أصالة عدم الانتقال ، وبقاء الملک علی ملک مالکه الحقیقی وهو الله تعالی ، أو المجازی وهو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بعید عن ظاهر سیاق الروایة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سیاقها تخطئة شریح فی فعله وقضائه ، لا فی قوله وإطلاقه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عدم الاتّفاق إنما یحتمل فی أفعاله علیه السلام ، لا </w:t>
      </w:r>
    </w:p>
    <w:p>
      <w:pPr>
        <w:pStyle w:val="BookText"/>
        <w:rPr/>
      </w:pPr>
      <w:r>
        <w:rPr>
          <w:rFonts w:ascii="IRNazanin" w:hAnsi="IRNazanin" w:eastAsia="IRNazanin"/>
          <w:color w:val="111111"/>
          <w:sz w:val="28"/>
          <w:sz w:val="28"/>
          <w:szCs w:val="28"/>
          <w:rtl w:val="true"/>
          <w:lang w:bidi="fa-IR"/>
        </w:rPr>
        <w:t xml:space="preserve">فی أقواله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ما ذکره العلامة</w:t>
      </w:r>
      <w:r>
        <w:rPr>
          <w:rStyle w:val="FootnoteAnchor"/>
          <w:rtl w:val="true"/>
        </w:rPr>
        <w:footnoteReference w:id="1607"/>
      </w:r>
      <w:r>
        <w:rPr>
          <w:rFonts w:ascii="IRNazanin" w:hAnsi="IRNazanin" w:eastAsia="IRNazanin"/>
          <w:color w:val="111111"/>
          <w:sz w:val="28"/>
          <w:sz w:val="28"/>
          <w:szCs w:val="28"/>
          <w:rtl w:val="true"/>
          <w:lang w:bidi="fa-IR"/>
        </w:rPr>
        <w:t xml:space="preserve">والمجمع </w:t>
      </w:r>
      <w:r>
        <w:rPr>
          <w:rStyle w:val="FootnoteAnchor"/>
          <w:rtl w:val="true"/>
        </w:rPr>
        <w:footnoteReference w:id="1608"/>
      </w:r>
      <w:r>
        <w:rPr>
          <w:rFonts w:ascii="IRNazanin" w:hAnsi="IRNazanin" w:eastAsia="IRNazanin"/>
          <w:color w:val="111111"/>
          <w:sz w:val="28"/>
          <w:sz w:val="28"/>
          <w:szCs w:val="28"/>
          <w:rtl w:val="true"/>
          <w:lang w:bidi="fa-IR"/>
        </w:rPr>
        <w:t xml:space="preserve">من أنّ الّدین مطلق الحقوق الشامل العیّن والدّین ، بل الدین بالمعنی الأخصّ یحتمل الحمل علی التقیّة، الموافقة العامّة </w:t>
      </w:r>
      <w:r>
        <w:rPr>
          <w:rStyle w:val="FootnoteAnchor"/>
          <w:rtl w:val="true"/>
        </w:rPr>
        <w:footnoteReference w:id="1609"/>
      </w:r>
      <w:r>
        <w:rPr>
          <w:rFonts w:ascii="IRNazanin" w:hAnsi="IRNazanin" w:eastAsia="IRNazanin"/>
          <w:color w:val="111111"/>
          <w:sz w:val="28"/>
          <w:sz w:val="28"/>
          <w:szCs w:val="28"/>
          <w:rtl w:val="true"/>
          <w:lang w:bidi="fa-IR"/>
        </w:rPr>
        <w:t xml:space="preserve">، أو شموله العین بالفحوی والأولویة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والأصل فیه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فیه بعد الاجماع الأصل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ثبوت الحقّ بیمین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المتبادر من القضاء بالشاهد والیمین الیمین فی حقوق الناس لا حقوق الله ، کذلک المتبادر منه یمین المستحقّ لا غیر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من تأخر ، لأن غیر المستحقّ ماله ومقصوده المستحقّ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الفرق بأولویّة البیّنة من إقرار الحاکم ، لأولویّة إقرار العدلین من عدل وأحد ، أو العکس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إقرار الحاکم من شهادة البینة فی الإنفاذ ، لأنّ إخبار الحاکم بمنزلة إنشائه بقاعدة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إخبار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نوع إیماء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تقلیل المنع وإن کان المانع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یتمّ به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 العدم الأزلی من الأصول العملیة دلیل حیث لا دلیل ، ولیس من سنخ الأصول اللفظیة ، کأصالة الإطلاق والعموم وعدم التقیید والتخصص المتمّمة بالدلیل ، لأنها من سنخها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واشتراط 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الصیغة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 العقود والإیقاعات ومطلق الإنشاءات وأصول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حسم مادّة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من حسمه مادة النزاع حسمه فی الجملة لا بالجملة ، وحسمه فی زمان التوقیف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القریبة من عبارته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إلی أن الاحتیاج إلی الحاکم لا ینحصر فی الممتنع ، بل قد یحتاج إلیه فیما إذا کان الباذل سفیهاً أو مجنونة أو صغیراً أو محجوراً أو مملوکاً أو مرتدّاً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معارضة أصالة عدم وجوب کلفة إقامة البیّنة بأصالة عدم تعیین حقّ المدّعی بدون إذن الحاکم من غیر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إطلاق جواز تقاص الحق وأصالة عدم التقیید معارض بإطلاق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w:t>
      </w:r>
      <w:r>
        <w:rPr>
          <w:rStyle w:val="FootnoteAnchor"/>
          <w:rtl w:val="true"/>
        </w:rPr>
        <w:footnoteReference w:id="1610"/>
      </w:r>
      <w:r>
        <w:rPr>
          <w:rFonts w:ascii="IRNazanin" w:hAnsi="IRNazanin" w:eastAsia="IRNazanin"/>
          <w:color w:val="111111"/>
          <w:sz w:val="28"/>
          <w:sz w:val="28"/>
          <w:szCs w:val="28"/>
          <w:rtl w:val="true"/>
          <w:lang w:bidi="fa-IR"/>
        </w:rPr>
        <w:t xml:space="preserve">وأصالة عدم تخصیصه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الدعاء لجواز الحلف لا لجواز الأخذ</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الدعاء لجواز الحلف یقال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حلفت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ظهور هذا الخبر </w:t>
      </w:r>
      <w:r>
        <w:rPr>
          <w:rStyle w:val="FootnoteAnchor"/>
          <w:rtl w:val="true"/>
        </w:rPr>
        <w:footnoteReference w:id="1612"/>
      </w:r>
      <w:r>
        <w:rPr>
          <w:rFonts w:ascii="IRNazanin" w:hAnsi="IRNazanin" w:eastAsia="IRNazanin"/>
          <w:color w:val="111111"/>
          <w:sz w:val="28"/>
          <w:sz w:val="28"/>
          <w:szCs w:val="28"/>
          <w:rtl w:val="true"/>
          <w:lang w:bidi="fa-IR"/>
        </w:rPr>
        <w:t>فی اعتبار الدعاء لجواز الحلف ، لکن الأظهر حمله علی سائر الأخبار فی اعتبار الدعاء لجواز الأخذ، لأن الأخبار کالقرآن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خانک فلا تخنه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تقاصّ الحقّ حقّ لا یعدّ خیانة فی الواقع ، کما یشهد به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 أخذت خیانة</w:t>
      </w:r>
      <w:r>
        <w:rPr>
          <w:rFonts w:eastAsia="IRNazanin" w:cs="IRNazanin"/>
          <w:color w:val="111111"/>
          <w:sz w:val="28"/>
          <w:szCs w:val="28"/>
          <w:rtl w:val="true"/>
          <w:lang w:bidi="fa-IR"/>
        </w:rPr>
        <w:t>»</w:t>
      </w:r>
      <w:r>
        <w:rPr>
          <w:rStyle w:val="FootnoteAnchor"/>
          <w:rtl w:val="true"/>
        </w:rPr>
        <w:footnoteReference w:id="1613"/>
      </w:r>
      <w:r>
        <w:rPr>
          <w:rFonts w:ascii="Amiri" w:hAnsi="Amiri" w:eastAsia="Amiri" w:cs="Amiri"/>
          <w:color w:val="111111"/>
          <w:sz w:val="28"/>
          <w:sz w:val="28"/>
          <w:szCs w:val="28"/>
          <w:rtl w:val="true"/>
          <w:lang w:bidi="ar-SA"/>
        </w:rPr>
        <w:t xml:space="preserve">فالنهی عنه نهی إرشادیّ فی صورة التقیّة والتهمّة والفتنة ، کالنهی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إلها آخر حیث یسمعونکم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 بِغَيْرِ عِلْمٍ</w:t>
      </w:r>
      <w:r>
        <w:rPr>
          <w:rFonts w:eastAsia="Amiri" w:cs="Amiri" w:ascii="Amiri" w:hAnsi="Amiri"/>
          <w:color w:val="111111"/>
          <w:sz w:val="28"/>
          <w:szCs w:val="28"/>
          <w:rtl w:val="true"/>
          <w:lang w:bidi="ar-SA"/>
        </w:rPr>
        <w:t>)</w:t>
      </w:r>
      <w:r>
        <w:rPr>
          <w:rStyle w:val="FootnoteAnchor"/>
          <w:rtl w:val="true"/>
        </w:rPr>
        <w:footnoteReference w:id="1614"/>
      </w:r>
      <w:r>
        <w:rPr>
          <w:rFonts w:ascii="IRNazanin" w:hAnsi="IRNazanin" w:eastAsia="IRNazanin"/>
          <w:color w:val="111111"/>
          <w:sz w:val="28"/>
          <w:sz w:val="28"/>
          <w:szCs w:val="28"/>
          <w:rtl w:val="true"/>
          <w:lang w:bidi="fa-IR"/>
        </w:rPr>
        <w:t>فالنهی عن التجاهر لا السّر والخفیة ، فلا تعارض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نواهی</w:t>
      </w:r>
      <w:r>
        <w:rPr>
          <w:rStyle w:val="FootnoteAnchor"/>
          <w:rtl w:val="true"/>
        </w:rPr>
        <w:footnoteReference w:id="1615"/>
      </w:r>
      <w:r>
        <w:rPr>
          <w:rFonts w:ascii="IRNazanin" w:hAnsi="IRNazanin" w:eastAsia="IRNazanin"/>
          <w:color w:val="111111"/>
          <w:sz w:val="28"/>
          <w:sz w:val="28"/>
          <w:szCs w:val="28"/>
          <w:rtl w:val="true"/>
          <w:lang w:bidi="fa-IR"/>
        </w:rPr>
        <w:t>المنع عن اقتصاص الأمانة مخصّصة العمومات جواز الاقتصاص المطلق ، إلا أن یحمل النواهی علی الإرشاد والتقیّة والتحفّظ عن التهمة وإینار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 من المدّعی</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 بالمسلم ، فلا یجری فی غیر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وأعمّ منه ، الجریانه فی مدّعی الصحّة فیما یعارضه بدعوی الفساد ، وعدم جریانه فی مدّعی </w:t>
      </w:r>
    </w:p>
    <w:p>
      <w:pPr>
        <w:pStyle w:val="BookText"/>
        <w:rPr/>
      </w:pPr>
      <w:r>
        <w:rPr>
          <w:rFonts w:ascii="IRNazanin" w:hAnsi="IRNazanin" w:eastAsia="IRNazanin"/>
          <w:color w:val="111111"/>
          <w:sz w:val="28"/>
          <w:sz w:val="28"/>
          <w:szCs w:val="28"/>
          <w:rtl w:val="true"/>
          <w:lang w:bidi="fa-IR"/>
        </w:rPr>
        <w:t xml:space="preserve">اللقطة إذا صارت فی ید ضامن لا یدعیه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فحمل فعل المسلم علی الصحّة بالنسبة إلی الحامل ، أو بالنسبة إلی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الصحّة الفاعلیة فی الأصول العملیّة الغیر المنوطة بالظنّ ، بل الجاریة فی الشکّ بل الوهم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فعل أخیک علی أحسنه</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 xml:space="preserve">إلی آخر نصوص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الحاملیّة فهی من الأمارات الظنیة بالظنّ الفعلی ، لقوله علیه السلام فی جواب السائل عن الصلاة فی فرو العراقی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 علیه المسلمون فلا بأس</w:t>
      </w:r>
      <w:r>
        <w:rPr>
          <w:rFonts w:eastAsia="IRNazanin" w:cs="IRNazanin"/>
          <w:color w:val="111111"/>
          <w:sz w:val="28"/>
          <w:szCs w:val="28"/>
          <w:rtl w:val="true"/>
          <w:lang w:bidi="fa-IR"/>
        </w:rPr>
        <w:t>»</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اشتهر فتوی أبی حنیفة </w:t>
      </w:r>
      <w:r>
        <w:rPr>
          <w:rStyle w:val="FootnoteAnchor"/>
          <w:rtl w:val="true"/>
        </w:rPr>
        <w:footnoteReference w:id="1618"/>
      </w:r>
      <w:r>
        <w:rPr>
          <w:rFonts w:ascii="IRNazanin" w:hAnsi="IRNazanin" w:eastAsia="IRNazanin"/>
          <w:color w:val="111111"/>
          <w:sz w:val="28"/>
          <w:sz w:val="28"/>
          <w:szCs w:val="28"/>
          <w:rtl w:val="true"/>
          <w:lang w:bidi="fa-IR"/>
        </w:rPr>
        <w:t xml:space="preserve">أن الدباغة تطهّر جلد المیتة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فی فرو العراقی ، لأنهم یستحلون المیتة بالدباغة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النظر مخالفته لشیخ الطائفة </w:t>
      </w:r>
      <w:r>
        <w:rPr>
          <w:rStyle w:val="FootnoteAnchor"/>
          <w:rtl w:val="true"/>
        </w:rPr>
        <w:footnoteReference w:id="1620"/>
      </w:r>
      <w:r>
        <w:rPr>
          <w:rFonts w:ascii="IRNazanin" w:hAnsi="IRNazanin" w:eastAsia="IRNazanin"/>
          <w:color w:val="111111"/>
          <w:sz w:val="28"/>
          <w:sz w:val="28"/>
          <w:szCs w:val="28"/>
          <w:rtl w:val="true"/>
          <w:lang w:bidi="fa-IR"/>
        </w:rPr>
        <w:t>وللسیرة المستمرة علی إحضار المحکوم فی 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 xml:space="preserve">العشرة ، البحار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ولانصراف الغائب إلی الغائب عن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فمآل القولین واحد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للرجال للرجل ، وما للنساء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المقیّد ، بقضاء العرف والعادة ، کما فی النصوص</w:t>
      </w:r>
      <w:r>
        <w:rPr>
          <w:rStyle w:val="FootnoteAnchor"/>
          <w:rtl w:val="true"/>
        </w:rPr>
        <w:footnoteReference w:id="1622"/>
      </w:r>
      <w:r>
        <w:rPr>
          <w:rFonts w:ascii="Amiri" w:hAnsi="Amiri" w:eastAsia="Amiri" w:cs="Amiri"/>
          <w:color w:val="111111"/>
          <w:sz w:val="28"/>
          <w:sz w:val="28"/>
          <w:szCs w:val="28"/>
          <w:rtl w:val="true"/>
          <w:lang w:bidi="ar-SA"/>
        </w:rPr>
        <w:t>والمختلفة</w:t>
      </w:r>
      <w:r>
        <w:rPr>
          <w:rStyle w:val="FootnoteAnchor"/>
          <w:rtl w:val="true"/>
        </w:rPr>
        <w:footnoteReference w:id="1623"/>
      </w:r>
      <w:r>
        <w:rPr>
          <w:rFonts w:ascii="IRNazanin" w:hAnsi="IRNazanin" w:eastAsia="IRNazanin"/>
          <w:color w:val="111111"/>
          <w:sz w:val="28"/>
          <w:sz w:val="28"/>
          <w:szCs w:val="28"/>
          <w:rtl w:val="true"/>
          <w:lang w:bidi="fa-IR"/>
        </w:rPr>
        <w:t xml:space="preserve">، وإن کان </w:t>
      </w:r>
    </w:p>
    <w:p>
      <w:pPr>
        <w:pStyle w:val="BookText"/>
        <w:rPr/>
      </w:pPr>
      <w:r>
        <w:rPr>
          <w:rFonts w:ascii="IRNazanin" w:hAnsi="IRNazanin" w:eastAsia="IRNazanin"/>
          <w:color w:val="111111"/>
          <w:sz w:val="28"/>
          <w:sz w:val="28"/>
          <w:szCs w:val="28"/>
          <w:rtl w:val="true"/>
          <w:lang w:bidi="fa-IR"/>
        </w:rPr>
        <w:t>المعمول فی کتب الفتاوی عدم حمل المطلق علی المقیّد ، بل عدّهما قولین ، إلا أن بناء الشیخ والقدماء الفتوی بمتون النصوص المحمول مطلقها علی مقیّدها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المعلّل به فی النصوص بأن البینّة علی المدّعی لا المدّعی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بتریّ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البتریّة هم زبدیّة العامّة الذین دعوا إلی ولایة علیّ ثم خلطوها بولایة أبی بکر وعمر ، وکلّ من خرج بالسیف من 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والتأمّل إشارة إلی معارضة قول الکشّی</w:t>
      </w:r>
      <w:r>
        <w:rPr>
          <w:rStyle w:val="FootnoteAnchor"/>
          <w:rtl w:val="true"/>
        </w:rPr>
        <w:footnoteReference w:id="1624"/>
      </w:r>
      <w:r>
        <w:rPr>
          <w:rFonts w:ascii="IRNazanin" w:hAnsi="IRNazanin" w:eastAsia="IRNazanin"/>
          <w:color w:val="111111"/>
          <w:sz w:val="28"/>
          <w:sz w:val="28"/>
          <w:szCs w:val="28"/>
          <w:rtl w:val="true"/>
          <w:lang w:bidi="fa-IR"/>
        </w:rPr>
        <w:t xml:space="preserve">بأنه بترّی بقول النجاشیّ </w:t>
      </w:r>
      <w:r>
        <w:rPr>
          <w:rStyle w:val="FootnoteAnchor"/>
          <w:rtl w:val="true"/>
        </w:rPr>
        <w:footnoteReference w:id="1625"/>
      </w:r>
      <w:r>
        <w:rPr>
          <w:rFonts w:ascii="IRNazanin" w:hAnsi="IRNazanin" w:eastAsia="IRNazanin"/>
          <w:color w:val="111111"/>
          <w:sz w:val="28"/>
          <w:sz w:val="28"/>
          <w:szCs w:val="28"/>
          <w:rtl w:val="true"/>
          <w:lang w:bidi="fa-IR"/>
        </w:rPr>
        <w:t>إنه ثقة ، واحتمال أن الثقة غیر البتری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ممدوح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من وجوه أصحاب الحدیث مشهور ، کثیر العلم والحدیث والتصنیف ، وله تصانیف کثیرة ، وروی عنه الصفّار ، ولم یذکروا فی ضعفه شیئاً سوی ما فی العدّة</w:t>
      </w:r>
      <w:r>
        <w:rPr>
          <w:rStyle w:val="FootnoteAnchor"/>
          <w:rtl w:val="true"/>
        </w:rPr>
        <w:footnoteReference w:id="1626"/>
      </w:r>
      <w:r>
        <w:rPr>
          <w:rFonts w:ascii="IRNazanin" w:hAnsi="IRNazanin" w:eastAsia="IRNazanin"/>
          <w:color w:val="111111"/>
          <w:sz w:val="28"/>
          <w:sz w:val="28"/>
          <w:szCs w:val="28"/>
          <w:rtl w:val="true"/>
          <w:lang w:bidi="fa-IR"/>
        </w:rPr>
        <w:t>من أنه یشمّ من روایاته رائحة کونه عامیّاً ، إذ دیدنه عن جعفر عن أبیه ، وأنه من أجمعت الشیعة علی العمل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إمکان منع التنصیف بعد القرعة بالرجوع إلیها ، نظراًإلی أن القرعة وإن لم یکن مرجّحاً لإحدی البنتّین ، إلا أنه مرجع بعد تعارضهما وتساقطهما ، بعموم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Style w:val="FootnoteAnchor"/>
          <w:rtl w:val="true"/>
        </w:rPr>
        <w:footnoteReference w:id="1627"/>
      </w:r>
      <w:bookmarkStart w:id="100" w:name="pg1905_2490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268795_3650668749"/>
      <w:bookmarkStart w:id="102" w:name="_Toc35"/>
      <w:bookmarkEnd w:id="100"/>
      <w:bookmarkEnd w:id="101"/>
      <w:r>
        <w:rPr>
          <w:rtl w:val="true"/>
        </w:rPr>
        <w:t>کتاب الشهادات</w:t>
      </w:r>
      <w:bookmarkEnd w:id="10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المجنّی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حذر ضیاع حقّ المجنیّ علیه لا ینحصر فی إثبات حقّه علی المشهود علیه ، لوجود المندوحة لثبوته علی بیت المال ، کما فی کلّ مقتول لم یثبت قاتله جمعا بین الحقین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ضیاع الحق ، وعدم ثبوته علی المشهود علیه بشهادة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مفهومهما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منع مدخلیّة الاعتقاد فی مفهوم الألفاظ مطلقاً ، لا لغة ولا عرفاً ، کما قرر فی الأصول من أن الألفاظ موضوعة للمعانی الواقعیّة لا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مضافاًإلی أن الجهل فی الأحکام غیر معذور ، سیّما المخطیء فی أصول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قریب منها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اختاره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منع اختصاص مضمون الموثقّة بالعامّة ، لما مرّ من اختیار مضمونها فی النهایة</w:t>
      </w:r>
      <w:r>
        <w:rPr>
          <w:rStyle w:val="FootnoteAnchor"/>
          <w:rtl w:val="true"/>
        </w:rPr>
        <w:footnoteReference w:id="1629"/>
      </w:r>
      <w:r>
        <w:rPr>
          <w:rFonts w:ascii="IRNazanin" w:hAnsi="IRNazanin" w:eastAsia="IRNazanin"/>
          <w:color w:val="111111"/>
          <w:sz w:val="28"/>
          <w:sz w:val="28"/>
          <w:szCs w:val="28"/>
          <w:rtl w:val="true"/>
          <w:lang w:bidi="fa-IR"/>
        </w:rPr>
        <w:t>والمختلف</w:t>
      </w:r>
      <w:r>
        <w:rPr>
          <w:rStyle w:val="FootnoteAnchor"/>
          <w:rtl w:val="true"/>
        </w:rPr>
        <w:footnoteReference w:id="1630"/>
      </w:r>
      <w:r>
        <w:rPr>
          <w:rFonts w:ascii="IRNazanin" w:hAnsi="IRNazanin" w:eastAsia="IRNazanin"/>
          <w:color w:val="111111"/>
          <w:sz w:val="28"/>
          <w:sz w:val="28"/>
          <w:szCs w:val="28"/>
          <w:rtl w:val="true"/>
          <w:lang w:bidi="fa-IR"/>
        </w:rPr>
        <w:t>والتنقیح</w:t>
      </w:r>
      <w:r>
        <w:rPr>
          <w:rStyle w:val="FootnoteAnchor"/>
          <w:rtl w:val="true"/>
        </w:rPr>
        <w:footnoteReference w:id="1631"/>
      </w:r>
      <w:r>
        <w:rPr>
          <w:rFonts w:ascii="IRNazanin" w:hAnsi="IRNazanin" w:eastAsia="IRNazanin"/>
          <w:color w:val="111111"/>
          <w:sz w:val="28"/>
          <w:sz w:val="28"/>
          <w:szCs w:val="28"/>
          <w:rtl w:val="true"/>
          <w:lang w:bidi="fa-IR"/>
        </w:rPr>
        <w:t xml:space="preserve">، من الشیخ والعلامة </w:t>
      </w:r>
    </w:p>
    <w:p>
      <w:pPr>
        <w:pStyle w:val="BookText"/>
        <w:rPr/>
      </w:pPr>
      <w:r>
        <w:rPr>
          <w:rFonts w:ascii="IRNazanin" w:hAnsi="IRNazanin" w:eastAsia="IRNazanin"/>
          <w:color w:val="111111"/>
          <w:sz w:val="28"/>
          <w:sz w:val="28"/>
          <w:szCs w:val="28"/>
          <w:rtl w:val="true"/>
          <w:lang w:bidi="fa-IR"/>
        </w:rPr>
        <w:t xml:space="preserve">والفاضل المقداد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اختلافها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ویؤیّده القول بأن جمیع المعاصی کبائر بالنسبة ، وأن إضافة الکبائر إلیها من قبیل إضافة الشیء إلی جنسه وإضافة الموصوف إلی وصفه ، کخاتم فضّة ، وأن استثناء اللّمم منها استثناء منقطع ، وهو الذنب المغفور بسبب التوبة أو الکفّارة ، أو السهو أو النسیان ، أو الجهل أو الخطأ ، أو نیّة السوء وحدیث النفس وخطرات القلب ، کما هو ظاهر أخبار تفسیر اللممّ ودعائه علیه السلام فی الاعتراف بالتقصیر ، إلی غیر ذلک من نصوص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لضعف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 السند لو کان فهو مجبور بقبول الأصحاب ، ونقله فی الکافی</w:t>
      </w:r>
      <w:r>
        <w:rPr>
          <w:rStyle w:val="FootnoteAnchor"/>
          <w:rtl w:val="true"/>
        </w:rPr>
        <w:footnoteReference w:id="1632"/>
      </w:r>
      <w:r>
        <w:rPr>
          <w:rFonts w:ascii="IRNazanin" w:hAnsi="IRNazanin" w:eastAsia="IRNazanin"/>
          <w:color w:val="111111"/>
          <w:sz w:val="28"/>
          <w:sz w:val="28"/>
          <w:szCs w:val="28"/>
          <w:rtl w:val="true"/>
          <w:lang w:bidi="fa-IR"/>
        </w:rPr>
        <w:t xml:space="preserve">الذی هو أصع الکتب الأربعة والأصول الأربعمائة مضافاً إلی انجباره بالکتاب والسنّة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فی حسنة ابن أبی عمیر عن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یندم کان مصرّاً ، والمصرّ لا یغفر له ولا یشفع ، لأنه غیر مؤمن بعقوبة ما ارتکب</w:t>
      </w:r>
      <w:r>
        <w:rPr>
          <w:rFonts w:eastAsia="IRNazanin" w:cs="IRNazanin"/>
          <w:color w:val="111111"/>
          <w:sz w:val="28"/>
          <w:szCs w:val="28"/>
          <w:rtl w:val="true"/>
          <w:lang w:bidi="fa-IR"/>
        </w:rPr>
        <w:t>»</w:t>
      </w:r>
      <w:r>
        <w:rPr>
          <w:rStyle w:val="FootnoteAnchor"/>
          <w:rtl w:val="true"/>
        </w:rPr>
        <w:footnoteReference w:id="1634"/>
      </w:r>
      <w:r>
        <w:rPr>
          <w:rFonts w:ascii="IRNazanin" w:hAnsi="IRNazanin" w:eastAsia="IRNazanin"/>
          <w:color w:val="111111"/>
          <w:sz w:val="28"/>
          <w:sz w:val="28"/>
          <w:szCs w:val="28"/>
          <w:rtl w:val="true"/>
          <w:lang w:bidi="fa-IR"/>
        </w:rPr>
        <w:t xml:space="preserve">الخبر ، کما استند به علامة مشائخنا الأنصاری </w:t>
      </w:r>
      <w:r>
        <w:rPr>
          <w:rStyle w:val="FootnoteAnchor"/>
          <w:rtl w:val="true"/>
        </w:rPr>
        <w:footnoteReference w:id="1635"/>
      </w:r>
      <w:r>
        <w:rPr>
          <w:rFonts w:ascii="IRNazanin" w:hAnsi="IRNazanin" w:eastAsia="IRNazanin"/>
          <w:color w:val="111111"/>
          <w:sz w:val="28"/>
          <w:sz w:val="28"/>
          <w:szCs w:val="28"/>
          <w:rtl w:val="true"/>
          <w:lang w:bidi="fa-IR"/>
        </w:rPr>
        <w:t>فی رسالة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 عدم وجود عادل أصلاً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انفکاک الانسان إنما هو من الخطأ والسهو والنسیان المعفوّة بالغفران ، لا من العمد أو العصیان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أسامة فی الخیل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 أن جبران الخبر بالطریق الثالث بقرینة سیاقه الخاصّ به لا یوجب جبرانه بالطریقین الآخرین الحالیین عن ذلک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بذلک البعید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 فی بعده و وجوب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شذوذه وضعفه، و مخالفته الإجماع و السیرة ، وموافقة العامّة والتقیّة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الکتاب والسنّة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w:t>
      </w:r>
      <w:r>
        <w:rPr>
          <w:rFonts w:eastAsia="Amiri" w:cs="Amiri" w:ascii="Amiri" w:hAnsi="Amiri"/>
          <w:color w:val="111111"/>
          <w:sz w:val="28"/>
          <w:szCs w:val="28"/>
          <w:rtl w:val="true"/>
          <w:lang w:bidi="ar-SA"/>
        </w:rPr>
        <w:t>)</w:t>
      </w:r>
      <w:r>
        <w:rPr>
          <w:rStyle w:val="FootnoteAnchor"/>
          <w:rtl w:val="true"/>
        </w:rPr>
        <w:footnoteReference w:id="1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وفحوی دلیل حرمة صید اللهو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للمؤمن والملاهی ، إن المؤمن لفی شغل شاغل</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للنبوییّن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أعلنوا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دلالتهما وسندهما ضعف بالغایة ، ومنع بالنهایة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دلالتهما ، فلأنّهما یدلّان علی استحباب الدفّ ، بل علی وجوبه ، لمکان الأمر والفصل ، ولم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سندهما فلأنه بمکان من الضعف والشذوذ ، ومخالفة الکتاب والسنّة والشهرة والسیرة ، بل قبحه من مستقلّات العقل والنقل ، والمنکرات الفاحشة بالشرع والقطع ، وأنه من دأب الجاهلیّة ، ومفتریات العامّة ، المأخوذة من کتب</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العاها </w:t>
      </w:r>
    </w:p>
    <w:p>
      <w:pPr>
        <w:pStyle w:val="BookText"/>
        <w:rPr/>
      </w:pPr>
      <w:r>
        <w:rPr>
          <w:rFonts w:ascii="IRNazanin" w:hAnsi="IRNazanin" w:eastAsia="IRNazanin"/>
          <w:color w:val="111111"/>
          <w:sz w:val="28"/>
          <w:sz w:val="28"/>
          <w:szCs w:val="28"/>
          <w:rtl w:val="true"/>
          <w:lang w:bidi="fa-IR"/>
        </w:rPr>
        <w:t xml:space="preserve">ضلّال أهل الکتاب ودیدنهم ، الجاریة الساریة منهم إلی العامّة ومن العامّة إلی غفلة الخاصّة ، کفریتهم علی زبور داود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سبّحونی هلّلونی برقص وعود ومزمار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وفریتهم علی إنجیل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عیسی لا تکثرنّ شرب الماء ، واصنع خمراً أصلح لمعدتک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مفتریاتهم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لأجر المغنیة فی العرائس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w:t>
      </w:r>
      <w:r>
        <w:rPr>
          <w:rStyle w:val="FootnoteAnchor"/>
          <w:rtl w:val="true"/>
        </w:rPr>
        <w:footnoteReference w:id="1642"/>
      </w:r>
      <w:r>
        <w:rPr>
          <w:rFonts w:ascii="IRNazanin" w:hAnsi="IRNazanin" w:eastAsia="IRNazanin"/>
          <w:color w:val="111111"/>
          <w:sz w:val="28"/>
          <w:sz w:val="28"/>
          <w:szCs w:val="28"/>
          <w:rtl w:val="true"/>
          <w:lang w:bidi="fa-IR"/>
        </w:rPr>
        <w:t xml:space="preserve">أیضاً بمکان من الشذوذ ، والموافقة للعامّة والتقّیة، والمخالفة للکتاب والسنّة والشهرة روایة ودرایة کما لا یخفی علی الخبیر والبصیر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بحسب مقدار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مطلق الجعل لا یوجب التهمة ، إلا إذا کان کلیّة زائدة علی قدر التعب والزحمة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استحسنه العقل والشرع أن الردع عن الباطل إلی الحق من أعظم الحقوق لا العقوق ، ومن أفضل البر والإحسان لا الظلم والعدوان، کما فی النصوص </w:t>
      </w:r>
      <w:r>
        <w:rPr>
          <w:rStyle w:val="FootnoteAnchor"/>
          <w:rtl w:val="true"/>
        </w:rPr>
        <w:footnoteReference w:id="1643"/>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یدلّ علی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عمومات القبول قاطعة للأصول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امتناع اجتماع الأمر والنهی فی محلّ واحد مبنیّ علی القول بتعلّق الأوامر بالأفراد ، وأما علی ما هو المشهور والمنصور من </w:t>
      </w:r>
    </w:p>
    <w:p>
      <w:pPr>
        <w:pStyle w:val="BookText"/>
        <w:rPr/>
      </w:pPr>
      <w:r>
        <w:rPr>
          <w:rFonts w:ascii="IRNazanin" w:hAnsi="IRNazanin" w:eastAsia="IRNazanin"/>
          <w:color w:val="111111"/>
          <w:sz w:val="28"/>
          <w:sz w:val="28"/>
          <w:szCs w:val="28"/>
          <w:rtl w:val="true"/>
          <w:lang w:bidi="fa-IR"/>
        </w:rPr>
        <w:t>تعلّقها بالکلّیات فلا مانع ولا ممنوع من اجتماعها ، کما فی العبادات المکروهة من جهة الزمان أو المکان أو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الاشکال الوارد فی کراهة الشهادة مشترک الورود فی کراهة الإشهاد ، فلا مناص عن إشکال کراهة الشهادة بانصرافها إلی کراهة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عرف توبته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ضعف الدلالة بکونه قضیّة فی واقعة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علیها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الأشکال السابق فی أن کراهة الشهادة لا معنی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یملک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الشیء الدون والیسیر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یعبأ به فی مقام الإشهاد والشهادة ، کالدرهم والدرهمین ، لا ما لا یملک ، کحبّة حنطة فی الحقارة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دفع توهمّ کون الشهرة جابرة لضعف السند أو الدلالة، بأنها لیست شهرة روایتیّة حتی تجبر ضعف السند ، ولا عملیة حتی تجبر ضعف الدلالّة ، بل هی شهرة مضمونیّة أفتی المشهور بمضمونها من دون استناد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الفاضلین لا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احتمال استناد شهرة قبول شهادة المتبرّع فی حقوق الله إلی ما مر من الدّلیلین المضعّفین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بدلیل إجماع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قبول شهادتهنِ مع الرجال بإجماع الطائفة لعلّه قرینة کونه فی المالیة لا فی الرضاع المختلف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کما تری صریح فیما ذکرناه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هو عدم قبول شهادتهنِّ فی القصاص ، والغریب هو قبولها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هو محلّ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انصراف الرجال والنساء فی مقام الشهادة إلی الجنس دون عدد الأفراد ، وإلا فمدلول جمع الکثرة بطریق الحقیقة هو ما فوق العشرة ، کما أن مدلول جمع القلّة بطریق الحقیقة هو ثلاثة فما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ذکره من الأولویّة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قوّة انصراف العلم عرفاً وغالباً إلی الظنّ القوّی المتخم</w:t>
      </w:r>
      <w:r>
        <w:rPr>
          <w:rStyle w:val="FootnoteAnchor"/>
          <w:rtl w:val="true"/>
        </w:rPr>
        <w:footnoteReference w:id="1644"/>
      </w:r>
      <w:r>
        <w:rPr>
          <w:rFonts w:ascii="Amiri" w:hAnsi="Amiri" w:eastAsia="Amiri" w:cs="Amiri"/>
          <w:color w:val="111111"/>
          <w:sz w:val="28"/>
          <w:sz w:val="28"/>
          <w:szCs w:val="28"/>
          <w:rtl w:val="true"/>
          <w:lang w:bidi="ar-SA"/>
        </w:rPr>
        <w:t>للعلم ، إلا أنه إثبات الظنّ بالظنّ ، وهو 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وقوع الخلاف فی أصله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وجوب الإشهاد وتحمل الشهادة لیس أمرا تعبّدیاً کالصوم والصلاة حتی یحتمل فیه العینیة ، بل هو من التوسّلیات </w:t>
      </w:r>
      <w:r>
        <w:rPr>
          <w:rStyle w:val="FootnoteAnchor"/>
          <w:rtl w:val="true"/>
        </w:rPr>
        <w:footnoteReference w:id="1645"/>
      </w:r>
      <w:r>
        <w:rPr>
          <w:rFonts w:ascii="IRNazanin" w:hAnsi="IRNazanin" w:eastAsia="IRNazanin"/>
          <w:color w:val="111111"/>
          <w:sz w:val="28"/>
          <w:sz w:val="28"/>
          <w:szCs w:val="28"/>
          <w:rtl w:val="true"/>
          <w:lang w:bidi="fa-IR"/>
        </w:rPr>
        <w:t>، کدفن المیّت، الغرض منه معلوم الحصول بأیّ وجه اتّفق فی الکفائیّة ، فلا یحتمل التعبّد و العینیّة کما یحتمل فی التعبّدیّات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تظهر للشهود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الصحیحة </w:t>
      </w:r>
      <w:r>
        <w:rPr>
          <w:rStyle w:val="FootnoteAnchor"/>
          <w:rtl w:val="true"/>
        </w:rPr>
        <w:footnoteReference w:id="1646"/>
      </w:r>
      <w:r>
        <w:rPr>
          <w:rFonts w:ascii="IRNazanin" w:hAnsi="IRNazanin" w:eastAsia="IRNazanin"/>
          <w:color w:val="111111"/>
          <w:sz w:val="28"/>
          <w:sz w:val="28"/>
          <w:szCs w:val="28"/>
          <w:rtl w:val="true"/>
          <w:lang w:bidi="fa-IR"/>
        </w:rPr>
        <w:t>وإن کانت أصح سنداً من الخبر المجبور بالعمل ، إلا أن الخبر المجبور أظهر دلالة ، فلا یعارضه ظهور الصحیحة ، خصوصاً مع احتمالها للتقیة والشذوذ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لعموم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کلّاً من الاستفاضة والید المتعارضین وإن کانا دلیلین ظنیین علی الملک ، إلا أن عموم </w:t>
      </w:r>
      <w:r>
        <w:rPr>
          <w:rStyle w:val="FootnoteAnchor"/>
          <w:rtl w:val="true"/>
        </w:rPr>
        <w:footnoteReference w:id="1647"/>
      </w:r>
      <w:r>
        <w:rPr>
          <w:rFonts w:ascii="IRNazanin" w:hAnsi="IRNazanin" w:eastAsia="IRNazanin"/>
          <w:color w:val="111111"/>
          <w:sz w:val="28"/>
          <w:sz w:val="28"/>
          <w:szCs w:val="28"/>
          <w:rtl w:val="true"/>
          <w:lang w:bidi="fa-IR"/>
        </w:rPr>
        <w:t>دلیل الید من الأخبار المتقدّمة مرجحة لها عند التعارض ، بخلاف دلیل الاستفاضة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عینیة الوجوب مطلقاً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لزم من امتناعه بطلان الحقّ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الوجوب حینئذ کفائیّ اتّفاقا وإن 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عروض التعیین لا یقتضی العینیبة ، إذ قد یعرض غیر الواجب فضلا عن الواجب الکفائی ، بل الضرورة والتقیّة قد تعیّن المحذورات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ما ذکر منها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إشارة إلی أن اختلافهم فی الوجوب وعدمه یمکن حمله علی الاختلاف اللفظی ، بخلاف اختلاف الأخبار فی الوجوب وعدمه بین المستدعی وغیره ، فلا یحمل علی الاختلاف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فی الجملة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عموم النکرة فی سیاق نفی الخیر عن الإذلال لا یدلّ علی منع الشهادة ولا تحمّلها ، لا حرمته ولا کراهته بمجرّد خوف الشهادة ، ولا الیقین ردّها ، وإلا لجاز ترک الشهادة لغیر العادل برأی الحاکم ، بل وللعادل الواحد </w:t>
      </w:r>
    </w:p>
    <w:p>
      <w:pPr>
        <w:pStyle w:val="BookText"/>
        <w:rPr/>
      </w:pPr>
      <w:r>
        <w:rPr>
          <w:rFonts w:ascii="IRNazanin" w:hAnsi="IRNazanin" w:eastAsia="IRNazanin"/>
          <w:color w:val="111111"/>
          <w:sz w:val="28"/>
          <w:sz w:val="28"/>
          <w:szCs w:val="28"/>
          <w:rtl w:val="true"/>
          <w:lang w:bidi="fa-IR"/>
        </w:rPr>
        <w:t xml:space="preserve">فیما لا یکتفی به ، وذلک لأن مجرّد الردّ وعدم القبول لیس بإذلال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استلزم الردّ التکذیب والتوهین کان إذلالاً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 البدل مقام المبدل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البدل شهادة الفرع، والمبدل شهادة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شهادة رجلین علی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عموم الآیة</w:t>
      </w:r>
      <w:r>
        <w:rPr>
          <w:rStyle w:val="FootnoteAnchor"/>
          <w:rtl w:val="true"/>
        </w:rPr>
        <w:footnoteReference w:id="1648"/>
      </w:r>
      <w:r>
        <w:rPr>
          <w:rFonts w:ascii="IRNazanin" w:hAnsi="IRNazanin" w:eastAsia="IRNazanin"/>
          <w:color w:val="111111"/>
          <w:sz w:val="28"/>
          <w:sz w:val="28"/>
          <w:szCs w:val="28"/>
          <w:rtl w:val="true"/>
          <w:lang w:bidi="fa-IR"/>
        </w:rPr>
        <w:t>علی تقدیر العموم لا یقاوم المفهوم، لأن المفهوم أظهر من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بالحکم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الالتزام بحکم الشهادة لا الرجوع إنما هو فیما إذا کان الرجوع لشبهة لا تنقض أصالة صحة الشهادة ، کما هو المتیقّن المنصرف إلیه إطلاق نصوص</w:t>
      </w:r>
      <w:r>
        <w:rPr>
          <w:rStyle w:val="FootnoteAnchor"/>
          <w:rtl w:val="true"/>
        </w:rPr>
        <w:footnoteReference w:id="1649"/>
      </w:r>
      <w:r>
        <w:rPr>
          <w:rFonts w:ascii="IRNazanin" w:hAnsi="IRNazanin" w:eastAsia="IRNazanin"/>
          <w:color w:val="111111"/>
          <w:sz w:val="28"/>
          <w:sz w:val="28"/>
          <w:szCs w:val="28"/>
          <w:rtl w:val="true"/>
          <w:lang w:bidi="fa-IR"/>
        </w:rPr>
        <w:t xml:space="preserve">عدم نقض الحکم برجوع الشاهد ، وأما إذا کان الرجوع علی وجه الجزم والقطع ببطلان الشهادة وعدم الصدق والصحّة ، فلم یعلم الالتزام بإطلاق حکم الشهادة ، بل المعلوم نقض الحکم حینئذ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ثمرة</w:t>
      </w:r>
      <w:r>
        <w:rPr>
          <w:rStyle w:val="FootnoteAnchor"/>
          <w:rtl w:val="true"/>
        </w:rPr>
        <w:footnoteReference w:id="1650"/>
      </w:r>
      <w:r>
        <w:rPr>
          <w:rFonts w:ascii="IRNazanin" w:hAnsi="IRNazanin" w:eastAsia="IRNazanin"/>
          <w:color w:val="111111"/>
          <w:sz w:val="28"/>
          <w:sz w:val="28"/>
          <w:szCs w:val="28"/>
          <w:rtl w:val="true"/>
          <w:lang w:bidi="fa-IR"/>
        </w:rPr>
        <w:t>بین نقض الحکم والرجوع فی النماء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 فیها ما یخالف الأصول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إشکال الصحیحة </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 أحدهم إن کان إقراراً بالخطأ فلا یلزم أحدهم شیء ، لا قصاصاً ولا 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إقرار بالعمد لزم قصاص العامد ، ولا یلزم الباقین شیء لا قصاصة ولا دیة ، للأصل والقاعدة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تطبیقها علی الأصل والقاعدة حمل رجوع أحدهم علی العمد </w:t>
      </w:r>
    </w:p>
    <w:p>
      <w:pPr>
        <w:pStyle w:val="BookText"/>
        <w:rPr/>
      </w:pPr>
      <w:r>
        <w:rPr>
          <w:rFonts w:ascii="IRNazanin" w:hAnsi="IRNazanin" w:eastAsia="IRNazanin"/>
          <w:color w:val="111111"/>
          <w:sz w:val="28"/>
          <w:sz w:val="28"/>
          <w:szCs w:val="28"/>
          <w:rtl w:val="true"/>
          <w:lang w:bidi="fa-IR"/>
        </w:rPr>
        <w:t>والباقین علی الخطأ ، کما فی المختلف</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طرحنا الثانیة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أن تغیّرها الموجب للأخذ بالأولی وطرح الثانیة إنما هو فیما لو استند تغیّرها إلی تقصیر ، کتعمّد کذب أو شهادة زور أو خطأ غیر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استند إلی وهم أو قصور مغفور غیر مخلّ بالعدالة وقبول الشهادة ، فترجیح الأولی علی الثانیة ترجیح بلا مرجحّ ، بل ترجیح للمرجوح والوهم علی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الجزم </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905_24920"/>
      <w:bookmarkStart w:id="104" w:name="pg1905_24920"/>
      <w:bookmarkEnd w:id="10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pg1905_24920"/>
      <w:bookmarkStart w:id="106" w:name="__RefHeading___Toc3268797_3650668749"/>
      <w:bookmarkStart w:id="107" w:name="_Toc36"/>
      <w:bookmarkEnd w:id="105"/>
      <w:bookmarkEnd w:id="106"/>
      <w:r>
        <w:rPr>
          <w:rtl w:val="true"/>
        </w:rPr>
        <w:t>کتاب الحدودوالتعزیرات</w:t>
      </w:r>
      <w:bookmarkEnd w:id="10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الأصول الخمسة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القواعد</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الخمس هی التی لم یأت تشریع إلا بحفظها ، هی النفس والدین والعقل والنسب والمال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المهر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انصراف النصّ</w:t>
      </w:r>
      <w:r>
        <w:rPr>
          <w:rStyle w:val="FootnoteAnchor"/>
          <w:rtl w:val="true"/>
        </w:rPr>
        <w:footnoteReference w:id="1654"/>
      </w:r>
      <w:r>
        <w:rPr>
          <w:rFonts w:ascii="IRNazanin" w:hAnsi="IRNazanin" w:eastAsia="IRNazanin"/>
          <w:color w:val="111111"/>
          <w:sz w:val="28"/>
          <w:sz w:val="28"/>
          <w:szCs w:val="28"/>
          <w:rtl w:val="true"/>
          <w:lang w:bidi="fa-IR"/>
        </w:rPr>
        <w:t xml:space="preserve">والفتوی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من قیده بالفرج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المشهور والظهور والعموم والإطلاق 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الحدّ المقرّ به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یحتاج إلی صارف وجودیّ ، وعدم الإنهاء عدم صرف لا یصلح للقرینة ، بل الإنهاء وإن صلح لکنّه لیس بصریح فی التعیین ، إذ لعلّه لدفع ألم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وغایة الاسلام أن یکون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مقایسة الاسلام بالتوبة قیاس مع الفارق ، لأن الاسلام یجبّ ما قبله</w:t>
      </w:r>
      <w:r>
        <w:rPr>
          <w:rFonts w:eastAsia="IRNazanin" w:cs="IRNazanin"/>
          <w:color w:val="111111"/>
          <w:sz w:val="28"/>
          <w:szCs w:val="28"/>
          <w:rtl w:val="true"/>
          <w:lang w:bidi="fa-IR"/>
        </w:rPr>
        <w:t>»</w:t>
      </w:r>
      <w:r>
        <w:rPr>
          <w:rStyle w:val="FootnoteAnchor"/>
          <w:rtl w:val="true"/>
        </w:rPr>
        <w:footnoteReference w:id="1655"/>
      </w:r>
      <w:r>
        <w:rPr>
          <w:rFonts w:ascii="Amiri" w:hAnsi="Amiri" w:eastAsia="Amiri" w:cs="Amiri"/>
          <w:color w:val="111111"/>
          <w:sz w:val="28"/>
          <w:sz w:val="28"/>
          <w:szCs w:val="28"/>
          <w:rtl w:val="true"/>
          <w:lang w:bidi="ar-SA"/>
        </w:rPr>
        <w:t>، بخلاف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یعتبر الإحصان فی شیء من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بالمحرمة ، والمکرهة ، والذمّی بالمسلمة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زنی النصف من الرجال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نصِف بالکسر إذا کان أوسط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فی الحدیث الوسط بین حدیث السنّ والمسنّ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أشبههما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لترجیح خبر الجمع بالصحّة والشهرة ومخالفة العامّة ، کما یعضد خبر عدم الجمع بأصالة البراءة، وأصالة عدم تعدّد المسبب إلا بتعدّد الأسباب ، وعموم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ادروا الحدود بالشبهات</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تعطیل حدود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ضرر کلّ من تعجیل أو تعطیل حدّ الله وحکمیه وإن لم یعلم تفاوتهما فی الظاهر ، إلّا أن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أولویة التعطیل عند شبهة الدوران بینه وبین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الأظهر فی الآیة </w:t>
      </w:r>
      <w:r>
        <w:rPr>
          <w:rStyle w:val="FootnoteAnchor"/>
          <w:rtl w:val="true"/>
        </w:rPr>
        <w:footnoteReference w:id="1657"/>
      </w:r>
      <w:r>
        <w:rPr>
          <w:rFonts w:ascii="IRNazanin" w:hAnsi="IRNazanin" w:eastAsia="IRNazanin"/>
          <w:color w:val="111111"/>
          <w:sz w:val="28"/>
          <w:sz w:val="28"/>
          <w:szCs w:val="28"/>
          <w:rtl w:val="true"/>
          <w:lang w:bidi="fa-IR"/>
        </w:rPr>
        <w:t>و الروایة</w:t>
      </w:r>
      <w:r>
        <w:rPr>
          <w:rStyle w:val="FootnoteAnchor"/>
          <w:rtl w:val="true"/>
        </w:rPr>
        <w:footnoteReference w:id="1658"/>
      </w:r>
      <w:r>
        <w:rPr>
          <w:rFonts w:ascii="IRNazanin" w:hAnsi="IRNazanin" w:eastAsia="IRNazanin"/>
          <w:color w:val="111111"/>
          <w:sz w:val="28"/>
          <w:sz w:val="28"/>
          <w:szCs w:val="28"/>
          <w:rtl w:val="true"/>
          <w:lang w:bidi="fa-IR"/>
        </w:rPr>
        <w:t xml:space="preserve">، ومقتضی الدرایة من الکتاب والسنة ، عدم جواز إرجاع أهل الذمة إلی أباطیلهم وطواغیتهم المخالفة للعقل والنقل ، خصوصا بناء علی نصوص الصادقین علیهما السلام بخروجهم عن الذمة ، أو دخولهم فی ذمّة مَن لا ذمّة له إلا فی صورة التقیِة أو المصلحة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الماکس العشار ، ومنه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صاحب مکس الجنّة</w:t>
      </w:r>
      <w:r>
        <w:rPr>
          <w:rFonts w:eastAsia="IRNazanin" w:cs="IRNazanin"/>
          <w:color w:val="111111"/>
          <w:sz w:val="28"/>
          <w:szCs w:val="28"/>
          <w:rtl w:val="true"/>
          <w:lang w:bidi="fa-IR"/>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المماکسة فی البیع انتقاص الثمن و استحطاطه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العکس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أظهریّة العکس ، لأن النکرة فی سیاق النفی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یقیم الحدّ مَن علیه حدّ</w:t>
      </w:r>
      <w:r>
        <w:rPr>
          <w:rFonts w:eastAsia="Amiri" w:cs="Amiri" w:ascii="Amiri" w:hAnsi="Amiri"/>
          <w:color w:val="111111"/>
          <w:sz w:val="28"/>
          <w:szCs w:val="28"/>
          <w:rtl w:val="true"/>
          <w:lang w:bidi="ar-SA"/>
        </w:rPr>
        <w:t>»</w:t>
      </w:r>
      <w:r>
        <w:rPr>
          <w:rStyle w:val="FootnoteAnchor"/>
          <w:rtl w:val="true"/>
        </w:rPr>
        <w:footnoteReference w:id="1660"/>
      </w:r>
      <w:r>
        <w:rPr>
          <w:rFonts w:ascii="IRNazanin" w:hAnsi="IRNazanin" w:eastAsia="IRNazanin"/>
          <w:color w:val="111111"/>
          <w:sz w:val="28"/>
          <w:sz w:val="28"/>
          <w:szCs w:val="28"/>
          <w:rtl w:val="true"/>
          <w:lang w:bidi="fa-IR"/>
        </w:rPr>
        <w:t xml:space="preserve">أظهر فی العموم من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قامت البیّنة کان أوّل من برجمه البیّنة</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أو فی ظهور مفهوم الوصف فی نفی اللعان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نفی اللعان لا یستلزم قبول شهادته مع غیره ، إلا أن یوجّه الملازمة بالجمع بین الروایتین ، بحمل الأولی وهی روایة ابن النعیم عن الصادق 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أربعة شهدوا علی امرأة بالزنا أحدهم زوجها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 xml:space="preserve">بحملها علی ما لم یسبق من الزوج قذف الزوجة واختلال الشهادة ، وحمل الأخری علی ما سبق منه ذلک ، وهی روایة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أربعة شهدوا علی امرأة بالزنا أحدهم زوجها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 ویجلد الآخرون</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 من دعوی الظهور علی الإطلاق والتأیید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النظر فی الظهور والتأیید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زنیت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بقذفها بالزنا لا تصریح به ، لاحتمال الإکراه والشبهة ، إلاّ إذا انتفی احتماله بالأصل أو القطع ، وإلاّ فموجب التعریض دون التصریح التعزیر لا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التأمّل فإشارة إلی التأمّل فی ظهور فی الحدّ بین ذیل الصحیح وصدره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یدّعی تبادر التزویج</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خصوصاً بقرینة ترتّب الحدّ علیه وغلبة شهوة الوطء بعد العقد، فإن من البعید ترتّب الحدّ علی مجرّد العقد وعدم الوطء بعد العقد ، خصوصاً بناءً </w:t>
      </w:r>
    </w:p>
    <w:p>
      <w:pPr>
        <w:pStyle w:val="BookText"/>
        <w:rPr/>
      </w:pPr>
      <w:r>
        <w:rPr>
          <w:rFonts w:ascii="IRNazanin" w:hAnsi="IRNazanin" w:eastAsia="IRNazanin"/>
          <w:color w:val="111111"/>
          <w:sz w:val="28"/>
          <w:sz w:val="28"/>
          <w:szCs w:val="28"/>
          <w:rtl w:val="true"/>
          <w:lang w:bidi="fa-IR"/>
        </w:rPr>
        <w:t xml:space="preserve">علی صحّة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سرّ حکمة إطلاق النواهی ومصالحها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 مستنده فی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1664"/>
      </w:r>
      <w:r>
        <w:rPr>
          <w:rFonts w:ascii="IRNazanin" w:hAnsi="IRNazanin" w:eastAsia="IRNazanin"/>
          <w:color w:val="111111"/>
          <w:sz w:val="28"/>
          <w:sz w:val="28"/>
          <w:szCs w:val="28"/>
          <w:rtl w:val="true"/>
          <w:lang w:bidi="fa-IR"/>
        </w:rPr>
        <w:t xml:space="preserve">وجه النظر فی إطلاق الدفع إلی أهل الذمّة ما لم یراه الامام لا من المصلحة والتقیّة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یعترض به المنطوق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مفهوم کل من العددین وإن عارض منطوق الآخر ، إلا أنه بعد جبران ضعف دلالتهما کسندهما بعمل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الحمل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علی المستحلّ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استبعاد السؤال والجواب فی الخبر عن المستحلّ ، بل الأقرب حمله علی المجاز والمبالغة فی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الإیقاب هو الکفر،</w:t>
      </w:r>
      <w:r>
        <w:rPr>
          <w:rStyle w:val="FootnoteAnchor"/>
          <w:rtl w:val="true"/>
        </w:rPr>
        <w:footnoteReference w:id="1665"/>
      </w:r>
      <w:r>
        <w:rPr>
          <w:rFonts w:ascii="IRNazanin" w:hAnsi="IRNazanin" w:eastAsia="IRNazanin"/>
          <w:color w:val="111111"/>
          <w:sz w:val="28"/>
          <w:sz w:val="28"/>
          <w:szCs w:val="28"/>
          <w:rtl w:val="true"/>
          <w:lang w:bidi="fa-IR"/>
        </w:rPr>
        <w:t xml:space="preserve">مجاز ومبالغة ، کذلک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اللواط هو التفخیذ </w:t>
      </w:r>
      <w:r>
        <w:rPr>
          <w:rStyle w:val="FootnoteAnchor"/>
          <w:rtl w:val="true"/>
        </w:rPr>
        <w:footnoteReference w:id="1666"/>
      </w:r>
      <w:r>
        <w:rPr>
          <w:rFonts w:ascii="IRNazanin" w:hAnsi="IRNazanin" w:eastAsia="IRNazanin"/>
          <w:color w:val="111111"/>
          <w:sz w:val="28"/>
          <w:sz w:val="28"/>
          <w:szCs w:val="28"/>
          <w:rtl w:val="true"/>
          <w:lang w:bidi="fa-IR"/>
        </w:rPr>
        <w:t>مجاز ومبالغة ، ضرورة کونه حقیقة فی الإیقاب و مجازاً فی التفخیذ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ترک التقیید به ، أو التقیید بکون الفعل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الحدّ والتعزیر بکون الفعل محرّماً وإن لم یرد التقیید به فی أخبار </w:t>
      </w:r>
      <w:r>
        <w:rPr>
          <w:rStyle w:val="FootnoteAnchor"/>
          <w:rtl w:val="true"/>
        </w:rPr>
        <w:footnoteReference w:id="1667"/>
      </w:r>
      <w:r>
        <w:rPr>
          <w:rFonts w:ascii="IRNazanin" w:hAnsi="IRNazanin" w:eastAsia="IRNazanin"/>
          <w:color w:val="111111"/>
          <w:sz w:val="28"/>
          <w:sz w:val="28"/>
          <w:szCs w:val="28"/>
          <w:rtl w:val="true"/>
          <w:lang w:bidi="fa-IR"/>
        </w:rPr>
        <w:t xml:space="preserve">الباب ، إلا أنه کلّی جامع مستفاد من مجموع القیود الجزئیّة المقیّدة مطلقات الباب ، ومغنی عن التقیید بها تارة بالتجرّد ، وأخری بعدم الرحمیّة ، وثالثاً بعدم المحرمیّة ، ورابعاً بعدم الحاجز بینهما ، وخامساً بعدم الضرورة ، وسادساً بالتهمة بالزنیة والریبة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المناقشة فی الأولویّة بالمنع ، بل العکس ، بأن مطلق الرحمیّة </w:t>
      </w:r>
    </w:p>
    <w:p>
      <w:pPr>
        <w:pStyle w:val="BookText"/>
        <w:rPr/>
      </w:pPr>
      <w:r>
        <w:rPr>
          <w:rFonts w:ascii="IRNazanin" w:hAnsi="IRNazanin" w:eastAsia="IRNazanin"/>
          <w:color w:val="111111"/>
          <w:sz w:val="28"/>
          <w:sz w:val="28"/>
          <w:szCs w:val="28"/>
          <w:rtl w:val="true"/>
          <w:lang w:bidi="fa-IR"/>
        </w:rPr>
        <w:t xml:space="preserve">کما لا یوجب تجویز تجرّدهما تحت لحاف واحد ، کذلک مطلق تحریم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کالخلوة مع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النظر بشهوة وریبة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الحدّ والتعزیر وإن کان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یوجد فی کلام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دلالة المجتمعین الذکرین علی المجتمعین ذکراً وأنثی بالفحوی والأولویةّ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دلالة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ضعف السند أو الدلالة مجبور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الشمول ، لا قرینة علی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الإلحاق الاسمی والحکمی یظهر فی حرمة التناکح، و ثبوت التوارث ، وفی نفقة مدّة الحمل ، والاعتداد بالوضع إن تزوّجت بغیر صاحب النطفة ، وصیرورة الحاملة بالمساحقة أمّ ولد لو کانت جاریة صاحب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الخبر </w:t>
      </w:r>
      <w:r>
        <w:rPr>
          <w:rStyle w:val="FootnoteAnchor"/>
          <w:rtl w:val="true"/>
        </w:rPr>
        <w:footnoteReference w:id="1668"/>
      </w:r>
      <w:r>
        <w:rPr>
          <w:rFonts w:ascii="IRNazanin" w:hAnsi="IRNazanin" w:eastAsia="IRNazanin"/>
          <w:color w:val="111111"/>
          <w:sz w:val="28"/>
          <w:sz w:val="28"/>
          <w:szCs w:val="28"/>
          <w:rtl w:val="true"/>
          <w:lang w:bidi="fa-IR"/>
        </w:rPr>
        <w:t>ضعیف السند والدلالة ، بأن فی قذف الحرّة یجلد خمسین وفی الأمّة بلا شیء ، والمشهور فی الحرّة ثمانون وفی الأمة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یفرّق بینهما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التدبّر التدبّر فی أن القذف لیس بنفی الولد واللعان والتفریق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ظاهر سیاق المستثنی منه وعمومه نفی حدّ القذف ، وظاهر الاستثناء نفی حدّ الزنا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حرد وسباب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والراء والدال المهملات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والغضب وزناً ومعنئً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وخفّة الموحّدة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الشتام وزناًو معنیً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المؤمن فسوق ، وقتاله کفر،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المخالفة 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قصد الإیذاء والتعبیر ، کما لو قصد تحقیق الحق مجرد عن قصد الإیذاء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الاحتیاط فی الشبهات التحریمیّة الترک ، وأما فی الشبهة الوجوبیّة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فی الفعل ، کما هو ظاهر نصوص</w:t>
      </w:r>
      <w:r>
        <w:rPr>
          <w:rStyle w:val="FootnoteAnchor"/>
          <w:rtl w:val="true"/>
        </w:rPr>
        <w:footnoteReference w:id="1669"/>
      </w:r>
      <w:r>
        <w:rPr>
          <w:rFonts w:ascii="IRNazanin" w:hAnsi="IRNazanin" w:eastAsia="IRNazanin"/>
          <w:color w:val="111111"/>
          <w:sz w:val="28"/>
          <w:sz w:val="28"/>
          <w:szCs w:val="28"/>
          <w:rtl w:val="true"/>
          <w:lang w:bidi="fa-IR"/>
        </w:rPr>
        <w:t xml:space="preserve">وجوب التولّی للمؤمن والتبرّی من الفاسق والظالم ، وأن دفع المؤذی وهتک الهاتک و تفسیق الفاسق ، کتأمین المؤمن وتسلیم المسلم وتعدیل العادل ، من الواجبات ، سیّما إذا قصد النهی عن المنکر أو ذمّ الفعل لا الفاعل ، کما سئل هل الحب والبغض من الإیمان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الإیمان إلا الحب والبغض ؟</w:t>
      </w:r>
      <w:r>
        <w:rPr>
          <w:rFonts w:eastAsia="IRNazanin" w:cs="IRNazanin"/>
          <w:color w:val="111111"/>
          <w:sz w:val="28"/>
          <w:szCs w:val="28"/>
          <w:rtl w:val="true"/>
          <w:lang w:bidi="fa-IR"/>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المقام من مزالّ الأقدام ، ومن الله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تعزیر قاذف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التأمّل کون الفحوی قیاساً ، بل مع الفارق ، والفارق النصّ ، بل العکس</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نجر </w:t>
      </w:r>
      <w:r>
        <w:rPr>
          <w:rStyle w:val="FootnoteAnchor"/>
          <w:rtl w:val="true"/>
        </w:rPr>
        <w:footnoteReference w:id="1671"/>
      </w:r>
      <w:r>
        <w:rPr>
          <w:rFonts w:ascii="IRNazanin" w:hAnsi="IRNazanin" w:eastAsia="IRNazanin"/>
          <w:color w:val="111111"/>
          <w:sz w:val="28"/>
          <w:sz w:val="28"/>
          <w:szCs w:val="28"/>
          <w:rtl w:val="true"/>
          <w:lang w:bidi="fa-IR"/>
        </w:rPr>
        <w:t>عبدالله بن النجاشی</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الخبر</w:t>
      </w:r>
      <w:r>
        <w:rPr>
          <w:rStyle w:val="FootnoteAnchor"/>
          <w:rtl w:val="true"/>
        </w:rPr>
        <w:footnoteReference w:id="1672"/>
      </w:r>
      <w:r>
        <w:rPr>
          <w:rFonts w:ascii="IRNazanin" w:hAnsi="IRNazanin" w:eastAsia="IRNazanin"/>
          <w:color w:val="111111"/>
          <w:sz w:val="28"/>
          <w:sz w:val="28"/>
          <w:szCs w:val="28"/>
          <w:rtl w:val="true"/>
          <w:lang w:bidi="fa-IR"/>
        </w:rPr>
        <w:t xml:space="preserve">لا یخلو من قصور السند عن الحجّیة بعمّار السجستانی ، لأنه فی عداد المجاهیل ، وبعبدالله بن النجاشی ، لکونه علی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الزیدیة ، ومن قصور الدلالة ، لاحتمال اعتبار الاذن علی ضرب من الندب ، أو باحتمال أن یکون القتل بأمر الإمام مالی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 الإمام لا لا برأی الزیدیة ، فلم یدلّ علی اشتراط إذنه الخاصّ ، بل یکتفی بإذنه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کون السؤال عن القتل السابق الّذی کان السائل فیه علی رأی الزیدیة ، معترفاً بعد السؤال عن الصادق علیه السلام بأنیّ کنت علی باطل ، کما فی رجال منتهی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 مضافاً إلی قصور الخبر سنداً ودلالة قاصر عن معارضة ما تقدم، فضلاّ عن الترجیح ، لعدّم جابر له ، فلابد من طرحه أو حمله علی ضرب من الندب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فستهم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جریان حکم المرتد غیر وجوب قتله علی السامع علی کل حال وإن 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تضاعف الجلد لا یستلزم الارتداد ، فضلاً عن القتل علی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حمل الأمر علی الاستحباب وإن کان خلاف الأظهر والأحوط ، إلا أنه أوفق بالأصل والأشهر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ناسب الزنا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کالسحق والمساحقة ، ووطء البهائم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ناسب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کالتعریض بالقذف ، والتنابز بالألقاب ، والتعبیر ، والسبّ والشتم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مراتب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أن منصرف التعزیر وإن أختصّ بالضرب إلا أن تعمیمه المراتب الإنکار قد یستفاد من عموم نصوص</w:t>
      </w:r>
      <w:r>
        <w:rPr>
          <w:rStyle w:val="FootnoteAnchor"/>
          <w:rtl w:val="true"/>
        </w:rPr>
        <w:footnoteReference w:id="1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حدّ، ولمن تجاوز الحدّ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یحصل معه اختلال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یختصّ باختلال الکلام ، بل یعمّ فساده اختلال جمیع الأعضاء والجوارح ، من العقل والدرک والإدراک والحسّ والإحساس من الحواسّ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السرّ المکتوم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الشرّ بالشین المعجمة لا المهملة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المعدوم والسمّ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ویحصل معه سرور وقوّة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یحصل معه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لا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وفتور وکسور وغرور و فجور ، کما ورد فی أخبار المستدرکات </w:t>
      </w:r>
      <w:r>
        <w:rPr>
          <w:rStyle w:val="FootnoteAnchor"/>
          <w:rtl w:val="true"/>
        </w:rPr>
        <w:footnoteReference w:id="16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یلاعبه ویفجر به ویلوط به ، فإذا أصبح فلیغتسل غسل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وقوّة النفس</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وقسوة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من محکمات الکتاب والسنّة والعقل والاجماع والضرورة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السکر والمسکر إنما هو فساد العقل وزواله ، وتخمیره وجنونه ، وغروره وشروره، وأنه یورث الدیاثة والقساوة ، والسفاح به وبمحارمه ، وأنه یورث الأبنة والرعشة ، ویذهب بالغیرة والحیاء والعفّة ، ولا یسکن داؤه إلا بملاعبة الشیطان، ویلوط به أی لواط ، وخباط وضراط ، وخراط أیّ خراط ، أشدّ من ضرب السیاط علی المضراط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قلنا بتحریمهما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التداوی بالخمر لرفع مرض أو دفع مرض أو عطش أو وجع أو کره أو اضطرار وإن توهّم عدم حدّه ، بل وعدم تحریمه ، للأصل ، وعدم إطلاق الشرب علیه ، ولعموم حدیث</w:t>
      </w:r>
      <w:r>
        <w:rPr>
          <w:rStyle w:val="FootnoteAnchor"/>
          <w:rtl w:val="true"/>
        </w:rPr>
        <w:footnoteReference w:id="1675"/>
      </w:r>
      <w:r>
        <w:rPr>
          <w:rFonts w:ascii="IRNazanin" w:hAnsi="IRNazanin" w:eastAsia="IRNazanin"/>
          <w:color w:val="111111"/>
          <w:sz w:val="28"/>
          <w:sz w:val="28"/>
          <w:szCs w:val="28"/>
          <w:rtl w:val="true"/>
          <w:lang w:bidi="fa-IR"/>
        </w:rPr>
        <w:t xml:space="preserve">الرفع عمّا أکره وما اضطر، ولکنّه اجتهاد فی مقابل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دلیل حیث لا دلیل ، والدلیل علی تحریم التداوی بالنبیذ بل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إطلاق الأدلّة وعمومها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النصوص المستفیضة بل المتواترة فی الوسائل </w:t>
      </w:r>
      <w:r>
        <w:rPr>
          <w:rStyle w:val="FootnoteAnchor"/>
          <w:rtl w:val="true"/>
        </w:rPr>
        <w:footnoteReference w:id="1676"/>
      </w:r>
      <w:r>
        <w:rPr>
          <w:rFonts w:ascii="IRNazanin" w:hAnsi="IRNazanin" w:eastAsia="IRNazanin"/>
          <w:color w:val="111111"/>
          <w:sz w:val="28"/>
          <w:sz w:val="28"/>
          <w:szCs w:val="28"/>
          <w:rtl w:val="true"/>
          <w:lang w:bidi="fa-IR"/>
        </w:rPr>
        <w:t>ومستدرکاته</w:t>
      </w:r>
      <w:r>
        <w:rPr>
          <w:rStyle w:val="FootnoteAnchor"/>
          <w:rtl w:val="true"/>
        </w:rPr>
        <w:footnoteReference w:id="1677"/>
      </w:r>
      <w:r>
        <w:rPr>
          <w:rFonts w:ascii="IRNazanin" w:hAnsi="IRNazanin" w:eastAsia="IRNazanin"/>
          <w:color w:val="111111"/>
          <w:sz w:val="28"/>
          <w:sz w:val="28"/>
          <w:szCs w:val="28"/>
          <w:rtl w:val="true"/>
          <w:lang w:bidi="fa-IR"/>
        </w:rPr>
        <w:t xml:space="preserve">، منها قوله فیما وصفه الأطباء من الأدویة المعجونة بالنبیذ والخمر حتی الاکتحال بها ،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یجعل فی شیء ممّا حرّم دواء ولا شفاءً</w:t>
      </w:r>
      <w:r>
        <w:rPr>
          <w:rFonts w:eastAsia="IRNazanin" w:cs="IRNazanin"/>
          <w:color w:val="111111"/>
          <w:sz w:val="28"/>
          <w:szCs w:val="28"/>
          <w:rtl w:val="true"/>
          <w:lang w:bidi="fa-IR"/>
        </w:rPr>
        <w:t xml:space="preserve">»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للمسلم أن ینظر إلیه فکیف یتداوی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بمنزلة شحم الخنزیر ، فلا شفی الله أحداً شفاه خمر أو شحم خنزیر</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الرضا علیه السلام فی کتابه إلی 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المضطر لا یشرب الخمر ولا </w:t>
      </w:r>
    </w:p>
    <w:p>
      <w:pPr>
        <w:pStyle w:val="BookText"/>
        <w:rPr/>
      </w:pPr>
      <w:r>
        <w:rPr>
          <w:rFonts w:ascii="IRNazanin" w:hAnsi="IRNazanin" w:eastAsia="IRNazanin"/>
          <w:color w:val="111111"/>
          <w:sz w:val="28"/>
          <w:sz w:val="28"/>
          <w:szCs w:val="28"/>
          <w:rtl w:val="true"/>
          <w:lang w:bidi="fa-IR"/>
        </w:rPr>
        <w:t>قطرة ، لأنه لا یزیده إلا شرّاً وعطشأ ، ولأنه إن شربها قتلته</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ومنها ما عن الصادق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ترک شرب النبیذ تقیة</w:t>
      </w:r>
      <w:r>
        <w:rPr>
          <w:rStyle w:val="FootnoteAnchor"/>
          <w:rtl w:val="true"/>
        </w:rPr>
        <w:footnoteReference w:id="1681"/>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صاحب الجواهر </w:t>
      </w:r>
      <w:r>
        <w:rPr>
          <w:rStyle w:val="FootnoteAnchor"/>
          <w:rtl w:val="true"/>
        </w:rPr>
        <w:footnoteReference w:id="1682"/>
      </w:r>
      <w:r>
        <w:rPr>
          <w:rFonts w:ascii="IRNazanin" w:hAnsi="IRNazanin" w:eastAsia="IRNazanin"/>
          <w:color w:val="111111"/>
          <w:sz w:val="28"/>
          <w:sz w:val="28"/>
          <w:szCs w:val="28"/>
          <w:rtl w:val="true"/>
          <w:lang w:bidi="fa-IR"/>
        </w:rPr>
        <w:t xml:space="preserve">حیث خصّص عموم نفی التقنیة فی ترک شرب النبیذ بنفی التقیّة عن حکمها لا عن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آب عن التخصیص ، سیّما التخصیص بالقول ، والأهمّ الفعل ، بل فی المستفیضة</w:t>
      </w:r>
      <w:r>
        <w:rPr>
          <w:rStyle w:val="FootnoteAnchor"/>
          <w:rtl w:val="true"/>
        </w:rPr>
        <w:footnoteReference w:id="1683"/>
      </w:r>
      <w:r>
        <w:rPr>
          <w:rFonts w:ascii="IRNazanin" w:hAnsi="IRNazanin" w:eastAsia="IRNazanin"/>
          <w:color w:val="111111"/>
          <w:sz w:val="28"/>
          <w:sz w:val="28"/>
          <w:szCs w:val="28"/>
          <w:rtl w:val="true"/>
          <w:lang w:bidi="fa-IR"/>
        </w:rPr>
        <w:t xml:space="preserve">حرمة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بالخمر والمسکر صبیّاً ، ولا مملوکاً ، ولا کافراً ، ولا یهودیّاً ، ولا نصرانیّاً ، ولا بهیمة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والاثم علی مَن سقاها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سقاها کان علیه کوزر من شربها</w:t>
      </w:r>
      <w:r>
        <w:rPr>
          <w:rFonts w:eastAsia="IRNazanin" w:cs="IRNazanin"/>
          <w:color w:val="111111"/>
          <w:sz w:val="28"/>
          <w:szCs w:val="28"/>
          <w:rtl w:val="true"/>
          <w:lang w:bidi="fa-IR"/>
        </w:rPr>
        <w:t xml:space="preserve">» </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حقّاً علی الله أن یسقیه من طینة الخبال ، ومن صدید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 بعذّر ممّا أتی ، ولن یأتی أبداً، یفعل به ذلک مغفوراًله أو معذّباً </w:t>
      </w:r>
      <w:r>
        <w:rPr>
          <w:rStyle w:val="FootnoteAnchor"/>
          <w:rtl w:val="true"/>
        </w:rPr>
        <w:footnoteReference w:id="1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لمن سقی الأطفال والبهائم والکفّار ، فکیف لشاربها والمعالج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وجهه وفرجه و مقاتله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بعض</w:t>
      </w:r>
      <w:r>
        <w:rPr>
          <w:rStyle w:val="FootnoteAnchor"/>
          <w:rtl w:val="true"/>
        </w:rPr>
        <w:footnoteReference w:id="1686"/>
      </w:r>
      <w:r>
        <w:rPr>
          <w:rFonts w:ascii="IRNazanin" w:hAnsi="IRNazanin" w:eastAsia="IRNazanin"/>
          <w:color w:val="111111"/>
          <w:sz w:val="28"/>
          <w:sz w:val="28"/>
          <w:szCs w:val="28"/>
          <w:rtl w:val="true"/>
          <w:lang w:bidi="fa-IR"/>
        </w:rPr>
        <w:t xml:space="preserve">النصوص الرجم والضرب لا یصیبان الوجه، وفی بعضها </w:t>
      </w:r>
      <w:r>
        <w:rPr>
          <w:rStyle w:val="FootnoteAnchor"/>
          <w:rtl w:val="true"/>
        </w:rPr>
        <w:footnoteReference w:id="1687"/>
      </w:r>
      <w:r>
        <w:rPr>
          <w:rFonts w:ascii="IRNazanin" w:hAnsi="IRNazanin" w:eastAsia="IRNazanin"/>
          <w:color w:val="111111"/>
          <w:sz w:val="28"/>
          <w:sz w:val="28"/>
          <w:szCs w:val="28"/>
          <w:rtl w:val="true"/>
          <w:lang w:bidi="fa-IR"/>
        </w:rPr>
        <w:t xml:space="preserve">یضرب کلّ عضو ویترک الوجه والمذاکیر ، وفی بعضها </w:t>
      </w:r>
      <w:r>
        <w:rPr>
          <w:rStyle w:val="FootnoteAnchor"/>
          <w:rtl w:val="true"/>
        </w:rPr>
        <w:footnoteReference w:id="1688"/>
      </w:r>
      <w:r>
        <w:rPr>
          <w:rFonts w:ascii="IRNazanin" w:hAnsi="IRNazanin" w:eastAsia="IRNazanin"/>
          <w:color w:val="111111"/>
          <w:sz w:val="28"/>
          <w:sz w:val="28"/>
          <w:szCs w:val="28"/>
          <w:rtl w:val="true"/>
          <w:lang w:bidi="fa-IR"/>
        </w:rPr>
        <w:t xml:space="preserve">الرأس </w:t>
      </w:r>
    </w:p>
    <w:p>
      <w:pPr>
        <w:pStyle w:val="BookText"/>
        <w:rPr/>
      </w:pPr>
      <w:r>
        <w:rPr>
          <w:rFonts w:ascii="IRNazanin" w:hAnsi="IRNazanin" w:eastAsia="IRNazanin"/>
          <w:color w:val="111111"/>
          <w:sz w:val="28"/>
          <w:sz w:val="28"/>
          <w:szCs w:val="28"/>
          <w:rtl w:val="true"/>
          <w:lang w:bidi="fa-IR"/>
        </w:rPr>
        <w:t>والمذاکیر ، وفی بعضها</w:t>
      </w:r>
      <w:r>
        <w:rPr>
          <w:rStyle w:val="FootnoteAnchor"/>
          <w:rtl w:val="true"/>
        </w:rPr>
        <w:footnoteReference w:id="1689"/>
      </w:r>
      <w:r>
        <w:rPr>
          <w:rFonts w:ascii="IRNazanin" w:hAnsi="IRNazanin" w:eastAsia="IRNazanin"/>
          <w:color w:val="111111"/>
          <w:sz w:val="28"/>
          <w:sz w:val="28"/>
          <w:szCs w:val="28"/>
          <w:rtl w:val="true"/>
          <w:lang w:bidi="fa-IR"/>
        </w:rPr>
        <w:t>الوجه والفرج ، إلا أن المفهوم من المجموع التجنبّ من المثلة والعمی والقتل واختلال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یظهر الجواب عن الدلیلین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الجواب أن الدلیلین أخصّ من دعوی الشیخین </w:t>
      </w:r>
      <w:r>
        <w:rPr>
          <w:rStyle w:val="FootnoteAnchor"/>
          <w:rtl w:val="true"/>
        </w:rPr>
        <w:footnoteReference w:id="1690"/>
      </w:r>
      <w:r>
        <w:rPr>
          <w:rFonts w:ascii="IRNazanin" w:hAnsi="IRNazanin" w:eastAsia="IRNazanin"/>
          <w:color w:val="111111"/>
          <w:sz w:val="28"/>
          <w:sz w:val="28"/>
          <w:szCs w:val="28"/>
          <w:rtl w:val="true"/>
          <w:lang w:bidi="fa-IR"/>
        </w:rPr>
        <w:t xml:space="preserve">من جهتین، لأن دعواهما تحدید النائب أعمّ من المشتبه وغیره ، وقتل غیره أعمّ من الفطری والمتی والذکر والأنثی ، بل التحدید یعم التائب بعد التوبة والمقتول قبل القتل ، فلا ینطبق الدلیل الأخصّ علی الدّعوی الأعمّ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ردّ الخبر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سنده بالإرسال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دلالته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عمومه القواعد الشرعیّة من عدم سقوط الحدّ عن التائب بعد التوبة ، بل وعمّن یقتل بعد القتل ، ومن سقوط الاستتابة عن المرّتد القطری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بمعارضة الخبر بخبر </w:t>
      </w:r>
      <w:r>
        <w:rPr>
          <w:rStyle w:val="FootnoteAnchor"/>
          <w:rtl w:val="true"/>
        </w:rPr>
        <w:footnoteReference w:id="1691"/>
      </w:r>
      <w:r>
        <w:rPr>
          <w:rFonts w:ascii="IRNazanin" w:hAnsi="IRNazanin" w:eastAsia="IRNazanin"/>
          <w:color w:val="111111"/>
          <w:sz w:val="28"/>
          <w:sz w:val="28"/>
          <w:szCs w:val="28"/>
          <w:rtl w:val="true"/>
          <w:lang w:bidi="fa-IR"/>
        </w:rPr>
        <w:t>آخر لم یذکر فیه سوی حدّ قدامة حدّ</w:t>
      </w:r>
    </w:p>
    <w:p>
      <w:pPr>
        <w:pStyle w:val="BookText"/>
        <w:rPr/>
      </w:pPr>
      <w:r>
        <w:rPr>
          <w:rFonts w:ascii="IRNazanin" w:hAnsi="IRNazanin" w:eastAsia="IRNazanin"/>
          <w:color w:val="111111"/>
          <w:sz w:val="28"/>
          <w:sz w:val="28"/>
          <w:szCs w:val="28"/>
          <w:rtl w:val="true"/>
          <w:lang w:bidi="fa-IR"/>
        </w:rPr>
        <w:t xml:space="preserve">الشارب ، من غیر ذکر الاستتابة ولا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 الخبر بأنها قضیّة فی واقعة فلا تکون عامّة ، أو فرض ارتداد قدامة عن ملّة ، وأن عدم سقوط الحد بعد التوبة لفرض التوبة عن استحلاله لا عن شربه ، و تعدّد السبب یقتضی تعدد المسبّب وسقوط أحدهما لا یقتضی سقوط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حکمه ضرورة من الدین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الکفر منوط و مشروط بإنکار ما علم واستحلال ما حرم، ولو لم یکن إجماعاً ولا ضرورة ، ولا مدخلیّة للاجماع والضرورة فی کفر </w:t>
      </w:r>
    </w:p>
    <w:p>
      <w:pPr>
        <w:pStyle w:val="BookText"/>
        <w:rPr/>
      </w:pPr>
      <w:r>
        <w:rPr>
          <w:rFonts w:ascii="IRNazanin" w:hAnsi="IRNazanin" w:eastAsia="IRNazanin"/>
          <w:color w:val="111111"/>
          <w:sz w:val="28"/>
          <w:sz w:val="28"/>
          <w:szCs w:val="28"/>
          <w:rtl w:val="true"/>
          <w:lang w:bidi="fa-IR"/>
        </w:rPr>
        <w:t xml:space="preserve">المستحلّ ، ولا فی أحکامه ، وإنما له مدخلیة فی سماع دعوی الشبهة الدارئة الحدّه وعدم سماعها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مجرّد الخلاف شبهة دارئة لحدّ القتل لکانت دارئة الحدّ الجلد ، ولما لم تکن دارئة لجلدّه لم تکن دارئة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وقفت علی نصّ یقتضیه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نصّ خاصّ ، بل یکفی النص العامّ والأصل الأصیل التامّ ، کعموم</w:t>
      </w:r>
      <w:r>
        <w:rPr>
          <w:rStyle w:val="FootnoteAnchor"/>
          <w:rtl w:val="true"/>
        </w:rPr>
        <w:footnoteReference w:id="1692"/>
      </w:r>
      <w:r>
        <w:rPr>
          <w:rFonts w:ascii="IRNazanin" w:hAnsi="IRNazanin" w:eastAsia="IRNazanin"/>
          <w:color w:val="111111"/>
          <w:sz w:val="28"/>
          <w:sz w:val="28"/>
          <w:szCs w:val="28"/>
          <w:rtl w:val="true"/>
          <w:lang w:bidi="fa-IR"/>
        </w:rPr>
        <w:t xml:space="preserve">من استحلّ الحرام خرج عن الاسلام ، ولم یخصّص إلا بشبهة دارئة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درأ قتله درأ جلده ، بل و تعزیره ، فما لم یدرأ حدّه ، بل ولا تعزیره لم یدرأ قتله ، لعموم النصّ الذی لم یخصّص إلا بشبهة دارئة ، لا مطلق الشبهة النادرة المصادمة للعلم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مال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إطلاق دلیل قطع السارق وإن لم یقیّد بخلوص النصاب عن النصیب ، إلا أنه منصرف الإطلاق غالباً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من النفقة بقدرها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ینسحب الحکم عموماً إلی کل سارق ممّا له فی المال المسروق حقّ شخصیّ ، کسرقة الوارث من المال الموروث المشترک ، أو حقّ نوعیّ کالسرقة من مال الزکاة والخمس إذا کان السارق من جملة مستحقیه ، أو کان للسارق حقّ فی ذمّة المسروق منه فیسرق من ماله عوض ما فی ذمّته ، سواء کان حقّاً مالیّاً کنفقة الزوجة من مال زوجه ، أو غیر مالی کنفقة الولد علی والده، علی إشکال فی الأخیر ، بل فیما قبله ، بل فیما عدا الأوّل من الصور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یؤمر صبیّ غیر ممیّز</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کالمجنون والبهائم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الآلة ، بخلاف </w:t>
      </w:r>
    </w:p>
    <w:p>
      <w:pPr>
        <w:pStyle w:val="BookText"/>
        <w:rPr/>
      </w:pPr>
      <w:r>
        <w:rPr>
          <w:rFonts w:ascii="Amiri" w:hAnsi="Amiri" w:eastAsia="Amiri" w:cs="Amiri"/>
          <w:color w:val="111111"/>
          <w:sz w:val="28"/>
          <w:sz w:val="28"/>
          <w:szCs w:val="28"/>
          <w:rtl w:val="true"/>
          <w:lang w:bidi="ar-SA"/>
        </w:rPr>
        <w:t>الممیّز ، فتمیّزه یخرجه عن الآلیّة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الحرز قهراً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سرّاً و استاراً ، کما یعتبر فی معنی السرقة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قیمته مجنّاً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 بالکسر والتشدید الترس ، لأن صاحبه یستتر به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ثبوت القطع بالدینار وإن لم ینفه عمّا دونه ، إلا أنه بملاحظة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 به ظاهر فی نفیه عمّا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یخلو عن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السرقة إن استند إلی غفلة الناظر فلا یعدّ النظر حرزاً ، لزواله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استند إلی تغفیل الناظر وإغفاله فهو بمنزلة حرز کسر قفله وفی غلقه ،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سرقتهما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تحفّظ الکبیر من نفسه وإن لم یمنع من استراقه بأسر أو تواطؤ ، إلا أنه مع ذلک لا یصدق معه السرقة إلا بإخفاء و تستّر ، کسرقة یوسف من أبیه ، کما یصدقه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عدم الفرق بین أن یکون المسروق حرّاً أو مملوکاً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لاکتفائه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القائل بالمطلق وإن لم یلزمه القول بالمقیّد ، ولکن </w:t>
      </w:r>
    </w:p>
    <w:p>
      <w:pPr>
        <w:pStyle w:val="BookText"/>
        <w:rPr/>
      </w:pPr>
      <w:r>
        <w:rPr>
          <w:rFonts w:ascii="IRNazanin" w:hAnsi="IRNazanin" w:eastAsia="IRNazanin"/>
          <w:color w:val="111111"/>
          <w:sz w:val="28"/>
          <w:sz w:val="28"/>
          <w:szCs w:val="28"/>
          <w:rtl w:val="true"/>
          <w:lang w:bidi="fa-IR"/>
        </w:rPr>
        <w:t xml:space="preserve">یلزمه العمل بالمقید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فیکون الاستثناء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تقدیر الاستثناء منقطعاً وإن کان مجازاً خلاف الأصل ، إلا أنّه بدلالّة الاقتضاء دالّ علیه وظاهر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فهنا 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إشارة إلی أنّ تخصیص العموم بمجرّد الاستقراء والفحوی وإن یشکل ، إلا أنه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ادروا الحدود بالشبهات</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 xml:space="preserve">لا یشکل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فی حدّ المحارب بین الکافر والمسلم لا یکاد یظهر حتی من نصوص الترتیب علی کثرة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w:t>
      </w:r>
      <w:r>
        <w:rPr>
          <w:rStyle w:val="FootnoteAnchor"/>
          <w:rtl w:val="true"/>
        </w:rPr>
        <w:footnoteReference w:id="1696"/>
      </w:r>
      <w:r>
        <w:rPr>
          <w:rFonts w:ascii="IRNazanin" w:hAnsi="IRNazanin" w:eastAsia="IRNazanin"/>
          <w:color w:val="111111"/>
          <w:sz w:val="28"/>
          <w:sz w:val="28"/>
          <w:szCs w:val="28"/>
          <w:rtl w:val="true"/>
          <w:lang w:bidi="fa-IR"/>
        </w:rPr>
        <w:t xml:space="preserve">فسیر النفی بالرمی فی البحر وإن کان معارضا بخبر </w:t>
      </w:r>
      <w:r>
        <w:rPr>
          <w:rStyle w:val="FootnoteAnchor"/>
          <w:rtl w:val="true"/>
        </w:rPr>
        <w:footnoteReference w:id="1697"/>
      </w:r>
      <w:r>
        <w:rPr>
          <w:rFonts w:ascii="IRNazanin" w:hAnsi="IRNazanin" w:eastAsia="IRNazanin"/>
          <w:color w:val="111111"/>
          <w:sz w:val="28"/>
          <w:sz w:val="28"/>
          <w:szCs w:val="28"/>
          <w:rtl w:val="true"/>
          <w:lang w:bidi="fa-IR"/>
        </w:rPr>
        <w:t>تفسیره بالنفی من مصر إلی مصر آخر، إلا أنه راجحّ وأرجحّ من الثانی بمخالفته العامّة</w:t>
      </w:r>
      <w:r>
        <w:rPr>
          <w:rStyle w:val="FootnoteAnchor"/>
          <w:rtl w:val="true"/>
        </w:rPr>
        <w:footnoteReference w:id="1698"/>
      </w:r>
      <w:r>
        <w:rPr>
          <w:rFonts w:ascii="IRNazanin" w:hAnsi="IRNazanin" w:eastAsia="IRNazanin"/>
          <w:color w:val="111111"/>
          <w:sz w:val="28"/>
          <w:sz w:val="28"/>
          <w:szCs w:val="28"/>
          <w:rtl w:val="true"/>
          <w:lang w:bidi="fa-IR"/>
        </w:rPr>
        <w:t>والتعلیل بالتعدیل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الإطلاق کما عرفته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قصورها سنداً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1699"/>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سنداً فلاستفاضتها فی مثل الوسائل المعدود من الأصول المقطوعة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دلالّة فلإطلاق نصوص اللصّ محارب فاقتله ، فما دخل علیک فعلیّ</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فدمه مباح فی تلک الحال، وهو فی عنقی</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دون ماله فهو </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Style w:val="FootnoteAnchor"/>
          <w:rtl w:val="true"/>
        </w:rPr>
        <w:footnoteReference w:id="1702"/>
      </w:r>
      <w:r>
        <w:rPr>
          <w:rFonts w:ascii="IRNazanin" w:hAnsi="IRNazanin" w:eastAsia="IRNazanin"/>
          <w:color w:val="111111"/>
          <w:sz w:val="28"/>
          <w:sz w:val="28"/>
          <w:szCs w:val="28"/>
          <w:rtl w:val="true"/>
          <w:lang w:bidi="fa-IR"/>
        </w:rPr>
        <w:t xml:space="preserve">إلی غیر ذلک من الإطلاقات الغیر المقیّدة ولا المرتّبة بمراتب الأمر بالمعروف والنهی عن المنکر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تخصیص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لکنّه مبنیّ علی شمول الحدّ لما دون الحدّ ، وهو التعزیر فی المقام ، وعلی شمول الشبهة لشبیهة الخلاف فی المقام ، وهو کما تری</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905_24938"/>
      <w:bookmarkStart w:id="109" w:name="pg1905_24938"/>
      <w:bookmarkEnd w:id="10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pg1905_24938"/>
      <w:bookmarkStart w:id="111" w:name="__RefHeading___Toc3268799_3650668749"/>
      <w:bookmarkStart w:id="112" w:name="_Toc37"/>
      <w:bookmarkEnd w:id="110"/>
      <w:bookmarkEnd w:id="111"/>
      <w:r>
        <w:rPr>
          <w:rtl w:val="true"/>
        </w:rPr>
        <w:t>کتاب القصاص</w:t>
      </w:r>
      <w:bookmarkEnd w:id="11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قائل بالفرق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فی جواب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القصاص من المأمور الذی هو عبد الآمر قد یوجب التخفیف والتخصیص فی حکم آمره ، أو أن شدّة نفوذ آمره قد یوجب العکس ، وهو تخصیص حکم مأموره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فروق غیر فارقة فی حکم الآمر والمأمور المملوک ، بتخصیص عموم</w:t>
      </w:r>
      <w:r>
        <w:rPr>
          <w:rStyle w:val="FootnoteAnchor"/>
          <w:rtl w:val="true"/>
        </w:rPr>
        <w:footnoteReference w:id="1703"/>
      </w:r>
      <w:r>
        <w:rPr>
          <w:rFonts w:ascii="IRNazanin" w:hAnsi="IRNazanin" w:eastAsia="IRNazanin"/>
          <w:color w:val="111111"/>
          <w:sz w:val="28"/>
          <w:sz w:val="28"/>
          <w:szCs w:val="28"/>
          <w:rtl w:val="true"/>
          <w:lang w:bidi="fa-IR"/>
        </w:rPr>
        <w:t>حکم الآمر بالحبس والمأمور بالقصاص ، لأنها کالتخصیص بلا مخصص ، والاجتهاد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الجنایة بینهما أثلاثاً بحسب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فرض جنایة المرأة نصف جنایة الرجل ، کما أن حظّها نصف حظّه فی الدیة والارث والشهادة ، فکذا فی الجنایة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قیاس مع الفارق، والفارق النصّ ، بل هو 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 المتن من وجوه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أحدها ، وإن أمکن توجیهها بما وجّه به کلام المفید </w:t>
      </w:r>
      <w:r>
        <w:rPr>
          <w:rStyle w:val="FootnoteAnchor"/>
          <w:rtl w:val="true"/>
        </w:rPr>
        <w:footnoteReference w:id="1704"/>
      </w:r>
      <w:r>
        <w:rPr>
          <w:rFonts w:ascii="IRNazanin" w:hAnsi="IRNazanin" w:eastAsia="IRNazanin"/>
          <w:color w:val="111111"/>
          <w:sz w:val="28"/>
          <w:sz w:val="28"/>
          <w:szCs w:val="28"/>
          <w:rtl w:val="true"/>
          <w:lang w:bidi="fa-IR"/>
        </w:rPr>
        <w:t xml:space="preserve">من أن جنایتها نصف جنایة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أنه قیاس ومع الفارق ، والفارق النصّ ، بل اجتهاد فی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وجوه اختلاله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وخطأ المرأة والغلام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وسطه منافی لصدره وذیله ، وموافق للقیاس وآراء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التقیّة لا ینافی حجّیة سائر فقراته ، کما أن العامّ المخصّص حجّة فی الباقی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لهم قتله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قتله کان حقّاً لولیّ المقتول ظلماً ، لا لأولیاء المقتول قصاصاً ، لتعلّق جنایة العبد برقبته بالنسبة إلی المقتول الأول ، وبقیمته بالنسبة إلی الثانی ، فإن شاء الثانی أخذ قیمته ، وإن شاء استرقّه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حمل النسخ علی التخصیص فی الروایة</w:t>
      </w:r>
      <w:r>
        <w:rPr>
          <w:rStyle w:val="FootnoteAnchor"/>
          <w:rtl w:val="true"/>
        </w:rPr>
        <w:footnoteReference w:id="1705"/>
      </w:r>
      <w:r>
        <w:rPr>
          <w:rFonts w:ascii="IRNazanin" w:hAnsi="IRNazanin" w:eastAsia="IRNazanin"/>
          <w:color w:val="111111"/>
          <w:sz w:val="28"/>
          <w:sz w:val="28"/>
          <w:szCs w:val="28"/>
          <w:rtl w:val="true"/>
          <w:lang w:bidi="fa-IR"/>
        </w:rPr>
        <w:t xml:space="preserve">متعیّن ، لقرائن معیّنة، وإلا لتعیّن طرحها للاجماع علی عدم نسخها ، واقتصاص الذکر بالأنثی ، وبالعکس ، ولو نسخت لم یعمل بالمنسوخ ، وهو خلاف الاجماع وظواهر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القرائن المعیّنة للتخصیص قوله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النفس۔ بالنفس محکمة</w:t>
      </w:r>
      <w:r>
        <w:rPr>
          <w:rStyle w:val="FootnoteAnchor"/>
          <w:rtl w:val="true"/>
        </w:rPr>
        <w:footnoteReference w:id="1706"/>
      </w:r>
      <w:r>
        <w:rPr>
          <w:rFonts w:ascii="IRNazanin" w:hAnsi="IRNazanin" w:eastAsia="IRNazanin"/>
          <w:color w:val="111111"/>
          <w:sz w:val="28"/>
          <w:sz w:val="28"/>
          <w:szCs w:val="28"/>
          <w:rtl w:val="true"/>
          <w:lang w:bidi="fa-IR"/>
        </w:rPr>
        <w:t xml:space="preserve">، ومن المعلوم أن المحکمة لا تنسخ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تقدّم التخصیص علی النسخ ، وأن الجمع بین الآیتین </w:t>
      </w:r>
      <w:r>
        <w:rPr>
          <w:rStyle w:val="FootnoteAnchor"/>
          <w:rtl w:val="true"/>
        </w:rPr>
        <w:footnoteReference w:id="1707"/>
      </w:r>
      <w:r>
        <w:rPr>
          <w:rFonts w:ascii="IRNazanin" w:hAnsi="IRNazanin" w:eastAsia="IRNazanin"/>
          <w:color w:val="111111"/>
          <w:sz w:val="28"/>
          <w:sz w:val="28"/>
          <w:szCs w:val="28"/>
          <w:rtl w:val="true"/>
          <w:lang w:bidi="fa-IR"/>
        </w:rPr>
        <w:t>بالعموم و الخصوص أولی من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معارض بمفهوم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بمنطوق الصحاح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بلغت الثلث رجعت إلی النصف </w:t>
      </w:r>
      <w:r>
        <w:rPr>
          <w:rStyle w:val="FootnoteAnchor"/>
          <w:rtl w:val="true"/>
        </w:rPr>
        <w:footnoteReference w:id="1708"/>
      </w:r>
      <w:r>
        <w:rPr>
          <w:rFonts w:ascii="IRNazanin" w:hAnsi="IRNazanin" w:eastAsia="IRNazanin"/>
          <w:color w:val="111111"/>
          <w:sz w:val="28"/>
          <w:sz w:val="28"/>
          <w:szCs w:val="28"/>
          <w:rtl w:val="true"/>
          <w:lang w:bidi="fa-IR"/>
        </w:rPr>
        <w:t>فیقدّم منطوق الأول علی مفهوم الآخر ، تقدیمة للأظهر علی الظاهر ، فیرتفع التعارض بینهما ، ویرجع المعنیان إلی معنی واحد ، وهو رجوع المرأة إلی النصف إذا بلغت الثلث أو تجاوزت ، کما هو المشهور المنصور أیضاً بالاجماع والظهور اللفظی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إیجاب قطع إصبعین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قطع إصبعین من الرجل لو قطع إصبعین من المرأة یقتضی أولویّة قطع إصبعین منه مع قطعه الزیادة منهما بوجوه المقتضی ، وهو قطع الإصبعین ، وعدم مانعیّة الزیادة ، فإن الزیادة توجب الأولویّة لا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التخصیص 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التخصیص بالذکر لوجه تخصیص الحکم موجود فی جمیع أحکام قتل الحرّ العبد ، لکنّها وجوه غیر وجیهة خالیة عن القول ، بل الوجه إما عدم قتل الحرّ العبد</w:t>
      </w:r>
      <w:r>
        <w:rPr>
          <w:rStyle w:val="FootnoteAnchor"/>
          <w:rtl w:val="true"/>
        </w:rPr>
        <w:footnoteReference w:id="1709"/>
      </w:r>
      <w:r>
        <w:rPr>
          <w:rFonts w:ascii="IRNazanin" w:hAnsi="IRNazanin" w:eastAsia="IRNazanin"/>
          <w:color w:val="111111"/>
          <w:sz w:val="28"/>
          <w:sz w:val="28"/>
          <w:szCs w:val="28"/>
          <w:rtl w:val="true"/>
          <w:lang w:bidi="fa-IR"/>
        </w:rPr>
        <w:t xml:space="preserve">مطلقاً ، فلم یتّجه تخصیصه بملکیّة العبد ، ولا توهّمه من أحد عدا ما یحکی عن أبی حنیفة </w:t>
      </w:r>
      <w:r>
        <w:rPr>
          <w:rStyle w:val="FootnoteAnchor"/>
          <w:rtl w:val="true"/>
        </w:rPr>
        <w:footnoteReference w:id="1710"/>
      </w:r>
      <w:r>
        <w:rPr>
          <w:rFonts w:ascii="IRNazanin" w:hAnsi="IRNazanin" w:eastAsia="IRNazanin"/>
          <w:color w:val="111111"/>
          <w:sz w:val="28"/>
          <w:sz w:val="28"/>
          <w:szCs w:val="28"/>
          <w:rtl w:val="true"/>
          <w:lang w:bidi="fa-IR"/>
        </w:rPr>
        <w:t xml:space="preserve">، واما تخصیص غرامة الجانی قیمة المجنیّ بعبد غیره أیضاً لا وجه له ولا 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الروایة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مرسل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لا یتجاوز بقیمته دیة مولاه</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یوجد الخبر فی شیء من النصوص ، کما فی الجواهر </w:t>
      </w:r>
      <w:r>
        <w:rPr>
          <w:rStyle w:val="FootnoteAnchor"/>
          <w:rtl w:val="true"/>
        </w:rPr>
        <w:footnoteReference w:id="1712"/>
      </w:r>
      <w:r>
        <w:rPr>
          <w:rFonts w:ascii="IRNazanin" w:hAnsi="IRNazanin" w:eastAsia="IRNazanin"/>
          <w:color w:val="111111"/>
          <w:sz w:val="28"/>
          <w:sz w:val="28"/>
          <w:szCs w:val="28"/>
          <w:rtl w:val="true"/>
          <w:lang w:bidi="fa-IR"/>
        </w:rPr>
        <w:t xml:space="preserve">عن کشف </w:t>
      </w:r>
      <w:r>
        <w:rPr>
          <w:rStyle w:val="FootnoteAnchor"/>
          <w:rtl w:val="true"/>
        </w:rPr>
        <w:footnoteReference w:id="1713"/>
      </w:r>
      <w:r>
        <w:rPr>
          <w:rFonts w:ascii="IRNazanin" w:hAnsi="IRNazanin" w:eastAsia="IRNazanin"/>
          <w:color w:val="111111"/>
          <w:sz w:val="28"/>
          <w:sz w:val="28"/>
          <w:szCs w:val="28"/>
          <w:rtl w:val="true"/>
          <w:lang w:bidi="fa-IR"/>
        </w:rPr>
        <w:t xml:space="preserve">اللثام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فی صورة ملک الذکر للأنثی و بالعکس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تقدیر صحّته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حبیباً لم ینصّوا علی توثیقه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منتهی المقال</w:t>
      </w:r>
      <w:r>
        <w:rPr>
          <w:rStyle w:val="FootnoteAnchor"/>
          <w:rtl w:val="true"/>
        </w:rPr>
        <w:footnoteReference w:id="1714"/>
      </w:r>
      <w:r>
        <w:rPr>
          <w:rFonts w:ascii="IRNazanin" w:hAnsi="IRNazanin" w:eastAsia="IRNazanin"/>
          <w:color w:val="111111"/>
          <w:sz w:val="28"/>
          <w:sz w:val="28"/>
          <w:szCs w:val="28"/>
          <w:rtl w:val="true"/>
          <w:lang w:bidi="fa-IR"/>
        </w:rPr>
        <w:t xml:space="preserve">بأنّ فی التعلیقة عن خالی الحکم بحسنه </w:t>
      </w:r>
    </w:p>
    <w:p>
      <w:pPr>
        <w:pStyle w:val="BookText"/>
        <w:rPr/>
      </w:pPr>
      <w:r>
        <w:rPr>
          <w:rFonts w:ascii="IRNazanin" w:hAnsi="IRNazanin" w:eastAsia="IRNazanin"/>
          <w:color w:val="111111"/>
          <w:sz w:val="28"/>
          <w:sz w:val="28"/>
          <w:szCs w:val="28"/>
          <w:rtl w:val="true"/>
          <w:lang w:bidi="fa-IR"/>
        </w:rPr>
        <w:t xml:space="preserve">ووثاقته ، وأنه من أصحاب الصادقین علیهما السلام ، وانقطاعه إلیهما بعد ما کان شاریاً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الخوارج بالشراة جمع شار کقضاة جمع قاض ، الزعمهم شری أنفسهم بالجنّة ودنیاهم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لتوقّفه من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المانع من تحقّق العقد والجزم هو التعلیق فی الإنشاء، وأما التعلیق فی المنشأ فلیس بمانع من تحقّق العقد و الجزم فیه ، کما فی التدبیر والمکاتبة والنذر والعقد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فی عمرو ضعف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ضعّفه فی منتهی المقال </w:t>
      </w:r>
      <w:r>
        <w:rPr>
          <w:rStyle w:val="FootnoteAnchor"/>
          <w:rtl w:val="true"/>
        </w:rPr>
        <w:footnoteReference w:id="1715"/>
      </w:r>
      <w:r>
        <w:rPr>
          <w:rFonts w:ascii="IRNazanin" w:hAnsi="IRNazanin" w:eastAsia="IRNazanin"/>
          <w:color w:val="111111"/>
          <w:sz w:val="28"/>
          <w:sz w:val="28"/>
          <w:szCs w:val="28"/>
          <w:rtl w:val="true"/>
          <w:lang w:bidi="fa-IR"/>
        </w:rPr>
        <w:t>تبعاً للنجاشی</w:t>
      </w:r>
      <w:r>
        <w:rPr>
          <w:rStyle w:val="FootnoteAnchor"/>
          <w:rtl w:val="true"/>
        </w:rPr>
        <w:footnoteReference w:id="1716"/>
      </w:r>
      <w:r>
        <w:rPr>
          <w:rFonts w:ascii="Amiri" w:hAnsi="Amiri" w:eastAsia="Amiri" w:cs="Amiri"/>
          <w:color w:val="111111"/>
          <w:sz w:val="28"/>
          <w:sz w:val="28"/>
          <w:szCs w:val="28"/>
          <w:rtl w:val="true"/>
          <w:lang w:bidi="ar-SA"/>
        </w:rPr>
        <w:t>والخلاصة</w:t>
      </w:r>
      <w:r>
        <w:rPr>
          <w:rStyle w:val="FootnoteAnchor"/>
          <w:rtl w:val="true"/>
        </w:rPr>
        <w:footnoteReference w:id="1717"/>
      </w:r>
      <w:r>
        <w:rPr>
          <w:rFonts w:ascii="IRNazanin" w:hAnsi="IRNazanin" w:eastAsia="IRNazanin"/>
          <w:color w:val="111111"/>
          <w:sz w:val="28"/>
          <w:sz w:val="28"/>
          <w:szCs w:val="28"/>
          <w:rtl w:val="true"/>
          <w:lang w:bidi="fa-IR"/>
        </w:rPr>
        <w:t>، لکن لم نقف علی وجه تضعیفه ، بل یکفی نقل ثقات القمیین عنه فی توثیقه ، مثل علی بن إبراهیم</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 xml:space="preserve">أخباراً کثیرة فی تفسیره ، والصدوق فی الأمالی </w:t>
      </w:r>
      <w:r>
        <w:rPr>
          <w:rStyle w:val="FootnoteAnchor"/>
          <w:rtl w:val="true"/>
        </w:rPr>
        <w:footnoteReference w:id="17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حجّة فی ما بینی وبین ربیّ ، ولم أقف علی ما یدلّ علی ذمّه ولا علی غلوه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کقصور سابقه إن کان منجبر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أن الأخبار </w:t>
      </w:r>
      <w:r>
        <w:rPr>
          <w:rStyle w:val="FootnoteAnchor"/>
          <w:rtl w:val="true"/>
        </w:rPr>
        <w:footnoteReference w:id="1720"/>
      </w:r>
      <w:r>
        <w:rPr>
          <w:rFonts w:ascii="IRNazanin" w:hAnsi="IRNazanin" w:eastAsia="IRNazanin"/>
          <w:color w:val="111111"/>
          <w:sz w:val="28"/>
          <w:sz w:val="28"/>
          <w:szCs w:val="28"/>
          <w:rtl w:val="true"/>
          <w:lang w:bidi="fa-IR"/>
        </w:rPr>
        <w:t>السابقة وإن کانت صحاحاً ، لکن قصورها بالشذوذ والموافقة للعامّة</w:t>
      </w:r>
      <w:r>
        <w:rPr>
          <w:rStyle w:val="FootnoteAnchor"/>
          <w:rtl w:val="true"/>
        </w:rPr>
        <w:footnoteReference w:id="1721"/>
      </w:r>
      <w:r>
        <w:rPr>
          <w:rFonts w:ascii="Amiri" w:hAnsi="Amiri" w:eastAsia="Amiri" w:cs="Amiri"/>
          <w:color w:val="111111"/>
          <w:sz w:val="28"/>
          <w:sz w:val="28"/>
          <w:szCs w:val="28"/>
          <w:rtl w:val="true"/>
          <w:lang w:bidi="ar-SA"/>
        </w:rPr>
        <w:t xml:space="preserve">والتقیّة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مضافاً إلی عمومها قتل المسلم بالذمّی والحربی مخالف لعموم الکتاب</w:t>
      </w:r>
      <w:r>
        <w:rPr>
          <w:rStyle w:val="FootnoteAnchor"/>
          <w:rtl w:val="true"/>
        </w:rPr>
        <w:footnoteReference w:id="1722"/>
      </w:r>
      <w:r>
        <w:rPr>
          <w:rFonts w:ascii="Amiri" w:hAnsi="Amiri" w:eastAsia="Amiri" w:cs="Amiri"/>
          <w:color w:val="111111"/>
          <w:sz w:val="28"/>
          <w:sz w:val="28"/>
          <w:szCs w:val="28"/>
          <w:rtl w:val="true"/>
          <w:lang w:bidi="ar-SA"/>
        </w:rPr>
        <w:t xml:space="preserve">والسنّة </w:t>
      </w:r>
      <w:r>
        <w:rPr>
          <w:rStyle w:val="FootnoteAnchor"/>
          <w:rtl w:val="true"/>
        </w:rPr>
        <w:footnoteReference w:id="1723"/>
      </w:r>
      <w:r>
        <w:rPr>
          <w:rFonts w:ascii="IRNazanin" w:hAnsi="IRNazanin" w:eastAsia="IRNazanin"/>
          <w:color w:val="111111"/>
          <w:sz w:val="28"/>
          <w:sz w:val="28"/>
          <w:szCs w:val="28"/>
          <w:rtl w:val="true"/>
          <w:lang w:bidi="fa-IR"/>
        </w:rPr>
        <w:t xml:space="preserve">وإجماع الخاصّة والعامّة ، حتی الشعراء فضحوا أبا یوسف فی شعرهم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یاقاتل المسلم بالکافر جرت ما العادل بالجائر إلی آخر الأبیات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فحوی ما دلّ علی عدم قتل الواحد من الشیعة بألف من العامّة إذا قام الحقّ ، یدلّ علی عدم قتل الواحد منهم بألف من أهل الذمّة بالأولویّة، خصوصاً علی ما هو المنصوص</w:t>
      </w:r>
      <w:r>
        <w:rPr>
          <w:rStyle w:val="FootnoteAnchor"/>
          <w:rtl w:val="true"/>
        </w:rPr>
        <w:footnoteReference w:id="1724"/>
      </w:r>
      <w:r>
        <w:rPr>
          <w:rFonts w:ascii="IRNazanin" w:hAnsi="IRNazanin" w:eastAsia="IRNazanin"/>
          <w:color w:val="111111"/>
          <w:sz w:val="28"/>
          <w:sz w:val="28"/>
          <w:szCs w:val="28"/>
          <w:rtl w:val="true"/>
          <w:lang w:bidi="fa-IR"/>
        </w:rPr>
        <w:t xml:space="preserve">من أنه لا ذمّة لمن لم یجعل له النبیّ الذمّة، فکیف یجبر القصور من هذه الجهات الکثیرة فی أخبار قتل المسلم بالکافر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قصاصاً لا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الشهرة المحکیة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عکس صحّ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رجح اللغة علی العرف صح ما ذکره من صدق الاعتیاد بالمرتین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تأمّل ، من أن ترجیح اللغة وإن کان أقرب إلی أصالة عدم النقل عن موادّ الاشتقاق ، وصدق معتادة الحیض بالمرّتین ، إلا أن الانصراف یرجّح العرف علی اللغة ، وقیاس معتاد القتل بمعتاد الحیض قیاس فی اللغة ، ومع الفارق ، والفارق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الجواب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التأمّل إشارة إلی أن حمل المطلق علی المقیّد إنما هو فی کلام واحد ، صوناً له عن الاختلاف والتناقض ، وأما إذا کان أحدهما فی کلام السائل والاخر فی المسؤول فالعبرة فی الإطلاق والتقیید علی کلام المسؤول لا غیر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وکلام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النظر لبعد احتمال التقیید من غیر مقیّد فی مطلقات النصوص </w:t>
      </w:r>
      <w:r>
        <w:rPr>
          <w:rStyle w:val="FootnoteAnchor"/>
          <w:rtl w:val="true"/>
        </w:rPr>
        <w:footnoteReference w:id="1725"/>
      </w:r>
      <w:r>
        <w:rPr>
          <w:rFonts w:ascii="IRNazanin" w:hAnsi="IRNazanin" w:eastAsia="IRNazanin"/>
          <w:color w:val="111111"/>
          <w:sz w:val="28"/>
          <w:sz w:val="28"/>
          <w:szCs w:val="28"/>
          <w:rtl w:val="true"/>
          <w:lang w:bidi="fa-IR"/>
        </w:rPr>
        <w:t>، والفتوی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بدونه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المهدور دمه حدّاً کالزانی واللاطی والکافر الحربی والناصبی والمرتدّ الفطری ومستحلّ الحرام ، یختصّ مباشرة قتله بإذن الإمام ونائبه الخاصّ أو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المهدور دمه شرعاً دفاعاً لا حدّاً ، کاللص العادی والمحارب وسات النبیّ أو الامام ، فلا یختص بالاذن ، بل یعم مباشرة قتله کلّ مسلم ، بل کلّ من سمع ولو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فی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جانب القاتل إقراره مرّتین ، وفی جانب المقتول کفایة 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کالغسالة</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لغةً اسم مصدر من القسم ، کالحثالة ، وشرعاً الأیمان المقسومة علی الحالفین ، وقد یطلق علی نفس الحالفین مجازاً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مبالغة ، کزید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 الأصل</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الأصل من جهة توجه الیمین إلی المدّعی بالأصالة ، وتعدّد الأیمان فیها ، وجواز حلف الانسان لإثبات حقّ غیره ، وعدم سقوط الدعوی بنکول مَن توجهت علیه الیمین ، بل ردّ الیمین علی غیره ، إلی غیر ذلک من مخالفات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آخر، بل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وجوه عدیدة من النصوص</w:t>
      </w:r>
      <w:r>
        <w:rPr>
          <w:rStyle w:val="FootnoteAnchor"/>
          <w:rtl w:val="true"/>
        </w:rPr>
        <w:footnoteReference w:id="1727"/>
      </w:r>
      <w:r>
        <w:rPr>
          <w:rFonts w:ascii="IRNazanin" w:hAnsi="IRNazanin" w:eastAsia="IRNazanin"/>
          <w:color w:val="111111"/>
          <w:sz w:val="28"/>
          <w:sz w:val="28"/>
          <w:szCs w:val="28"/>
          <w:rtl w:val="true"/>
          <w:lang w:bidi="fa-IR"/>
        </w:rPr>
        <w:t>والفتاوی والأصل الأصیل ، یعلم اشتراط مورد القسامة باللوث والتهمة ، بل بخصوص التهمة الظاهرة ، لا بمطلق التهمة والفریة ، بل بخصوص التهمة المحصورة فی أهل قریة أو محلة محصورة ، لا فی مثل سوق مدینة أو فلاة أو عسکر أو جمعة أو جماعة غیر محصوراً ، بل بخصوص ما إذا رضی أولیاء المقتول بالحلف أو إحلاف المتهمین، دون ما إذا لم یرضوا بالحلف ، لعدّم جزمهم ، ولا بإحلاف مثل الیهود ، لعدّم صدقهم ، فإنه لا قسامة فی شیء من ذلک ، بل یتعیّن الدیة من بیت المال ، کما</w:t>
      </w:r>
    </w:p>
    <w:p>
      <w:pPr>
        <w:pStyle w:val="BookText"/>
        <w:rPr/>
      </w:pPr>
      <w:r>
        <w:rPr>
          <w:rFonts w:ascii="IRNazanin" w:hAnsi="IRNazanin" w:eastAsia="IRNazanin"/>
          <w:color w:val="111111"/>
          <w:sz w:val="28"/>
          <w:sz w:val="28"/>
          <w:szCs w:val="28"/>
          <w:rtl w:val="true"/>
          <w:lang w:bidi="fa-IR"/>
        </w:rPr>
        <w:t>فعله النبیّ الله فی نصوص</w:t>
      </w:r>
      <w:r>
        <w:rPr>
          <w:rStyle w:val="FootnoteAnchor"/>
          <w:rtl w:val="true"/>
        </w:rPr>
        <w:footnoteReference w:id="1728"/>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فی دعوی القتل إلی حکم سائر الدعاوی من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 والیمین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والهایشات الفزعة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الدهشة من الاختلاط ، التی یفزعون فیها إلی مفزع ، ویلجؤون فیها إلی 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مطلقة بالقسامة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الإطلاق تعمیم الدعوی لقتل العمد أو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اعتبارها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النسبة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کسرة فی الیمین أکمل بیمین واحدة ، لأنها عشر الستّة ، إلا الکسر الذی لا یتبعّض فی الیمین ، فلابدّ من إکمال کسره ، ونسبة قلّته إلی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عدم اعتبار النسبة ، کما زعمه الأردبیلی </w:t>
      </w:r>
      <w:r>
        <w:rPr>
          <w:rStyle w:val="FootnoteAnchor"/>
          <w:rtl w:val="true"/>
        </w:rPr>
        <w:footnoteReference w:id="1729"/>
      </w:r>
      <w:r>
        <w:rPr>
          <w:rFonts w:ascii="IRNazanin" w:hAnsi="IRNazanin" w:eastAsia="IRNazanin"/>
          <w:color w:val="111111"/>
          <w:sz w:val="28"/>
          <w:sz w:val="28"/>
          <w:szCs w:val="28"/>
          <w:rtl w:val="true"/>
          <w:lang w:bidi="fa-IR"/>
        </w:rPr>
        <w:t xml:space="preserve">فی الأقّل ، فیحتمل فیه القسامة خمسون أو ستة ، أو نفیها رأساً </w:t>
      </w:r>
    </w:p>
    <w:p>
      <w:pPr>
        <w:pStyle w:val="BookText"/>
        <w:rPr/>
      </w:pPr>
      <w:r>
        <w:rPr>
          <w:rFonts w:ascii="IRNazanin" w:hAnsi="IRNazanin" w:eastAsia="IRNazanin"/>
          <w:color w:val="111111"/>
          <w:sz w:val="28"/>
          <w:sz w:val="28"/>
          <w:szCs w:val="28"/>
          <w:rtl w:val="true"/>
          <w:lang w:bidi="fa-IR"/>
        </w:rPr>
        <w:t>کسائر الدعاوی ، فکلّها مخالفة للأصل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قریب منه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الاحتیاط فی الدماء ، والخروج عن شبهة الخلاف، وإشعار النصّ باعتبار إذن الحاکم فی القصاص ، لا یبلغ حدّ الاعتبار ، فضلاً عن تخصیصها عمومات الکتاب والسنّة ، غایتها الدلالة علی کراهة المبادرة إلی القصاص من دون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الدلالة علی الحرمة لیس المراد وجوب القصاص والدیة علی المقتصّ بدون الإذن ، ضرورة استیفاء حقّه القصاص وإن أثم، غایته یعزّر بترکه الاستئذان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الأولویّة لو سلمت فهو قیاس مع الفارق ، والفارق النصّ فی المقیس علیه دون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علی التقدیرین 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المقاصد المذکورة فی حصّة الباقی وإن کانت حاصلة علی تقدیری الإذن وعدمه ، إلا أن مقایسة عدم الإذن بالإذن فی حصول المقاصد قیاس مع الفارق ، لأن حصول القتل المشترک بینهما علی تقدیر الإذن مستند إلی کلّ منهما ، وعلی تقدیر عدم الإذن خاصّ بالمستوفی دون شریکه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حصول الدیة أو العفو قبل القصاص من الجانی وبعده من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الفروق کیف یجوز القصاص لأحد الشرکاء من دون إذن شریکه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تعزیره ، بل قصاصه بقتل الجانی ، لتفویته حقّ شریکه بإتلاف محلّه ، کما فی تصرف أحد الشریکین فی سائر الحقوق المشترکة بدون إذن شریکه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فالمخرج للقصاص المشترک عن سائر الحقوق المشترکة لیس إلا الإجماع المنقول ، لا القیاس المعلول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الأقرب ، اقتصاراً فیما خالف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العمد القصاص لا الدیة ، فیقتصر فیما خالف الأصل علی النصّ ، وهو موت الهارب ، لا موت الفجأة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العموم ، لعموم التعلیل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 دم امرء مسلم</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فساد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فساد العقیدة لا یمنع فی الجارح لا یمنع فی المجروح، لاشتراکهما فی الفساد ، لأن الجارح من بنی فضّال القالة بإمامة عبدالله الأفطح ابن الصادق علیه السلام ، وهم الفطحیة ، مع الاتفاق بصحة روایاتهم ووثاقتهم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المجروح من ناووسیة الواقفین علی الصادق علیه السلام ، أتباع رجل یقال له ناووس ، غیر قادح فی خصوص أبان بن عثمان من وجوه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النسبة معارضة بإجماع العصابة علی تصحیح ما یصحّ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هذه النسبة وکونها تهمة ، أو شبهة موهومة ، أو تصحیف قادسیّة ،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عرفته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إرسال الخبر لا یجبر إلا علی ما هو المشهور من أن الاجماع علی تصحیح ما یصحّ عنه معناه صحة روایاته لا مجرّد توثیق راویه ، فإنه لا یستلزم توثیق الراوی صحّة جمیع روایاته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إشارة إلی أن صحّة سند خبر الفقیه</w:t>
      </w:r>
      <w:r>
        <w:rPr>
          <w:rStyle w:val="FootnoteAnchor"/>
          <w:rtl w:val="true"/>
        </w:rPr>
        <w:footnoteReference w:id="1731"/>
      </w:r>
      <w:r>
        <w:rPr>
          <w:rFonts w:ascii="IRNazanin" w:hAnsi="IRNazanin" w:eastAsia="IRNazanin"/>
          <w:color w:val="111111"/>
          <w:sz w:val="28"/>
          <w:sz w:val="28"/>
          <w:szCs w:val="28"/>
          <w:rtl w:val="true"/>
          <w:lang w:bidi="fa-IR"/>
        </w:rPr>
        <w:t xml:space="preserve">وإن عورض بضعف سنده فی الکافی </w:t>
      </w:r>
      <w:r>
        <w:rPr>
          <w:rStyle w:val="FootnoteAnchor"/>
          <w:rtl w:val="true"/>
        </w:rPr>
        <w:footnoteReference w:id="1732"/>
      </w:r>
      <w:r>
        <w:rPr>
          <w:rFonts w:ascii="IRNazanin" w:hAnsi="IRNazanin" w:eastAsia="IRNazanin"/>
          <w:color w:val="111111"/>
          <w:sz w:val="28"/>
          <w:sz w:val="28"/>
          <w:szCs w:val="28"/>
          <w:rtl w:val="true"/>
          <w:lang w:bidi="fa-IR"/>
        </w:rPr>
        <w:t xml:space="preserve">والتهذیب </w:t>
      </w:r>
      <w:r>
        <w:rPr>
          <w:rStyle w:val="FootnoteAnchor"/>
          <w:rtl w:val="true"/>
        </w:rPr>
        <w:footnoteReference w:id="1733"/>
      </w:r>
      <w:r>
        <w:rPr>
          <w:rFonts w:ascii="IRNazanin" w:hAnsi="IRNazanin" w:eastAsia="IRNazanin"/>
          <w:color w:val="111111"/>
          <w:sz w:val="28"/>
          <w:sz w:val="28"/>
          <w:szCs w:val="28"/>
          <w:rtl w:val="true"/>
          <w:lang w:bidi="fa-IR"/>
        </w:rPr>
        <w:t xml:space="preserve">، إلا أن تصحیح المصححّ مقدّم علی تضعیفه بالجهل </w:t>
      </w:r>
    </w:p>
    <w:p>
      <w:pPr>
        <w:pStyle w:val="BookText"/>
        <w:rPr/>
      </w:pPr>
      <w:r>
        <w:rPr>
          <w:rFonts w:ascii="IRNazanin" w:hAnsi="IRNazanin" w:eastAsia="IRNazanin"/>
          <w:color w:val="111111"/>
          <w:sz w:val="28"/>
          <w:sz w:val="28"/>
          <w:szCs w:val="28"/>
          <w:rtl w:val="true"/>
          <w:lang w:bidi="fa-IR"/>
        </w:rPr>
        <w:t xml:space="preserve">والإرسال ، لرجوع تعارضهما إلی تعارض المثبت والنافی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مشکل بجهالة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سورة مشترک بین کوفیّین أسدییّن ، لکن المجهول الحال سورة بن مشاجع لا سورة بن کلیب ، فإنه من أصحاب الصادقین علیهم السلام معلوم حسن حاله وحسن عقیدته من روایاته ، ومن الکشّی</w:t>
      </w:r>
      <w:r>
        <w:rPr>
          <w:rStyle w:val="FootnoteAnchor"/>
          <w:rtl w:val="true"/>
        </w:rPr>
        <w:footnoteReference w:id="1734"/>
      </w:r>
      <w:r>
        <w:rPr>
          <w:rFonts w:ascii="IRNazanin" w:hAnsi="IRNazanin" w:eastAsia="IRNazanin"/>
          <w:color w:val="111111"/>
          <w:sz w:val="28"/>
          <w:sz w:val="28"/>
          <w:szCs w:val="28"/>
          <w:rtl w:val="true"/>
          <w:lang w:bidi="fa-IR"/>
        </w:rPr>
        <w:t>والنجاشی</w:t>
      </w:r>
      <w:r>
        <w:rPr>
          <w:rStyle w:val="FootnoteAnchor"/>
          <w:rtl w:val="true"/>
        </w:rPr>
        <w:footnoteReference w:id="1735"/>
      </w:r>
      <w:r>
        <w:rPr>
          <w:rFonts w:ascii="IRNazanin" w:hAnsi="IRNazanin" w:eastAsia="IRNazanin"/>
          <w:color w:val="111111"/>
          <w:sz w:val="28"/>
          <w:sz w:val="28"/>
          <w:szCs w:val="28"/>
          <w:rtl w:val="true"/>
          <w:lang w:bidi="fa-IR"/>
        </w:rPr>
        <w:t xml:space="preserve">، والشیخ </w:t>
      </w:r>
      <w:r>
        <w:rPr>
          <w:rStyle w:val="FootnoteAnchor"/>
          <w:rtl w:val="true"/>
        </w:rPr>
        <w:footnoteReference w:id="1736"/>
      </w:r>
      <w:r>
        <w:rPr>
          <w:rFonts w:ascii="Amiri" w:hAnsi="Amiri" w:eastAsia="Amiri" w:cs="Amiri"/>
          <w:color w:val="111111"/>
          <w:sz w:val="28"/>
          <w:sz w:val="28"/>
          <w:szCs w:val="28"/>
          <w:rtl w:val="true"/>
          <w:lang w:bidi="ar-SA"/>
        </w:rPr>
        <w:t xml:space="preserve">والعلامة </w:t>
      </w:r>
      <w:r>
        <w:rPr>
          <w:rStyle w:val="FootnoteAnchor"/>
          <w:rtl w:val="true"/>
        </w:rPr>
        <w:footnoteReference w:id="1737"/>
      </w:r>
      <w:r>
        <w:rPr>
          <w:rFonts w:ascii="IRNazanin" w:hAnsi="IRNazanin" w:eastAsia="IRNazanin"/>
          <w:color w:val="111111"/>
          <w:sz w:val="28"/>
          <w:sz w:val="28"/>
          <w:szCs w:val="28"/>
          <w:rtl w:val="true"/>
          <w:lang w:bidi="fa-IR"/>
        </w:rPr>
        <w:t>ومنتهی المقال</w:t>
      </w:r>
      <w:r>
        <w:rPr>
          <w:rStyle w:val="FootnoteAnchor"/>
          <w:rtl w:val="true"/>
        </w:rPr>
        <w:footnoteReference w:id="1738"/>
      </w:r>
      <w:r>
        <w:rPr>
          <w:rFonts w:ascii="IRNazanin" w:hAnsi="IRNazanin" w:eastAsia="IRNazanin"/>
          <w:color w:val="111111"/>
          <w:sz w:val="28"/>
          <w:sz w:val="28"/>
          <w:szCs w:val="28"/>
          <w:rtl w:val="true"/>
          <w:lang w:bidi="fa-IR"/>
        </w:rPr>
        <w:t xml:space="preserve">فی أحوال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الأصل 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غرابة الجمع بین القصاص والدیة فی العین الواحدة للأعور ، من حیث مخالفة عموم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 xml:space="preserve">وعموم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 xml:space="preserve">، وأن موجب العمد القصاص لا الدیة ، وأن الدیة صلحّ و تراض فی العمد ، وخلاف الأصل ، خصوصا الدیة الکاملة بالعین الواحدة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الاجماع المنقول والنصّ المخصص لتلک الأصول وإن أمکن ، إلا أن الاجماع بعید مع مخالفة الشیخ فی الخلاف</w:t>
      </w:r>
      <w:r>
        <w:rPr>
          <w:rStyle w:val="FootnoteAnchor"/>
          <w:rtl w:val="true"/>
        </w:rPr>
        <w:footnoteReference w:id="1741"/>
      </w:r>
      <w:r>
        <w:rPr>
          <w:rFonts w:ascii="Amiri" w:hAnsi="Amiri" w:eastAsia="Amiri" w:cs="Amiri"/>
          <w:color w:val="111111"/>
          <w:sz w:val="28"/>
          <w:sz w:val="28"/>
          <w:szCs w:val="28"/>
          <w:rtl w:val="true"/>
          <w:lang w:bidi="ar-SA"/>
        </w:rPr>
        <w:t xml:space="preserve">والحلیّ </w:t>
      </w:r>
      <w:r>
        <w:rPr>
          <w:rStyle w:val="FootnoteAnchor"/>
          <w:rtl w:val="true"/>
        </w:rPr>
        <w:footnoteReference w:id="1742"/>
      </w:r>
      <w:r>
        <w:rPr>
          <w:rFonts w:ascii="Amiri" w:hAnsi="Amiri" w:eastAsia="Amiri" w:cs="Amiri"/>
          <w:color w:val="111111"/>
          <w:sz w:val="28"/>
          <w:sz w:val="28"/>
          <w:szCs w:val="28"/>
          <w:rtl w:val="true"/>
          <w:lang w:bidi="ar-SA"/>
        </w:rPr>
        <w:t xml:space="preserve">والمحقّق </w:t>
      </w:r>
      <w:r>
        <w:rPr>
          <w:rStyle w:val="FootnoteAnchor"/>
          <w:rtl w:val="true"/>
        </w:rPr>
        <w:footnoteReference w:id="1743"/>
      </w:r>
      <w:r>
        <w:rPr>
          <w:rFonts w:ascii="IRNazanin" w:hAnsi="IRNazanin" w:eastAsia="IRNazanin"/>
          <w:color w:val="111111"/>
          <w:sz w:val="28"/>
          <w:sz w:val="28"/>
          <w:szCs w:val="28"/>
          <w:rtl w:val="true"/>
          <w:lang w:bidi="fa-IR"/>
        </w:rPr>
        <w:t xml:space="preserve">والعلامة فی </w:t>
      </w:r>
    </w:p>
    <w:p>
      <w:pPr>
        <w:pStyle w:val="BookText"/>
        <w:rPr/>
      </w:pPr>
      <w:r>
        <w:rPr>
          <w:rFonts w:ascii="IRNazanin" w:hAnsi="IRNazanin" w:eastAsia="IRNazanin"/>
          <w:color w:val="111111"/>
          <w:sz w:val="28"/>
          <w:sz w:val="28"/>
          <w:szCs w:val="28"/>
          <w:rtl w:val="true"/>
          <w:lang w:bidi="fa-IR"/>
        </w:rPr>
        <w:t>التحریر</w:t>
      </w:r>
      <w:r>
        <w:rPr>
          <w:rStyle w:val="FootnoteAnchor"/>
          <w:rtl w:val="true"/>
        </w:rPr>
        <w:footnoteReference w:id="1744"/>
      </w:r>
      <w:r>
        <w:rPr>
          <w:rFonts w:ascii="IRNazanin" w:hAnsi="IRNazanin" w:eastAsia="IRNazanin"/>
          <w:color w:val="111111"/>
          <w:sz w:val="28"/>
          <w:sz w:val="28"/>
          <w:szCs w:val="28"/>
          <w:rtl w:val="true"/>
          <w:lang w:bidi="fa-IR"/>
        </w:rPr>
        <w:t>والأردبیلی</w:t>
      </w:r>
      <w:r>
        <w:rPr>
          <w:rStyle w:val="FootnoteAnchor"/>
          <w:rtl w:val="true"/>
        </w:rPr>
        <w:footnoteReference w:id="1745"/>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 الجامع بین القصاص والدیة فیحتمل کونها قضیّة فی واقعة ، أو الموافقة للعامّة</w:t>
      </w:r>
      <w:r>
        <w:rPr>
          <w:rStyle w:val="FootnoteAnchor"/>
          <w:rtl w:val="true"/>
        </w:rPr>
        <w:footnoteReference w:id="1746"/>
      </w:r>
      <w:r>
        <w:rPr>
          <w:rFonts w:ascii="IRNazanin" w:hAnsi="IRNazanin" w:eastAsia="IRNazanin"/>
          <w:color w:val="111111"/>
          <w:sz w:val="28"/>
          <w:sz w:val="28"/>
          <w:szCs w:val="28"/>
          <w:rtl w:val="true"/>
          <w:lang w:bidi="fa-IR"/>
        </w:rPr>
        <w:t>والتقیّة، أو الحمل علی التراضی ، أو علی الاستحباب و التفضل علی الأعور بالقصاص والدیة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الوجوه الثلاثة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مضافاً إلی الوجوه الثلاثة أن من المعلوم من النصوص الخاصّة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المساجد والمعابد والقرآن الکریم والعرش العظیم إنما هی بواسطة حرمة المشاهد ، ضرورة أن حرمة المکان بالمکّین ، کما یعلم من أخبار </w:t>
      </w:r>
      <w:r>
        <w:rPr>
          <w:rStyle w:val="FootnoteAnchor"/>
          <w:rtl w:val="true"/>
        </w:rPr>
        <w:footnoteReference w:id="1747"/>
      </w:r>
      <w:r>
        <w:rPr>
          <w:rFonts w:ascii="IRNazanin" w:hAnsi="IRNazanin" w:eastAsia="IRNazanin"/>
          <w:color w:val="111111"/>
          <w:sz w:val="28"/>
          <w:sz w:val="28"/>
          <w:szCs w:val="28"/>
          <w:rtl w:val="true"/>
          <w:lang w:bidi="fa-IR"/>
        </w:rPr>
        <w:t xml:space="preserve">افتخار الکعبة أشرفیّة کربلاء ، ولولاها ما خلقت 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من حرم الکوفة ما حرم الله من حرمه ، وما حرمه الرسول صلی الله علیه وآله وسلم من حرم المدینة</w:t>
      </w:r>
      <w:r>
        <w:rPr>
          <w:rFonts w:eastAsia="IRNazanin" w:cs="IRNazanin"/>
          <w:color w:val="111111"/>
          <w:sz w:val="28"/>
          <w:szCs w:val="28"/>
          <w:rtl w:val="true"/>
          <w:lang w:bidi="fa-IR"/>
        </w:rPr>
        <w:t>»</w:t>
      </w:r>
      <w:r>
        <w:rPr>
          <w:rStyle w:val="FootnoteAnchor"/>
          <w:rtl w:val="true"/>
        </w:rPr>
        <w:footnoteReference w:id="1748"/>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صعد منبر رسول الله یوم بویع فجلس فی أعلی درجاته التی کان یجلسها رسول الله خاصة ، فوقع الغلغلة بینهم بأن أبا بکر کان یجلس ما دون بدرجة ، وعمر بدرجتین ، وعثمان بثلاث درجات ، وأسکتهم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شرف هذه الأعواد من شرافة کتف النبی صلی الله علیه وآله وسلم الذی أصعدنی علیه کراراً</w:t>
      </w:r>
      <w:r>
        <w:rPr>
          <w:rFonts w:eastAsia="IRNazanin" w:cs="IRNazanin"/>
          <w:color w:val="111111"/>
          <w:sz w:val="28"/>
          <w:szCs w:val="28"/>
          <w:rtl w:val="true"/>
          <w:lang w:bidi="fa-IR"/>
        </w:rPr>
        <w:t>»</w:t>
      </w:r>
      <w:r>
        <w:rPr>
          <w:rStyle w:val="FootnoteAnchor"/>
          <w:rtl w:val="true"/>
        </w:rPr>
        <w:footnoteReference w:id="1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خبر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علی باب أحد الصادقین علی وکنت مجنباً فقرعت الباب فنادانی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یؤتی بیوت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فی حاجتی</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الجواب عن قول الأردبیلی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علی الحرم حرم المدینة ولا المشاهد المشرّفة ، لبطلان القیاس ، وعدم دلیل غیره</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 xml:space="preserve">لما عرفت من الأدلّة غیر القیاس ، مضافاً إلی تنقیح مناط قطعی لا مجرّد القیاس ، 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ظاهر التحریر</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w:t>
      </w:r>
      <w:r>
        <w:rPr>
          <w:rStyle w:val="FootnoteAnchor"/>
          <w:rtl w:val="true"/>
        </w:rPr>
        <w:footnoteReference w:id="1753"/>
      </w:r>
      <w:r>
        <w:rPr>
          <w:rFonts w:ascii="IRNazanin" w:hAnsi="IRNazanin" w:eastAsia="IRNazanin"/>
          <w:color w:val="111111"/>
          <w:sz w:val="28"/>
          <w:sz w:val="28"/>
          <w:szCs w:val="28"/>
          <w:rtl w:val="true"/>
          <w:lang w:bidi="fa-IR"/>
        </w:rPr>
        <w:t xml:space="preserve">حرمة الحائر والاستشفاء بتربته إلی أربعة فراسخ حرمة جمیع المشهد البلد ، فضلاً عن الصحّن والروضة المنورة </w:t>
      </w:r>
      <w:r>
        <w:rPr>
          <w:rFonts w:eastAsia="IRNazanin" w:cs="IRNazanin"/>
          <w:color w:val="111111"/>
          <w:sz w:val="28"/>
          <w:szCs w:val="28"/>
          <w:rtl w:val="true"/>
          <w:lang w:bidi="fa-IR"/>
        </w:rPr>
        <w:t xml:space="preserve">. </w:t>
      </w:r>
      <w:bookmarkStart w:id="113" w:name="pg1905_2495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3268801_3650668749"/>
      <w:bookmarkStart w:id="115" w:name="_Toc38"/>
      <w:bookmarkEnd w:id="113"/>
      <w:bookmarkEnd w:id="114"/>
      <w:r>
        <w:rPr>
          <w:rtl w:val="true"/>
        </w:rPr>
        <w:t>کتاب الدیات</w:t>
      </w:r>
      <w:bookmarkEnd w:id="11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تثبت إلا بالتراضی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دیة جنایة العمد بصلح التراضی علی حسب ما یتعیّن ، من حیث القلّة والکثرة والتأجیل والتعجیل ، لیس علی إطلاقه ، بل إطلاقه مقیّد بصورة بقاء حکم التعیین علی اختیار المقصّ والمستوفی بین القصاص والدیة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صورة سقوط القصاص لسقوط محلّه ، کما لو فات القاتل قبل قصاصه أو کان المقتول ولد القاتل أو مجنوناً والقاتل عاقل ، فلیس دیته علی حسب ما یعینّه صلح التراضی ، بل هو علی ما عینّه الشارع من الخصال الستّة المقرّرة تخییراً أو تنویعاً ، علی الخلاف المتقدّم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سندهما ضعف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ضعفه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بن حمزة وإن کان المشهور ضعفه جدّاً بأصل الوقف عند أهل الرجال ، إلا أن تضعیف الراوی بأصل الوقف لا یستلزم تضعیف روایاته السابقة علی الوقف ، کما قال 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وذروا ما رأوه</w:t>
      </w:r>
      <w:r>
        <w:rPr>
          <w:rFonts w:eastAsia="IRNazanin" w:cs="IRNazanin"/>
          <w:color w:val="111111"/>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 xml:space="preserve">، ولهذا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موثّق ، لقول الشیخ فی العدة</w:t>
      </w:r>
      <w:r>
        <w:rPr>
          <w:rStyle w:val="FootnoteAnchor"/>
          <w:rtl w:val="true"/>
        </w:rPr>
        <w:footnoteReference w:id="1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الطائفة بأخباره، وأن له أصلاً ، وروی عنه صفوان وابن أبی عمیر وغیرهم من الثقاة وأصحاب الاجماع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محمد بن سنان وإن اشتهر ضعفه بما لم یتبیّن وجهه ، بل أجمعت العدول والثقاة والمحمدون </w:t>
      </w:r>
      <w:r>
        <w:rPr>
          <w:rStyle w:val="FootnoteAnchor"/>
          <w:rtl w:val="true"/>
        </w:rPr>
        <w:footnoteReference w:id="1756"/>
      </w:r>
      <w:r>
        <w:rPr>
          <w:rFonts w:ascii="IRNazanin" w:hAnsi="IRNazanin" w:eastAsia="IRNazanin"/>
          <w:color w:val="111111"/>
          <w:sz w:val="28"/>
          <w:sz w:val="28"/>
          <w:szCs w:val="28"/>
          <w:rtl w:val="true"/>
          <w:lang w:bidi="fa-IR"/>
        </w:rPr>
        <w:t xml:space="preserve">الثلاث بتوثیقه و تجلیله وصحّة روایاته والروایة فی </w:t>
      </w:r>
    </w:p>
    <w:p>
      <w:pPr>
        <w:pStyle w:val="BookText"/>
        <w:rPr/>
      </w:pPr>
      <w:r>
        <w:rPr>
          <w:rFonts w:ascii="IRNazanin" w:hAnsi="IRNazanin" w:eastAsia="IRNazanin"/>
          <w:color w:val="111111"/>
          <w:sz w:val="28"/>
          <w:sz w:val="28"/>
          <w:szCs w:val="28"/>
          <w:rtl w:val="true"/>
          <w:lang w:bidi="fa-IR"/>
        </w:rPr>
        <w:t xml:space="preserve">مدحه ، کما لا یخفی علی مَن راجع منتهی المقال </w:t>
      </w:r>
      <w:r>
        <w:rPr>
          <w:rStyle w:val="FootnoteAnchor"/>
          <w:rtl w:val="true"/>
        </w:rPr>
        <w:footnoteReference w:id="1757"/>
      </w:r>
      <w:r>
        <w:rPr>
          <w:rFonts w:ascii="IRNazanin" w:hAnsi="IRNazanin" w:eastAsia="IRNazanin"/>
          <w:color w:val="111111"/>
          <w:sz w:val="28"/>
          <w:sz w:val="28"/>
          <w:szCs w:val="28"/>
          <w:rtl w:val="true"/>
          <w:lang w:bidi="fa-IR"/>
        </w:rPr>
        <w:t xml:space="preserve">والوسائل و مستدرکاته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الثانیة وإن لم تبلغ رتبة الأولی ، لکن لا تقصر عنها 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قاعدة التعادل والتراجیح حملهما علی التغییر والتسهیل والتیسیر ، سیّما اختلافهما اختلاف یسیر لا ینافی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بمثله بل وأجود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إجماع الحلیّ</w:t>
      </w:r>
      <w:r>
        <w:rPr>
          <w:rStyle w:val="FootnoteAnchor"/>
          <w:rtl w:val="true"/>
        </w:rPr>
        <w:footnoteReference w:id="1758"/>
      </w:r>
      <w:r>
        <w:rPr>
          <w:rFonts w:ascii="IRNazanin" w:hAnsi="IRNazanin" w:eastAsia="IRNazanin"/>
          <w:color w:val="111111"/>
          <w:sz w:val="28"/>
          <w:sz w:val="28"/>
          <w:szCs w:val="28"/>
          <w:rtl w:val="true"/>
          <w:lang w:bidi="fa-IR"/>
        </w:rPr>
        <w:t xml:space="preserve">وإن أید بالأصل ، إلا أن إجماع الغنیة </w:t>
      </w:r>
      <w:r>
        <w:rPr>
          <w:rStyle w:val="FootnoteAnchor"/>
          <w:rtl w:val="true"/>
        </w:rPr>
        <w:footnoteReference w:id="1759"/>
      </w:r>
      <w:r>
        <w:rPr>
          <w:rFonts w:ascii="IRNazanin" w:hAnsi="IRNazanin" w:eastAsia="IRNazanin"/>
          <w:color w:val="111111"/>
          <w:sz w:val="28"/>
          <w:sz w:val="28"/>
          <w:szCs w:val="28"/>
          <w:rtl w:val="true"/>
          <w:lang w:bidi="fa-IR"/>
        </w:rPr>
        <w:t xml:space="preserve">معتضد بأجود منه ، وهو النصوص </w:t>
      </w:r>
      <w:r>
        <w:rPr>
          <w:rStyle w:val="FootnoteAnchor"/>
          <w:rtl w:val="true"/>
        </w:rPr>
        <w:footnoteReference w:id="1760"/>
      </w:r>
      <w:r>
        <w:rPr>
          <w:rFonts w:ascii="IRNazanin" w:hAnsi="IRNazanin" w:eastAsia="IRNazanin"/>
          <w:color w:val="111111"/>
          <w:sz w:val="28"/>
          <w:sz w:val="28"/>
          <w:szCs w:val="28"/>
          <w:rtl w:val="true"/>
          <w:lang w:bidi="fa-IR"/>
        </w:rPr>
        <w:t>المعللة بأنّه لا یطلّ دم مسلم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ضعیف جدّاً ، تضعف به الروایة</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ضعفه فی نفسه ضعیف ، لاختلافهم فی وجه ضعفه ، فعن الشیخ </w:t>
      </w:r>
      <w:r>
        <w:rPr>
          <w:rStyle w:val="FootnoteAnchor"/>
          <w:rtl w:val="true"/>
        </w:rPr>
        <w:footnoteReference w:id="1762"/>
      </w:r>
      <w:r>
        <w:rPr>
          <w:rFonts w:ascii="IRNazanin" w:hAnsi="IRNazanin" w:eastAsia="IRNazanin"/>
          <w:color w:val="111111"/>
          <w:sz w:val="28"/>
          <w:sz w:val="28"/>
          <w:szCs w:val="28"/>
          <w:rtl w:val="true"/>
          <w:lang w:bidi="fa-IR"/>
        </w:rPr>
        <w:t xml:space="preserve">أنه من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ویبعده ما عن النجاشی</w:t>
      </w:r>
      <w:r>
        <w:rPr>
          <w:rStyle w:val="FootnoteAnchor"/>
          <w:rtl w:val="true"/>
        </w:rPr>
        <w:footnoteReference w:id="1763"/>
      </w:r>
      <w:r>
        <w:rPr>
          <w:rFonts w:ascii="IRNazanin" w:hAnsi="IRNazanin" w:eastAsia="IRNazanin"/>
          <w:color w:val="111111"/>
          <w:sz w:val="28"/>
          <w:sz w:val="28"/>
          <w:szCs w:val="28"/>
          <w:rtl w:val="true"/>
          <w:lang w:bidi="fa-IR"/>
        </w:rPr>
        <w:t>والفهرست</w:t>
      </w:r>
      <w:r>
        <w:rPr>
          <w:rFonts w:eastAsia="IRNazanin" w:cs="IRNazanin"/>
          <w:color w:val="111111"/>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أن له کتابة وأنه قمی</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والرمز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علی بن موسی الرضا علیه السلام ، لأنه من أصحابه ، انظر الهامش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الخلاصّة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 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علی بن موسی الرضا علیه السلام ، لأنه من أصحابه ، انظر الهامش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نعم ، حکی الکشی تضعیفه ورمیه بالفطحیة عن نصر بن الصباح ، انظر 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نقل تعدیله عن الجواد علیه السلام فی ص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وجه ضعفه عن نضر</w:t>
      </w:r>
    </w:p>
    <w:p>
      <w:pPr>
        <w:pStyle w:val="BookText"/>
        <w:rPr/>
      </w:pPr>
      <w:r>
        <w:rPr>
          <w:rFonts w:ascii="IRNazanin" w:hAnsi="IRNazanin" w:eastAsia="IRNazanin"/>
          <w:color w:val="111111"/>
          <w:sz w:val="28"/>
          <w:sz w:val="28"/>
          <w:szCs w:val="28"/>
          <w:rtl w:val="true"/>
          <w:lang w:bidi="fa-IR"/>
        </w:rPr>
        <w:t xml:space="preserve">ابن صالح أنه فطحیّ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w:t>
      </w:r>
      <w:r>
        <w:rPr>
          <w:rStyle w:val="FootnoteAnchor"/>
          <w:rtl w:val="true"/>
        </w:rPr>
        <w:footnoteReference w:id="1766"/>
      </w:r>
      <w:r>
        <w:rPr>
          <w:rFonts w:ascii="IRNazanin" w:hAnsi="IRNazanin" w:eastAsia="IRNazanin"/>
          <w:color w:val="111111"/>
          <w:sz w:val="28"/>
          <w:sz w:val="28"/>
          <w:szCs w:val="28"/>
          <w:rtl w:val="true"/>
          <w:lang w:bidi="fa-IR"/>
        </w:rPr>
        <w:t>نقله عن أبی جعفر الثانی تعدیله وصلاة</w:t>
      </w:r>
      <w:r>
        <w:rPr>
          <w:rStyle w:val="FootnoteAnchor"/>
          <w:rtl w:val="true"/>
        </w:rPr>
        <w:footnoteReference w:id="1767"/>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ضعفه فی نفسه لکن لا یستلزم ضعف روایاته ، سیّما هذه الروایة المشارک له فی نقله 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تفصیلاً لا یوجد أثر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ما کانت لهم ذمّة من رسول الله ولم یغیّروا ما شرط علیهم فدیة الرجل منهم أربعة آلاف درهم ، وبین غیرهم فثمانمأة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الحکم والمماثلة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أن عدّ ولد الزنا فی عداد الیهود والنصاری فی النجاسة وإن یشعر باتّحادهما فی الدیة ، لکنّه فیما إذا کان ولد الزنا مفروض النجاسة ، کما لو کان قبل البلوغ أو قبل إظهاره الاسلام ، وهو خارج عن محلّ الکلام، لأن فرض الکلام مبنیّ علی القول بطهارته وقبول إسلامه بعد إظهاره ،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دیة ولد الزنا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الذی أنفق ما أنفق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الخبر </w:t>
      </w:r>
      <w:r>
        <w:rPr>
          <w:rStyle w:val="FootnoteAnchor"/>
          <w:rtl w:val="true"/>
        </w:rPr>
        <w:footnoteReference w:id="1768"/>
      </w:r>
      <w:r>
        <w:rPr>
          <w:rFonts w:ascii="IRNazanin" w:hAnsi="IRNazanin" w:eastAsia="IRNazanin"/>
          <w:color w:val="111111"/>
          <w:sz w:val="28"/>
          <w:sz w:val="28"/>
          <w:szCs w:val="28"/>
          <w:rtl w:val="true"/>
          <w:lang w:bidi="fa-IR"/>
        </w:rPr>
        <w:t xml:space="preserve">وإن کان صحیحة عبدالله بن سنان عن الصادق علیه السلام، لکنّه فی غایة الإجمال ، لا یصلحّ للاستدلال بهذا المنوال ، والإخلال والاحتمال فی جواب السؤال ، فلعلّ ذکر النفقة و ترک الجواب عن الدیة التقیّة أو لمصلحّة خفیّة کما فی الوسائل </w:t>
      </w:r>
      <w:r>
        <w:rPr>
          <w:rStyle w:val="FootnoteAnchor"/>
          <w:rtl w:val="true"/>
        </w:rPr>
        <w:footnoteReference w:id="1769"/>
      </w:r>
      <w:r>
        <w:rPr>
          <w:rFonts w:ascii="IRNazanin" w:hAnsi="IRNazanin" w:eastAsia="IRNazanin"/>
          <w:color w:val="111111"/>
          <w:sz w:val="28"/>
          <w:sz w:val="28"/>
          <w:szCs w:val="28"/>
          <w:rtl w:val="true"/>
          <w:lang w:bidi="fa-IR"/>
        </w:rPr>
        <w:t xml:space="preserve">والجواهر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إلیه ، کما یؤیّده أن عبدالله بن سنان وإن کان فی </w:t>
      </w:r>
    </w:p>
    <w:p>
      <w:pPr>
        <w:pStyle w:val="BookText"/>
        <w:rPr/>
      </w:pPr>
      <w:r>
        <w:rPr>
          <w:rFonts w:ascii="IRNazanin" w:hAnsi="IRNazanin" w:eastAsia="IRNazanin"/>
          <w:color w:val="111111"/>
          <w:sz w:val="28"/>
          <w:sz w:val="28"/>
          <w:szCs w:val="28"/>
          <w:rtl w:val="true"/>
          <w:lang w:bidi="fa-IR"/>
        </w:rPr>
        <w:t>غایة الوثاقة والصحّة فی الروایة ، لکنه خازن المنصور والهادی والمهدی والرشید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الأقوی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التأمّل إشارة إلی أن دلیل العموم إنما هو ترک الاستفصال فی جواب السؤال ، لا فی قضایا الأحوال التی کستها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حقّ الجنایة من الاستیلاد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الأقوائیة أن حقّ الجنایة حقّ عاجل ، والاستیلاد 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وقیاسه بعتق الجانی فی صحة العتق وضمان الدیة قیاس ومع الفارق، والفارق النصّ ، وإن خص بجنایة العبد خطاً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ذکره من الجواب عن الحاجة لم أفهمه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مفهومه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مسیس الحاجة إنما یجوّز فعل الطبابة واعماله لا سقوط ضمانه ، کما أن الحاجة والضرورة إلی أکل مال المغصوب و المسروق إنما یبیح أکله لا سقوط ضمانه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الضرورة والحاجة إلی الطبّ والطبابة لا ینحصر فی اعمال الأدویة المخطرة الغیر المأمونة من الضرر والخطر ، بل یمکن الاحتیاط الواجب بإعمال ما یؤمن ضرره وخطره قطعاً ، خصوصاً المعالجة والتداوی بنصوص الکتاب والسنّة ، کطب النبیّ له وطب الأئمّة ورسالة الرضاعة الذهبیّة ، وغیرها من المعالجات المأثورة بالمعاجین والأدویة والأدعیة والصدقات والدعوات، الواردة فی کتب المجلسی وغیرها من أبواب الأطعمة والأشربة وما یضرّ وما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أبی ما من داء وله دواء ، ما هذا الدواء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1771"/>
      </w:r>
      <w:r>
        <w:rPr>
          <w:rFonts w:ascii="IRNazanin" w:hAnsi="IRNazanin" w:eastAsia="IRNazanin"/>
          <w:color w:val="111111"/>
          <w:sz w:val="28"/>
          <w:sz w:val="28"/>
          <w:szCs w:val="28"/>
          <w:rtl w:val="true"/>
          <w:lang w:bidi="fa-IR"/>
        </w:rPr>
        <w:t xml:space="preserve">إلی غیر ذلک ممّا هو کافی وشأنی ووای ومغن عن طبّ العجائز </w:t>
      </w:r>
    </w:p>
    <w:p>
      <w:pPr>
        <w:pStyle w:val="BookText"/>
        <w:rPr/>
      </w:pPr>
      <w:r>
        <w:rPr>
          <w:rFonts w:ascii="IRNazanin" w:hAnsi="IRNazanin" w:eastAsia="IRNazanin"/>
          <w:color w:val="111111"/>
          <w:sz w:val="28"/>
          <w:sz w:val="28"/>
          <w:szCs w:val="28"/>
          <w:rtl w:val="true"/>
          <w:lang w:bidi="fa-IR"/>
        </w:rPr>
        <w:t>والسفهاء ، و مستحدثات الفسقة الکفرة الفجرة الخمرة ، الّذین لا یعقلون شیئاً ولا یهتدون ، بل لا یجوز الرکون إلیهم وتصدیقهم وتأمینهم علی مال ولا حال مطلقاً ، فضلاً من التأمین علی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یکون إسقاطاً لما لیس بثابت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ظهور معنی الإبراء عن ضمان ما لم یجب هو إسقاط ما لم یثبت ، دون عدم ثبوت حقّ ، ولا ثبوت حقّ وسقوطه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أخذ البراءة بعنوان الشرطیّة فی عقد إجارة الطبیب ، کاشتراط سقوط خیار الحیوان والمجلس ونحوهما ممّا یندرج فی 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 xml:space="preserve">سقط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شرط الإبراء مطلقاً وإن لم یکن فی ضمن عقد لازم کان وعداً أو کالوعد الغیر اللازم الوفاء ، خصوصاً إذا کان الوعد الإبراء من المیّت لاولیّه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بیت المال لبینّه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أنه یکفی فی بیانه و تبیانه 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 دم امرء مسلم، ولا یحتاج إلی بیان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أبی جمیلة ضعف مشهور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قال منتهی المقال</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وتضعیفه من الخلاصة</w:t>
      </w:r>
      <w:r>
        <w:rPr>
          <w:rStyle w:val="FootnoteAnchor"/>
          <w:rtl w:val="true"/>
        </w:rPr>
        <w:footnoteReference w:id="1774"/>
      </w:r>
      <w:r>
        <w:rPr>
          <w:rFonts w:ascii="IRNazanin" w:hAnsi="IRNazanin" w:eastAsia="IRNazanin"/>
          <w:color w:val="111111"/>
          <w:sz w:val="28"/>
          <w:sz w:val="28"/>
          <w:szCs w:val="28"/>
          <w:rtl w:val="true"/>
          <w:lang w:bidi="fa-IR"/>
        </w:rPr>
        <w:t>لعلّه من الغضائری، وتضعیفه ضعیف ، واتّهامه بالغلوّ لا عین له ولا أثر، وأن روایة الأجلّة ومَن أجمعت العصابة کابن أبی عمیر وابن المغیرة والحسن بن محبوب والبزنطی فی الصحیح یشهد بوثاقته والاعتماد علیه سیّما کثرة الروایات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تقیید المطلق وحمله علی المقیّد إنما هو بالقید والمقیّد فی المنطوق ، وأما القید المقیّد المفهومی ، سیّما مفهوم الوصف الغیر المعتبر ، فغیر معتبر فیما نحن فیه ،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إلحاقاً للأقلّ بالأکثر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إلحاق الأقلّ بالأکثر وإن صحّ بإطلاق النصّ والفتوی بالضمان ، وصدقه علی الدیة فی الصور الثلاث ، إلا أنه لا یصحّ بمجرّد إلحاق الأقلّ بالأکثر ، لأنه قیاس ، ومع الفارق بین المقیس والمقیس علیه من حیث القتل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حسماً لمادّة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أن حسم مادّة الفساد کما یحصل بالضمان یحصل بالقسامة فی اللوث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یمکن تخصیص الضمان عموم القسامة فی اللوث، کذلک یمکن العکس ، وهو تخصیص القسامة فی اللوث عموم ضمان المخرج ، إلا أن الترجیح للأول بالشهرة والإجماع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لعلّها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جنایة کلّ من السکاری ، ودیة کلّ منهما علی الآخر کما فی الصحیحة </w:t>
      </w:r>
      <w:r>
        <w:rPr>
          <w:rStyle w:val="FootnoteAnchor"/>
          <w:rtl w:val="true"/>
        </w:rPr>
        <w:footnoteReference w:id="1775"/>
      </w:r>
      <w:r>
        <w:rPr>
          <w:rFonts w:ascii="IRNazanin" w:hAnsi="IRNazanin" w:eastAsia="IRNazanin"/>
          <w:color w:val="111111"/>
          <w:sz w:val="28"/>
          <w:sz w:val="28"/>
          <w:szCs w:val="28"/>
          <w:rtl w:val="true"/>
          <w:lang w:bidi="fa-IR"/>
        </w:rPr>
        <w:t xml:space="preserve">، أو علی عاقلة الآخر کما فی الخبر </w:t>
      </w:r>
      <w:r>
        <w:rPr>
          <w:rStyle w:val="FootnoteAnchor"/>
          <w:rtl w:val="true"/>
        </w:rPr>
        <w:footnoteReference w:id="1776"/>
      </w:r>
      <w:r>
        <w:rPr>
          <w:rFonts w:ascii="IRNazanin" w:hAnsi="IRNazanin" w:eastAsia="IRNazanin"/>
          <w:color w:val="111111"/>
          <w:sz w:val="28"/>
          <w:sz w:val="28"/>
          <w:szCs w:val="28"/>
          <w:rtl w:val="true"/>
          <w:lang w:bidi="fa-IR"/>
        </w:rPr>
        <w:t xml:space="preserve">، وإن کان خلاف الأصل جدّاً ، لکن ظاهر عادة السکر والسکاری إیثار الفساد والعداوة والبغضاء والتهور والمقاتلة ، والترجیح عند تعارض الأصل والظاهر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الأصل وإن کان دم کل منهما هدراً ، إلا أن الدیة مع ذلک یحتمل لمزید العقوبة والسیاسة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لالحاق إذن المالک للمحدث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لإلحاق إذن المالک للمحدث ملک المالک بملک المحدث فی عدم ضمان عدم العدوان ، وإذن الأمامیة أقوی من إذن المالک فی سقوط ضمان عدم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العبارة إیجاز مخلّ بهذا المعنی ، سیّما اختلاف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المالک بملک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لقصور دلالة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قصور الدلالة اختصاصها بالمضرّة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صحّة سند الآخر هو کونها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تنزیل الخبرین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إطلاق الخبرین </w:t>
      </w:r>
      <w:r>
        <w:rPr>
          <w:rStyle w:val="FootnoteAnchor"/>
          <w:rtl w:val="true"/>
        </w:rPr>
        <w:footnoteReference w:id="1777"/>
      </w:r>
      <w:r>
        <w:rPr>
          <w:rFonts w:ascii="IRNazanin" w:hAnsi="IRNazanin" w:eastAsia="IRNazanin"/>
          <w:color w:val="111111"/>
          <w:sz w:val="28"/>
          <w:sz w:val="28"/>
          <w:szCs w:val="28"/>
          <w:rtl w:val="true"/>
          <w:lang w:bidi="fa-IR"/>
        </w:rPr>
        <w:t>بضمان صاحب الداخلة علی المقیّد ، وهو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الفرس طرح الغلام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النطح والطرح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الأقویّ فی نطح الفرس صاحبه ، فیضمنه ، بخلاف طرحه ، فإن سببه الأقوی حامله أو راکبه لا صاحبه ، فلا یضمن صاحب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نبتا فالأرش علی الأظهر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الأرش مبنی علی تقدّیر عدم التقدّیر له ، والمفروض أن النص </w:t>
      </w:r>
      <w:r>
        <w:rPr>
          <w:rStyle w:val="FootnoteAnchor"/>
          <w:rtl w:val="true"/>
        </w:rPr>
        <w:footnoteReference w:id="1778"/>
      </w:r>
      <w:r>
        <w:rPr>
          <w:rFonts w:ascii="IRNazanin" w:hAnsi="IRNazanin" w:eastAsia="IRNazanin"/>
          <w:color w:val="111111"/>
          <w:sz w:val="28"/>
          <w:sz w:val="28"/>
          <w:szCs w:val="28"/>
          <w:rtl w:val="true"/>
          <w:lang w:bidi="fa-IR"/>
        </w:rPr>
        <w:t>المقدّر لعدّم الإنبات الدیة الکاملة مقدر للإنبات ثلثها ، فکیف یجعل أحدهما ممّا له تقدیر دون الآخر؟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الأرش مبنیّ علی تقدیر أن یکون حلق اللحیة عیباً فی العرف </w:t>
      </w:r>
    </w:p>
    <w:p>
      <w:pPr>
        <w:pStyle w:val="BookText"/>
        <w:rPr/>
      </w:pPr>
      <w:r>
        <w:rPr>
          <w:rFonts w:ascii="IRNazanin" w:hAnsi="IRNazanin" w:eastAsia="IRNazanin"/>
          <w:color w:val="111111"/>
          <w:sz w:val="28"/>
          <w:sz w:val="28"/>
          <w:szCs w:val="28"/>
          <w:rtl w:val="true"/>
          <w:lang w:bidi="fa-IR"/>
        </w:rPr>
        <w:t>کما فی الأزمنة السابقة ، وأما فی زماننا هذا لمّا قلدوا الکفرة الفجرة فی جعلهم حلق اللحی سنّة متّبعة والسنّة بدعة مخترعة ، فلا یمکن لهم معرفة الأرش ، وهل هو إلا تعلیق معرفة الأرش علی المحال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ذکروه أقوی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فی قوّة زیادة الحکومة علی الدیة الکاملة فی الاستیصال ، وإن کان الأصالة عدم تداخل دیة الکلّ فی دیة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یضعّفه أنه خلاف أصل البراءة وإطلاق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التأیید والتدبّر أن قاعدة قطع عضو المشلول دیته علی الثلث من دیة الصحاح ، یقتضی أن یکون فی شلله ثلثا الدیة الکاملة من الصحاح، بقاعدة تقسیط دیة العضو علی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صریح النصوص</w:t>
      </w:r>
      <w:r>
        <w:rPr>
          <w:rStyle w:val="FootnoteAnchor"/>
          <w:rtl w:val="true"/>
        </w:rPr>
        <w:footnoteReference w:id="1779"/>
      </w:r>
      <w:r>
        <w:rPr>
          <w:rFonts w:ascii="IRNazanin" w:hAnsi="IRNazanin" w:eastAsia="IRNazanin"/>
          <w:color w:val="111111"/>
          <w:sz w:val="28"/>
          <w:sz w:val="28"/>
          <w:szCs w:val="28"/>
          <w:rtl w:val="true"/>
          <w:lang w:bidi="fa-IR"/>
        </w:rPr>
        <w:t xml:space="preserve">بالخصوص بالثلث والثلثین فی الشکل والمشلول ، خلقة کان أو عارض ، لعموم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من شلل فهو علی الثلث من دیة الصحاح</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لإمکان منع عموم قاعدة التنصیف فی کلّ اثنین للمنخرین ، وإلا الاقتضی قطعهما من دون قطع الحاجز وغیره من الأنف تمام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الأخیرین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القولین الأخیرین لا النصّین </w:t>
      </w:r>
      <w:r>
        <w:rPr>
          <w:rStyle w:val="FootnoteAnchor"/>
          <w:rtl w:val="true"/>
        </w:rPr>
        <w:footnoteReference w:id="1781"/>
      </w:r>
      <w:r>
        <w:rPr>
          <w:rFonts w:ascii="IRNazanin" w:hAnsi="IRNazanin" w:eastAsia="IRNazanin"/>
          <w:color w:val="111111"/>
          <w:sz w:val="28"/>
          <w:sz w:val="28"/>
          <w:szCs w:val="28"/>
          <w:rtl w:val="true"/>
          <w:lang w:bidi="fa-IR"/>
        </w:rPr>
        <w:t xml:space="preserve">الأخیرین ، فإنه لاضعف فیهما بل ولا فی الأولین سوی النصّ </w:t>
      </w:r>
      <w:r>
        <w:rPr>
          <w:rStyle w:val="FootnoteAnchor"/>
          <w:rtl w:val="true"/>
        </w:rPr>
        <w:footnoteReference w:id="1782"/>
      </w:r>
      <w:r>
        <w:rPr>
          <w:rFonts w:ascii="IRNazanin" w:hAnsi="IRNazanin" w:eastAsia="IRNazanin"/>
          <w:color w:val="111111"/>
          <w:sz w:val="28"/>
          <w:sz w:val="28"/>
          <w:szCs w:val="28"/>
          <w:rtl w:val="true"/>
          <w:lang w:bidi="fa-IR"/>
        </w:rPr>
        <w:t xml:space="preserve">الثالث ، فإنه وإن ضعّف بأبی جمیلة لکن </w:t>
      </w:r>
    </w:p>
    <w:p>
      <w:pPr>
        <w:pStyle w:val="BookText"/>
        <w:rPr/>
      </w:pPr>
      <w:r>
        <w:rPr>
          <w:rFonts w:ascii="IRNazanin" w:hAnsi="IRNazanin" w:eastAsia="IRNazanin"/>
          <w:color w:val="111111"/>
          <w:sz w:val="28"/>
          <w:sz w:val="28"/>
          <w:szCs w:val="28"/>
          <w:rtl w:val="true"/>
          <w:lang w:bidi="fa-IR"/>
        </w:rPr>
        <w:t xml:space="preserve">لم نقف علی وجه ضعفه سوی اتّهامه بالغلو الذی لا أصل له أیضاً ، بل الأصح صحّته وصحّة روایاته ، خصوصاً برواة الأصحّاء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الرجوع إلی حکم التعادل بین الرواة والروایات الأربع ، وهو التخییر لا الترجیح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سبیل هذه الروایة سبیل المستفیضة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لم یستدلّ أحد بهذا الخبر</w:t>
      </w:r>
      <w:r>
        <w:rPr>
          <w:rStyle w:val="FootnoteAnchor"/>
          <w:rtl w:val="true"/>
        </w:rPr>
        <w:footnoteReference w:id="1783"/>
      </w:r>
      <w:r>
        <w:rPr>
          <w:rFonts w:ascii="IRNazanin" w:hAnsi="IRNazanin" w:eastAsia="IRNazanin"/>
          <w:color w:val="111111"/>
          <w:sz w:val="28"/>
          <w:sz w:val="28"/>
          <w:szCs w:val="28"/>
          <w:rtl w:val="true"/>
          <w:lang w:bidi="fa-IR"/>
        </w:rPr>
        <w:t>علی جنایة الجارحة ، بل استدلّوا به طرّاً علی ما استدلّوا بالمستفیضة علی حکم جنایة المنفعة لا الجارحة بل لم یحتمل أحد وجهاً ولا قولاً علی بسط دیة جنایة الحروف علی حساب الجمل دون حروفه المعجم ، بل حملوا واحتملوا کون حساب الجمل من کلام الراوی ، کما فی الوسائل</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ففی البعض 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إلحاق البعض بالکلّ فی التداخل قیاس ، ومع الفارق ، الفارق أن تداخل الکلّ فی الکلّ یعد جنایة واحدة ، بخلاف البعض فی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سیّما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الصدوق فی الفقیه</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التزم فی بدئه أن لا یروی فیه إلا ما یفتی به وما یکون حجّة بینه وبین ربّه ، لکنّه عدل فی أثنائه إلی دأبه ودأب المحدثین من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یحصل إلا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تقیید إطلاق النصّ </w:t>
      </w:r>
      <w:r>
        <w:rPr>
          <w:rStyle w:val="FootnoteAnchor"/>
          <w:rtl w:val="true"/>
        </w:rPr>
        <w:footnoteReference w:id="1786"/>
      </w:r>
      <w:r>
        <w:rPr>
          <w:rFonts w:ascii="IRNazanin" w:hAnsi="IRNazanin" w:eastAsia="IRNazanin"/>
          <w:color w:val="111111"/>
          <w:sz w:val="28"/>
          <w:sz w:val="28"/>
          <w:szCs w:val="28"/>
          <w:rtl w:val="true"/>
          <w:lang w:bidi="fa-IR"/>
        </w:rPr>
        <w:t>بتنزیله منزلة الشلل قیاس مشکل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عملهم بها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العمل بالصحیحة</w:t>
      </w:r>
      <w:r>
        <w:rPr>
          <w:rStyle w:val="FootnoteAnchor"/>
          <w:rtl w:val="true"/>
        </w:rPr>
        <w:footnoteReference w:id="1787"/>
      </w:r>
      <w:r>
        <w:rPr>
          <w:rFonts w:ascii="IRNazanin" w:hAnsi="IRNazanin" w:eastAsia="IRNazanin"/>
          <w:color w:val="111111"/>
          <w:sz w:val="28"/>
          <w:sz w:val="28"/>
          <w:szCs w:val="28"/>
          <w:rtl w:val="true"/>
          <w:lang w:bidi="fa-IR"/>
        </w:rPr>
        <w:t>فی النابت الأبیض یستلزم کونه أدون وأسوء من النابت الأسود ، فالعمل بها بالمرّة معلوم العدم، لا عدم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الحلّی علی أصله فی النابت الأبیض إلی الأرش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یلزمه ذلک فی غیر النابت والنابت الأسود أیضاً ، ولم یلتزم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الأدرة </w:t>
      </w:r>
      <w:r>
        <w:rPr>
          <w:rStyle w:val="FootnoteAnchor"/>
          <w:rtl w:val="true"/>
        </w:rPr>
        <w:footnoteReference w:id="1788"/>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 الفتق وإن کان سبباً غیر منفک عن مسبّبه غالباً أعنی الأدرة ، إلا أنه لا یبعد تفاوت دیة السبب عن دیة المسبّب بهذا المقدار الیسیر ، کما لا یبعد الجمع بین الخبرین </w:t>
      </w:r>
      <w:r>
        <w:rPr>
          <w:rStyle w:val="FootnoteAnchor"/>
          <w:rtl w:val="true"/>
        </w:rPr>
        <w:footnoteReference w:id="1789"/>
      </w:r>
      <w:r>
        <w:rPr>
          <w:rFonts w:ascii="IRNazanin" w:hAnsi="IRNazanin" w:eastAsia="IRNazanin"/>
          <w:color w:val="111111"/>
          <w:sz w:val="28"/>
          <w:sz w:val="28"/>
          <w:szCs w:val="28"/>
          <w:rtl w:val="true"/>
          <w:lang w:bidi="fa-IR"/>
        </w:rPr>
        <w:t xml:space="preserve">بالحمل علی التخییر بهذا القدر الیسیر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الشفرة بالمعنی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المعنی الثانی وإن کان خلاف المعنی الأول بحسب ظاهر التفسیر ، لکنّه راجع إلی الأول بقرینة اتّحاد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الأول فی النص </w:t>
      </w:r>
      <w:r>
        <w:rPr>
          <w:rStyle w:val="FootnoteAnchor"/>
          <w:rtl w:val="true"/>
        </w:rPr>
        <w:footnoteReference w:id="1790"/>
      </w:r>
      <w:r>
        <w:rPr>
          <w:rFonts w:ascii="IRNazanin" w:hAnsi="IRNazanin" w:eastAsia="IRNazanin"/>
          <w:color w:val="111111"/>
          <w:sz w:val="28"/>
          <w:sz w:val="28"/>
          <w:szCs w:val="28"/>
          <w:rtl w:val="true"/>
          <w:lang w:bidi="fa-IR"/>
        </w:rPr>
        <w:t>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النصوص والفتاوی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حکم الدیة بالأرش یقتضی اختصاصه بغیر الحرّة ، وإلا لحکم بالدیة الکاملة لا الأرش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قیمة المملوک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أنه وإن أمکن حمل عشر الدیة للحارصة علی ما یعمّ قیمة المملوک ، لکن التفصیل فی دیة الحارصة بین الحرّ والمملوک ینافی إطلاق النصوص </w:t>
      </w:r>
      <w:r>
        <w:rPr>
          <w:rStyle w:val="FootnoteAnchor"/>
          <w:rtl w:val="true"/>
        </w:rPr>
        <w:footnoteReference w:id="1791"/>
      </w:r>
      <w:r>
        <w:rPr>
          <w:rFonts w:ascii="IRNazanin" w:hAnsi="IRNazanin" w:eastAsia="IRNazanin"/>
          <w:color w:val="111111"/>
          <w:sz w:val="28"/>
          <w:sz w:val="28"/>
          <w:szCs w:val="28"/>
          <w:rtl w:val="true"/>
          <w:lang w:bidi="fa-IR"/>
        </w:rPr>
        <w:t>، والفتاوی فی التسویة وعدم الفرق ، وترک الاستفصال بینهما فی دیة الحارصة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إشارة إلی ما عرفت من أن اللفظین المختلفین معنیً وحکماً فی النصوص </w:t>
      </w:r>
      <w:r>
        <w:rPr>
          <w:rStyle w:val="FootnoteAnchor"/>
          <w:rtl w:val="true"/>
        </w:rPr>
        <w:footnoteReference w:id="1792"/>
      </w:r>
      <w:r>
        <w:rPr>
          <w:rFonts w:ascii="IRNazanin" w:hAnsi="IRNazanin" w:eastAsia="IRNazanin"/>
          <w:color w:val="111111"/>
          <w:sz w:val="28"/>
          <w:sz w:val="28"/>
          <w:szCs w:val="28"/>
          <w:rtl w:val="true"/>
          <w:lang w:bidi="fa-IR"/>
        </w:rPr>
        <w:t>والفتاوی کیف یحمل علی الاختلاف اللفظی ؟ نعم ، یمکن الجمع بینهما لولا الترجیح والشهرة علی ضرب من التقیّة أو القضیّة فی الواقعة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ویوافقه کتاب ظریف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إجماع الغنیة </w:t>
      </w:r>
      <w:r>
        <w:rPr>
          <w:rStyle w:val="FootnoteAnchor"/>
          <w:rtl w:val="true"/>
        </w:rPr>
        <w:footnoteReference w:id="1793"/>
      </w:r>
      <w:r>
        <w:rPr>
          <w:rFonts w:ascii="IRNazanin" w:hAnsi="IRNazanin" w:eastAsia="IRNazanin"/>
          <w:color w:val="111111"/>
          <w:sz w:val="28"/>
          <w:sz w:val="28"/>
          <w:szCs w:val="28"/>
          <w:rtl w:val="true"/>
          <w:lang w:bidi="fa-IR"/>
        </w:rPr>
        <w:t xml:space="preserve">کتاب ظریف </w:t>
      </w:r>
      <w:r>
        <w:rPr>
          <w:rStyle w:val="FootnoteAnchor"/>
          <w:rtl w:val="true"/>
        </w:rPr>
        <w:footnoteReference w:id="1794"/>
      </w:r>
      <w:r>
        <w:rPr>
          <w:rFonts w:ascii="IRNazanin" w:hAnsi="IRNazanin" w:eastAsia="IRNazanin"/>
          <w:color w:val="111111"/>
          <w:sz w:val="28"/>
          <w:sz w:val="28"/>
          <w:szCs w:val="28"/>
          <w:rtl w:val="true"/>
          <w:lang w:bidi="fa-IR"/>
        </w:rPr>
        <w:t xml:space="preserve">، إلا فی السفلی إذا لم تبرأ، فأوجب فیها ثلث الدیة لا ثلث الشفة الذی هو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مستنداً لتمام ما فی العبارة کما فعل لیس فی محلّه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روایة ظریف مستنداً لتمام ما فی عبارة المتن من شقوقه الأربعة کما فعله الشرّاح لیس فی محلّه ، لعدم وفائه بالتمام ، بل وعدم حجّیته علی شیء من القولین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المشهور والاسکافیه</w:t>
      </w:r>
      <w:r>
        <w:rPr>
          <w:rStyle w:val="FootnoteAnchor"/>
          <w:rtl w:val="true"/>
        </w:rPr>
        <w:footnoteReference w:id="1795"/>
      </w:r>
      <w:r>
        <w:rPr>
          <w:rFonts w:ascii="IRNazanin" w:hAnsi="IRNazanin" w:eastAsia="IRNazanin"/>
          <w:color w:val="111111"/>
          <w:sz w:val="28"/>
          <w:sz w:val="28"/>
          <w:szCs w:val="28"/>
          <w:rtl w:val="true"/>
          <w:lang w:bidi="fa-IR"/>
        </w:rPr>
        <w:t xml:space="preserve">فی شقّ السفلی، لتصریحه بثلت الدیة ، لا بثلث الشفة الذی هو قول المشهور ، ولا </w:t>
      </w:r>
    </w:p>
    <w:p>
      <w:pPr>
        <w:pStyle w:val="BookText"/>
        <w:rPr/>
      </w:pPr>
      <w:r>
        <w:rPr>
          <w:rFonts w:ascii="IRNazanin" w:hAnsi="IRNazanin" w:eastAsia="IRNazanin"/>
          <w:color w:val="111111"/>
          <w:sz w:val="28"/>
          <w:sz w:val="28"/>
          <w:szCs w:val="28"/>
          <w:rtl w:val="true"/>
          <w:lang w:bidi="fa-IR"/>
        </w:rPr>
        <w:t xml:space="preserve">بتنصیفها الذی هو قول الاسکافی ، بل هو أقرب إلی قول الاسکافی ، لأقربیّة ثلث الدیة الذی هو ضعف الشفة إلی نصفها الذی هو قول الاسکافی ، بل وإلی ثلثیها الذی هو قول ثالث یقرب من روایة الوسائل عن الشیخ عن أبان بن تغلب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الشفة السفلی ستّة آلاف ، وفی العلیا أربعة آلاف ، لأن السفلی تمسک الماء</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تفضیل السفلی علی العلیا بثلث الدیة فی روایة ظریف ، وبما یقرب من ثلثی الدیة فی روایة أبان فی شقّها دون قطعها بعید عن الاعتبار ، لبعد التساوی بین الشقّ والقطع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دلیل المسألة فی شقوقها الأربعة بعد الشهرة وإجماع الغنیة الأصل الأصیل والاعتبار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النص والفتوی لا یناسبه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لعلّه إشارة إلی عدم حجّیة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التقیید بالرجل محمول علی غالب أفراد المنفوذ بالرمح والخنجر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دیة النافذة فی الرجل یدلّ علی ثبوتها فی المرأة بالفحوی والأولویّة، لأن ما کان جنایته نقصاً موجبة للدیة کان فی المرأة أشدّ نقصاً 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وجوه عدم مفهوم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ویراعی التفاوت بین القیمتین ویؤخذ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إشارة إلی أن أخذ التفاوت من دیة النفس عند الخاصّة ، ومن دیة العضو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أن الجنایة لو لم توجب نقصاً ، کقطع الغدّة ونحوه من زوائد الجسد ، ففی سقوط الأرش للأصل أو أخذ أرش نقصه حین الجنایة ، وجهان بل قولان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إشارة إلی الفرق والفارق فی استکشاف أرش العیب وأرش الجنایة من علوم الراسخین فی العلم ، أن أرش المأخوذ بالعیب فی المبیع من البائع هو </w:t>
      </w:r>
    </w:p>
    <w:p>
      <w:pPr>
        <w:pStyle w:val="BookText"/>
        <w:rPr/>
      </w:pPr>
      <w:r>
        <w:rPr>
          <w:rFonts w:ascii="IRNazanin" w:hAnsi="IRNazanin" w:eastAsia="IRNazanin"/>
          <w:color w:val="111111"/>
          <w:sz w:val="28"/>
          <w:sz w:val="28"/>
          <w:szCs w:val="28"/>
          <w:rtl w:val="true"/>
          <w:lang w:bidi="fa-IR"/>
        </w:rPr>
        <w:t xml:space="preserve">تفاوت قیمتی المبیع الصحیح والمعیب من الثمن المسمّی ، والأرش المأخوذ بالجنایة من الجانی هو تفاوت قیمتی المجنّی علیه بنقص الجنایة وعدمها من دیة النفس ، أو قیمته إن کان مملوکاً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أرش الجنایة مشروط ومنوط بنظر الحاکم الشرعی ، ولهذا خصّ باسم الحکومة ، واستدلّ علیه بالصحاح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جروحاً دون الاصطلام فیحکم به ذوا عدل منکم</w:t>
      </w:r>
      <w:r>
        <w:rPr>
          <w:rStyle w:val="FootnoteAnchor"/>
          <w:rtl w:val="true"/>
        </w:rPr>
        <w:footnoteReference w:id="1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علی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وبالصحاح المستفیضة الأخر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الجامعة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الجامعة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فیها کلّ حلال وحرام ، وکلّ شیء یحتاج إلیه الناس، حتی الأرش بالخدش </w:t>
      </w:r>
      <w:r>
        <w:rPr>
          <w:rStyle w:val="FootnoteAnchor"/>
          <w:rtl w:val="true"/>
        </w:rPr>
        <w:footnoteReference w:id="1798"/>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تعلیل ضمان اللیل دون النهار بالمحافظة علّة منصوصة منظورة ، لا مستنبطة محذورة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لتوهمهم ذلک من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فی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w:t>
      </w:r>
      <w:r>
        <w:rPr>
          <w:rFonts w:eastAsia="Amiri" w:cs="Amiri" w:ascii="Amiri" w:hAnsi="Amiri"/>
          <w:color w:val="111111"/>
          <w:sz w:val="28"/>
          <w:szCs w:val="28"/>
          <w:rtl w:val="true"/>
          <w:lang w:bidi="ar-SA"/>
        </w:rPr>
        <w:t>)</w:t>
      </w:r>
      <w:r>
        <w:rPr>
          <w:rStyle w:val="FootnoteAnchor"/>
          <w:rtl w:val="true"/>
        </w:rPr>
        <w:footnoteReference w:id="179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وجهة توهّمهم ظهور المقتول من قوم عدوّ فی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اتّفاق النصوص والفتاوی فی کونه المؤمن لا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أظهریّة سیاقه فی تعطّفه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المتقدّمة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اعتضد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ظاهر القولین المخالفة فی تفسیر العصبة من حیث التعمیم والتخصیص ، بل صریح الحلّی</w:t>
      </w:r>
      <w:r>
        <w:rPr>
          <w:rStyle w:val="FootnoteAnchor"/>
          <w:rtl w:val="true"/>
        </w:rPr>
        <w:footnoteReference w:id="1800"/>
      </w:r>
      <w:r>
        <w:rPr>
          <w:rFonts w:ascii="IRNazanin" w:hAnsi="IRNazanin" w:eastAsia="IRNazanin"/>
          <w:color w:val="111111"/>
          <w:sz w:val="28"/>
          <w:sz w:val="28"/>
          <w:szCs w:val="28"/>
          <w:rtl w:val="true"/>
          <w:lang w:bidi="fa-IR"/>
        </w:rPr>
        <w:t>تعمیمها الولد والوالد مع الخلاف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ذلک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التفهیم إشارة إلی أن أخصّیة الدلیل من المدّعی وإن لم یکن بمجرّده قرینة علی تخصیص الدعوی ، لکن فی خصوص المقام قرینة بالخصوص ، لکون الشیخ فی النهایة</w:t>
      </w:r>
      <w:r>
        <w:rPr>
          <w:rStyle w:val="FootnoteAnchor"/>
          <w:rtl w:val="true"/>
        </w:rPr>
        <w:footnoteReference w:id="1801"/>
      </w:r>
      <w:r>
        <w:rPr>
          <w:rFonts w:ascii="IRNazanin" w:hAnsi="IRNazanin" w:eastAsia="IRNazanin"/>
          <w:color w:val="111111"/>
          <w:sz w:val="28"/>
          <w:sz w:val="28"/>
          <w:szCs w:val="28"/>
          <w:rtl w:val="true"/>
          <w:lang w:bidi="fa-IR"/>
        </w:rPr>
        <w:t>لا یتعدّی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لانتفاء الضمان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منع استلزام ضمان العاقلة لما دون الموضحة کثرة ضرر الجنایة ، بعد عدم ضمان العاقلة جنایة العامد ، ولا جنایة المقرّ، ولا جنایة الوالد علی ولده ، ولا المسلم علی الذمی ، ولا الجانی علی نفسه ولو خطاً، إلا فی الموارد النادرة من الخطاً المحض التی هی غیر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 بمعنی المصطلح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بمعنی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بقول مطلق الذی لم یبلغ حدّ الاعتبار والحجّیة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الضعیف بالمعنی الغیر المصطلح فهو الضعیف بالنسبة ، کالموثّق بالنسبة إلی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الدیة علی ورثته</w:t>
      </w:r>
      <w:r>
        <w:rPr>
          <w:rStyle w:val="FootnoteAnchor"/>
          <w:rtl w:val="true"/>
        </w:rPr>
        <w:footnoteReference w:id="180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التأمّل إشارة إلی قصور المرسل سنداً بالإرسال ، ودلالة بالإجمال ، لاحتماله الدیة علی القریب والبعید من العصبة ، أو علی الأقرب </w:t>
      </w:r>
    </w:p>
    <w:p>
      <w:pPr>
        <w:pStyle w:val="BookText"/>
        <w:rPr/>
      </w:pPr>
      <w:r>
        <w:rPr>
          <w:rFonts w:ascii="IRNazanin" w:hAnsi="IRNazanin" w:eastAsia="IRNazanin"/>
          <w:color w:val="111111"/>
          <w:sz w:val="28"/>
          <w:sz w:val="28"/>
          <w:szCs w:val="28"/>
          <w:rtl w:val="true"/>
          <w:lang w:bidi="fa-IR"/>
        </w:rPr>
        <w:t xml:space="preserve">وحده ، أو علی الأقرب 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یدفع الأول بأنه خلاف ظاهر النصّ، والثانی بعدم القائل ، فتعیّن الثالث ، وهو المطلوب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کونه وارثا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إشارة إلی أن استلزام وارثیة الأب القاتل مع اجتماع أم المقتول لوار تینه مع الانحصار ، إنما هو بالأولویّة القطعیّة ، لا بالقیاس الممنوع حتی یمنع الملازمة</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05_24970"/>
      <w:bookmarkStart w:id="117" w:name="pg1905_24970"/>
      <w:bookmarkEnd w:id="117"/>
    </w:p>
    <w:p>
      <w:pPr>
        <w:pStyle w:val="Heading2"/>
        <w:numPr>
          <w:ilvl w:val="1"/>
          <w:numId w:val="1"/>
        </w:numPr>
        <w:rPr/>
      </w:pPr>
      <w:bookmarkStart w:id="118" w:name="pg1905_24970"/>
      <w:bookmarkStart w:id="119" w:name="__RefHeading___Toc3268803_3650668749"/>
      <w:bookmarkStart w:id="120" w:name="_Toc39"/>
      <w:bookmarkEnd w:id="118"/>
      <w:bookmarkEnd w:id="119"/>
      <w:r>
        <w:rPr>
          <w:rtl w:val="true"/>
        </w:rPr>
        <w:t>فهارس الموضوعات</w:t>
      </w:r>
      <w:bookmarkEnd w:id="120"/>
    </w:p>
    <w:p>
      <w:pPr>
        <w:pStyle w:val="BookText"/>
        <w:rPr/>
      </w:pPr>
      <w:r>
        <w:rPr>
          <w:rFonts w:ascii="IRNazanin" w:hAnsi="IRNazanin" w:eastAsia="IRNazanin"/>
          <w:color w:val="111111"/>
          <w:sz w:val="28"/>
          <w:sz w:val="28"/>
          <w:szCs w:val="28"/>
          <w:rtl w:val="true"/>
          <w:lang w:bidi="fa-IR"/>
        </w:rPr>
        <w:t>کلمة الأمین العام للمؤتمر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کلمة اللجنة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لمحة من حیاة المؤلف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میاه الأرض لیست بأسرها من السماء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التخیر التقدیری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ماء البئر له 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حکم ماء الغیث</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کلام حول مذهب العمانی فی عدم نجاسة القلیل بالملاقاة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 قیل فی انتصار مذهب العمانی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الکر ألف و ماتا رطل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تقدیر الکر بالمساحة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عموم له</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نزح ماء البئر للعذرة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النزح للخنزیر أو السنّور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النزح لبول الرضیع والصبی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صور تباعد البئر مع البالوعة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کلام حول تبعیة النجاسة للعین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أقوال فی الماء المطلق المقترح مع غیره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اغتسال النبی مع عائشة فی إناء واحد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 ماء الغسالة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الأوانی المنطبعة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کراء سؤر الحائض</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سؤر الکلب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الغالب علی الحاسّتین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یحرم للمتخلی استقبال القبلة بمقادیم البدن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غسل فخرج البول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اعتبارات هینة لکفایة التطهیر بالحجر ذی الجهات الثلاث</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البدأة فی الاستنجاء بالمقعدة قبل الإحلیل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یکره البول فی مواطن الهوام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تجب نیة الوضوء مقارنة لغسل الوجه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تفسیر استدامة حکم النیة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تحقیق حول مجمع عظمی الذراع و العضد</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الرجلین إلی الکعبین المسح علی الخقین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الموالاة بین أفعال الوضوء</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الاحتمالات فی تثنیة الغسلات فی الوضوء</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المسح علی الجبیرة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لا یجو، تولیة الغیر أفعال الوضوء</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استحباب التسمیة عند وضع الید فی الماء للوضوء</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التفصیل فی حکم من تیقن الحدث وشک فی الطهارة</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الشک فی العضو الأخیر من الوضوء</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حکم کثیر الشک</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 الغسل والغسل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لو اشتبه المنی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نیة الغسل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لا ثمرة فی الترتیب الحکمی بین أعضاء الغسل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کراهة مس المصحف وحمله للجنب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لیس فی غسل الجنابة وضوء</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موضوع الحیض</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صفات دم الحیض</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أقل الحیض وأکثره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اعتبار التوالی فی الثلاثة أیام أقل الحیض</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قاعدة الإمکان فی الحیض</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النقاء المتخلل بین الثلاثة و العشرة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تجاوز الدم علی العشرة</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حکم المبتدأة والمضطربة</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حکم ناسیة الوقت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مبدأ تحیض المبتدأة والمضطربة</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أقوال أخر فی مبدأ التحیض</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حکم استظهار ذات العادة مع تجاوز الدم عنها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حکم ذات العادة إذا تجاوز الدم علی العشرة</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أقل الطهر وأکثره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یحرم علی الحائض دخول المساجد إلا احتیازاً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وجوب الکفارة علی الزوج بوطء الزوجة الحائض</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 یستحب للحائض</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 یکره للحائض</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کراهة الاستمتاع من الحائض بما بین السرة والرکبة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کراهة وطء الحائض قبل الغسل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إذا حاضت المرأة بعد الدخول وقت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غسل الحیض کغسل الجنابة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المستحاضة القلیلة</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المستحاضة المتوسطة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الستحاضة الکثیرة</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حکم المستحاضة</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النفاسه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النفاس</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أقل النفاس وأکثره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الحائض مثل النفساء</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الاحتضار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غسل المیت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لا یجزی فی غسل المیت الماء المضاف</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تعتبر النیة فی أغسال المیت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وجوب ثلاث غسلات بالماء القراح عند تعذر السدر والکافور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ییمّم المیت لو خیف من تغسیله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سنن تغسیل المیت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تکفین المیِت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کیفیة التکفین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إحساس مساجد المیت السبعة بالکافور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سنن تغسیل المیت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قطع الکفن المستحبة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وضع الجریدتین مع المیت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مکروهات التکفین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تدفین المیت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تربیع الجنازة حین التشییع</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سنن الدفن</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میّتین فی قبر واحد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المیت إلی غیر بلد الموت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کفن المرأة علی الزوج</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کفن المیت من أصل ترکته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لا یجوز نبش القبر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نقل الموتی بعد دفنهم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أحکام دفن الشهید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إذا وجد بعض المیت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یجب المماثلة بین الغاسل والمغسول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 مات محرماً کان کالمحل</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لو لقی کفن المیت نجاسة</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الغسل بمسّ الآدمیّ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الغسل للتوبة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الوضوء ولو بابتیاع الماء</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ما یتیمم به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کیفیة التیمم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إذا اجتمع مت و محدث وجنب</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النجاسات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البول والغائط مما لا یؤکل لحمه</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المیتة مما له نفس سائلة</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العصیر من الکرم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لو کان الدم فی الثیاب مقدار الدرهم متفرقة</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یجب إزالة دم الحیض وإن قل</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لو رأی النجاسة فی أثناء الصلاة</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إذا جقفت الشمس البول</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استعمال أوانی الذهب والفضة</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یکره استعمال أوانی الخمر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الاشکال فی إثبات المعنی الحقیقی للصلاة من قول اللغوی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مواقیت الصلوات الخمس</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أوقات النوافل</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کیفیة معرفة أوقات الصلوات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أحکام النوافل</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أحکام القبلة</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ما لا یجوز لبسه فی الصلاة</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ما یجوز لبسه فی الصلاة</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الصلاة فی الحریر والدیباج</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الصلاة فی الثوب المغصوب</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ما یکره لبسه فی الصلاة</w:t>
      </w:r>
      <w:r>
        <w:rPr>
          <w:rFonts w:eastAsia="IRNazanin" w:cs="IRNazanin"/>
          <w:color w:val="111111"/>
          <w:sz w:val="28"/>
          <w:szCs w:val="28"/>
          <w:lang w:bidi="fa-IR"/>
        </w:rPr>
        <w:t>375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التحنّک فی الصلاة</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لم یجد المصلی ساترة</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مکان المصلی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الأماکن التی تکره الصلاة فیها</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ما یسجد علیه</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أحکام الأذان والإقامة</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النیة رکن فی الصلاة</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لا بد من نیة القربة</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یجب استدامة النیة حکماً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القراءة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لا تجزیء الترجمة</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لا یجوز قراءة ما یفوت الوقت بقراءتها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لا یجب أن تجهر المرأة</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سنن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یحرم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فی آخر الحمد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بحث حول محمد بن إسماعیل من مشائخ الکلینی</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أحکام الرکوع</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أحکام السجود</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أحکام التشهد</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أحکام التسلیم</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القنوت</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شرائط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لا ینتفع من المیتة بإهاب ولا عصب</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ascii="IRNazanin" w:hAnsi="IRNazanin" w:eastAsia="IRNazanin"/>
          <w:color w:val="111111"/>
          <w:sz w:val="28"/>
          <w:sz w:val="28"/>
          <w:szCs w:val="28"/>
          <w:rtl w:val="true"/>
          <w:lang w:bidi="fa-IR"/>
        </w:rPr>
        <w:t>لو تزوج الحر أمة من غیر إذن مالکها جاهلاً</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لا یفسخ النکاح بالزنا</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کتاب المواریث</w:t>
      </w:r>
    </w:p>
    <w:p>
      <w:pPr>
        <w:pStyle w:val="BookText"/>
        <w:rPr/>
      </w:pPr>
      <w:r>
        <w:rPr>
          <w:rFonts w:ascii="IRNazanin" w:hAnsi="IRNazanin" w:eastAsia="IRNazanin"/>
          <w:color w:val="111111"/>
          <w:sz w:val="28"/>
          <w:sz w:val="28"/>
          <w:szCs w:val="28"/>
          <w:rtl w:val="true"/>
          <w:lang w:bidi="fa-IR"/>
        </w:rPr>
        <w:t>لو لم یکن للمسلم وارث مسلم فمیراثه للإمام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تبعیة الطفل للأبوین فی الاسلام والکفر</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میراث العبد المبعّض</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الحجب عن الإرث</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إرث الإخوة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إرث الأعمام والأخوال</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إرث الزوجة من العقار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التوریث بالنسب أو السبب الفاسد</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القضاء بالشاهد والیمین فی الأموال والدیون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دعاء ذی الحق فی التقاص لجواز الحلف</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انفرد بالدعوی لما لا ید لأحد علیه</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جمیع المعاصی کبائر</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عدم جواز الدف فی الإملاک</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قبول شهادة النساء فی الرضاع خن حیث المالیة</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لو تعارضت الاستفاضة والید</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کراهة ترک الشهادة خوفا من أن ترد</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کتاب الحدود والتعزیرات</w:t>
      </w:r>
    </w:p>
    <w:p>
      <w:pPr>
        <w:pStyle w:val="BookText"/>
        <w:rPr/>
      </w:pPr>
      <w:r>
        <w:rPr>
          <w:rFonts w:ascii="IRNazanin" w:hAnsi="IRNazanin" w:eastAsia="IRNazanin"/>
          <w:color w:val="111111"/>
          <w:sz w:val="28"/>
          <w:sz w:val="28"/>
          <w:szCs w:val="28"/>
          <w:rtl w:val="true"/>
          <w:lang w:bidi="fa-IR"/>
        </w:rPr>
        <w:t>عدم جواز إرجاع أهل الذمة إلی أهل نحلتهم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قذف الحرة والأمة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حد المسکر</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قتل مستحل شرب الخمر</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لو سرق حرا فباعه</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لو اشترک رجل وامرأة فی قتل آخر</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رجوع المرأة إلی النصف</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فی الدیة إذا بلغت الثلث القسامة</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للمولی الواحد المبادرة بالقصاص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الجمع بین القصاص والدیة فی العین الواحدة للأعور</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حرمة المساجد والمعابد والمشاهد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کتاب الدیات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تثبت الدیة فی العمد إلا بالتراضی</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دیة ولد الزنا</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الطبیب یضمن ولو أبرأه المریض</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بحث رجالی عن أبی جمیلة</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لو شرب أربعة فسکروا فوجد جریحان وقتیلان</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دیة شعر الرأس</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دیة أرة الخصیتین</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إذا أنفذت نافذة فی الرَّجل</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لا تجب الکفارة بقتل الکافر</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ضمان العاقلة لما دون الموضحة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لو قتل الأب ولده خطأ ورث من دینه ولو کان منحصراً</w:t>
      </w:r>
      <w:r>
        <w:rPr>
          <w:rFonts w:eastAsia="IRNazanin" w:cs="IRNazanin"/>
          <w:color w:val="111111"/>
          <w:sz w:val="28"/>
          <w:szCs w:val="28"/>
          <w:rtl w:val="true"/>
          <w:lang w:bidi="fa-IR"/>
        </w:rPr>
        <w:t>...</w:t>
      </w:r>
      <w:r>
        <w:rPr>
          <w:rFonts w:eastAsia="IRNazanin" w:cs="IRNazanin"/>
          <w:color w:val="111111"/>
          <w:sz w:val="28"/>
          <w:szCs w:val="28"/>
          <w:lang w:bidi="fa-IR"/>
        </w:rPr>
        <w:t>526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فهارس الموضوعات</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هنا ممزقة، ولم یتیسر قراءة عدة کلمات لا تتجاوز السطر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هنا ممزقة، ولم یتیسر قراءة عدة کلمات لا تتجاوز السطر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هنا ممزقة، ولم یتیسر قراءة عدة کلمات لا تتجاوز السطر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ظهر الماء من تحت رجلی إسماعیل علیه السلام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باستیلائه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الخطّیة هنا کلمة لم تقرأ ، و العبارة مشوشة جدّاً ، ووضعناها کما هی علیه فی الأصل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الاتفاق علی روایته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الأنام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نقدم ذکر مصادرها فی الصفحة السابقة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للزرکشی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وکفاءه والکفّ عن جمیع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 فالسکون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الزیدیّة ، نسبوا إلی المغیرة بن سعید ، ولقبه الأبتر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دعوا إلی ولایة علی ، فخلطوها بولایة أبی بکرّ وعمر ، ویبغضون عثمان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خاتمة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اللغة أن الرکیّ جمع لهما، انظر لسان العرب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للسید المرتضی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الیابسة ، سیما بملاحظة متن الریاض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الیابسة ، سیّما بملاحظة متن الریاض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فأکثره الانسان وأقلّه العصفور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فی الطبعة الحجریة و الطبعنین الحدیثتین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آخر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السید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العبارة مرتین ، والثانیة ناقصة ، و تختلف العبارة فیهما تماما ، الأولی فی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والطبعة الحجریة للریاض ، والتعلیقة تبتنی علیها ، وفی الطبعتین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یعجل له النار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موادنهم، إشارة إلی آیة الموادة فی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الناصربات ضمن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أشار فی بحث الماء المضاف إلی ذلک إشارة عابرة ، انظر السرائر </w:t>
      </w:r>
      <w:r>
        <w:rPr>
          <w:rFonts w:eastAsia="IRNazanin" w:cs="IRNazanin"/>
          <w:b w:val="false"/>
          <w:bCs w:val="false"/>
          <w:i w:val="false"/>
          <w:iCs w:val="false"/>
          <w:color w:val="333333"/>
          <w:sz w:val="20"/>
          <w:szCs w:val="20"/>
        </w:rPr>
        <w:t>60:1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الأسارح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الممسوح به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حا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یلزم منه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کتبه ، وحکاه عنه الشیخ الأنصاری فی 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الأنام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والتذکیة ، ولعل الصحیح ما أثبتناه ، بقرینة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والنخمّیس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الخطیة ناقصة هنا بمقدار صفحتین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فبقیت التعلیقة هذه ناقصة، ولعل العبارة بعد النقاط تعلیقة أخری ، وربما کانت بینهما تعالیق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تقرأ العبارة هنا ، ولعلّه نقل الکلام عن إحدی المصنّفات ، بقرینة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لما عن الذکری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منوّنةً ، والظاهر أن السیّد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رعایة الجناس والتطبیق فی الکلام مع غضّ النظر عن قواعد النحو ، وإلا فالفعل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یقبل التنوین ، وهو من خصائص الاسم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59:459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التقیّة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الأنام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السیّد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العبارة مرتین ، وقد استدرکهما فی هامش النسخة الخطیة ، ووضعناهما هنا فی المتن ، مع أن الثانیة تشابه القسم الثانی من الأولی فی المضمون ، والفرق بینهما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والأشربة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ولکنّه أوجبهما فی الطهارة الکبری دون الصغری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جابر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143:14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حکاه عن الکلینی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نسخة منه، 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بهذا اللفظ فی مصادر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ذکروا الکرهاء، وفسروها بأنّها أعلی القرة والوجه والرأس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حیث قال بعد نقل توجیه العلامة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الغسل بالارتماس</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وهو من سهو القلم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الافتعال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الافتعال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الریاض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 الضمیر المفعول عائدة إلی الذکر أو البول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المتقدّم ذیل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فی العبارة نقصأ، لأن الاستدلال مؤلف من قضیة شرطیة ، ذکر المقدم منها ، وترک التالی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من الخیر أن یضاف إلی نهایة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لم یقل أحد بوجوب التیمم علی المجنب فی سائر المساجد غیر المسجدین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حیث نقل روایة ابن أبی عمیر وحسنة حماد بن عثمان التی رواها ابن أبی عمیر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والأخیرتان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مصادرها فی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مرسلة ابن أبی عمر المتقدّم ذکر مصادرها فی ص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الغسل بدعة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الأنام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ذیل ح </w:t>
      </w:r>
      <w:r>
        <w:rPr>
          <w:rFonts w:eastAsia="IRNazanin" w:cs="IRNazanin"/>
          <w:b w:val="false"/>
          <w:bCs w:val="false"/>
          <w:i w:val="false"/>
          <w:iCs w:val="false"/>
          <w:color w:val="333333"/>
          <w:sz w:val="20"/>
          <w:szCs w:val="20"/>
        </w:rPr>
        <w:t>12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حکاه عن أبیه فی رسالته إلیه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وجیز ته صاحب منتهی المقال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إلی أصول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203:1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المفاتیح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شرح المفاتیح للوحید البهبهانی ، انظر مصابیح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مکتبة السید الگلپایگانی</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کتبهم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 منهما مشافهة فی مجلس الدرس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وانظر 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النسخة الخطیة ، و استندرکناها من المصدر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الأنام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سهو قلمه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فالفقرة التی نقلها هنا هی من مرسل یونس ، وقد 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ولم تذکر فی الباب روایة عن عبدالرحمن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الصفحة السابقة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 الصدوق ، وفی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 أکثر جلوسها عشرة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مصادرها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هذا الکلام فی ضمن ترجمة محمّد بن عیسی لاعبدالله بن بکیر ، 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مصادرهما فی</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فتلک أمامها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رواها الطباطبائی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عادتها، فی 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345:1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مفناح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 مکتبة السید الگلپایگانی</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عبارة الدروس ما یستظهر منه ذلک ، انظر 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 مکتبة السید الگلپایگانی</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ضمن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استندباره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آخره أووفی وسطه ، کما فی الریاض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ب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وطبعة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للاسناد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وموافقة العامّة ، لأنّها هی المبرر لتنزیل الدلیل غیر التامّ الدلیلیة منزلة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فتکون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بالقرینة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Pr>
        <w:t>101:1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وهنا فی</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غفلة من السید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المکاتبة مذکورة فی الوسائل وغیره ، لاحظ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کالمصباح ، 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نقدم ذکر مصادرها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والاخر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والاخرفی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بنفی الخلاف، وإنما حکم بوجوب الوضوء لکل صلاة ، انظر 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ولکن لم یعبّر عن النصّ بالموثّق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لحیضها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ولکن صرّح بعد الحکم بأن أکثره ثمانیة عشر بأن العمل علی العشرة، لوضوحه عناه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ولکن المنقول فیه عن هؤلاء هو الأربعون ، لا التردید بین الثلاثین والأربعین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الکافی فی فقه أحمد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الحمل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ما بین القوسین فی النسخة الخطّیة ، والظاهر أنها زائدة ، لأن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فمدفوعة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ثلاثة أسطر جواب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المناقشة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والغرض دفع المناقشة لا دفع الجواب عنها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هذا الکتاب ، ولعل المراد الصحاح للجوهری ، انظر الصحاح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العاملیِّ فی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 ج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مجمع الفائدةوالبرهان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برغوة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برغوة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صاحب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فصریح صدر کلامه عدم وجوب النیّة ، ولکن فی ذیل کلامه ما یوهم الوجوب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مذهبا و استدلالاً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العامة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تصریح له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یستظهر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غسل المیّت عندنا واحد إلا أنّه یشتمل علی ثلاثة أغسال ، انظر المختلف </w:t>
      </w:r>
      <w:r>
        <w:rPr>
          <w:rFonts w:eastAsia="IRNazanin" w:cs="IRNazanin"/>
          <w:b w:val="false"/>
          <w:bCs w:val="false"/>
          <w:i w:val="false"/>
          <w:iCs w:val="false"/>
          <w:color w:val="333333"/>
          <w:sz w:val="20"/>
          <w:szCs w:val="20"/>
        </w:rPr>
        <w:t>386:1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 لتکون مفعولاً 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ولعلّه من سهو قلمه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بذلک مجمع الفائدةوالبرهان کما نسبه إلی ظاهره فی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نضر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نضر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یبق ، والصحیح ما أثبتناه ، کما أنه کذلک فی نظیرة العبارة فی الجواهر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المعوّج المعطّف ،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الحمض ، ومنه یسوی القلی الذی تغسل به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الطبعة الحدیثة للتهذیب العاطف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 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الطبعة الحدیثة للتهذیب العاطف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 انظر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 ، انظر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لخلوّ أکثر الروایات من تعیینه فیثبت التخیبر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ولکن حکم بالتخییر فقط لاختلاف الروایات فی ذلک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 وحکاه عنه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حکم بجواز التقمیص قبل التازیر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الجواهر عن فخر الاسلام فی شرح الارشاد، الجواهر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اللیالی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عدم تحریم أکل طین قبر الحسین علیه السلام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أطلق استحباب وضع الجریدة للمیت من دون تقیید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فحوی ما دلّ علی ذلک من الشهرة والإجماع، إذ لم نجد بذلک روایة ، وانظر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رأسه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وزیارته مستدبرها ومستقبله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مضمونه فی أحادیث ، 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ولکن لم یذکر فیهما التعلیل بکونه إتلاف للمال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الذکری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ولکن لم یذکر فیهما التعلیل بکونه إتلافاً للمال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فی التهذیب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فی التهذیب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مصادر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وما یناسبه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ولم نجد فی ثبت مؤلّفات العلامّة الحتی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کتابة بهذا الاسم ولعلّه تصحیف ، والروایات الثلاث منقولة منها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ممسوحة بمقدار سطرین ، وکأنها محیت قصدأ لتغییر العبارة ، ولکنها بقیت علی ما هی</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أضفناه لینم الکلام، وکذلک فی نظیرة العبارة فی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تجده فیه ، وحکاه عنه الطباطبائی فی 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النسخة الخطّیة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المثلة کالمثل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أمر غریب عجیب ، یعدّ لغرابته عبرة فی الأنظار ، ولأعجوبته مثلاً فی الأعصار ، إلا أن المثلة تختصّ بالعقوبة الشنیعة والفضاحة القبیحة ، التی یجری بها المثل ، لغرابته فی الفضاحة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وما یناسبه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نقدّم ذکر مصادره فی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یغتسل بین یدی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اللوامع للفاضل النراقی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ولم یطبع إلی الآن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ولکن أوجب الصلاة علی الصدر و القلب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مذهب أکثر العامّة وجوب التیممّ فی صورة تعذر المماثل ، إلا ما یحکی عن بعض الشافعیة ، انظر شرح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کتب الشافعیة الحاوی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ما یستشعر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ثلاثة أسطر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تنقیح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فیما لدینا من کتب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ولکن 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مسّ المیّت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 اختلاف فی بعض اللفظ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 العبارة 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لمعارضة استصحاب الصحّة باستصحاب بقاء شغل الذمة ، وهی تهدف ترجیح استصحاب بقاء الشغل ، بالعکس من التعلیقة تماماً ، إلا إذا اعتبرناها تفسیر؛ لقول الماتن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 ولکنّه لم یذکره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وطبعة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والحجریة المطبوعة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 لم یعلّق علیهما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 لم یعلّق علیهما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الأولی من مقدّمات الکتاب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اللفظ</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وطبعة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والطبعةالحجریة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والتعلیقة تبتنی علی نسخته من الریاض</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المسالک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مصادر اللغة ضبطها بالتحریک ، بل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بسکون الراء ، وکذا المشبه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لم یضبط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علیه فی الجوامع الحدیثیة ، وذکر نظیره فی 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السلحفاة تسمّی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پشت،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خرچنک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سرطان البحر ، انظر فرهنگ فارسی عمید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من دون تعلیق علی العبارة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النجس الغیر المعفوّ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فی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سقوط أصل الستر أولی من سقوط الجزم، سیّما بملاحظة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تجده فیه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والظاهر أنه أراد بذلک جمع السفیر ، ولا یصح ذلک ، لأن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السفراء، والسفرة تأتی بمعنی الکتبة ، 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فبعضهم استحبهما قبل الفجر ، وبعضهم بعده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جزائر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خالدات</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ظلاهما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قیامها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الزوال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فارسی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فرهنگ فارسی عمید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ففیه ما یناسب المنقول عنه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ابن آوی فی اللغة العربیة ، والارنب تسمی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خرگوش ، انظر فرهنگ معین</w:t>
      </w:r>
      <w:r>
        <w:rPr>
          <w:rFonts w:eastAsia="IRNazanin" w:cs="IRNazanin"/>
          <w:b w:val="false"/>
          <w:bCs w:val="false"/>
          <w:i w:val="false"/>
          <w:iCs w:val="false"/>
          <w:color w:val="333333"/>
          <w:sz w:val="20"/>
          <w:szCs w:val="20"/>
        </w:rPr>
        <w:t>1164:1</w:t>
      </w:r>
      <w:r>
        <w:rPr>
          <w:rFonts w:ascii="IRNazanin" w:hAnsi="IRNazanin" w:eastAsia="IRNazanin"/>
          <w:b w:val="false"/>
          <w:b w:val="false"/>
          <w:bCs w:val="false"/>
          <w:i w:val="false"/>
          <w:i w:val="false"/>
          <w:iCs w:val="false"/>
          <w:color w:val="333333"/>
          <w:sz w:val="20"/>
          <w:sz w:val="20"/>
          <w:szCs w:val="20"/>
          <w:rtl w:val="true"/>
        </w:rPr>
        <w:t xml:space="preserve">، فرهنگ بزرگ جامع نوین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فرهنگ فارسی عمید</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فی</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ابن آوی ، والثعلب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فرهنگ فارسی عمید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المعنی فی معاجم البلدان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الصقالبة بلاد بین بلغار وقسطنطینیة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المستصفی للغزالی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الکلینی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الصلاة فی دار قوم بغیر إذنهم، انظر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نقل کلام الفضل ولم یرده ، کما استظهر ذلک منه المحقق القتی فی القوانین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المحقّق القمیّ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إلی ظاهر کلام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ذریعته ، ولم نجده فیه ، بل حکم بعدم إجزاء الصلاة فی الدار المغصوبة ، انظر الذریعة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المضمون فی مصادر الحدیث</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بعض اللفظ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والظاهر أنها زائدة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نصّاً صریحاً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یستفاد من مضمون أحادیث ، انظر الوسائل</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الخطیة ، والظاهر أنها زائدة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علیه فی الجوامع الحدیثة للعامّة والخاصّة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اللیالی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لدینا من طبعات الریاض ، مع أن التعلیقة تبتنی علیها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 ولعل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ونداء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أن الرجل إذا جاء مستصرخ لوح بثوبه لیری ویشتهر ، فکان ذلک کالدعاء ، فسمی الدعاء تثویبأ لذلک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الإحرام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فیها ، بل علی العکس من ذلک صرح بأنه إذا لم یعلم غیر الفاتحة اکتفی بها ، وهو یعطی سقوط السورة من غیر تعویض ، انظر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اللیالی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ووجوب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العیون فقط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ولکنّه مذهب أبی حنیفة ومالک فقط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التالیة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التالیة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معانی الأخبار ، 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المعانی ، ورواه الشیخ مرسلاً عن النبیّ وله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یستظهر منه ما نسبه إلیه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 وکذاالهامش التالی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تصریحاً لهم بذلک ، انظر الحاوی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512:15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نجد له تصریح بذلک ، ونسبه إلیه الفیروز آبادی فی القاموس المحیط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منظور فی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ومختلفه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236:84</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رکع فلیتمکّن، وانظر حول هذا الموضوع کلام السید المحشی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الفقرة التالیة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علی روایة لزرارة عن الباقرعلیه السلام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فی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ونقله عنه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وطبعة جماعة المدرسین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وطبعة بیروت</w:t>
      </w:r>
      <w:r>
        <w:rPr>
          <w:rFonts w:eastAsia="IRNazanin" w:cs="IRNazanin"/>
          <w:b w:val="false"/>
          <w:bCs w:val="false"/>
          <w:i w:val="false"/>
          <w:iCs w:val="false"/>
          <w:color w:val="333333"/>
          <w:sz w:val="20"/>
          <w:szCs w:val="20"/>
        </w:rPr>
        <w:t>323:2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اللیالی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النجاشی ضمن ترجمة جابر بن یزید الجعفی ، 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وانظر 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6968</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ذیل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الجملة فی الروایة ، وربما أراد بها مضمون قوله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وإیاک والقعود علی قدمیک ، مع أنه غیر الإقعاء بالمعنی الذی فسرّه به فی الصفحّة السابقة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التسنیم</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القول بوجوب القنوت فی الصلاة عن ابن بابویه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النظر فی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البحر المحیط للزرکشی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مذاهب العامّة فی القنوت ، فبعضهم استحبه فی صلاة الصبح فقط، وآخر أوجبه فیها ، وثالث فی الوتر خاصّة ، إلی غیر ذلک من الاختلافات ، ولم نجد التفصیل بین الصلوات الجهریة وغیرها فی شیء منها ، انظر المحلی لابن حزم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الحاوی الکبیر</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القنوت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التذکرة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هذه تقدمت فی</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وانظر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الصفحه السابقه</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الصفحه السابقه</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 التی ینعدم فیها الظلّ</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ولم یخرج الحدیث فی الاستبصار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فی السطر الأول من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الأوفق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والتدلیس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التفسیر فی شیء من مصادر اللغة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 انظر لسان</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490:17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الإخوة والأجداد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العامّة مطبقون علی جواز القضاء بالشاهد والیمین فی الأموال والدیون ، عدا الحنفیة فقد منعوا من القضاء بهما مطلقاً ، انظر الحاوی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الکافی للقرطبی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کتب الأحناف روضة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الجوامع الحدیثة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لأصل جواز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Pr>
        <w:t>199:75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الیمانی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اللباب فی شرح الکتاب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 وورد مضمونه فی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رمیه بالبتریة 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وصفه بها العلامة فی الخلاصة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یشفع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w:t>
      </w:r>
      <w:r>
        <w:rPr>
          <w:rFonts w:eastAsia="IRNazanin" w:cs="IRNazanin"/>
          <w:b w:val="false"/>
          <w:bCs w:val="false"/>
          <w:i w:val="false"/>
          <w:iCs w:val="false"/>
          <w:color w:val="333333"/>
          <w:sz w:val="20"/>
          <w:szCs w:val="20"/>
          <w:rtl w:val="true"/>
        </w:rPr>
        <w:t>.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المتاخم، لأنّها بمعنی القرب تستعمل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التوصّلیات ، کما هو المصطلح فی علم الأصول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الریاض ، وفی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بحیر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170:19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سقی الخمر</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 ح</w:t>
      </w:r>
      <w:r>
        <w:rPr>
          <w:rFonts w:eastAsia="IRNazanin" w:cs="IRNazanin"/>
          <w:b w:val="false"/>
          <w:bCs w:val="false"/>
          <w:i w:val="false"/>
          <w:iCs w:val="false"/>
          <w:color w:val="333333"/>
          <w:sz w:val="20"/>
          <w:szCs w:val="20"/>
        </w:rPr>
        <w:t>1</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وأحکامها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النسخة الخطیة ، والظاهر أنها زائدة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بالعبد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فی إیضاح الفوائد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الأمالی ، ونقل نت هذه العبارة فی منتهی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تعلیقة الوحید البهبهانی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العامة مختلفة فی هذه المسألة ، فبین نافی لقتل المسلم بکافر مطلقا ، و مجوز لقتله بالذمی خاصّة ، وأما التفصیل فی المسلم القاتل بین المعتاد لقتل أهل الذمة وعدمه ، فلم نجده فی کتبهم ، انظر المغنی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العدّوح </w:t>
      </w:r>
      <w:r>
        <w:rPr>
          <w:rFonts w:eastAsia="IRNazanin" w:cs="IRNazanin"/>
          <w:b w:val="false"/>
          <w:bCs w:val="false"/>
          <w:i w:val="false"/>
          <w:iCs w:val="false"/>
          <w:color w:val="333333"/>
          <w:sz w:val="20"/>
          <w:szCs w:val="20"/>
        </w:rPr>
        <w:t>3</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بفتح القاف ، ولیست بالضم کالغسالة والثالة ،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 ، غسل، قسم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یبطل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یترجم الرجل فی رجال النجاشی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القول بالجمع بین القصاص ورد نصف الدیة فی أقوال العامّة ، بل هم بین قائل بالدیة کاملة أو نصف الدیة ، انظر المغنی لابن قدامة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 وورد نظیره فی 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 اختلاف فی اللفظ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فی تحدید الحائر مختلفة ، ففی بعضها خمسة فراسخ ، وفی أخر فرسخ من أربعة جوانب ، أنظر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تصریحاً لهم بنو ثیقه ، ولعلّ المراد أنهم نقلوا أحادیثه فی جوامعهم الحدیثیة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یبطل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ولکن ضعفه فقط من دون رمیه بالمفوضة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ولکن علی بن حدید کوفی منزله بالمدائن ، ولبس قمیاً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الخطیة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ولکن نقل الروایة وکلام صاحب الریاض من دون توجیه الروایة</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مصادر الحدیث ، وورد مضمونه عن الکاظم علیه السلام وأنه سئل ، ولم یذکر أن السائل ابنه الرضا علیه السلام ، انظر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اللیالی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نقل التضعیف عن الوحید فی التعلیقة</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172:19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دبات الأعضاء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فی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ح </w:t>
      </w:r>
      <w:r>
        <w:rPr>
          <w:rFonts w:eastAsia="IRNazanin" w:cs="IRNazanin"/>
          <w:b w:val="false"/>
          <w:bCs w:val="false"/>
          <w:i w:val="false"/>
          <w:iCs w:val="false"/>
          <w:color w:val="333333"/>
          <w:sz w:val="20"/>
          <w:szCs w:val="20"/>
        </w:rPr>
        <w:t>1</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image" Target="media/image5.jpeg"/><Relationship Id="rId372" Type="http://schemas.openxmlformats.org/officeDocument/2006/relationships/image" Target="media/image5.jpeg"/><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44.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116786</Words>
  <Characters>501470</Characters>
  <CharactersWithSpaces>614286</CharactersWithSpaces>
  <Paragraphs>6258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2026-08-16T19:37:14Z</dcterms:created>
  <dc:creator>ghaemiyeh.com</dc:creator>
  <dc:description/>
  <dc:language>en-US</dc:language>
  <cp:lastModifiedBy/>
  <dcterms:modified xsi:type="dcterms:W3CDTF">2026-08-16T23:07:37Z</dcterms:modified>
  <cp:revision>1</cp:revision>
  <dc:subject/>
  <dc:title>التعلیقه علی ریاض المسائل</dc:title>
</cp:coreProperties>
</file>

<file path=docProps/custom.xml><?xml version="1.0" encoding="utf-8"?>
<Properties xmlns="http://schemas.openxmlformats.org/officeDocument/2006/custom-properties" xmlns:vt="http://schemas.openxmlformats.org/officeDocument/2006/docPropsVTypes"/>
</file>