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oter19.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footer4.xml" ContentType="application/vnd.openxmlformats-officedocument.wordprocessingml.footer+xml"/>
  <Override PartName="/word/footer10.xml" ContentType="application/vnd.openxmlformats-officedocument.wordprocessingml.footer+xml"/>
  <Override PartName="/word/footer2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theme/theme1.xml" ContentType="application/vnd.openxmlformats-officedocument.theme+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jpeg" ContentType="image/jpeg"/>
  <Override PartName="/word/footer5.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document.xml" ContentType="application/vnd.openxmlformats-officedocument.wordprocessingml.document.main+xml"/>
  <Override PartName="/word/footer6.xml" ContentType="application/vnd.openxmlformats-officedocument.wordprocessingml.footer+xml"/>
  <Override PartName="/word/footer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شرح وظایف گروه های ارشاد کاروانهای حج </w:t>
      </w:r>
      <w:r>
        <w:rPr/>
        <w:t>1385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62441_3650668749">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1962443_365066874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962445_3650668749">
            <w:r>
              <w:rPr>
                <w:webHidden/>
                <w:rStyle w:val="IndexLink"/>
                <w:rtl w:val="true"/>
              </w:rPr>
              <w:t>مقدمه</w:t>
            </w:r>
            <w:r>
              <w:rPr>
                <w:rStyle w:val="IndexLink"/>
                <w:rtl w:val="true"/>
              </w:rPr>
              <w:tab/>
            </w:r>
            <w:r>
              <w:rPr>
                <w:rStyle w:val="IndexLink"/>
              </w:rPr>
              <w:t>5</w:t>
            </w:r>
          </w:hyperlink>
        </w:p>
        <w:p>
          <w:pPr>
            <w:pStyle w:val="Contents2"/>
            <w:tabs>
              <w:tab w:val="clear" w:pos="8743"/>
              <w:tab w:val="right" w:pos="9026" w:leader="dot"/>
            </w:tabs>
            <w:rPr/>
          </w:pPr>
          <w:hyperlink w:anchor="__RefHeading___Toc1962447_3650668749">
            <w:r>
              <w:rPr>
                <w:webHidden/>
                <w:rStyle w:val="IndexLink"/>
                <w:rtl w:val="true"/>
              </w:rPr>
              <w:t>وضعيت حجاج اعزامى</w:t>
            </w:r>
            <w:r>
              <w:rPr>
                <w:rStyle w:val="IndexLink"/>
                <w:rtl w:val="true"/>
              </w:rPr>
              <w:tab/>
            </w:r>
            <w:r>
              <w:rPr>
                <w:rStyle w:val="IndexLink"/>
              </w:rPr>
              <w:t>6</w:t>
            </w:r>
          </w:hyperlink>
        </w:p>
        <w:p>
          <w:pPr>
            <w:pStyle w:val="Contents2"/>
            <w:tabs>
              <w:tab w:val="clear" w:pos="8743"/>
              <w:tab w:val="right" w:pos="9026" w:leader="dot"/>
            </w:tabs>
            <w:rPr/>
          </w:pPr>
          <w:hyperlink w:anchor="__RefHeading___Toc1962449_3650668749">
            <w:r>
              <w:rPr>
                <w:webHidden/>
                <w:rStyle w:val="IndexLink"/>
                <w:rtl w:val="true"/>
              </w:rPr>
              <w:t>طبيعت سفر حج</w:t>
            </w:r>
            <w:r>
              <w:rPr>
                <w:rStyle w:val="IndexLink"/>
                <w:rtl w:val="true"/>
              </w:rPr>
              <w:tab/>
            </w:r>
            <w:r>
              <w:rPr>
                <w:rStyle w:val="IndexLink"/>
              </w:rPr>
              <w:t>7</w:t>
            </w:r>
          </w:hyperlink>
        </w:p>
        <w:p>
          <w:pPr>
            <w:pStyle w:val="Contents2"/>
            <w:tabs>
              <w:tab w:val="clear" w:pos="8743"/>
              <w:tab w:val="right" w:pos="9026" w:leader="dot"/>
            </w:tabs>
            <w:rPr/>
          </w:pPr>
          <w:hyperlink w:anchor="__RefHeading___Toc1962451_3650668749">
            <w:r>
              <w:rPr>
                <w:webHidden/>
                <w:rStyle w:val="IndexLink"/>
                <w:rtl w:val="true"/>
              </w:rPr>
              <w:t>وضعيت خاص عربستان</w:t>
            </w:r>
            <w:r>
              <w:rPr>
                <w:rStyle w:val="IndexLink"/>
                <w:rtl w:val="true"/>
              </w:rPr>
              <w:tab/>
            </w:r>
            <w:r>
              <w:rPr>
                <w:rStyle w:val="IndexLink"/>
              </w:rPr>
              <w:t>7</w:t>
            </w:r>
          </w:hyperlink>
        </w:p>
        <w:p>
          <w:pPr>
            <w:pStyle w:val="Contents2"/>
            <w:tabs>
              <w:tab w:val="clear" w:pos="8743"/>
              <w:tab w:val="right" w:pos="9026" w:leader="dot"/>
            </w:tabs>
            <w:rPr/>
          </w:pPr>
          <w:hyperlink w:anchor="__RefHeading___Toc1962453_3650668749">
            <w:r>
              <w:rPr>
                <w:webHidden/>
                <w:rStyle w:val="IndexLink"/>
                <w:rtl w:val="true"/>
              </w:rPr>
              <w:t>اهداف جمهورى اسلامى ايران از حج</w:t>
            </w:r>
            <w:r>
              <w:rPr>
                <w:rStyle w:val="IndexLink"/>
                <w:rtl w:val="true"/>
              </w:rPr>
              <w:tab/>
            </w:r>
            <w:r>
              <w:rPr>
                <w:rStyle w:val="IndexLink"/>
              </w:rPr>
              <w:t>8</w:t>
            </w:r>
          </w:hyperlink>
        </w:p>
        <w:p>
          <w:pPr>
            <w:pStyle w:val="Contents2"/>
            <w:tabs>
              <w:tab w:val="clear" w:pos="8743"/>
              <w:tab w:val="right" w:pos="9026" w:leader="dot"/>
            </w:tabs>
            <w:rPr/>
          </w:pPr>
          <w:hyperlink w:anchor="__RefHeading___Toc1962455_3650668749">
            <w:r>
              <w:rPr>
                <w:webHidden/>
                <w:rStyle w:val="IndexLink"/>
                <w:rtl w:val="true"/>
              </w:rPr>
              <w:t xml:space="preserve">*** </w:t>
            </w:r>
            <w:r>
              <w:rPr>
                <w:rStyle w:val="IndexLink"/>
                <w:rtl w:val="true"/>
              </w:rPr>
              <w:t>توجيه و گزينش</w:t>
            </w:r>
            <w:r>
              <w:rPr>
                <w:rStyle w:val="IndexLink"/>
                <w:rtl w:val="true"/>
              </w:rPr>
              <w:tab/>
            </w:r>
            <w:r>
              <w:rPr>
                <w:rStyle w:val="IndexLink"/>
              </w:rPr>
              <w:t>9</w:t>
            </w:r>
          </w:hyperlink>
        </w:p>
        <w:p>
          <w:pPr>
            <w:pStyle w:val="Contents2"/>
            <w:tabs>
              <w:tab w:val="clear" w:pos="8743"/>
              <w:tab w:val="right" w:pos="9026" w:leader="dot"/>
            </w:tabs>
            <w:rPr/>
          </w:pPr>
          <w:hyperlink w:anchor="__RefHeading___Toc1962457_3650668749">
            <w:r>
              <w:rPr>
                <w:webHidden/>
                <w:rStyle w:val="IndexLink"/>
                <w:rtl w:val="true"/>
              </w:rPr>
              <w:t>مشكلات رفتارى</w:t>
            </w:r>
            <w:r>
              <w:rPr>
                <w:rStyle w:val="IndexLink"/>
                <w:rtl w:val="true"/>
              </w:rPr>
              <w:t>:</w:t>
              <w:tab/>
            </w:r>
            <w:r>
              <w:rPr>
                <w:rStyle w:val="IndexLink"/>
              </w:rPr>
              <w:t>12</w:t>
            </w:r>
          </w:hyperlink>
        </w:p>
        <w:p>
          <w:pPr>
            <w:pStyle w:val="Contents3"/>
            <w:tabs>
              <w:tab w:val="clear" w:pos="8459"/>
              <w:tab w:val="right" w:pos="9026" w:leader="dot"/>
            </w:tabs>
            <w:rPr/>
          </w:pPr>
          <w:hyperlink w:anchor="__RefHeading___Toc1962459_3650668749">
            <w:r>
              <w:rPr>
                <w:webHidden/>
                <w:rStyle w:val="IndexLink"/>
                <w:rtl w:val="true"/>
              </w:rPr>
              <w:t>الف</w:t>
            </w:r>
            <w:r>
              <w:rPr>
                <w:rStyle w:val="IndexLink"/>
                <w:rtl w:val="true"/>
              </w:rPr>
              <w:t xml:space="preserve">- </w:t>
            </w:r>
            <w:r>
              <w:rPr>
                <w:rStyle w:val="IndexLink"/>
                <w:rtl w:val="true"/>
              </w:rPr>
              <w:t>فرودگاه جده</w:t>
            </w:r>
            <w:r>
              <w:rPr>
                <w:rStyle w:val="IndexLink"/>
                <w:rtl w:val="true"/>
              </w:rPr>
              <w:tab/>
            </w:r>
            <w:r>
              <w:rPr>
                <w:rStyle w:val="IndexLink"/>
              </w:rPr>
              <w:t>12</w:t>
            </w:r>
          </w:hyperlink>
        </w:p>
        <w:p>
          <w:pPr>
            <w:pStyle w:val="Contents3"/>
            <w:tabs>
              <w:tab w:val="clear" w:pos="8459"/>
              <w:tab w:val="right" w:pos="9026" w:leader="dot"/>
            </w:tabs>
            <w:rPr/>
          </w:pPr>
          <w:hyperlink w:anchor="__RefHeading___Toc1962461_3650668749">
            <w:r>
              <w:rPr>
                <w:webHidden/>
                <w:rStyle w:val="IndexLink"/>
                <w:rtl w:val="true"/>
              </w:rPr>
              <w:t>ب</w:t>
            </w:r>
            <w:r>
              <w:rPr>
                <w:rStyle w:val="IndexLink"/>
                <w:rtl w:val="true"/>
              </w:rPr>
              <w:t xml:space="preserve">- </w:t>
            </w:r>
            <w:r>
              <w:rPr>
                <w:rStyle w:val="IndexLink"/>
                <w:rtl w:val="true"/>
              </w:rPr>
              <w:t>در بقيع و اطراف آن</w:t>
            </w:r>
            <w:r>
              <w:rPr>
                <w:rStyle w:val="IndexLink"/>
                <w:rtl w:val="true"/>
              </w:rPr>
              <w:tab/>
            </w:r>
            <w:r>
              <w:rPr>
                <w:rStyle w:val="IndexLink"/>
              </w:rPr>
              <w:t>13</w:t>
            </w:r>
          </w:hyperlink>
        </w:p>
        <w:p>
          <w:pPr>
            <w:pStyle w:val="Contents3"/>
            <w:tabs>
              <w:tab w:val="clear" w:pos="8459"/>
              <w:tab w:val="right" w:pos="9026" w:leader="dot"/>
            </w:tabs>
            <w:rPr/>
          </w:pPr>
          <w:hyperlink w:anchor="__RefHeading___Toc1962463_3650668749">
            <w:r>
              <w:rPr>
                <w:webHidden/>
                <w:rStyle w:val="IndexLink"/>
                <w:rtl w:val="true"/>
              </w:rPr>
              <w:t>ج</w:t>
            </w:r>
            <w:r>
              <w:rPr>
                <w:rStyle w:val="IndexLink"/>
                <w:rtl w:val="true"/>
              </w:rPr>
              <w:t xml:space="preserve">- </w:t>
            </w:r>
            <w:r>
              <w:rPr>
                <w:rStyle w:val="IndexLink"/>
                <w:rtl w:val="true"/>
              </w:rPr>
              <w:t>مسجدالنبى صلى الله عليه و آله و اطراف آن</w:t>
            </w:r>
            <w:r>
              <w:rPr>
                <w:rStyle w:val="IndexLink"/>
                <w:rtl w:val="true"/>
              </w:rPr>
              <w:tab/>
            </w:r>
            <w:r>
              <w:rPr>
                <w:rStyle w:val="IndexLink"/>
              </w:rPr>
              <w:t>14</w:t>
            </w:r>
          </w:hyperlink>
        </w:p>
        <w:p>
          <w:pPr>
            <w:pStyle w:val="Contents3"/>
            <w:tabs>
              <w:tab w:val="clear" w:pos="8459"/>
              <w:tab w:val="right" w:pos="9026" w:leader="dot"/>
            </w:tabs>
            <w:rPr/>
          </w:pPr>
          <w:hyperlink w:anchor="__RefHeading___Toc1962465_3650668749">
            <w:r>
              <w:rPr>
                <w:webHidden/>
                <w:rStyle w:val="IndexLink"/>
                <w:rtl w:val="true"/>
              </w:rPr>
              <w:t>د</w:t>
            </w:r>
            <w:r>
              <w:rPr>
                <w:rStyle w:val="IndexLink"/>
                <w:rtl w:val="true"/>
              </w:rPr>
              <w:t xml:space="preserve">- </w:t>
            </w:r>
            <w:r>
              <w:rPr>
                <w:rStyle w:val="IndexLink"/>
                <w:rtl w:val="true"/>
              </w:rPr>
              <w:t>مسجدالحرام</w:t>
            </w:r>
            <w:r>
              <w:rPr>
                <w:rStyle w:val="IndexLink"/>
                <w:rtl w:val="true"/>
              </w:rPr>
              <w:tab/>
            </w:r>
            <w:r>
              <w:rPr>
                <w:rStyle w:val="IndexLink"/>
              </w:rPr>
              <w:t>15</w:t>
            </w:r>
          </w:hyperlink>
        </w:p>
        <w:p>
          <w:pPr>
            <w:pStyle w:val="Contents3"/>
            <w:tabs>
              <w:tab w:val="clear" w:pos="8459"/>
              <w:tab w:val="right" w:pos="9026" w:leader="dot"/>
            </w:tabs>
            <w:rPr/>
          </w:pPr>
          <w:hyperlink w:anchor="__RefHeading___Toc1962467_3650668749">
            <w:r>
              <w:rPr>
                <w:webHidden/>
                <w:rStyle w:val="IndexLink"/>
                <w:rtl w:val="true"/>
              </w:rPr>
              <w:t>ه</w:t>
            </w:r>
            <w:r>
              <w:rPr>
                <w:rStyle w:val="IndexLink"/>
                <w:rtl w:val="true"/>
              </w:rPr>
              <w:t xml:space="preserve">- </w:t>
            </w:r>
            <w:r>
              <w:rPr>
                <w:rStyle w:val="IndexLink"/>
                <w:rtl w:val="true"/>
              </w:rPr>
              <w:t>موارد فرهنگى و اجتماعى</w:t>
            </w:r>
            <w:r>
              <w:rPr>
                <w:rStyle w:val="IndexLink"/>
                <w:rtl w:val="true"/>
              </w:rPr>
              <w:tab/>
            </w:r>
            <w:r>
              <w:rPr>
                <w:rStyle w:val="IndexLink"/>
              </w:rPr>
              <w:t>16</w:t>
            </w:r>
          </w:hyperlink>
        </w:p>
        <w:p>
          <w:pPr>
            <w:pStyle w:val="Contents3"/>
            <w:tabs>
              <w:tab w:val="clear" w:pos="8459"/>
              <w:tab w:val="right" w:pos="9026" w:leader="dot"/>
            </w:tabs>
            <w:rPr/>
          </w:pPr>
          <w:hyperlink w:anchor="__RefHeading___Toc1962469_3650668749">
            <w:r>
              <w:rPr>
                <w:webHidden/>
                <w:rStyle w:val="IndexLink"/>
                <w:rtl w:val="true"/>
              </w:rPr>
              <w:t>و</w:t>
            </w:r>
            <w:r>
              <w:rPr>
                <w:rStyle w:val="IndexLink"/>
                <w:rtl w:val="true"/>
              </w:rPr>
              <w:t xml:space="preserve">- </w:t>
            </w:r>
            <w:r>
              <w:rPr>
                <w:rStyle w:val="IndexLink"/>
                <w:rtl w:val="true"/>
              </w:rPr>
              <w:t>موارد مربوط به بازار و خريد</w:t>
            </w:r>
            <w:r>
              <w:rPr>
                <w:rStyle w:val="IndexLink"/>
                <w:rtl w:val="true"/>
              </w:rPr>
              <w:tab/>
            </w:r>
            <w:r>
              <w:rPr>
                <w:rStyle w:val="IndexLink"/>
              </w:rPr>
              <w:t>17</w:t>
            </w:r>
          </w:hyperlink>
        </w:p>
        <w:p>
          <w:pPr>
            <w:pStyle w:val="Contents2"/>
            <w:tabs>
              <w:tab w:val="clear" w:pos="8743"/>
              <w:tab w:val="right" w:pos="9026" w:leader="dot"/>
            </w:tabs>
            <w:rPr/>
          </w:pPr>
          <w:hyperlink w:anchor="__RefHeading___Toc1962471_3650668749">
            <w:r>
              <w:rPr>
                <w:webHidden/>
                <w:rStyle w:val="IndexLink"/>
                <w:rtl w:val="true"/>
              </w:rPr>
              <w:t>وظايف</w:t>
            </w:r>
            <w:r>
              <w:rPr>
                <w:rStyle w:val="IndexLink"/>
                <w:rtl w:val="true"/>
              </w:rPr>
              <w:tab/>
            </w:r>
            <w:r>
              <w:rPr>
                <w:rStyle w:val="IndexLink"/>
              </w:rPr>
              <w:t>18</w:t>
            </w:r>
          </w:hyperlink>
        </w:p>
        <w:p>
          <w:pPr>
            <w:pStyle w:val="Contents2"/>
            <w:tabs>
              <w:tab w:val="clear" w:pos="8743"/>
              <w:tab w:val="right" w:pos="9026" w:leader="dot"/>
            </w:tabs>
            <w:rPr/>
          </w:pPr>
          <w:hyperlink w:anchor="__RefHeading___Toc1962473_3650668749">
            <w:r>
              <w:rPr>
                <w:webHidden/>
                <w:rStyle w:val="IndexLink"/>
                <w:rtl w:val="true"/>
              </w:rPr>
              <w:t>چگونگى انجام وظايف</w:t>
            </w:r>
            <w:r>
              <w:rPr>
                <w:rStyle w:val="IndexLink"/>
                <w:rtl w:val="true"/>
              </w:rPr>
              <w:tab/>
            </w:r>
            <w:r>
              <w:rPr>
                <w:rStyle w:val="IndexLink"/>
              </w:rPr>
              <w:t>18</w:t>
            </w:r>
          </w:hyperlink>
        </w:p>
        <w:p>
          <w:pPr>
            <w:pStyle w:val="Contents3"/>
            <w:tabs>
              <w:tab w:val="clear" w:pos="8459"/>
              <w:tab w:val="right" w:pos="9026" w:leader="dot"/>
            </w:tabs>
            <w:rPr/>
          </w:pPr>
          <w:hyperlink w:anchor="__RefHeading___Toc1962475_3650668749">
            <w:r>
              <w:rPr>
                <w:webHidden/>
                <w:rStyle w:val="IndexLink"/>
                <w:rtl w:val="true"/>
              </w:rPr>
              <w:t>الف</w:t>
            </w:r>
            <w:r>
              <w:rPr>
                <w:rStyle w:val="IndexLink"/>
                <w:rtl w:val="true"/>
              </w:rPr>
              <w:t xml:space="preserve">- </w:t>
            </w:r>
            <w:r>
              <w:rPr>
                <w:rStyle w:val="IndexLink"/>
                <w:rtl w:val="true"/>
              </w:rPr>
              <w:t>قبل از تشرف</w:t>
            </w:r>
            <w:r>
              <w:rPr>
                <w:rStyle w:val="IndexLink"/>
                <w:rtl w:val="true"/>
              </w:rPr>
              <w:tab/>
            </w:r>
            <w:r>
              <w:rPr>
                <w:rStyle w:val="IndexLink"/>
              </w:rPr>
              <w:t>18</w:t>
            </w:r>
          </w:hyperlink>
        </w:p>
        <w:p>
          <w:pPr>
            <w:pStyle w:val="Contents3"/>
            <w:tabs>
              <w:tab w:val="clear" w:pos="8459"/>
              <w:tab w:val="right" w:pos="9026" w:leader="dot"/>
            </w:tabs>
            <w:rPr/>
          </w:pPr>
          <w:hyperlink w:anchor="__RefHeading___Toc1962477_3650668749">
            <w:r>
              <w:rPr>
                <w:webHidden/>
                <w:rStyle w:val="IndexLink"/>
                <w:rtl w:val="true"/>
              </w:rPr>
              <w:t>ب</w:t>
            </w:r>
            <w:r>
              <w:rPr>
                <w:rStyle w:val="IndexLink"/>
                <w:rtl w:val="true"/>
              </w:rPr>
              <w:t xml:space="preserve">- </w:t>
            </w:r>
            <w:r>
              <w:rPr>
                <w:rStyle w:val="IndexLink"/>
                <w:rtl w:val="true"/>
              </w:rPr>
              <w:t>هنگام تشرف</w:t>
            </w:r>
            <w:r>
              <w:rPr>
                <w:rStyle w:val="IndexLink"/>
                <w:rtl w:val="true"/>
              </w:rPr>
              <w:tab/>
            </w:r>
            <w:r>
              <w:rPr>
                <w:rStyle w:val="IndexLink"/>
              </w:rPr>
              <w:t>18</w:t>
            </w:r>
          </w:hyperlink>
        </w:p>
        <w:p>
          <w:pPr>
            <w:pStyle w:val="Contents2"/>
            <w:tabs>
              <w:tab w:val="clear" w:pos="8743"/>
              <w:tab w:val="right" w:pos="9026" w:leader="dot"/>
            </w:tabs>
            <w:rPr/>
          </w:pPr>
          <w:hyperlink w:anchor="__RefHeading___Toc1962479_3650668749">
            <w:r>
              <w:rPr>
                <w:webHidden/>
                <w:rStyle w:val="IndexLink"/>
                <w:rtl w:val="true"/>
              </w:rPr>
              <w:t>فرم‌ها</w:t>
            </w:r>
            <w:r>
              <w:rPr>
                <w:rStyle w:val="IndexLink"/>
                <w:rtl w:val="true"/>
              </w:rPr>
              <w:tab/>
            </w:r>
            <w:r>
              <w:rPr>
                <w:rStyle w:val="IndexLink"/>
              </w:rPr>
              <w:t>20</w:t>
            </w:r>
          </w:hyperlink>
        </w:p>
        <w:p>
          <w:pPr>
            <w:pStyle w:val="Contents3"/>
            <w:tabs>
              <w:tab w:val="clear" w:pos="8459"/>
              <w:tab w:val="right" w:pos="9026" w:leader="dot"/>
            </w:tabs>
            <w:rPr/>
          </w:pPr>
          <w:hyperlink w:anchor="__RefHeading___Toc1962481_3650668749">
            <w:r>
              <w:rPr>
                <w:webHidden/>
                <w:rStyle w:val="IndexLink"/>
                <w:rtl w:val="true"/>
              </w:rPr>
              <w:t>فرم گروه ارشاد كاروان</w:t>
            </w:r>
            <w:r>
              <w:rPr>
                <w:rStyle w:val="IndexLink"/>
                <w:rtl w:val="true"/>
              </w:rPr>
              <w:tab/>
            </w:r>
            <w:r>
              <w:rPr>
                <w:rStyle w:val="IndexLink"/>
              </w:rPr>
              <w:t>20</w:t>
            </w:r>
          </w:hyperlink>
        </w:p>
        <w:p>
          <w:pPr>
            <w:pStyle w:val="Contents2"/>
            <w:tabs>
              <w:tab w:val="clear" w:pos="8743"/>
              <w:tab w:val="right" w:pos="9026" w:leader="dot"/>
            </w:tabs>
            <w:rPr/>
          </w:pPr>
          <w:hyperlink w:anchor="__RefHeading___Toc1962483_3650668749">
            <w:r>
              <w:rPr>
                <w:webHidden/>
                <w:rStyle w:val="IndexLink"/>
                <w:rtl w:val="true"/>
              </w:rPr>
              <w:t>رهنمودهاى حضرت امام خمينى قدس سره به حجاج</w:t>
            </w:r>
            <w:r>
              <w:rPr>
                <w:rStyle w:val="IndexLink"/>
                <w:rtl w:val="true"/>
              </w:rPr>
              <w:tab/>
            </w:r>
            <w:r>
              <w:rPr>
                <w:rStyle w:val="IndexLink"/>
              </w:rPr>
              <w:t>21</w:t>
            </w:r>
          </w:hyperlink>
        </w:p>
        <w:p>
          <w:pPr>
            <w:pStyle w:val="Contents2"/>
            <w:tabs>
              <w:tab w:val="clear" w:pos="8743"/>
              <w:tab w:val="right" w:pos="9026" w:leader="dot"/>
            </w:tabs>
            <w:rPr/>
          </w:pPr>
          <w:hyperlink w:anchor="__RefHeading___Toc1962485_3650668749">
            <w:r>
              <w:rPr>
                <w:webHidden/>
                <w:rStyle w:val="IndexLink"/>
                <w:rtl w:val="true"/>
              </w:rPr>
              <w:t>رهنمودهاى مقام معظم رهبرى</w:t>
            </w:r>
            <w:r>
              <w:rPr>
                <w:rStyle w:val="IndexLink"/>
                <w:rtl w:val="true"/>
              </w:rPr>
              <w:tab/>
            </w:r>
            <w:r>
              <w:rPr>
                <w:rStyle w:val="IndexLink"/>
              </w:rPr>
              <w:t>23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53_10663"/>
      <w:bookmarkStart w:id="1" w:name="pg1753_10663"/>
      <w:bookmarkEnd w:id="1"/>
    </w:p>
    <w:p>
      <w:pPr>
        <w:pStyle w:val="Heading2"/>
        <w:numPr>
          <w:ilvl w:val="1"/>
          <w:numId w:val="1"/>
        </w:numPr>
        <w:rPr/>
      </w:pPr>
      <w:bookmarkStart w:id="2" w:name="pg1753_10663"/>
      <w:bookmarkStart w:id="3" w:name="__RefHeading___Toc1962441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نام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وظايف گروه هاى ارشاد كاروانهاى حج</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تحقيقات حج</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اجتماعى و سياسى</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مشعر</w:t>
      </w:r>
    </w:p>
    <w:p>
      <w:pPr>
        <w:pStyle w:val="BookText"/>
        <w:rPr/>
      </w:pP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62443_3650668749"/>
      <w:bookmarkStart w:id="6" w:name="_Toc2"/>
      <w:bookmarkEnd w:id="5"/>
      <w:r>
        <w:rPr>
          <w:rtl w:val="true"/>
        </w:rPr>
        <w:t>اشاره</w:t>
      </w:r>
      <w:bookmarkStart w:id="7" w:name="pg1753_10667"/>
      <w:bookmarkEnd w:id="6"/>
    </w:p>
    <w:p>
      <w:pPr>
        <w:pStyle w:val="Heading2"/>
        <w:numPr>
          <w:ilvl w:val="1"/>
          <w:numId w:val="1"/>
        </w:numPr>
        <w:rPr/>
      </w:pPr>
      <w:bookmarkStart w:id="8" w:name="__RefHeading___Toc1962445_3650668749"/>
      <w:bookmarkStart w:id="9" w:name="_Toc3"/>
      <w:bookmarkEnd w:id="7"/>
      <w:bookmarkEnd w:id="8"/>
      <w:r>
        <w:rPr>
          <w:rtl w:val="true"/>
        </w:rPr>
        <w:t>مقدمه</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ولتكن منكم امة يدعون الى الخير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شناخت حوزه مسئوليت و چگونگى انجام وظايف محوله، از شروط اصلى مسئوليت‌دهى و يامسئوليت پذيرى است كه اگر با شرايط ديگر پيوند پيدا كند، موفقيت انسان را دو چندان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و با توجه به وظايف گروههاى ارشاد كاروانهاى حج جمهورى اسلامى ايران و نقش آنان در ارشاد زائران، مطالبى در چند بخش تقديم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با حسن انجام آن، عزت و اقتدار تشيع افزون و ثواب مضاعف نصيب همگان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پيشينه گروههاى ارشاد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ارشاد زائران بيت‌اللَّه‌الحرام براى اولين بار پس از پيروزى انقلاب اسلامى با تعداد محدودى در بعثه مقام معظم رهبرى تشكيل و در مكانهاى خاصى همچون بقيع به ارشاد و راهنمايى زائران مى‌پرداخت</w:t>
      </w:r>
      <w:r>
        <w:rPr>
          <w:rFonts w:eastAsia="IRNazanin" w:cs="IRNazanin"/>
          <w:color w:val="111111"/>
          <w:sz w:val="28"/>
          <w:szCs w:val="28"/>
          <w:rtl w:val="true"/>
          <w:lang w:bidi="fa-IR"/>
        </w:rPr>
        <w:t>.</w:t>
      </w:r>
      <w:bookmarkStart w:id="10" w:name="pg1753_10668"/>
    </w:p>
    <w:p>
      <w:pPr>
        <w:pStyle w:val="BookText"/>
        <w:rPr/>
      </w:pPr>
      <w:bookmarkEnd w:id="10"/>
      <w:r>
        <w:rPr>
          <w:rFonts w:ascii="IRNazanin" w:hAnsi="IRNazanin" w:eastAsia="IRNazanin"/>
          <w:color w:val="111111"/>
          <w:sz w:val="28"/>
          <w:sz w:val="28"/>
          <w:szCs w:val="28"/>
          <w:rtl w:val="true"/>
          <w:lang w:bidi="fa-IR"/>
        </w:rPr>
        <w:t>اين شيوه گرچه موفقيت‌هايى را به همراه داشت، ليكن همواره با كاستى‌هايى روبرو بود كه موجب شد تا معاونت آموزش و پژوهش بعثه مقام معظم رهبرى با بهره‌گيرى از نظرات و پيشنهادات دست‌اندركاران امر حج، و با بازنگرى در تشكيلات و سازماندهى و روش اجرايى آن، گروههاى ارشاد كاروانها را به شكل كنونى سازماندهى نمايد</w:t>
      </w:r>
      <w:r>
        <w:rPr>
          <w:rFonts w:eastAsia="IRNazanin" w:cs="IRNazanin"/>
          <w:color w:val="111111"/>
          <w:sz w:val="28"/>
          <w:szCs w:val="28"/>
          <w:rtl w:val="true"/>
          <w:lang w:bidi="fa-IR"/>
        </w:rPr>
        <w:t>.</w:t>
      </w:r>
    </w:p>
    <w:p>
      <w:pPr>
        <w:pStyle w:val="Heading2"/>
        <w:numPr>
          <w:ilvl w:val="1"/>
          <w:numId w:val="1"/>
        </w:numPr>
        <w:rPr/>
      </w:pPr>
      <w:bookmarkStart w:id="11" w:name="__RefHeading___Toc1962447_3650668749"/>
      <w:bookmarkStart w:id="12" w:name="_Toc4"/>
      <w:bookmarkEnd w:id="11"/>
      <w:r>
        <w:rPr>
          <w:rtl w:val="true"/>
        </w:rPr>
        <w:t>وضعيت حجاج اعزامى</w:t>
      </w:r>
      <w:bookmarkEnd w:id="12"/>
    </w:p>
    <w:p>
      <w:pPr>
        <w:pStyle w:val="BookText"/>
        <w:rPr/>
      </w:pPr>
      <w:r>
        <w:rPr>
          <w:rFonts w:ascii="IRNazanin" w:hAnsi="IRNazanin" w:eastAsia="IRNazanin"/>
          <w:color w:val="111111"/>
          <w:sz w:val="28"/>
          <w:sz w:val="28"/>
          <w:szCs w:val="28"/>
          <w:rtl w:val="true"/>
          <w:lang w:bidi="fa-IR"/>
        </w:rPr>
        <w:t>همه ساله ده‌هاهزار نفر از نقاط مختلف ايران اسلامى جهت انجام فريضه حج، و زيارت نبى اكرم‌اسلام صلى الله عليه و آله و فاطمه زهراء عليها السلام و چهار امام مدفون در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مجتبى، امام سجاد، امام باقر، امام صادق عليهم السلام و ديگر اماكن زيارتى مكه و مدينه توسط سازمان حج وزيارت به عربستان اعزام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ميان زائران اعزامى دو دسته وجود دارند كه بايد به نوعى به كمك آنان شتافت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افراد ضعيف، بيمار و احياناً مسن و ناتوان</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بى سواد و يا كم سوادى كه تجربه سفرهاى خارجى را نداشته، و عظمت اين سفر الهى و معنوى را درك نمى‌كنند و در نتيجه خواسته يا ناخواسته به اعمالى دست مى‌زنند كه موجب وهن تشيع و جمهورى اسلامى ايران مى‌گردد</w:t>
      </w:r>
      <w:r>
        <w:rPr>
          <w:rFonts w:eastAsia="IRNazanin" w:cs="IRNazanin"/>
          <w:color w:val="111111"/>
          <w:sz w:val="28"/>
          <w:szCs w:val="28"/>
          <w:rtl w:val="true"/>
          <w:lang w:bidi="fa-IR"/>
        </w:rPr>
        <w:t>.</w:t>
      </w:r>
      <w:bookmarkStart w:id="13" w:name="pg1753_10669"/>
    </w:p>
    <w:p>
      <w:pPr>
        <w:pStyle w:val="Heading2"/>
        <w:numPr>
          <w:ilvl w:val="1"/>
          <w:numId w:val="1"/>
        </w:numPr>
        <w:rPr/>
      </w:pPr>
      <w:bookmarkStart w:id="14" w:name="__RefHeading___Toc1962449_3650668749"/>
      <w:bookmarkStart w:id="15" w:name="_Toc5"/>
      <w:bookmarkEnd w:id="13"/>
      <w:bookmarkEnd w:id="14"/>
      <w:r>
        <w:rPr>
          <w:rtl w:val="true"/>
        </w:rPr>
        <w:t>طبيعت سفر حج</w:t>
      </w:r>
      <w:bookmarkEnd w:id="15"/>
    </w:p>
    <w:p>
      <w:pPr>
        <w:pStyle w:val="BookText"/>
        <w:rPr/>
      </w:pPr>
      <w:r>
        <w:rPr>
          <w:rFonts w:ascii="IRNazanin" w:hAnsi="IRNazanin" w:eastAsia="IRNazanin"/>
          <w:color w:val="111111"/>
          <w:sz w:val="28"/>
          <w:sz w:val="28"/>
          <w:szCs w:val="28"/>
          <w:rtl w:val="true"/>
          <w:lang w:bidi="fa-IR"/>
        </w:rPr>
        <w:t>جمعى بودن سفر، محدود بودن امكانات پروازى، دشوار بودن شيوه زائرگردانى آنهم در يك كشور خارجى، محدوديت زمانى و مكانى جهت انجام مناسك حج، جابجائيهاى متعدد در مدت محدود سفر هريك مشكلات خاص به خود را دارد و برنامه‌ريزى را با مشكل روبه‌رو خواهد كرد و باعث مى‌شود كه از يك سو زائر توقع خود را كمتر كرده و به حد قابل قبولى برساند و از سوى ديگر به جهت موقعيت خاص و ويژه زائران ايرانى به عنوان پيروان تشيع و انقلاب اسلامى و انتظار حجاج ديگر كشورها از آنان، موجب احساس مسئوليت بيشتر نسبت به مكتب اهل بيت عصمت و طهارت عليهم السلام و انقلاب اسلامى مى‌گردد</w:t>
      </w:r>
      <w:r>
        <w:rPr>
          <w:rFonts w:eastAsia="IRNazanin" w:cs="IRNazanin"/>
          <w:color w:val="111111"/>
          <w:sz w:val="28"/>
          <w:szCs w:val="28"/>
          <w:rtl w:val="true"/>
          <w:lang w:bidi="fa-IR"/>
        </w:rPr>
        <w:t>.</w:t>
      </w:r>
    </w:p>
    <w:p>
      <w:pPr>
        <w:pStyle w:val="Heading2"/>
        <w:numPr>
          <w:ilvl w:val="1"/>
          <w:numId w:val="1"/>
        </w:numPr>
        <w:rPr/>
      </w:pPr>
      <w:bookmarkStart w:id="16" w:name="__RefHeading___Toc1962451_3650668749"/>
      <w:bookmarkStart w:id="17" w:name="_Toc6"/>
      <w:bookmarkEnd w:id="16"/>
      <w:r>
        <w:rPr>
          <w:rtl w:val="true"/>
        </w:rPr>
        <w:t>وضعيت خاص عربستان</w:t>
      </w:r>
      <w:bookmarkEnd w:id="17"/>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عربستان سعودى در موسم حج مقررات و قوانين خاصى را به اجرا مى‌گذارد كه اين مقررات ايجاب مى‌كند تا مسئولان حج دو كشور تلاشهايى را براى هرچه بهتر و باشكوهتر برگزار شدن اين فريضه الهى انجام دهند و عليرغم آمار گسترده زائران و اختلاف نگرش عربستان و ايران در برخى مسائل مرتبط با حج و نيز ايجاد محدوديت براى برخى امور ارشادى و تبليغى</w:t>
      </w:r>
      <w:bookmarkStart w:id="18" w:name="pg1753_10670"/>
    </w:p>
    <w:p>
      <w:pPr>
        <w:pStyle w:val="BookText"/>
        <w:rPr/>
      </w:pPr>
      <w:bookmarkEnd w:id="18"/>
      <w:r>
        <w:rPr>
          <w:rFonts w:ascii="Amiri" w:hAnsi="Amiri" w:eastAsia="Amiri" w:cs="Amiri"/>
          <w:color w:val="111111"/>
          <w:sz w:val="28"/>
          <w:sz w:val="28"/>
          <w:szCs w:val="28"/>
          <w:rtl w:val="true"/>
          <w:lang w:bidi="ar-SA"/>
        </w:rPr>
        <w:t>تلاش كنند تا زائران ايرانى بتوانند به راحتى و درستى اعمال و مناسك خود را انجام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لازم به تذكر است كه در ميان كشورهاى اسلامى تنها جمهورى اسلامى ايران است كه در مراحل مختلف سفر، تمامى امور مربوط به زائران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مسكن، تغذيه، حمل ونقل، امور پزشكى و ارشاد آنان را به عهده دارد</w:t>
      </w:r>
      <w:r>
        <w:rPr>
          <w:rFonts w:eastAsia="IRNazanin" w:cs="IRNazanin"/>
          <w:color w:val="111111"/>
          <w:sz w:val="28"/>
          <w:szCs w:val="28"/>
          <w:rtl w:val="true"/>
          <w:lang w:bidi="fa-IR"/>
        </w:rPr>
        <w:t>.</w:t>
      </w:r>
    </w:p>
    <w:p>
      <w:pPr>
        <w:pStyle w:val="Heading2"/>
        <w:numPr>
          <w:ilvl w:val="1"/>
          <w:numId w:val="1"/>
        </w:numPr>
        <w:rPr/>
      </w:pPr>
      <w:bookmarkStart w:id="19" w:name="__RefHeading___Toc1962453_3650668749"/>
      <w:bookmarkStart w:id="20" w:name="_Toc7"/>
      <w:bookmarkEnd w:id="19"/>
      <w:r>
        <w:rPr>
          <w:rtl w:val="true"/>
        </w:rPr>
        <w:t>اهداف جمهورى اسلامى ايران از حج</w:t>
      </w:r>
      <w:bookmarkEnd w:id="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حج صحيح و مقبول توسط حجاج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كردن رفاه نسبى زائران به منظور استفاده هرچه بيشتر معنوى از اين سفر روحانى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 تحول روحى و اخلاقى در حاجيان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شيعه و نظام جمهورى اسلامى ايران به حجاج ديگر كشورها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نمودن زمينه هرچه بيشتر اخوت دينى و وحدت اسلامى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رسيدن به اين اهداف، با توجه به محدوديت امكانات، جز با اتكاء به نيروهاى مؤمن و عاشق خدمت به اسلام عزيز و نظام جمهورى اسلامى ايران ميسّر نخواهد شد</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مقدمات پيشگفته و اهداف فوق، همه ساله</w:t>
      </w:r>
      <w:bookmarkStart w:id="21" w:name="pg1753_10671"/>
    </w:p>
    <w:p>
      <w:pPr>
        <w:pStyle w:val="BookText"/>
        <w:rPr/>
      </w:pPr>
      <w:bookmarkEnd w:id="21"/>
      <w:r>
        <w:rPr>
          <w:rFonts w:ascii="IRNazanin" w:hAnsi="IRNazanin" w:eastAsia="IRNazanin"/>
          <w:color w:val="111111"/>
          <w:sz w:val="28"/>
          <w:sz w:val="28"/>
          <w:szCs w:val="28"/>
          <w:rtl w:val="true"/>
          <w:lang w:bidi="fa-IR"/>
        </w:rPr>
        <w:t>از ميان زائران هر كاروان براساس دستورالعمل پيوست، تعدادى از خواهران و برادران براى انجام مسئوليت دينى و شرعى امر بمعروف و نهى ازمنكر و ارشاد ديگر زائران، به صورت داوطلبانه انتخاب مى‌شوند تا با پيشگيرى از امورى كه در آن محيط به شيعه و تشيع لطمه وارد مى‌كنند، دين خود را به ائمه معصومين عليهم السلام ادا نموده، ديگر مسلمانان را به مكتب اهل بيت علاقمند و اميدوار سازند</w:t>
      </w:r>
      <w:r>
        <w:rPr>
          <w:rFonts w:eastAsia="IRNazanin" w:cs="IRNazanin"/>
          <w:color w:val="111111"/>
          <w:sz w:val="28"/>
          <w:szCs w:val="28"/>
          <w:rtl w:val="true"/>
          <w:lang w:bidi="fa-IR"/>
        </w:rPr>
        <w:t>.</w:t>
      </w:r>
    </w:p>
    <w:p>
      <w:pPr>
        <w:pStyle w:val="Heading2"/>
        <w:numPr>
          <w:ilvl w:val="1"/>
          <w:numId w:val="1"/>
        </w:numPr>
        <w:rPr/>
      </w:pPr>
      <w:bookmarkStart w:id="22" w:name="__RefHeading___Toc1962455_3650668749"/>
      <w:bookmarkStart w:id="23" w:name="_Toc8"/>
      <w:bookmarkEnd w:id="22"/>
      <w:r>
        <w:rPr>
          <w:rtl w:val="true"/>
        </w:rPr>
        <w:t xml:space="preserve">*** </w:t>
      </w:r>
      <w:r>
        <w:rPr>
          <w:rtl w:val="true"/>
        </w:rPr>
        <w:t>توجيه و گزينش</w:t>
      </w:r>
      <w:bookmarkEnd w:id="23"/>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پيروزى انقلاب اسلامى‌به‌رهبرى پيشواى رحيل و قائدكبير حضرت‌امام خمينى قدس سره ايران به صورت يك مركز سياسى بزرگ، درانظار جهان اسلام وبلكه همه جهانيان مطرح شده است و طبعاً افتخار انتساب به امامان معصوم شيعه، مسؤوليت هر ايرانى و دوستدار خاندان عترت و طهارت را صد چندان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محترم ايرانى حرمين شريفين، كه سفيران انقلاب اسلامى دراين سرزمين‌اند، بايد بدانند كه اعمال آنان در ديد تيزبين ديگر زائران مسلمان، هم بر آبروى انقلاب و جمهورى اسلامى و هم بر توجه به خاستگاه اين نظام اسلامى، يعنى فقه و فرهنگ ائمه معصومين عليهم السلام تأثير</w:t>
      </w:r>
    </w:p>
    <w:p>
      <w:pPr>
        <w:pStyle w:val="BookText"/>
        <w:rPr/>
      </w:pPr>
      <w:r>
        <w:rPr>
          <w:rFonts w:ascii="IRNazanin" w:hAnsi="IRNazanin" w:eastAsia="IRNazanin"/>
          <w:color w:val="111111"/>
          <w:sz w:val="28"/>
          <w:sz w:val="28"/>
          <w:szCs w:val="28"/>
          <w:rtl w:val="true"/>
          <w:lang w:bidi="fa-IR"/>
        </w:rPr>
        <w:t>مثبت يا منفى خواهد داشت از اين رو توجيه درست و هدايت به موقع زائران ايرانى، مسؤوليت بس سنگينى است كه بر دوش روحانيون ومعين‌هاى محترم‌كاروانهاى حج، گذارده شده است و عزيزان روحانى مى‌بايد پيوسته و به صورت‌هاى گوناگون، در زمينه حفظ شخصيت شيعى و انقلابى، به زائران خود تذكرات لازم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فلسفه‌ها و مقاصد بلند حج، اين است كه حج‌گزاران در پرتو زيارت خانه خدا و انجام مناسك، قطره‌هاى وجود خود را به درياى بيكران امامت و رهبرى خاندان رسول اكرم صلى الله عليه و آله وصل كنند،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من‌تمام الحج لقاء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راستا، ائمه بقيع عليهم السلام محور و مركز اصلى اين توجه‌اند وچون بهره‌گيرى از ثمرات زيارت ائمه و حفظ بقيع و بازنگهداشتن درب اين حرم الهى بر روى همه زائران حرم نبوى صلى الله عليه و آله يكى از حياتى‌ترين مسائل اجتماعى شيعه در طول تاريخ بوده است لذا لازم است از دست زدن به اعمالى كه ما را از اين اصل مهّم وحسّاس دور مى‌كند، جداً احتراز نماييم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ايران به دليل سابقه طولانى در ولاى اهلبيت عليهم السلام و ارادت به ساحت مقدس آن بزرگواران و به عنوان پيروان تفكر اصيل اسلام ناب‌محمدى صلى الله عليه و آله و تربيت يافتگان مكتب ولايت وامامت، بايستى با رفتارى درست و</w:t>
      </w:r>
    </w:p>
    <w:p>
      <w:pPr>
        <w:pStyle w:val="BookText"/>
        <w:rPr/>
      </w:pPr>
      <w:r>
        <w:rPr>
          <w:rFonts w:ascii="IRNazanin" w:hAnsi="IRNazanin" w:eastAsia="IRNazanin"/>
          <w:color w:val="111111"/>
          <w:sz w:val="28"/>
          <w:sz w:val="28"/>
          <w:szCs w:val="28"/>
          <w:rtl w:val="true"/>
          <w:lang w:bidi="fa-IR"/>
        </w:rPr>
        <w:t>كردارى شايسته، محبت وعلاقه ساير مسلمانان را به سوى ائمه هدى عليهم السلام جلب كرده و مايه آبرو و عزت پيشوايان مظلوم و معصوم خود باشند، اقدام به اعمالى كه موجب وهن مذهب و از بين بردن علاقه ديگران به مكتب نجاتبخش اهل بيت عليهم السلام مى‌شود، خسران عظيمى است كه با جديت بايد از آن جلوگيرى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ارشاد سازنده و مواعظ بليغ روحانيون محترم كاروانها، با شيوه‌اى قابل فهم و با بهره‌گيرى از قرآن كريم و احاديث اهلبيت عليهم السلام و استفاده از درايت كارساز و تجارب ملموس مى‌تواند مشتاقان و زائران حرمين شريفين را در برابر موارد خلاف، مصونيت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تحقق اين امر مهم وبه منظور تشويق زائران بيت‌اللَّه الحرام به بهره‌بردارى هر چه بيشتر از مراسم عظيم عبادى سياسى حج و حفظ شؤون دينى واسلامى حجاج محترم ايرانى وپيشگيرى از رفتارهاى خلاف اخلاق، گروه ارشاد در هر كاروان به شيوه ذيل تشكيل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كاروان ده نفر از افراد واجد شرايط از بين برادران وخواهران، به‌عنوان گروه مركزى انتخاب، وآنان نسبت به وظايف محوّله توجيه شوند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يكنفر از افراد گروه مركزى، به‌عنوان رابط با معاونت آموزش و پژوهش بعثه مقام معظم رهبرى تعيين گردد</w:t>
      </w:r>
      <w:r>
        <w:rPr>
          <w:rFonts w:eastAsia="IRNazanin" w:cs="IRNazanin"/>
          <w:color w:val="111111"/>
          <w:sz w:val="28"/>
          <w:szCs w:val="28"/>
          <w:rtl w:val="true"/>
          <w:lang w:bidi="fa-IR"/>
        </w:rPr>
        <w:t>.</w:t>
      </w:r>
      <w:bookmarkStart w:id="24" w:name="pg1753_10674"/>
    </w:p>
    <w:p>
      <w:pPr>
        <w:pStyle w:val="BookText"/>
        <w:rPr/>
      </w:pPr>
      <w:bookmarkEnd w:id="24"/>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از اعضاى گروه براساس ضوابط شرعى و دينى عهده‌دار امر ارشاد گرديده و تنها در محورهاى مشخص شده كه پس از اين ذكر خواهد شد انجام وظيفه مى‌نمايند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گروهها در رابطه با مشكلات و موانع احتمالى و نيز استفاده از نظرات ديگران با يكديگر به تبادل نظر پرداخته، سپس مباحث مطرح شده را جمع‌بندى، و به رابط گروه منتقل مى‌كنند، وى نيز نتيجه كامل جلسات و كارهاى انجام شده را به معاونت آموزش و تحقيقات منعكس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تخلفات و گزارشات مهم، لازم است در همان روز به بعثه گزارش شود</w:t>
      </w:r>
      <w:r>
        <w:rPr>
          <w:rFonts w:eastAsia="IRNazanin" w:cs="IRNazanin"/>
          <w:color w:val="111111"/>
          <w:sz w:val="28"/>
          <w:szCs w:val="28"/>
          <w:rtl w:val="true"/>
          <w:lang w:bidi="fa-IR"/>
        </w:rPr>
        <w:t>.</w:t>
      </w:r>
    </w:p>
    <w:p>
      <w:pPr>
        <w:pStyle w:val="Heading2"/>
        <w:numPr>
          <w:ilvl w:val="1"/>
          <w:numId w:val="1"/>
        </w:numPr>
        <w:rPr/>
      </w:pPr>
      <w:bookmarkStart w:id="25" w:name="__RefHeading___Toc1962457_3650668749"/>
      <w:bookmarkStart w:id="26" w:name="_Toc9"/>
      <w:bookmarkEnd w:id="25"/>
      <w:r>
        <w:rPr>
          <w:rtl w:val="true"/>
        </w:rPr>
        <w:t>مشكلات رفتارى</w:t>
      </w:r>
      <w:r>
        <w:rPr>
          <w:rtl w:val="true"/>
        </w:rPr>
        <w:t>:</w:t>
      </w:r>
      <w:bookmarkEnd w:id="26"/>
    </w:p>
    <w:p>
      <w:pPr>
        <w:pStyle w:val="Heading3"/>
        <w:numPr>
          <w:ilvl w:val="2"/>
          <w:numId w:val="1"/>
        </w:numPr>
        <w:rPr/>
      </w:pPr>
      <w:bookmarkStart w:id="27" w:name="__RefHeading___Toc1962459_3650668749"/>
      <w:bookmarkStart w:id="28" w:name="_Toc10"/>
      <w:bookmarkEnd w:id="27"/>
      <w:r>
        <w:rPr>
          <w:rtl w:val="true"/>
        </w:rPr>
        <w:t>الف</w:t>
      </w:r>
      <w:r>
        <w:rPr>
          <w:rtl w:val="true"/>
        </w:rPr>
        <w:t xml:space="preserve">- </w:t>
      </w:r>
      <w:r>
        <w:rPr>
          <w:rtl w:val="true"/>
        </w:rPr>
        <w:t>فرودگاه جده</w:t>
      </w:r>
      <w:bookmarkEnd w:id="28"/>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مواد مخدر هر چند كم در عربستان جرم به حساب مى‌آيد، و همراه داشتن آن علاوه بر خدشه‌دار ساختن حيثيت زائران ايرانى، براى اعضاء كاروان و مسئولان ايرانى نيز در فرودگاه مشكل‌آفرين بوده، در عربستان مجازات سنگين در پى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w:t>
      </w:r>
      <w:bookmarkStart w:id="29" w:name="pg1753_10675"/>
    </w:p>
    <w:p>
      <w:pPr>
        <w:pStyle w:val="BookText"/>
        <w:rPr/>
      </w:pPr>
      <w:bookmarkEnd w:id="29"/>
      <w:r>
        <w:rPr>
          <w:rFonts w:ascii="IRNazanin" w:hAnsi="IRNazanin" w:eastAsia="IRNazanin"/>
          <w:color w:val="111111"/>
          <w:sz w:val="28"/>
          <w:sz w:val="28"/>
          <w:szCs w:val="28"/>
          <w:rtl w:val="true"/>
          <w:lang w:bidi="fa-IR"/>
        </w:rPr>
        <w:t>نكته ضرورى است كه زائران و وسايل همراه آنان نيز توسط مأموران سعودى در فرودگاه دقيقاً كنترل و گاهى به وسيله سگهاى تربيت شده مورد بازرسى قرار مى‌گيرد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اجناسى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پسته، زعفران، تسبيح، انگشتر، گز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توسط بانوان</w:t>
      </w:r>
      <w:r>
        <w:rPr>
          <w:rFonts w:eastAsia="IRNazanin" w:cs="IRNazanin"/>
          <w:color w:val="111111"/>
          <w:sz w:val="28"/>
          <w:szCs w:val="28"/>
          <w:rtl w:val="true"/>
          <w:lang w:bidi="fa-IR"/>
        </w:rPr>
        <w:t>.</w:t>
      </w:r>
    </w:p>
    <w:p>
      <w:pPr>
        <w:pStyle w:val="Heading3"/>
        <w:numPr>
          <w:ilvl w:val="2"/>
          <w:numId w:val="1"/>
        </w:numPr>
        <w:rPr/>
      </w:pPr>
      <w:bookmarkStart w:id="30" w:name="__RefHeading___Toc1962461_3650668749"/>
      <w:bookmarkStart w:id="31" w:name="_Toc11"/>
      <w:bookmarkEnd w:id="30"/>
      <w:r>
        <w:rPr>
          <w:rtl w:val="true"/>
        </w:rPr>
        <w:t>ب</w:t>
      </w:r>
      <w:r>
        <w:rPr>
          <w:rtl w:val="true"/>
        </w:rPr>
        <w:t xml:space="preserve">- </w:t>
      </w:r>
      <w:r>
        <w:rPr>
          <w:rtl w:val="true"/>
        </w:rPr>
        <w:t>در بقيع و اطراف آن</w:t>
      </w:r>
      <w:bookmarkEnd w:id="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 جلو بقيع به هنگام نماز جماعت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روضه‌هاى حساسيت برانگيز توأم با حركات ناموزون و احياناً با صداى بلند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خواندن جلو و داخل بقيع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نوحه خوانى و سينه زنى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دعاى توسل و زيارت عاشورا به صورت دسته جمعى و باصداى بلند جلو بقيع و ديگر اماكن زيارتى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روشن كردن شمع و انداختن سفره‌هاى نذرى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دخيل به شبكه‌هاى بقيع به وسيله پارچه، نخ، قفل و امثال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خاك و سنگ و گندم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انداختن عريضه، پول، لباس، پارچه، شمع و </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قبور</w:t>
      </w:r>
      <w:r>
        <w:rPr>
          <w:rFonts w:eastAsia="IRNazanin" w:cs="IRNazanin"/>
          <w:color w:val="111111"/>
          <w:sz w:val="28"/>
          <w:szCs w:val="28"/>
          <w:rtl w:val="true"/>
          <w:lang w:bidi="fa-IR"/>
        </w:rPr>
        <w:t>.</w:t>
      </w:r>
      <w:bookmarkStart w:id="32" w:name="pg1753_10676"/>
    </w:p>
    <w:p>
      <w:pPr>
        <w:pStyle w:val="BookText"/>
        <w:rPr/>
      </w:pPr>
      <w:bookmarkEnd w:id="32"/>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فيلمبردارى و گرفتن عكس داخل بقيع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ماليدن پارچه‌هاى كفنى و غيره به شبكه‌هاى اطراف جهت تبرك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معبر در جلو بقيع و ايجاد مزاحمت براى ديگران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سيگار كشيدن در بقيع و ديگر اماكن عمومى</w:t>
      </w:r>
      <w:r>
        <w:rPr>
          <w:rFonts w:eastAsia="IRNazanin" w:cs="IRNazanin"/>
          <w:color w:val="111111"/>
          <w:sz w:val="28"/>
          <w:szCs w:val="28"/>
          <w:rtl w:val="true"/>
          <w:lang w:bidi="fa-IR"/>
        </w:rPr>
        <w:t>.</w:t>
      </w:r>
    </w:p>
    <w:p>
      <w:pPr>
        <w:pStyle w:val="Heading3"/>
        <w:numPr>
          <w:ilvl w:val="2"/>
          <w:numId w:val="1"/>
        </w:numPr>
        <w:rPr/>
      </w:pPr>
      <w:bookmarkStart w:id="33" w:name="__RefHeading___Toc1962463_3650668749"/>
      <w:bookmarkStart w:id="34" w:name="_Toc12"/>
      <w:bookmarkEnd w:id="33"/>
      <w:r>
        <w:rPr>
          <w:rtl w:val="true"/>
        </w:rPr>
        <w:t>ج</w:t>
      </w:r>
      <w:r>
        <w:rPr>
          <w:rtl w:val="true"/>
        </w:rPr>
        <w:t xml:space="preserve">- </w:t>
      </w:r>
      <w:r>
        <w:rPr>
          <w:rtl w:val="true"/>
        </w:rPr>
        <w:t>مسجدالنبى صلى الله عليه و آله و اطراف آن</w:t>
      </w:r>
      <w:bookmarkEnd w:id="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بوسيدن ضريح و دربهاى حرم مطهر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مهر و چوب و كاغذ در حرمين و مساجد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از جلو نمازگزاران و خصوصاً هنگام نماز جماعت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قرآن و كفش در يك دست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از روى قرآن و قفسه‌هاى قرآنى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بردن قرآن از مسجد جهت تلاوت به محل سكونت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بهم‌زدن صفوف نماز جماعت و اصرار بر گذشتن از ميان جمعيت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نافله و قرائت قرآن هنگام خطبه‌هاى نماز جمعه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كردن هنگام اذان و ايراد خطبه‌هاى نماز جمعه</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مسجد در آستانه اقامه نماز جماعت</w:t>
      </w:r>
      <w:r>
        <w:rPr>
          <w:rFonts w:eastAsia="Amiri" w:cs="Amiri" w:ascii="Amiri" w:hAnsi="Amiri"/>
          <w:color w:val="111111"/>
          <w:sz w:val="28"/>
          <w:szCs w:val="28"/>
          <w:rtl w:val="true"/>
          <w:lang w:bidi="ar-SA"/>
        </w:rPr>
        <w:t>.</w:t>
      </w:r>
      <w:bookmarkStart w:id="35" w:name="pg1753_10677"/>
    </w:p>
    <w:p>
      <w:pPr>
        <w:pStyle w:val="BookText"/>
        <w:rPr/>
      </w:pPr>
      <w:bookmarkEnd w:id="35"/>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 زيارت و فرستادن صلوات با صداى بلند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يكديگر را با صداى بلند صدا كردن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فرادى همزمان با نماز جماعت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به ضريح پيامبر صلى الله عليه و آله نشستن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بسته‌نماز خواندن وگفتن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گفتن ذكر ركوع و سجود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زودتر از امام جماعت به ركوع و سجود رفتن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شركت نكردن در نماز ميت و ترك مسجد در آن لحظه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گذاشتن تلفن همراه و خاموش نكردن آن به هنگام نماز</w:t>
      </w:r>
      <w:r>
        <w:rPr>
          <w:rFonts w:eastAsia="IRNazanin" w:cs="IRNazanin"/>
          <w:color w:val="111111"/>
          <w:sz w:val="28"/>
          <w:szCs w:val="28"/>
          <w:rtl w:val="true"/>
          <w:lang w:bidi="fa-IR"/>
        </w:rPr>
        <w:t>.</w:t>
      </w:r>
    </w:p>
    <w:p>
      <w:pPr>
        <w:pStyle w:val="Heading3"/>
        <w:numPr>
          <w:ilvl w:val="2"/>
          <w:numId w:val="1"/>
        </w:numPr>
        <w:rPr/>
      </w:pPr>
      <w:bookmarkStart w:id="36" w:name="__RefHeading___Toc1962465_3650668749"/>
      <w:bookmarkStart w:id="37" w:name="_Toc13"/>
      <w:bookmarkEnd w:id="36"/>
      <w:r>
        <w:rPr>
          <w:rtl w:val="true"/>
        </w:rPr>
        <w:t>د</w:t>
      </w:r>
      <w:r>
        <w:rPr>
          <w:rtl w:val="true"/>
        </w:rPr>
        <w:t xml:space="preserve">- </w:t>
      </w:r>
      <w:r>
        <w:rPr>
          <w:rtl w:val="true"/>
        </w:rPr>
        <w:t>مسجدالحرام</w:t>
      </w:r>
      <w:bookmarkEnd w:id="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نازك بودن لباس احرام بانوان و نمايان بودن بدن در حين طواف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بردن نام ائمه عليهم السلام با صداى بلند در طواف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مسير طواف كنندگان رفتن به منظور رسيدن مقابل حجرالاسود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مسير طواف كنندگان و ايجاد مزاحمت براى ديگران</w:t>
      </w:r>
      <w:r>
        <w:rPr>
          <w:rFonts w:eastAsia="IRNazanin" w:cs="IRNazanin"/>
          <w:color w:val="111111"/>
          <w:sz w:val="28"/>
          <w:szCs w:val="28"/>
          <w:rtl w:val="true"/>
          <w:lang w:bidi="fa-IR"/>
        </w:rPr>
        <w:t>.</w:t>
      </w:r>
      <w:bookmarkStart w:id="38" w:name="pg1753_10678"/>
    </w:p>
    <w:p>
      <w:pPr>
        <w:pStyle w:val="BookText"/>
        <w:rPr/>
      </w:pPr>
      <w:bookmarkEnd w:id="38"/>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بوسيدن مقام ابراهيم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كندن نخ از پرده كعبه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خانمها از ميان صفوف نمازگزاران به ويژه در آستانه اقامه جماعت به جهت فشرده بودن صفوف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رساندن به ديگران به منظور استلام حجرالاسود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به كعبه نشستن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ساير موارد يادشده در مسجدالنبى صلى الله عليه و آله</w:t>
      </w:r>
    </w:p>
    <w:p>
      <w:pPr>
        <w:pStyle w:val="Heading3"/>
        <w:numPr>
          <w:ilvl w:val="2"/>
          <w:numId w:val="1"/>
        </w:numPr>
        <w:rPr/>
      </w:pPr>
      <w:bookmarkStart w:id="39" w:name="__RefHeading___Toc1962467_3650668749"/>
      <w:bookmarkStart w:id="40" w:name="_Toc14"/>
      <w:bookmarkEnd w:id="39"/>
      <w:r>
        <w:rPr>
          <w:rtl w:val="true"/>
        </w:rPr>
        <w:t>ه</w:t>
      </w:r>
      <w:r>
        <w:rPr>
          <w:rtl w:val="true"/>
        </w:rPr>
        <w:t xml:space="preserve">- </w:t>
      </w:r>
      <w:r>
        <w:rPr>
          <w:rtl w:val="true"/>
        </w:rPr>
        <w:t>موارد فرهنگى و اجتماعى</w:t>
      </w:r>
      <w:bookmarkEnd w:id="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با لباس نامناسب در اماكن عمومى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بدحجابى و پوشيدن جورابهاى نازك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تجمع در جلو ساختمانهاى محل اسكان در اوقات نماز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ريختن آشغال و زباله در معابر عمومى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گرفتن از منبع‌هاى آب آشاميدنى خصوصاً داخل مسجدالحرام و مسجدالنبى صلى الله عليه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نام و نام خانوادگى مشابه با نام خدا و معصومان عليهم السلام روى دمپايى و كفش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مزاحمت در اوقات استراحت ديگران</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حضور به موقع براى سوار شدن به اتوبوس، خوردن غذا و در نتيجه معطل ساختن ديگران</w:t>
      </w:r>
      <w:r>
        <w:rPr>
          <w:rFonts w:eastAsia="IRNazanin" w:cs="IRNazanin"/>
          <w:color w:val="111111"/>
          <w:sz w:val="28"/>
          <w:szCs w:val="28"/>
          <w:rtl w:val="true"/>
          <w:lang w:bidi="fa-IR"/>
        </w:rPr>
        <w:t>.</w:t>
      </w:r>
      <w:bookmarkStart w:id="41" w:name="pg1753_10679"/>
    </w:p>
    <w:p>
      <w:pPr>
        <w:pStyle w:val="BookText"/>
        <w:rPr/>
      </w:pPr>
      <w:bookmarkEnd w:id="41"/>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نكردن بهداشت و ايجاد ناراحتى براى خود و سايرين</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1962469_3650668749"/>
      <w:bookmarkStart w:id="43" w:name="_Toc15"/>
      <w:bookmarkEnd w:id="42"/>
      <w:r>
        <w:rPr>
          <w:rtl w:val="true"/>
        </w:rPr>
        <w:t>و</w:t>
      </w:r>
      <w:r>
        <w:rPr>
          <w:rtl w:val="true"/>
        </w:rPr>
        <w:t xml:space="preserve">- </w:t>
      </w:r>
      <w:r>
        <w:rPr>
          <w:rtl w:val="true"/>
        </w:rPr>
        <w:t>موارد مربوط به بازار و خريد</w:t>
      </w:r>
      <w:bookmarkEnd w:id="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چانه زدن‌هاى حقارت آميز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بارهاى حجيم و سنگين توسط افراد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مراجعت به محل اسكان در اوقات نماز از حرمين شريفين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 جلو مغازه‌ها هنگام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بازگرداندن كالاى خريدارى شده به دليل عدم دقت در هنگام خريد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تذكراست گرچه برخى از موارد ياد شده، خود به‌خود اشكالى ندارد، ليكن به دليل برانگيختن حساسيت پيروان ساير مذاهب و پيامدهاى نامطلوب آن و براى رعايت مصلحت مهم‌تر بايد از آنها احتراز نمود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بودن درب بقيع، و رفت و آمد همه مسلمانان براى زيارت قبور اولياى دين و كم شدن غربت ائمه هدى عليهم السلام از مصالح مهمترى است كه بخاطر آن پرهيز از برخى مسائل دشوار نخواهدبود</w:t>
      </w:r>
      <w:r>
        <w:rPr>
          <w:rFonts w:eastAsia="IRNazanin" w:cs="IRNazanin"/>
          <w:color w:val="111111"/>
          <w:sz w:val="28"/>
          <w:szCs w:val="28"/>
          <w:rtl w:val="true"/>
          <w:lang w:bidi="fa-IR"/>
        </w:rPr>
        <w:t>.</w:t>
      </w:r>
      <w:bookmarkStart w:id="44" w:name="pg1753_10680"/>
    </w:p>
    <w:p>
      <w:pPr>
        <w:pStyle w:val="Heading2"/>
        <w:numPr>
          <w:ilvl w:val="1"/>
          <w:numId w:val="1"/>
        </w:numPr>
        <w:rPr/>
      </w:pPr>
      <w:bookmarkStart w:id="45" w:name="__RefHeading___Toc1962471_3650668749"/>
      <w:bookmarkStart w:id="46" w:name="_Toc16"/>
      <w:bookmarkEnd w:id="44"/>
      <w:bookmarkEnd w:id="45"/>
      <w:r>
        <w:rPr>
          <w:rtl w:val="true"/>
        </w:rPr>
        <w:t>وظايف</w:t>
      </w:r>
      <w:bookmarkEnd w:id="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همكارى با شوراى فرهنگى در اجراى مصوبات شورا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و ارشاد زائران در طول سفر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تكميل و يا جمع‌آورى پاسخنامه‌هاى مربوط به نظرسنجى از زائران و ارسال آن به واحد مربوطه در بعثه مقام معظم رهبرى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كمك به افراد ناتوان در انجام اعمال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اجراى مسابقات فرهنگى</w:t>
      </w:r>
      <w:r>
        <w:rPr>
          <w:rFonts w:eastAsia="IRNazanin" w:cs="IRNazanin"/>
          <w:color w:val="111111"/>
          <w:sz w:val="28"/>
          <w:szCs w:val="28"/>
          <w:rtl w:val="true"/>
          <w:lang w:bidi="fa-IR"/>
        </w:rPr>
        <w:t>.</w:t>
      </w:r>
    </w:p>
    <w:p>
      <w:pPr>
        <w:pStyle w:val="Heading2"/>
        <w:numPr>
          <w:ilvl w:val="1"/>
          <w:numId w:val="1"/>
        </w:numPr>
        <w:rPr/>
      </w:pPr>
      <w:bookmarkStart w:id="47" w:name="__RefHeading___Toc1962473_3650668749"/>
      <w:bookmarkStart w:id="48" w:name="_Toc17"/>
      <w:bookmarkEnd w:id="47"/>
      <w:r>
        <w:rPr>
          <w:rtl w:val="true"/>
        </w:rPr>
        <w:t>چگونگى انجام وظايف</w:t>
      </w:r>
      <w:bookmarkEnd w:id="48"/>
    </w:p>
    <w:p>
      <w:pPr>
        <w:pStyle w:val="Heading3"/>
        <w:numPr>
          <w:ilvl w:val="2"/>
          <w:numId w:val="1"/>
        </w:numPr>
        <w:rPr/>
      </w:pPr>
      <w:bookmarkStart w:id="49" w:name="__RefHeading___Toc1962475_3650668749"/>
      <w:bookmarkStart w:id="50" w:name="_Toc18"/>
      <w:bookmarkEnd w:id="49"/>
      <w:r>
        <w:rPr>
          <w:rtl w:val="true"/>
        </w:rPr>
        <w:t>الف</w:t>
      </w:r>
      <w:r>
        <w:rPr>
          <w:rtl w:val="true"/>
        </w:rPr>
        <w:t xml:space="preserve">- </w:t>
      </w:r>
      <w:r>
        <w:rPr>
          <w:rtl w:val="true"/>
        </w:rPr>
        <w:t>قبل از تشرف</w:t>
      </w:r>
      <w:bookmarkEnd w:id="50"/>
    </w:p>
    <w:p>
      <w:pPr>
        <w:pStyle w:val="BookText"/>
        <w:rPr/>
      </w:pPr>
      <w:r>
        <w:rPr>
          <w:rFonts w:ascii="IRNazanin" w:hAnsi="IRNazanin" w:eastAsia="IRNazanin"/>
          <w:color w:val="111111"/>
          <w:sz w:val="28"/>
          <w:sz w:val="28"/>
          <w:szCs w:val="28"/>
          <w:rtl w:val="true"/>
          <w:lang w:bidi="fa-IR"/>
        </w:rPr>
        <w:t>اعضاء گروه ارشاد در هر كاروان، ياوران و مشاوران روحانى محترم كاروان بوده، در صورت لزوم وظايف محوله از سوى روحانيون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قرائت نماز، قرائت قرآن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مى‌دهند</w:t>
      </w:r>
      <w:r>
        <w:rPr>
          <w:rFonts w:eastAsia="IRNazanin" w:cs="IRNazanin"/>
          <w:color w:val="111111"/>
          <w:sz w:val="28"/>
          <w:szCs w:val="28"/>
          <w:rtl w:val="true"/>
          <w:lang w:bidi="fa-IR"/>
        </w:rPr>
        <w:t>.</w:t>
      </w:r>
    </w:p>
    <w:p>
      <w:pPr>
        <w:pStyle w:val="Heading3"/>
        <w:numPr>
          <w:ilvl w:val="2"/>
          <w:numId w:val="1"/>
        </w:numPr>
        <w:rPr/>
      </w:pPr>
      <w:bookmarkStart w:id="51" w:name="__RefHeading___Toc1962477_3650668749"/>
      <w:bookmarkStart w:id="52" w:name="_Toc19"/>
      <w:bookmarkEnd w:id="51"/>
      <w:r>
        <w:rPr>
          <w:rtl w:val="true"/>
        </w:rPr>
        <w:t>ب</w:t>
      </w:r>
      <w:r>
        <w:rPr>
          <w:rtl w:val="true"/>
        </w:rPr>
        <w:t xml:space="preserve">- </w:t>
      </w:r>
      <w:r>
        <w:rPr>
          <w:rtl w:val="true"/>
        </w:rPr>
        <w:t>هنگام تشرف</w:t>
      </w:r>
      <w:bookmarkEnd w:id="52"/>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روحانى كاروان پس از تشرف به مدينه منوره و يا مكه مكرمه در اولين فرصت با مراجعه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گروه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مستقر در بعثه مقام معظم رهبرى، و اعلام حضور و اخذ برنامه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اعضاء گروه</w:t>
      </w:r>
    </w:p>
    <w:p>
      <w:pPr>
        <w:pStyle w:val="BookText"/>
        <w:rPr/>
      </w:pPr>
      <w:r>
        <w:rPr>
          <w:rFonts w:ascii="Amiri" w:hAnsi="Amiri" w:eastAsia="Amiri" w:cs="Amiri"/>
          <w:color w:val="111111"/>
          <w:sz w:val="28"/>
          <w:sz w:val="28"/>
          <w:szCs w:val="28"/>
          <w:rtl w:val="true"/>
          <w:lang w:bidi="ar-SA"/>
        </w:rPr>
        <w:t>اعلام مى‌نمايد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لازم به تذكر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وظايف گروه ارشاد به گونه‌اى تعيين گرديده كه مزاحمتى با برنامه زيارتى و عبادى آنها نداشته باشد گرچه اين عمل خود از مهمترين عبادات است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 كاروان اسامى اعضاء گروه را در فرمى كه نمونه آن به پيوست مى‌باشد تعيين و قبل از سفر آن را به معاونت آموزش و پژوهش ارسال مى‌نمايد</w:t>
      </w:r>
      <w:r>
        <w:rPr>
          <w:rFonts w:eastAsia="IRNazanin" w:cs="IRNazanin"/>
          <w:color w:val="111111"/>
          <w:sz w:val="28"/>
          <w:szCs w:val="28"/>
          <w:rtl w:val="true"/>
          <w:lang w:bidi="fa-IR"/>
        </w:rPr>
        <w:t>.</w:t>
      </w:r>
      <w:bookmarkStart w:id="53" w:name="pg1753_10682"/>
    </w:p>
    <w:p>
      <w:pPr>
        <w:pStyle w:val="BookText"/>
        <w:rPr/>
      </w:pPr>
      <w:bookmarkEnd w:id="53"/>
      <w:r>
        <w:rPr>
          <w:rFonts w:ascii="Amiri" w:hAnsi="Amiri" w:eastAsia="Amiri" w:cs="Amiri"/>
          <w:color w:val="111111"/>
          <w:sz w:val="28"/>
          <w:sz w:val="28"/>
          <w:szCs w:val="28"/>
          <w:rtl w:val="true"/>
          <w:lang w:bidi="ar-SA"/>
        </w:rPr>
        <w:t>بسمه تعالى و لتكن منكم امة يدعون الى الخير</w:t>
      </w:r>
    </w:p>
    <w:p>
      <w:pPr>
        <w:pStyle w:val="Heading2"/>
        <w:numPr>
          <w:ilvl w:val="1"/>
          <w:numId w:val="1"/>
        </w:numPr>
        <w:rPr/>
      </w:pPr>
      <w:bookmarkStart w:id="54" w:name="__RefHeading___Toc1962479_3650668749"/>
      <w:bookmarkStart w:id="55" w:name="_Toc20"/>
      <w:bookmarkEnd w:id="54"/>
      <w:r>
        <w:rPr>
          <w:rtl w:val="true"/>
        </w:rPr>
        <w:t>فرم‌ها</w:t>
      </w:r>
      <w:bookmarkEnd w:id="55"/>
    </w:p>
    <w:p>
      <w:pPr>
        <w:pStyle w:val="Heading3"/>
        <w:numPr>
          <w:ilvl w:val="2"/>
          <w:numId w:val="1"/>
        </w:numPr>
        <w:rPr/>
      </w:pPr>
      <w:bookmarkStart w:id="56" w:name="__RefHeading___Toc1962481_3650668749"/>
      <w:bookmarkStart w:id="57" w:name="_Toc21"/>
      <w:bookmarkEnd w:id="56"/>
      <w:r>
        <w:rPr>
          <w:rtl w:val="true"/>
        </w:rPr>
        <w:t>فرم گروه ارشاد كاروان</w:t>
      </w:r>
      <w:bookmarkEnd w:id="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شماره كاروان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مديركاروان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زائر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روحانى</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معين روحانى</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 گروه ارشاد</w:t>
      </w:r>
      <w:r>
        <w:rPr>
          <w:rFonts w:eastAsia="IRNazanin" w:cs="IRNazanin"/>
          <w:color w:val="111111"/>
          <w:sz w:val="28"/>
          <w:szCs w:val="28"/>
          <w:rtl w:val="true"/>
          <w:lang w:bidi="fa-IR"/>
        </w:rPr>
        <w:t>:</w:t>
      </w:r>
      <w:bookmarkStart w:id="58" w:name="pg1753_10683"/>
    </w:p>
    <w:p>
      <w:pPr>
        <w:pStyle w:val="Heading2"/>
        <w:numPr>
          <w:ilvl w:val="1"/>
          <w:numId w:val="1"/>
        </w:numPr>
        <w:rPr/>
      </w:pPr>
      <w:bookmarkStart w:id="59" w:name="__RefHeading___Toc1962483_3650668749"/>
      <w:bookmarkStart w:id="60" w:name="_Toc22"/>
      <w:bookmarkEnd w:id="58"/>
      <w:bookmarkEnd w:id="59"/>
      <w:r>
        <w:rPr>
          <w:rtl w:val="true"/>
        </w:rPr>
        <w:t>رهنمودهاى حضرت امام خمينى قدس سره به حجاج</w:t>
      </w:r>
      <w:bookmarkEnd w:id="60"/>
    </w:p>
    <w:p>
      <w:pPr>
        <w:pStyle w:val="BookText"/>
        <w:rPr/>
      </w:pPr>
      <w:r>
        <w:rPr>
          <w:rFonts w:ascii="Amiri" w:hAnsi="Amiri" w:eastAsia="Amiri" w:cs="Amiri"/>
          <w:color w:val="111111"/>
          <w:sz w:val="28"/>
          <w:sz w:val="28"/>
          <w:szCs w:val="28"/>
          <w:rtl w:val="true"/>
          <w:lang w:bidi="ar-SA"/>
        </w:rPr>
        <w:t>رهنمودهاى حضرت امام خمينى</w:t>
      </w:r>
    </w:p>
    <w:p>
      <w:pPr>
        <w:pStyle w:val="BookText"/>
        <w:rPr/>
      </w:pPr>
      <w:r>
        <w:rPr>
          <w:rFonts w:ascii="IRNazanin" w:hAnsi="IRNazanin" w:eastAsia="IRNazanin"/>
          <w:color w:val="111111"/>
          <w:sz w:val="28"/>
          <w:sz w:val="28"/>
          <w:szCs w:val="28"/>
          <w:rtl w:val="true"/>
          <w:lang w:bidi="fa-IR"/>
        </w:rPr>
        <w:t>اخلاق كريمه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اسلامى را با همه زوار از هر طبقه و هر طايفه و هر رنگ و هر زبان و هر كشور باشند، با دقت مراعات نماييد و در برخوردها و رفت و آمدها در جميع اوقات و احوال و پيشامدها صبور و بردبار باشيد و كريمانه با همه رفتار نماييد و در مقابل درشتى‌ها، نرمى و سلم و در مقابل بدرفتارى‌ها، خوبى و محبت كنيد و براى رضاى خداوند تعالى تحمل هر پيشامد بدى از هر كس باشد، با روى گشاده و سعه صدر نمايد كه آن مواقف كريمه و بقاع شريفه محل نزاع و جدال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زائران محترم ايرانى توجه كنند كه از كشورى انقلابى و اسلامى و متعهد به احكام اسلام، راهى حج شده‌اند و چشمان دوستان و دشمنان بر آنان دوخته شده است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هر حال زائران ايرانى به نقش و رسالت خود در تمامى مراحل حج توجه كنند كه تمامى اعمال و رفتار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با دقت مورد توجه و نظر دوستان و دشمنان انقلاب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انقلاب در صدد دست يافتن به سوژه‌اى ولو مختصر جهت تخريب قداست و اعتبار الهى مردم كشور ما مى‌باشند و دوستان و طرفداران انقلاب مشتاق آشنايى با روش و سيره و خصوصيات اين ملتى كه آوازه نام و نشانش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يارى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عالم طنين افكنده است، گرديده‌اند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بهترين ميعادگاه معارفه ملت‌هاى اسلامى است كه مسلمانان با برادران و خواهران دينى و اسلامى خود از سراسر جهان آشنا مى‌شوند</w:t>
      </w:r>
      <w:r>
        <w:rPr>
          <w:rFonts w:eastAsia="IRNazanin" w:cs="IRNazanin"/>
          <w:color w:val="111111"/>
          <w:sz w:val="28"/>
          <w:szCs w:val="28"/>
          <w:rtl w:val="true"/>
          <w:lang w:bidi="fa-IR"/>
        </w:rPr>
        <w:t>.</w:t>
      </w:r>
      <w:bookmarkStart w:id="61" w:name="pg1753_10685"/>
    </w:p>
    <w:p>
      <w:pPr>
        <w:pStyle w:val="Heading2"/>
        <w:numPr>
          <w:ilvl w:val="1"/>
          <w:numId w:val="1"/>
        </w:numPr>
        <w:rPr/>
      </w:pPr>
      <w:bookmarkStart w:id="62" w:name="__RefHeading___Toc1962485_3650668749"/>
      <w:bookmarkStart w:id="63" w:name="_Toc23"/>
      <w:bookmarkEnd w:id="61"/>
      <w:bookmarkEnd w:id="62"/>
      <w:r>
        <w:rPr>
          <w:rtl w:val="true"/>
        </w:rPr>
        <w:t>رهنمودهاى مقام معظم رهبرى</w:t>
      </w:r>
      <w:bookmarkEnd w:id="63"/>
    </w:p>
    <w:p>
      <w:pPr>
        <w:pStyle w:val="BookText"/>
        <w:rPr/>
      </w:pPr>
      <w:r>
        <w:rPr>
          <w:rFonts w:ascii="IRNazanin" w:hAnsi="IRNazanin" w:eastAsia="IRNazanin"/>
          <w:color w:val="111111"/>
          <w:sz w:val="28"/>
          <w:sz w:val="28"/>
          <w:szCs w:val="28"/>
          <w:rtl w:val="true"/>
          <w:lang w:bidi="fa-IR"/>
        </w:rPr>
        <w:t>حجاج عزيز ما در بين خودشان به افرادى كه مى‌بينند ملاحظه مصالح اسلام و انقلاب را نمى‌كنند تذكر دهند چنين تذكرى مسلماً مصداق نهى از منكر است البته خداى متعال تفضلات خود را بر كسانى كه در راه او و براى او كار مى‌كنند و به عبادت و تلاش مى‌پردازند قطعاً و بلاشك نازل خواهد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مردمى كه به حج مشرف مى‌شوند قدر اين نعمت بزرگ را بدانند و عزت اسلامى، عزت ناشى از برافراشتن پرچم اسلام در ايران اسلامى را، حفظ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رفتار حاجى ايرانى به گونه‌اى باشد كه عزت اين نظام و انقلاب و شكوه و عظمتى كه به اسلام در اين جا داده شده است، خداى نكرده اندكى مخدوش شود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هر كس كه موجب جدايى دل‌هاى مسلمانان و فرق اسلامى از يكديگر شود، در حالى كه</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مقابل دشمنان دين و دشمنان اسلام و دشمنان قرآن، احتياج به وحدت و همدلى دارند، به همان اندازه تلاش خود، نسبت به اسلام و مسلمين خيانت آشكار كرده است</w:t>
      </w:r>
      <w:r>
        <w:rPr>
          <w:rFonts w:eastAsia="Amiri" w:cs="Amiri" w:ascii="Amiri" w:hAnsi="Amiri"/>
          <w:color w:val="111111"/>
          <w:sz w:val="28"/>
          <w:szCs w:val="28"/>
          <w:rtl w:val="true"/>
          <w:lang w:bidi="ar-SA"/>
        </w:rPr>
        <w:t>.</w:t>
      </w:r>
      <w:r>
        <w:rPr>
          <w:rStyle w:val="FootnoteAnchor"/>
          <w:rtl w:val="true"/>
        </w:rPr>
        <w:footnoteReference w:id="2"/>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تحقيقات حج، شرح وظايف گروه هاى ارشاد كاروانهاى حج جمهورى اسلامى ايران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image" Target="media/image2.jpeg"/><Relationship Id="rId28" Type="http://schemas.openxmlformats.org/officeDocument/2006/relationships/image" Target="media/image2.jpeg"/><Relationship Id="rId29" Type="http://schemas.openxmlformats.org/officeDocument/2006/relationships/footer" Target="footer22.xml"/><Relationship Id="rId30" Type="http://schemas.openxmlformats.org/officeDocument/2006/relationships/footnotes" Target="footnotes.xml"/><Relationship Id="rId31" Type="http://schemas.openxmlformats.org/officeDocument/2006/relationships/numbering" Target="numbering.xml"/><Relationship Id="rId32" Type="http://schemas.openxmlformats.org/officeDocument/2006/relationships/fontTable" Target="fontTable.xml"/><Relationship Id="rId33" Type="http://schemas.openxmlformats.org/officeDocument/2006/relationships/settings" Target="settings.xml"/><Relationship Id="rId3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Pages>
  <Words>2900</Words>
  <Characters>11731</Characters>
  <CharactersWithSpaces>14450</CharactersWithSpaces>
  <Paragraphs>208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2026-08-16T18:23:21Z</dcterms:created>
  <dc:creator>ghaemiyeh.com</dc:creator>
  <dc:description/>
  <dc:language>en-US</dc:language>
  <cp:lastModifiedBy/>
  <dcterms:modified xsi:type="dcterms:W3CDTF">2026-08-16T21:53:22Z</dcterms:modified>
  <cp:revision>1</cp:revision>
  <dc:subject/>
  <dc:title>شرح وظایف گروه های ارشاد کاروانهای حج 1385</dc:title>
</cp:coreProperties>
</file>

<file path=docProps/custom.xml><?xml version="1.0" encoding="utf-8"?>
<Properties xmlns="http://schemas.openxmlformats.org/officeDocument/2006/custom-properties" xmlns:vt="http://schemas.openxmlformats.org/officeDocument/2006/docPropsVTypes"/>
</file>