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وهابیت از برون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049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92050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20503_3650668749">
            <w:r>
              <w:rPr>
                <w:webHidden/>
                <w:rStyle w:val="IndexLink"/>
                <w:rtl w:val="true"/>
              </w:rPr>
              <w:t>ديباچه‌</w:t>
            </w:r>
            <w:r>
              <w:rPr>
                <w:rStyle w:val="IndexLink"/>
                <w:rtl w:val="true"/>
              </w:rPr>
              <w:tab/>
            </w:r>
            <w:r>
              <w:rPr>
                <w:rStyle w:val="IndexLink"/>
              </w:rPr>
              <w:t>15</w:t>
            </w:r>
          </w:hyperlink>
        </w:p>
        <w:p>
          <w:pPr>
            <w:pStyle w:val="Contents2"/>
            <w:tabs>
              <w:tab w:val="clear" w:pos="8743"/>
              <w:tab w:val="right" w:pos="9026" w:leader="dot"/>
            </w:tabs>
            <w:rPr/>
          </w:pPr>
          <w:hyperlink w:anchor="__RefHeading___Toc1920505_3650668749">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920507_3650668749">
            <w:r>
              <w:rPr>
                <w:webHidden/>
                <w:rStyle w:val="IndexLink"/>
                <w:rtl w:val="true"/>
              </w:rPr>
              <w:t>بخش اول</w:t>
            </w:r>
            <w:r>
              <w:rPr>
                <w:rStyle w:val="IndexLink"/>
                <w:rtl w:val="true"/>
              </w:rPr>
              <w:t xml:space="preserve">: </w:t>
            </w:r>
            <w:r>
              <w:rPr>
                <w:rStyle w:val="IndexLink"/>
                <w:rtl w:val="true"/>
              </w:rPr>
              <w:t>محمد علوى مالكى‌</w:t>
            </w:r>
            <w:r>
              <w:rPr>
                <w:rStyle w:val="IndexLink"/>
                <w:rtl w:val="true"/>
              </w:rPr>
              <w:tab/>
            </w:r>
            <w:r>
              <w:rPr>
                <w:rStyle w:val="IndexLink"/>
              </w:rPr>
              <w:t>18</w:t>
            </w:r>
          </w:hyperlink>
        </w:p>
        <w:p>
          <w:pPr>
            <w:pStyle w:val="Contents3"/>
            <w:tabs>
              <w:tab w:val="clear" w:pos="8459"/>
              <w:tab w:val="right" w:pos="9026" w:leader="dot"/>
            </w:tabs>
            <w:rPr/>
          </w:pPr>
          <w:hyperlink w:anchor="__RefHeading___Toc1920509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20511_3650668749">
            <w:r>
              <w:rPr>
                <w:webHidden/>
                <w:rStyle w:val="IndexLink"/>
                <w:rtl w:val="true"/>
              </w:rPr>
              <w:t>شرح حال مالكى‌</w:t>
            </w:r>
            <w:r>
              <w:rPr>
                <w:rStyle w:val="IndexLink"/>
                <w:rtl w:val="true"/>
              </w:rPr>
              <w:tab/>
            </w:r>
            <w:r>
              <w:rPr>
                <w:rStyle w:val="IndexLink"/>
              </w:rPr>
              <w:t>19</w:t>
            </w:r>
          </w:hyperlink>
        </w:p>
        <w:p>
          <w:pPr>
            <w:pStyle w:val="Contents4"/>
            <w:tabs>
              <w:tab w:val="clear" w:pos="8176"/>
              <w:tab w:val="right" w:pos="9026" w:leader="dot"/>
            </w:tabs>
            <w:rPr/>
          </w:pPr>
          <w:hyperlink w:anchor="__RefHeading___Toc1920513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920515_3650668749">
            <w:r>
              <w:rPr>
                <w:webHidden/>
                <w:rStyle w:val="IndexLink"/>
                <w:rtl w:val="true"/>
              </w:rPr>
              <w:t>مؤلفات مالكى‌</w:t>
            </w:r>
            <w:r>
              <w:rPr>
                <w:rStyle w:val="IndexLink"/>
                <w:rtl w:val="true"/>
              </w:rPr>
              <w:tab/>
            </w:r>
            <w:r>
              <w:rPr>
                <w:rStyle w:val="IndexLink"/>
              </w:rPr>
              <w:t>20</w:t>
            </w:r>
          </w:hyperlink>
        </w:p>
        <w:p>
          <w:pPr>
            <w:pStyle w:val="Contents4"/>
            <w:tabs>
              <w:tab w:val="clear" w:pos="8176"/>
              <w:tab w:val="right" w:pos="9026" w:leader="dot"/>
            </w:tabs>
            <w:rPr/>
          </w:pPr>
          <w:hyperlink w:anchor="__RefHeading___Toc1920517_3650668749">
            <w:r>
              <w:rPr>
                <w:webHidden/>
                <w:rStyle w:val="IndexLink"/>
                <w:rtl w:val="true"/>
              </w:rPr>
              <w:t>مشايخ مالكى‌</w:t>
            </w:r>
            <w:r>
              <w:rPr>
                <w:rStyle w:val="IndexLink"/>
                <w:rtl w:val="true"/>
              </w:rPr>
              <w:tab/>
            </w:r>
            <w:r>
              <w:rPr>
                <w:rStyle w:val="IndexLink"/>
              </w:rPr>
              <w:t>23</w:t>
            </w:r>
          </w:hyperlink>
        </w:p>
        <w:p>
          <w:pPr>
            <w:pStyle w:val="Contents4"/>
            <w:tabs>
              <w:tab w:val="clear" w:pos="8176"/>
              <w:tab w:val="right" w:pos="9026" w:leader="dot"/>
            </w:tabs>
            <w:rPr/>
          </w:pPr>
          <w:hyperlink w:anchor="__RefHeading___Toc1920519_3650668749">
            <w:r>
              <w:rPr>
                <w:webHidden/>
                <w:rStyle w:val="IndexLink"/>
                <w:rtl w:val="true"/>
              </w:rPr>
              <w:t>حكم وهابيان به تكفير مالكى‌</w:t>
            </w:r>
            <w:r>
              <w:rPr>
                <w:rStyle w:val="IndexLink"/>
                <w:rtl w:val="true"/>
              </w:rPr>
              <w:tab/>
            </w:r>
            <w:r>
              <w:rPr>
                <w:rStyle w:val="IndexLink"/>
              </w:rPr>
              <w:t>25</w:t>
            </w:r>
          </w:hyperlink>
        </w:p>
        <w:p>
          <w:pPr>
            <w:pStyle w:val="Contents4"/>
            <w:tabs>
              <w:tab w:val="clear" w:pos="8176"/>
              <w:tab w:val="right" w:pos="9026" w:leader="dot"/>
            </w:tabs>
            <w:rPr/>
          </w:pPr>
          <w:hyperlink w:anchor="__RefHeading___Toc1920521_3650668749">
            <w:r>
              <w:rPr>
                <w:webHidden/>
                <w:rStyle w:val="IndexLink"/>
                <w:rtl w:val="true"/>
              </w:rPr>
              <w:t>تأليفات وهابيان بر ضد مالكى‌</w:t>
            </w:r>
            <w:r>
              <w:rPr>
                <w:rStyle w:val="IndexLink"/>
                <w:rtl w:val="true"/>
              </w:rPr>
              <w:tab/>
            </w:r>
            <w:r>
              <w:rPr>
                <w:rStyle w:val="IndexLink"/>
              </w:rPr>
              <w:t>39</w:t>
            </w:r>
          </w:hyperlink>
        </w:p>
        <w:p>
          <w:pPr>
            <w:pStyle w:val="Contents3"/>
            <w:tabs>
              <w:tab w:val="clear" w:pos="8459"/>
              <w:tab w:val="right" w:pos="9026" w:leader="dot"/>
            </w:tabs>
            <w:rPr/>
          </w:pPr>
          <w:hyperlink w:anchor="__RefHeading___Toc1920523_3650668749">
            <w:r>
              <w:rPr>
                <w:webHidden/>
                <w:rStyle w:val="IndexLink"/>
                <w:rtl w:val="true"/>
              </w:rPr>
              <w:t>مهم‌ترين كتاب مالكى در ردّ وهابيان‌</w:t>
            </w:r>
            <w:r>
              <w:rPr>
                <w:rStyle w:val="IndexLink"/>
                <w:rtl w:val="true"/>
              </w:rPr>
              <w:tab/>
            </w:r>
            <w:r>
              <w:rPr>
                <w:rStyle w:val="IndexLink"/>
              </w:rPr>
              <w:t>41</w:t>
            </w:r>
          </w:hyperlink>
        </w:p>
        <w:p>
          <w:pPr>
            <w:pStyle w:val="Contents4"/>
            <w:tabs>
              <w:tab w:val="clear" w:pos="8176"/>
              <w:tab w:val="right" w:pos="9026" w:leader="dot"/>
            </w:tabs>
            <w:rPr/>
          </w:pPr>
          <w:hyperlink w:anchor="__RefHeading___Toc1920525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20527_3650668749">
            <w:r>
              <w:rPr>
                <w:webHidden/>
                <w:rStyle w:val="IndexLink"/>
                <w:rtl w:val="true"/>
              </w:rPr>
              <w:t>تقريظات اهل سنت بر كتاب مالكى‌</w:t>
            </w:r>
            <w:r>
              <w:rPr>
                <w:rStyle w:val="IndexLink"/>
                <w:rtl w:val="true"/>
              </w:rPr>
              <w:tab/>
            </w:r>
            <w:r>
              <w:rPr>
                <w:rStyle w:val="IndexLink"/>
              </w:rPr>
              <w:t>41</w:t>
            </w:r>
          </w:hyperlink>
        </w:p>
        <w:p>
          <w:pPr>
            <w:pStyle w:val="Contents5"/>
            <w:tabs>
              <w:tab w:val="clear" w:pos="7892"/>
              <w:tab w:val="right" w:pos="9026" w:leader="dot"/>
            </w:tabs>
            <w:rPr/>
          </w:pPr>
          <w:hyperlink w:anchor="__RefHeading___Toc1920529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920531_3650668749">
            <w:r>
              <w:rPr>
                <w:webHidden/>
                <w:rStyle w:val="IndexLink"/>
              </w:rPr>
              <w:t>1</w:t>
            </w:r>
            <w:r>
              <w:rPr>
                <w:rStyle w:val="IndexLink"/>
                <w:rtl w:val="true"/>
              </w:rPr>
              <w:t xml:space="preserve">. </w:t>
            </w:r>
            <w:r>
              <w:rPr>
                <w:rStyle w:val="IndexLink"/>
                <w:rtl w:val="true"/>
              </w:rPr>
              <w:t>حسنين محمد مخلوف‌</w:t>
            </w:r>
            <w:r>
              <w:rPr>
                <w:rStyle w:val="IndexLink"/>
                <w:rtl w:val="true"/>
              </w:rPr>
              <w:tab/>
            </w:r>
            <w:r>
              <w:rPr>
                <w:rStyle w:val="IndexLink"/>
              </w:rPr>
              <w:t>42</w:t>
            </w:r>
          </w:hyperlink>
        </w:p>
        <w:p>
          <w:pPr>
            <w:pStyle w:val="Contents5"/>
            <w:tabs>
              <w:tab w:val="clear" w:pos="7892"/>
              <w:tab w:val="right" w:pos="9026" w:leader="dot"/>
            </w:tabs>
            <w:rPr/>
          </w:pPr>
          <w:hyperlink w:anchor="__RefHeading___Toc1920533_3650668749">
            <w:r>
              <w:rPr>
                <w:webHidden/>
                <w:rStyle w:val="IndexLink"/>
              </w:rPr>
              <w:t>2</w:t>
            </w:r>
            <w:r>
              <w:rPr>
                <w:rStyle w:val="IndexLink"/>
                <w:rtl w:val="true"/>
              </w:rPr>
              <w:t xml:space="preserve">. </w:t>
            </w:r>
            <w:r>
              <w:rPr>
                <w:rStyle w:val="IndexLink"/>
                <w:rtl w:val="true"/>
              </w:rPr>
              <w:t>شيخ محمد خزرجى‌</w:t>
            </w:r>
            <w:r>
              <w:rPr>
                <w:rStyle w:val="IndexLink"/>
                <w:rtl w:val="true"/>
              </w:rPr>
              <w:tab/>
            </w:r>
            <w:r>
              <w:rPr>
                <w:rStyle w:val="IndexLink"/>
              </w:rPr>
              <w:t>43</w:t>
            </w:r>
          </w:hyperlink>
        </w:p>
        <w:p>
          <w:pPr>
            <w:pStyle w:val="Contents5"/>
            <w:tabs>
              <w:tab w:val="clear" w:pos="7892"/>
              <w:tab w:val="right" w:pos="9026" w:leader="dot"/>
            </w:tabs>
            <w:rPr/>
          </w:pPr>
          <w:hyperlink w:anchor="__RefHeading___Toc1920535_3650668749">
            <w:r>
              <w:rPr>
                <w:webHidden/>
                <w:rStyle w:val="IndexLink"/>
              </w:rPr>
              <w:t>3</w:t>
            </w:r>
            <w:r>
              <w:rPr>
                <w:rStyle w:val="IndexLink"/>
                <w:rtl w:val="true"/>
              </w:rPr>
              <w:t xml:space="preserve">. </w:t>
            </w:r>
            <w:r>
              <w:rPr>
                <w:rStyle w:val="IndexLink"/>
                <w:rtl w:val="true"/>
              </w:rPr>
              <w:t>شيخ محمد طيب نجار</w:t>
            </w:r>
            <w:r>
              <w:rPr>
                <w:rStyle w:val="IndexLink"/>
                <w:rtl w:val="true"/>
              </w:rPr>
              <w:tab/>
            </w:r>
            <w:r>
              <w:rPr>
                <w:rStyle w:val="IndexLink"/>
              </w:rPr>
              <w:t>44</w:t>
            </w:r>
          </w:hyperlink>
        </w:p>
        <w:p>
          <w:pPr>
            <w:pStyle w:val="Contents5"/>
            <w:tabs>
              <w:tab w:val="clear" w:pos="7892"/>
              <w:tab w:val="right" w:pos="9026" w:leader="dot"/>
            </w:tabs>
            <w:rPr/>
          </w:pPr>
          <w:hyperlink w:anchor="__RefHeading___Toc1920537_3650668749">
            <w:r>
              <w:rPr>
                <w:webHidden/>
                <w:rStyle w:val="IndexLink"/>
              </w:rPr>
              <w:t>4</w:t>
            </w:r>
            <w:r>
              <w:rPr>
                <w:rStyle w:val="IndexLink"/>
                <w:rtl w:val="true"/>
              </w:rPr>
              <w:t xml:space="preserve">. </w:t>
            </w:r>
            <w:r>
              <w:rPr>
                <w:rStyle w:val="IndexLink"/>
                <w:rtl w:val="true"/>
              </w:rPr>
              <w:t>سيد عبدالله كنون حسنى‌</w:t>
            </w:r>
            <w:r>
              <w:rPr>
                <w:rStyle w:val="IndexLink"/>
                <w:rtl w:val="true"/>
              </w:rPr>
              <w:tab/>
            </w:r>
            <w:r>
              <w:rPr>
                <w:rStyle w:val="IndexLink"/>
              </w:rPr>
              <w:t>44</w:t>
            </w:r>
          </w:hyperlink>
        </w:p>
        <w:p>
          <w:pPr>
            <w:pStyle w:val="Contents5"/>
            <w:tabs>
              <w:tab w:val="clear" w:pos="7892"/>
              <w:tab w:val="right" w:pos="9026" w:leader="dot"/>
            </w:tabs>
            <w:rPr/>
          </w:pPr>
          <w:hyperlink w:anchor="__RefHeading___Toc1920539_3650668749">
            <w:r>
              <w:rPr>
                <w:webHidden/>
                <w:rStyle w:val="IndexLink"/>
              </w:rPr>
              <w:t>5</w:t>
            </w:r>
            <w:r>
              <w:rPr>
                <w:rStyle w:val="IndexLink"/>
                <w:rtl w:val="true"/>
              </w:rPr>
              <w:t xml:space="preserve">. </w:t>
            </w:r>
            <w:r>
              <w:rPr>
                <w:rStyle w:val="IndexLink"/>
                <w:rtl w:val="true"/>
              </w:rPr>
              <w:t>دكتر حسينى عبدالمجيد هاشم‌</w:t>
            </w:r>
            <w:r>
              <w:rPr>
                <w:rStyle w:val="IndexLink"/>
                <w:rtl w:val="true"/>
              </w:rPr>
              <w:tab/>
            </w:r>
            <w:r>
              <w:rPr>
                <w:rStyle w:val="IndexLink"/>
              </w:rPr>
              <w:t>46</w:t>
            </w:r>
          </w:hyperlink>
        </w:p>
        <w:p>
          <w:pPr>
            <w:pStyle w:val="Contents5"/>
            <w:tabs>
              <w:tab w:val="clear" w:pos="7892"/>
              <w:tab w:val="right" w:pos="9026" w:leader="dot"/>
            </w:tabs>
            <w:rPr/>
          </w:pPr>
          <w:hyperlink w:anchor="__RefHeading___Toc1920541_3650668749">
            <w:r>
              <w:rPr>
                <w:webHidden/>
                <w:rStyle w:val="IndexLink"/>
              </w:rPr>
              <w:t>6</w:t>
            </w:r>
            <w:r>
              <w:rPr>
                <w:rStyle w:val="IndexLink"/>
                <w:rtl w:val="true"/>
              </w:rPr>
              <w:t xml:space="preserve">. </w:t>
            </w:r>
            <w:r>
              <w:rPr>
                <w:rStyle w:val="IndexLink"/>
                <w:rtl w:val="true"/>
              </w:rPr>
              <w:t>دكتر رؤوف شبلى‌</w:t>
            </w:r>
            <w:r>
              <w:rPr>
                <w:rStyle w:val="IndexLink"/>
                <w:rtl w:val="true"/>
              </w:rPr>
              <w:tab/>
            </w:r>
            <w:r>
              <w:rPr>
                <w:rStyle w:val="IndexLink"/>
              </w:rPr>
              <w:t>46</w:t>
            </w:r>
          </w:hyperlink>
        </w:p>
        <w:p>
          <w:pPr>
            <w:pStyle w:val="Contents5"/>
            <w:tabs>
              <w:tab w:val="clear" w:pos="7892"/>
              <w:tab w:val="right" w:pos="9026" w:leader="dot"/>
            </w:tabs>
            <w:rPr/>
          </w:pPr>
          <w:hyperlink w:anchor="__RefHeading___Toc1920543_3650668749">
            <w:r>
              <w:rPr>
                <w:webHidden/>
                <w:rStyle w:val="IndexLink"/>
              </w:rPr>
              <w:t>7</w:t>
            </w:r>
            <w:r>
              <w:rPr>
                <w:rStyle w:val="IndexLink"/>
                <w:rtl w:val="true"/>
              </w:rPr>
              <w:t xml:space="preserve">. </w:t>
            </w:r>
            <w:r>
              <w:rPr>
                <w:rStyle w:val="IndexLink"/>
                <w:rtl w:val="true"/>
              </w:rPr>
              <w:t>سيد يوسف هاشم رفاعى‌</w:t>
            </w:r>
            <w:r>
              <w:rPr>
                <w:rStyle w:val="IndexLink"/>
                <w:rtl w:val="true"/>
              </w:rPr>
              <w:tab/>
            </w:r>
            <w:r>
              <w:rPr>
                <w:rStyle w:val="IndexLink"/>
              </w:rPr>
              <w:t>47</w:t>
            </w:r>
          </w:hyperlink>
        </w:p>
        <w:p>
          <w:pPr>
            <w:pStyle w:val="Contents5"/>
            <w:tabs>
              <w:tab w:val="clear" w:pos="7892"/>
              <w:tab w:val="right" w:pos="9026" w:leader="dot"/>
            </w:tabs>
            <w:rPr/>
          </w:pPr>
          <w:hyperlink w:anchor="__RefHeading___Toc1920545_3650668749">
            <w:r>
              <w:rPr>
                <w:webHidden/>
                <w:rStyle w:val="IndexLink"/>
              </w:rPr>
              <w:t>8</w:t>
            </w:r>
            <w:r>
              <w:rPr>
                <w:rStyle w:val="IndexLink"/>
                <w:rtl w:val="true"/>
              </w:rPr>
              <w:t xml:space="preserve">. </w:t>
            </w:r>
            <w:r>
              <w:rPr>
                <w:rStyle w:val="IndexLink"/>
                <w:rtl w:val="true"/>
              </w:rPr>
              <w:t>دكتر عبدالفتاح بركه‌</w:t>
            </w:r>
            <w:r>
              <w:rPr>
                <w:rStyle w:val="IndexLink"/>
                <w:rtl w:val="true"/>
              </w:rPr>
              <w:tab/>
            </w:r>
            <w:r>
              <w:rPr>
                <w:rStyle w:val="IndexLink"/>
              </w:rPr>
              <w:t>48</w:t>
            </w:r>
          </w:hyperlink>
        </w:p>
        <w:p>
          <w:pPr>
            <w:pStyle w:val="Contents5"/>
            <w:tabs>
              <w:tab w:val="clear" w:pos="7892"/>
              <w:tab w:val="right" w:pos="9026" w:leader="dot"/>
            </w:tabs>
            <w:rPr/>
          </w:pPr>
          <w:hyperlink w:anchor="__RefHeading___Toc1920547_3650668749">
            <w:r>
              <w:rPr>
                <w:webHidden/>
                <w:rStyle w:val="IndexLink"/>
              </w:rPr>
              <w:t>9</w:t>
            </w:r>
            <w:r>
              <w:rPr>
                <w:rStyle w:val="IndexLink"/>
                <w:rtl w:val="true"/>
              </w:rPr>
              <w:t xml:space="preserve">. </w:t>
            </w:r>
            <w:r>
              <w:rPr>
                <w:rStyle w:val="IndexLink"/>
                <w:rtl w:val="true"/>
              </w:rPr>
              <w:t>سيد احمد عوض مدنى‌</w:t>
            </w:r>
            <w:r>
              <w:rPr>
                <w:rStyle w:val="IndexLink"/>
                <w:rtl w:val="true"/>
              </w:rPr>
              <w:tab/>
            </w:r>
            <w:r>
              <w:rPr>
                <w:rStyle w:val="IndexLink"/>
              </w:rPr>
              <w:t>49</w:t>
            </w:r>
          </w:hyperlink>
        </w:p>
        <w:p>
          <w:pPr>
            <w:pStyle w:val="Contents5"/>
            <w:tabs>
              <w:tab w:val="clear" w:pos="7892"/>
              <w:tab w:val="right" w:pos="9026" w:leader="dot"/>
            </w:tabs>
            <w:rPr/>
          </w:pPr>
          <w:hyperlink w:anchor="__RefHeading___Toc1920549_3650668749">
            <w:r>
              <w:rPr>
                <w:webHidden/>
                <w:rStyle w:val="IndexLink"/>
              </w:rPr>
              <w:t>10</w:t>
            </w:r>
            <w:r>
              <w:rPr>
                <w:rStyle w:val="IndexLink"/>
                <w:rtl w:val="true"/>
              </w:rPr>
              <w:t xml:space="preserve">. </w:t>
            </w:r>
            <w:r>
              <w:rPr>
                <w:rStyle w:val="IndexLink"/>
                <w:rtl w:val="true"/>
              </w:rPr>
              <w:t>محمد مالك كاند هلوى‌</w:t>
            </w:r>
            <w:r>
              <w:rPr>
                <w:rStyle w:val="IndexLink"/>
                <w:rtl w:val="true"/>
              </w:rPr>
              <w:tab/>
            </w:r>
            <w:r>
              <w:rPr>
                <w:rStyle w:val="IndexLink"/>
              </w:rPr>
              <w:t>50</w:t>
            </w:r>
          </w:hyperlink>
        </w:p>
        <w:p>
          <w:pPr>
            <w:pStyle w:val="Contents5"/>
            <w:tabs>
              <w:tab w:val="clear" w:pos="7892"/>
              <w:tab w:val="right" w:pos="9026" w:leader="dot"/>
            </w:tabs>
            <w:rPr/>
          </w:pPr>
          <w:hyperlink w:anchor="__RefHeading___Toc1920551_3650668749">
            <w:r>
              <w:rPr>
                <w:webHidden/>
                <w:rStyle w:val="IndexLink"/>
              </w:rPr>
              <w:t>11</w:t>
            </w:r>
            <w:r>
              <w:rPr>
                <w:rStyle w:val="IndexLink"/>
                <w:rtl w:val="true"/>
              </w:rPr>
              <w:t xml:space="preserve">. </w:t>
            </w:r>
            <w:r>
              <w:rPr>
                <w:rStyle w:val="IndexLink"/>
                <w:rtl w:val="true"/>
              </w:rPr>
              <w:t>دكتر عبدالرزاق اسكندر</w:t>
            </w:r>
            <w:r>
              <w:rPr>
                <w:rStyle w:val="IndexLink"/>
                <w:rtl w:val="true"/>
              </w:rPr>
              <w:tab/>
            </w:r>
            <w:r>
              <w:rPr>
                <w:rStyle w:val="IndexLink"/>
              </w:rPr>
              <w:t>51</w:t>
            </w:r>
          </w:hyperlink>
        </w:p>
        <w:p>
          <w:pPr>
            <w:pStyle w:val="Contents5"/>
            <w:tabs>
              <w:tab w:val="clear" w:pos="7892"/>
              <w:tab w:val="right" w:pos="9026" w:leader="dot"/>
            </w:tabs>
            <w:rPr/>
          </w:pPr>
          <w:hyperlink w:anchor="__RefHeading___Toc1920553_3650668749">
            <w:r>
              <w:rPr>
                <w:webHidden/>
                <w:rStyle w:val="IndexLink"/>
              </w:rPr>
              <w:t>12</w:t>
            </w:r>
            <w:r>
              <w:rPr>
                <w:rStyle w:val="IndexLink"/>
                <w:rtl w:val="true"/>
              </w:rPr>
              <w:t xml:space="preserve">. </w:t>
            </w:r>
            <w:r>
              <w:rPr>
                <w:rStyle w:val="IndexLink"/>
                <w:rtl w:val="true"/>
              </w:rPr>
              <w:t>سيد محمد عبدالقادر آزاد</w:t>
            </w:r>
            <w:r>
              <w:rPr>
                <w:rStyle w:val="IndexLink"/>
                <w:rtl w:val="true"/>
              </w:rPr>
              <w:tab/>
            </w:r>
            <w:r>
              <w:rPr>
                <w:rStyle w:val="IndexLink"/>
              </w:rPr>
              <w:t>53</w:t>
            </w:r>
          </w:hyperlink>
        </w:p>
        <w:p>
          <w:pPr>
            <w:pStyle w:val="Contents5"/>
            <w:tabs>
              <w:tab w:val="clear" w:pos="7892"/>
              <w:tab w:val="right" w:pos="9026" w:leader="dot"/>
            </w:tabs>
            <w:rPr/>
          </w:pPr>
          <w:hyperlink w:anchor="__RefHeading___Toc1920555_3650668749">
            <w:r>
              <w:rPr>
                <w:webHidden/>
                <w:rStyle w:val="IndexLink"/>
              </w:rPr>
              <w:t>14</w:t>
            </w:r>
            <w:r>
              <w:rPr>
                <w:rStyle w:val="IndexLink"/>
                <w:rtl w:val="true"/>
              </w:rPr>
              <w:t xml:space="preserve">. </w:t>
            </w:r>
            <w:r>
              <w:rPr>
                <w:rStyle w:val="IndexLink"/>
                <w:rtl w:val="true"/>
              </w:rPr>
              <w:t>استاد احمد عبدالغفور عطار</w:t>
            </w:r>
            <w:r>
              <w:rPr>
                <w:rStyle w:val="IndexLink"/>
                <w:rtl w:val="true"/>
              </w:rPr>
              <w:tab/>
            </w:r>
            <w:r>
              <w:rPr>
                <w:rStyle w:val="IndexLink"/>
              </w:rPr>
              <w:t>54</w:t>
            </w:r>
          </w:hyperlink>
        </w:p>
        <w:p>
          <w:pPr>
            <w:pStyle w:val="Contents5"/>
            <w:tabs>
              <w:tab w:val="clear" w:pos="7892"/>
              <w:tab w:val="right" w:pos="9026" w:leader="dot"/>
            </w:tabs>
            <w:rPr/>
          </w:pPr>
          <w:hyperlink w:anchor="__RefHeading___Toc1920557_3650668749">
            <w:r>
              <w:rPr>
                <w:webHidden/>
                <w:rStyle w:val="IndexLink"/>
              </w:rPr>
              <w:t>15</w:t>
            </w:r>
            <w:r>
              <w:rPr>
                <w:rStyle w:val="IndexLink"/>
                <w:rtl w:val="true"/>
              </w:rPr>
              <w:t xml:space="preserve">. </w:t>
            </w:r>
            <w:r>
              <w:rPr>
                <w:rStyle w:val="IndexLink"/>
                <w:rtl w:val="true"/>
              </w:rPr>
              <w:t>شيخ محمد شاذلى نيفر</w:t>
            </w:r>
            <w:r>
              <w:rPr>
                <w:rStyle w:val="IndexLink"/>
                <w:rtl w:val="true"/>
              </w:rPr>
              <w:tab/>
            </w:r>
            <w:r>
              <w:rPr>
                <w:rStyle w:val="IndexLink"/>
              </w:rPr>
              <w:t>55</w:t>
            </w:r>
          </w:hyperlink>
        </w:p>
        <w:p>
          <w:pPr>
            <w:pStyle w:val="Contents5"/>
            <w:tabs>
              <w:tab w:val="clear" w:pos="7892"/>
              <w:tab w:val="right" w:pos="9026" w:leader="dot"/>
            </w:tabs>
            <w:rPr/>
          </w:pPr>
          <w:hyperlink w:anchor="__RefHeading___Toc1920559_3650668749">
            <w:r>
              <w:rPr>
                <w:webHidden/>
                <w:rStyle w:val="IndexLink"/>
              </w:rPr>
              <w:t>16</w:t>
            </w:r>
            <w:r>
              <w:rPr>
                <w:rStyle w:val="IndexLink"/>
                <w:rtl w:val="true"/>
              </w:rPr>
              <w:t xml:space="preserve">. </w:t>
            </w:r>
            <w:r>
              <w:rPr>
                <w:rStyle w:val="IndexLink"/>
                <w:rtl w:val="true"/>
              </w:rPr>
              <w:t>شيخ محمد فال بنانى‌</w:t>
            </w:r>
            <w:r>
              <w:rPr>
                <w:rStyle w:val="IndexLink"/>
                <w:rtl w:val="true"/>
              </w:rPr>
              <w:tab/>
            </w:r>
            <w:r>
              <w:rPr>
                <w:rStyle w:val="IndexLink"/>
              </w:rPr>
              <w:t>56</w:t>
            </w:r>
          </w:hyperlink>
        </w:p>
        <w:p>
          <w:pPr>
            <w:pStyle w:val="Contents5"/>
            <w:tabs>
              <w:tab w:val="clear" w:pos="7892"/>
              <w:tab w:val="right" w:pos="9026" w:leader="dot"/>
            </w:tabs>
            <w:rPr/>
          </w:pPr>
          <w:hyperlink w:anchor="__RefHeading___Toc1920561_3650668749">
            <w:r>
              <w:rPr>
                <w:webHidden/>
                <w:rStyle w:val="IndexLink"/>
              </w:rPr>
              <w:t>17</w:t>
            </w:r>
            <w:r>
              <w:rPr>
                <w:rStyle w:val="IndexLink"/>
                <w:rtl w:val="true"/>
              </w:rPr>
              <w:t xml:space="preserve">. </w:t>
            </w:r>
            <w:r>
              <w:rPr>
                <w:rStyle w:val="IndexLink"/>
                <w:rtl w:val="true"/>
              </w:rPr>
              <w:t>شيخ محمد عزيز الرحمن حقانى هزاروى‌</w:t>
            </w:r>
            <w:r>
              <w:rPr>
                <w:rStyle w:val="IndexLink"/>
                <w:rtl w:val="true"/>
              </w:rPr>
              <w:tab/>
            </w:r>
            <w:r>
              <w:rPr>
                <w:rStyle w:val="IndexLink"/>
              </w:rPr>
              <w:t>57</w:t>
            </w:r>
          </w:hyperlink>
        </w:p>
        <w:p>
          <w:pPr>
            <w:pStyle w:val="Contents5"/>
            <w:tabs>
              <w:tab w:val="clear" w:pos="7892"/>
              <w:tab w:val="right" w:pos="9026" w:leader="dot"/>
            </w:tabs>
            <w:rPr/>
          </w:pPr>
          <w:hyperlink w:anchor="__RefHeading___Toc1920563_3650668749">
            <w:r>
              <w:rPr>
                <w:webHidden/>
                <w:rStyle w:val="IndexLink"/>
              </w:rPr>
              <w:t>18</w:t>
            </w:r>
            <w:r>
              <w:rPr>
                <w:rStyle w:val="IndexLink"/>
                <w:rtl w:val="true"/>
              </w:rPr>
              <w:t xml:space="preserve">. </w:t>
            </w:r>
            <w:r>
              <w:rPr>
                <w:rStyle w:val="IndexLink"/>
                <w:rtl w:val="true"/>
              </w:rPr>
              <w:t>شيخ ابراهيم دسوقى مرعى‌</w:t>
            </w:r>
            <w:r>
              <w:rPr>
                <w:rStyle w:val="IndexLink"/>
                <w:rtl w:val="true"/>
              </w:rPr>
              <w:tab/>
            </w:r>
            <w:r>
              <w:rPr>
                <w:rStyle w:val="IndexLink"/>
              </w:rPr>
              <w:t>57</w:t>
            </w:r>
          </w:hyperlink>
        </w:p>
        <w:p>
          <w:pPr>
            <w:pStyle w:val="Contents5"/>
            <w:tabs>
              <w:tab w:val="clear" w:pos="7892"/>
              <w:tab w:val="right" w:pos="9026" w:leader="dot"/>
            </w:tabs>
            <w:rPr/>
          </w:pPr>
          <w:hyperlink w:anchor="__RefHeading___Toc1920565_3650668749">
            <w:r>
              <w:rPr>
                <w:webHidden/>
                <w:rStyle w:val="IndexLink"/>
              </w:rPr>
              <w:t>19</w:t>
            </w:r>
            <w:r>
              <w:rPr>
                <w:rStyle w:val="IndexLink"/>
                <w:rtl w:val="true"/>
              </w:rPr>
              <w:t xml:space="preserve">. </w:t>
            </w:r>
            <w:r>
              <w:rPr>
                <w:rStyle w:val="IndexLink"/>
                <w:rtl w:val="true"/>
              </w:rPr>
              <w:t>شيخ حسين محمود معوّض‌</w:t>
            </w:r>
            <w:r>
              <w:rPr>
                <w:rStyle w:val="IndexLink"/>
                <w:rtl w:val="true"/>
              </w:rPr>
              <w:tab/>
            </w:r>
            <w:r>
              <w:rPr>
                <w:rStyle w:val="IndexLink"/>
              </w:rPr>
              <w:t>58</w:t>
            </w:r>
          </w:hyperlink>
        </w:p>
        <w:p>
          <w:pPr>
            <w:pStyle w:val="Contents5"/>
            <w:tabs>
              <w:tab w:val="clear" w:pos="7892"/>
              <w:tab w:val="right" w:pos="9026" w:leader="dot"/>
            </w:tabs>
            <w:rPr/>
          </w:pPr>
          <w:hyperlink w:anchor="__RefHeading___Toc1920567_3650668749">
            <w:r>
              <w:rPr>
                <w:webHidden/>
                <w:rStyle w:val="IndexLink"/>
              </w:rPr>
              <w:t>20</w:t>
            </w:r>
            <w:r>
              <w:rPr>
                <w:rStyle w:val="IndexLink"/>
                <w:rtl w:val="true"/>
              </w:rPr>
              <w:t xml:space="preserve">. </w:t>
            </w:r>
            <w:r>
              <w:rPr>
                <w:rStyle w:val="IndexLink"/>
                <w:rtl w:val="true"/>
              </w:rPr>
              <w:t>عبدالسلام جبران‌</w:t>
            </w:r>
            <w:r>
              <w:rPr>
                <w:rStyle w:val="IndexLink"/>
                <w:rtl w:val="true"/>
              </w:rPr>
              <w:tab/>
            </w:r>
            <w:r>
              <w:rPr>
                <w:rStyle w:val="IndexLink"/>
              </w:rPr>
              <w:t>59</w:t>
            </w:r>
          </w:hyperlink>
        </w:p>
        <w:p>
          <w:pPr>
            <w:pStyle w:val="Contents4"/>
            <w:tabs>
              <w:tab w:val="clear" w:pos="8176"/>
              <w:tab w:val="right" w:pos="9026" w:leader="dot"/>
            </w:tabs>
            <w:rPr/>
          </w:pPr>
          <w:hyperlink w:anchor="__RefHeading___Toc1920569_3650668749">
            <w:r>
              <w:rPr>
                <w:webHidden/>
                <w:rStyle w:val="IndexLink"/>
                <w:rtl w:val="true"/>
              </w:rPr>
              <w:t>جماعت علماى يمن‌</w:t>
            </w:r>
            <w:r>
              <w:rPr>
                <w:rStyle w:val="IndexLink"/>
                <w:rtl w:val="true"/>
              </w:rPr>
              <w:tab/>
            </w:r>
            <w:r>
              <w:rPr>
                <w:rStyle w:val="IndexLink"/>
              </w:rPr>
              <w:t>59</w:t>
            </w:r>
          </w:hyperlink>
        </w:p>
        <w:p>
          <w:pPr>
            <w:pStyle w:val="Contents3"/>
            <w:tabs>
              <w:tab w:val="clear" w:pos="8459"/>
              <w:tab w:val="right" w:pos="9026" w:leader="dot"/>
            </w:tabs>
            <w:rPr/>
          </w:pPr>
          <w:hyperlink w:anchor="__RefHeading___Toc1920571_3650668749">
            <w:r>
              <w:rPr>
                <w:webHidden/>
                <w:rStyle w:val="IndexLink"/>
                <w:rtl w:val="true"/>
              </w:rPr>
              <w:t>نمونه‌هايى از افكار محمد بن علوى مالكى‌</w:t>
            </w:r>
            <w:r>
              <w:rPr>
                <w:rStyle w:val="IndexLink"/>
                <w:rtl w:val="true"/>
              </w:rPr>
              <w:tab/>
            </w:r>
            <w:r>
              <w:rPr>
                <w:rStyle w:val="IndexLink"/>
              </w:rPr>
              <w:t>61</w:t>
            </w:r>
          </w:hyperlink>
        </w:p>
        <w:p>
          <w:pPr>
            <w:pStyle w:val="Contents4"/>
            <w:tabs>
              <w:tab w:val="clear" w:pos="8176"/>
              <w:tab w:val="right" w:pos="9026" w:leader="dot"/>
            </w:tabs>
            <w:rPr/>
          </w:pPr>
          <w:hyperlink w:anchor="__RefHeading___Toc1920573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920575_3650668749">
            <w:r>
              <w:rPr>
                <w:webHidden/>
                <w:rStyle w:val="IndexLink"/>
              </w:rPr>
              <w:t>1</w:t>
            </w:r>
            <w:r>
              <w:rPr>
                <w:rStyle w:val="IndexLink"/>
                <w:rtl w:val="true"/>
              </w:rPr>
              <w:t xml:space="preserve">. </w:t>
            </w:r>
            <w:r>
              <w:rPr>
                <w:rStyle w:val="IndexLink"/>
                <w:rtl w:val="true"/>
              </w:rPr>
              <w:t>مخالفت با وهابيان تكفيرى‌</w:t>
            </w:r>
            <w:r>
              <w:rPr>
                <w:rStyle w:val="IndexLink"/>
                <w:rtl w:val="true"/>
              </w:rPr>
              <w:tab/>
            </w:r>
            <w:r>
              <w:rPr>
                <w:rStyle w:val="IndexLink"/>
              </w:rPr>
              <w:t>61</w:t>
            </w:r>
          </w:hyperlink>
        </w:p>
        <w:p>
          <w:pPr>
            <w:pStyle w:val="Contents4"/>
            <w:tabs>
              <w:tab w:val="clear" w:pos="8176"/>
              <w:tab w:val="right" w:pos="9026" w:leader="dot"/>
            </w:tabs>
            <w:rPr/>
          </w:pPr>
          <w:hyperlink w:anchor="__RefHeading___Toc1920577_3650668749">
            <w:r>
              <w:rPr>
                <w:webHidden/>
                <w:rStyle w:val="IndexLink"/>
              </w:rPr>
              <w:t>2</w:t>
            </w:r>
            <w:r>
              <w:rPr>
                <w:rStyle w:val="IndexLink"/>
                <w:rtl w:val="true"/>
              </w:rPr>
              <w:t xml:space="preserve">. </w:t>
            </w:r>
            <w:r>
              <w:rPr>
                <w:rStyle w:val="IndexLink"/>
                <w:rtl w:val="true"/>
              </w:rPr>
              <w:t xml:space="preserve">مشروعيت زيارت قبر پيامبر </w:t>
            </w:r>
            <w:r>
              <w:rPr>
                <w:rStyle w:val="IndexLink"/>
                <w:rtl w:val="true"/>
              </w:rPr>
              <w:t>(</w:t>
            </w:r>
            <w:r>
              <w:rPr>
                <w:rStyle w:val="IndexLink"/>
                <w:rtl w:val="true"/>
              </w:rPr>
              <w:t>ص</w:t>
            </w:r>
            <w:r>
              <w:rPr>
                <w:rStyle w:val="IndexLink"/>
                <w:rtl w:val="true"/>
              </w:rPr>
              <w:t>)</w:t>
              <w:tab/>
            </w:r>
            <w:r>
              <w:rPr>
                <w:rStyle w:val="IndexLink"/>
              </w:rPr>
              <w:t>63</w:t>
            </w:r>
          </w:hyperlink>
        </w:p>
        <w:p>
          <w:pPr>
            <w:pStyle w:val="Contents4"/>
            <w:tabs>
              <w:tab w:val="clear" w:pos="8176"/>
              <w:tab w:val="right" w:pos="9026" w:leader="dot"/>
            </w:tabs>
            <w:rPr/>
          </w:pPr>
          <w:hyperlink w:anchor="__RefHeading___Toc1920579_3650668749">
            <w:r>
              <w:rPr>
                <w:webHidden/>
                <w:rStyle w:val="IndexLink"/>
              </w:rPr>
              <w:t>3</w:t>
            </w:r>
            <w:r>
              <w:rPr>
                <w:rStyle w:val="IndexLink"/>
                <w:rtl w:val="true"/>
              </w:rPr>
              <w:t xml:space="preserve">. </w:t>
            </w:r>
            <w:r>
              <w:rPr>
                <w:rStyle w:val="IndexLink"/>
                <w:rtl w:val="true"/>
              </w:rPr>
              <w:t>مشروعيت توسل به ارواح اوليا</w:t>
            </w:r>
            <w:r>
              <w:rPr>
                <w:rStyle w:val="IndexLink"/>
                <w:rtl w:val="true"/>
              </w:rPr>
              <w:tab/>
            </w:r>
            <w:r>
              <w:rPr>
                <w:rStyle w:val="IndexLink"/>
              </w:rPr>
              <w:t>64</w:t>
            </w:r>
          </w:hyperlink>
        </w:p>
        <w:p>
          <w:pPr>
            <w:pStyle w:val="Contents4"/>
            <w:tabs>
              <w:tab w:val="clear" w:pos="8176"/>
              <w:tab w:val="right" w:pos="9026" w:leader="dot"/>
            </w:tabs>
            <w:rPr/>
          </w:pPr>
          <w:hyperlink w:anchor="__RefHeading___Toc1920581_3650668749">
            <w:r>
              <w:rPr>
                <w:webHidden/>
                <w:rStyle w:val="IndexLink"/>
              </w:rPr>
              <w:t>4</w:t>
            </w:r>
            <w:r>
              <w:rPr>
                <w:rStyle w:val="IndexLink"/>
                <w:rtl w:val="true"/>
              </w:rPr>
              <w:t xml:space="preserve">. </w:t>
            </w:r>
            <w:r>
              <w:rPr>
                <w:rStyle w:val="IndexLink"/>
                <w:rtl w:val="true"/>
              </w:rPr>
              <w:t xml:space="preserve">عدم خوف پيامبر </w:t>
            </w:r>
            <w:r>
              <w:rPr>
                <w:rStyle w:val="IndexLink"/>
                <w:rtl w:val="true"/>
              </w:rPr>
              <w:t>(</w:t>
            </w:r>
            <w:r>
              <w:rPr>
                <w:rStyle w:val="IndexLink"/>
                <w:rtl w:val="true"/>
              </w:rPr>
              <w:t>ص</w:t>
            </w:r>
            <w:r>
              <w:rPr>
                <w:rStyle w:val="IndexLink"/>
                <w:rtl w:val="true"/>
              </w:rPr>
              <w:t xml:space="preserve">) </w:t>
            </w:r>
            <w:r>
              <w:rPr>
                <w:rStyle w:val="IndexLink"/>
                <w:rtl w:val="true"/>
              </w:rPr>
              <w:t>از وقوع امت در شرك‌</w:t>
            </w:r>
            <w:r>
              <w:rPr>
                <w:rStyle w:val="IndexLink"/>
                <w:rtl w:val="true"/>
              </w:rPr>
              <w:tab/>
            </w:r>
            <w:r>
              <w:rPr>
                <w:rStyle w:val="IndexLink"/>
              </w:rPr>
              <w:t>67</w:t>
            </w:r>
          </w:hyperlink>
        </w:p>
        <w:p>
          <w:pPr>
            <w:pStyle w:val="Contents4"/>
            <w:tabs>
              <w:tab w:val="clear" w:pos="8176"/>
              <w:tab w:val="right" w:pos="9026" w:leader="dot"/>
            </w:tabs>
            <w:rPr/>
          </w:pPr>
          <w:hyperlink w:anchor="__RefHeading___Toc1920583_3650668749">
            <w:r>
              <w:rPr>
                <w:webHidden/>
                <w:rStyle w:val="IndexLink"/>
              </w:rPr>
              <w:t>5</w:t>
            </w:r>
            <w:r>
              <w:rPr>
                <w:rStyle w:val="IndexLink"/>
                <w:rtl w:val="true"/>
              </w:rPr>
              <w:t xml:space="preserve">. </w:t>
            </w:r>
            <w:r>
              <w:rPr>
                <w:rStyle w:val="IndexLink"/>
                <w:rtl w:val="true"/>
              </w:rPr>
              <w:t>ردّ استدلال وهابيان بر حرمت زيارت قبور اوليا</w:t>
            </w:r>
            <w:r>
              <w:rPr>
                <w:rStyle w:val="IndexLink"/>
                <w:rtl w:val="true"/>
              </w:rPr>
              <w:tab/>
            </w:r>
            <w:r>
              <w:rPr>
                <w:rStyle w:val="IndexLink"/>
              </w:rPr>
              <w:t>70</w:t>
            </w:r>
          </w:hyperlink>
        </w:p>
        <w:p>
          <w:pPr>
            <w:pStyle w:val="Contents4"/>
            <w:tabs>
              <w:tab w:val="clear" w:pos="8176"/>
              <w:tab w:val="right" w:pos="9026" w:leader="dot"/>
            </w:tabs>
            <w:rPr/>
          </w:pPr>
          <w:hyperlink w:anchor="__RefHeading___Toc1920585_3650668749">
            <w:r>
              <w:rPr>
                <w:webHidden/>
                <w:rStyle w:val="IndexLink"/>
              </w:rPr>
              <w:t>6</w:t>
            </w:r>
            <w:r>
              <w:rPr>
                <w:rStyle w:val="IndexLink"/>
                <w:rtl w:val="true"/>
              </w:rPr>
              <w:t xml:space="preserve">. </w:t>
            </w:r>
            <w:r>
              <w:rPr>
                <w:rStyle w:val="IndexLink"/>
                <w:rtl w:val="true"/>
              </w:rPr>
              <w:t>مفهوم صحيح سنت و بدعت‌</w:t>
            </w:r>
            <w:r>
              <w:rPr>
                <w:rStyle w:val="IndexLink"/>
                <w:rtl w:val="true"/>
              </w:rPr>
              <w:tab/>
            </w:r>
            <w:r>
              <w:rPr>
                <w:rStyle w:val="IndexLink"/>
              </w:rPr>
              <w:t>73</w:t>
            </w:r>
          </w:hyperlink>
        </w:p>
        <w:p>
          <w:pPr>
            <w:pStyle w:val="Contents4"/>
            <w:tabs>
              <w:tab w:val="clear" w:pos="8176"/>
              <w:tab w:val="right" w:pos="9026" w:leader="dot"/>
            </w:tabs>
            <w:rPr/>
          </w:pPr>
          <w:hyperlink w:anchor="__RefHeading___Toc1920587_3650668749">
            <w:r>
              <w:rPr>
                <w:webHidden/>
                <w:rStyle w:val="IndexLink"/>
              </w:rPr>
              <w:t>7</w:t>
            </w:r>
            <w:r>
              <w:rPr>
                <w:rStyle w:val="IndexLink"/>
                <w:rtl w:val="true"/>
              </w:rPr>
              <w:t xml:space="preserve">. </w:t>
            </w:r>
            <w:r>
              <w:rPr>
                <w:rStyle w:val="IndexLink"/>
                <w:rtl w:val="true"/>
              </w:rPr>
              <w:t xml:space="preserve">فوايد برپايى مراسم جشن ميلاد نبوى </w:t>
            </w:r>
            <w:r>
              <w:rPr>
                <w:rStyle w:val="IndexLink"/>
                <w:rtl w:val="true"/>
              </w:rPr>
              <w:t>(</w:t>
            </w:r>
            <w:r>
              <w:rPr>
                <w:rStyle w:val="IndexLink"/>
                <w:rtl w:val="true"/>
              </w:rPr>
              <w:t>ص</w:t>
            </w:r>
            <w:r>
              <w:rPr>
                <w:rStyle w:val="IndexLink"/>
                <w:rtl w:val="true"/>
              </w:rPr>
              <w:t>)</w:t>
              <w:tab/>
            </w:r>
            <w:r>
              <w:rPr>
                <w:rStyle w:val="IndexLink"/>
              </w:rPr>
              <w:t>76</w:t>
            </w:r>
          </w:hyperlink>
        </w:p>
        <w:p>
          <w:pPr>
            <w:pStyle w:val="Contents4"/>
            <w:tabs>
              <w:tab w:val="clear" w:pos="8176"/>
              <w:tab w:val="right" w:pos="9026" w:leader="dot"/>
            </w:tabs>
            <w:rPr/>
          </w:pPr>
          <w:hyperlink w:anchor="__RefHeading___Toc1920589_3650668749">
            <w:r>
              <w:rPr>
                <w:webHidden/>
                <w:rStyle w:val="IndexLink"/>
              </w:rPr>
              <w:t>8</w:t>
            </w:r>
            <w:r>
              <w:rPr>
                <w:rStyle w:val="IndexLink"/>
                <w:rtl w:val="true"/>
              </w:rPr>
              <w:t xml:space="preserve">. </w:t>
            </w:r>
            <w:r>
              <w:rPr>
                <w:rStyle w:val="IndexLink"/>
                <w:rtl w:val="true"/>
              </w:rPr>
              <w:t>حيات برزخى‌</w:t>
            </w:r>
            <w:r>
              <w:rPr>
                <w:rStyle w:val="IndexLink"/>
                <w:rtl w:val="true"/>
              </w:rPr>
              <w:tab/>
            </w:r>
            <w:r>
              <w:rPr>
                <w:rStyle w:val="IndexLink"/>
              </w:rPr>
              <w:t>81</w:t>
            </w:r>
          </w:hyperlink>
        </w:p>
        <w:p>
          <w:pPr>
            <w:pStyle w:val="Contents4"/>
            <w:tabs>
              <w:tab w:val="clear" w:pos="8176"/>
              <w:tab w:val="right" w:pos="9026" w:leader="dot"/>
            </w:tabs>
            <w:rPr/>
          </w:pPr>
          <w:hyperlink w:anchor="__RefHeading___Toc1920591_3650668749">
            <w:r>
              <w:rPr>
                <w:webHidden/>
                <w:rStyle w:val="IndexLink"/>
              </w:rPr>
              <w:t>9</w:t>
            </w:r>
            <w:r>
              <w:rPr>
                <w:rStyle w:val="IndexLink"/>
                <w:rtl w:val="true"/>
              </w:rPr>
              <w:t xml:space="preserve">. </w:t>
            </w:r>
            <w:r>
              <w:rPr>
                <w:rStyle w:val="IndexLink"/>
                <w:rtl w:val="true"/>
              </w:rPr>
              <w:t xml:space="preserve">علم غيب پيامبر </w:t>
            </w:r>
            <w:r>
              <w:rPr>
                <w:rStyle w:val="IndexLink"/>
                <w:rtl w:val="true"/>
              </w:rPr>
              <w:t>(</w:t>
            </w:r>
            <w:r>
              <w:rPr>
                <w:rStyle w:val="IndexLink"/>
                <w:rtl w:val="true"/>
              </w:rPr>
              <w:t>ص</w:t>
            </w:r>
            <w:r>
              <w:rPr>
                <w:rStyle w:val="IndexLink"/>
                <w:rtl w:val="true"/>
              </w:rPr>
              <w:t xml:space="preserve">) </w:t>
            </w:r>
            <w:r>
              <w:rPr>
                <w:rStyle w:val="IndexLink"/>
                <w:rtl w:val="true"/>
              </w:rPr>
              <w:t>در عالم برزخ‌</w:t>
            </w:r>
            <w:r>
              <w:rPr>
                <w:rStyle w:val="IndexLink"/>
                <w:rtl w:val="true"/>
              </w:rPr>
              <w:tab/>
            </w:r>
            <w:r>
              <w:rPr>
                <w:rStyle w:val="IndexLink"/>
              </w:rPr>
              <w:t>87</w:t>
            </w:r>
          </w:hyperlink>
        </w:p>
        <w:p>
          <w:pPr>
            <w:pStyle w:val="Contents4"/>
            <w:tabs>
              <w:tab w:val="clear" w:pos="8176"/>
              <w:tab w:val="right" w:pos="9026" w:leader="dot"/>
            </w:tabs>
            <w:rPr/>
          </w:pPr>
          <w:hyperlink w:anchor="__RefHeading___Toc1920593_3650668749">
            <w:r>
              <w:rPr>
                <w:webHidden/>
                <w:rStyle w:val="IndexLink"/>
              </w:rPr>
              <w:t>10</w:t>
            </w:r>
            <w:r>
              <w:rPr>
                <w:rStyle w:val="IndexLink"/>
                <w:rtl w:val="true"/>
              </w:rPr>
              <w:t xml:space="preserve">. </w:t>
            </w:r>
            <w:r>
              <w:rPr>
                <w:rStyle w:val="IndexLink"/>
                <w:rtl w:val="true"/>
              </w:rPr>
              <w:t>رجحان بار سفر بستن براى زيارت قبور اوليا</w:t>
            </w:r>
            <w:r>
              <w:rPr>
                <w:rStyle w:val="IndexLink"/>
                <w:rtl w:val="true"/>
              </w:rPr>
              <w:tab/>
            </w:r>
            <w:r>
              <w:rPr>
                <w:rStyle w:val="IndexLink"/>
              </w:rPr>
              <w:t>88</w:t>
            </w:r>
          </w:hyperlink>
        </w:p>
        <w:p>
          <w:pPr>
            <w:pStyle w:val="Contents4"/>
            <w:tabs>
              <w:tab w:val="clear" w:pos="8176"/>
              <w:tab w:val="right" w:pos="9026" w:leader="dot"/>
            </w:tabs>
            <w:rPr/>
          </w:pPr>
          <w:hyperlink w:anchor="__RefHeading___Toc1920595_3650668749">
            <w:r>
              <w:rPr>
                <w:webHidden/>
                <w:rStyle w:val="IndexLink"/>
              </w:rPr>
              <w:t>11</w:t>
            </w:r>
            <w:r>
              <w:rPr>
                <w:rStyle w:val="IndexLink"/>
                <w:rtl w:val="true"/>
              </w:rPr>
              <w:t xml:space="preserve">. </w:t>
            </w:r>
            <w:r>
              <w:rPr>
                <w:rStyle w:val="IndexLink"/>
                <w:rtl w:val="true"/>
              </w:rPr>
              <w:t>اتخاذ واسطه بين خلق و خالق‌</w:t>
            </w:r>
            <w:r>
              <w:rPr>
                <w:rStyle w:val="IndexLink"/>
                <w:rtl w:val="true"/>
              </w:rPr>
              <w:tab/>
            </w:r>
            <w:r>
              <w:rPr>
                <w:rStyle w:val="IndexLink"/>
              </w:rPr>
              <w:t>93</w:t>
            </w:r>
          </w:hyperlink>
        </w:p>
        <w:p>
          <w:pPr>
            <w:pStyle w:val="Contents4"/>
            <w:tabs>
              <w:tab w:val="clear" w:pos="8176"/>
              <w:tab w:val="right" w:pos="9026" w:leader="dot"/>
            </w:tabs>
            <w:rPr/>
          </w:pPr>
          <w:hyperlink w:anchor="__RefHeading___Toc1920597_3650668749">
            <w:r>
              <w:rPr>
                <w:webHidden/>
                <w:rStyle w:val="IndexLink"/>
              </w:rPr>
              <w:t>12</w:t>
            </w:r>
            <w:r>
              <w:rPr>
                <w:rStyle w:val="IndexLink"/>
                <w:rtl w:val="true"/>
              </w:rPr>
              <w:t xml:space="preserve">. </w:t>
            </w:r>
            <w:r>
              <w:rPr>
                <w:rStyle w:val="IndexLink"/>
                <w:rtl w:val="true"/>
              </w:rPr>
              <w:t>استغاثه به ارواح اوليا</w:t>
            </w:r>
            <w:r>
              <w:rPr>
                <w:rStyle w:val="IndexLink"/>
                <w:rtl w:val="true"/>
              </w:rPr>
              <w:tab/>
            </w:r>
            <w:r>
              <w:rPr>
                <w:rStyle w:val="IndexLink"/>
              </w:rPr>
              <w:t>96</w:t>
            </w:r>
          </w:hyperlink>
        </w:p>
        <w:p>
          <w:pPr>
            <w:pStyle w:val="Contents4"/>
            <w:tabs>
              <w:tab w:val="clear" w:pos="8176"/>
              <w:tab w:val="right" w:pos="9026" w:leader="dot"/>
            </w:tabs>
            <w:rPr/>
          </w:pPr>
          <w:hyperlink w:anchor="__RefHeading___Toc1920599_3650668749">
            <w:r>
              <w:rPr>
                <w:webHidden/>
                <w:rStyle w:val="IndexLink"/>
                <w:rtl w:val="true"/>
              </w:rPr>
              <w:t>تأليفات حسن بن فرحان‌</w:t>
            </w:r>
            <w:r>
              <w:rPr>
                <w:rStyle w:val="IndexLink"/>
                <w:rtl w:val="true"/>
              </w:rPr>
              <w:tab/>
            </w:r>
            <w:r>
              <w:rPr>
                <w:rStyle w:val="IndexLink"/>
              </w:rPr>
              <w:t>98</w:t>
            </w:r>
          </w:hyperlink>
        </w:p>
        <w:p>
          <w:pPr>
            <w:pStyle w:val="Contents4"/>
            <w:tabs>
              <w:tab w:val="clear" w:pos="8176"/>
              <w:tab w:val="right" w:pos="9026" w:leader="dot"/>
            </w:tabs>
            <w:rPr/>
          </w:pPr>
          <w:hyperlink w:anchor="__RefHeading___Toc1920601_3650668749">
            <w:r>
              <w:rPr>
                <w:webHidden/>
                <w:rStyle w:val="IndexLink"/>
                <w:rtl w:val="true"/>
              </w:rPr>
              <w:t>مقالات حسن بن فرحان‌</w:t>
            </w:r>
            <w:r>
              <w:rPr>
                <w:rStyle w:val="IndexLink"/>
                <w:rtl w:val="true"/>
              </w:rPr>
              <w:tab/>
            </w:r>
            <w:r>
              <w:rPr>
                <w:rStyle w:val="IndexLink"/>
              </w:rPr>
              <w:t>98</w:t>
            </w:r>
          </w:hyperlink>
        </w:p>
        <w:p>
          <w:pPr>
            <w:pStyle w:val="Contents4"/>
            <w:tabs>
              <w:tab w:val="clear" w:pos="8176"/>
              <w:tab w:val="right" w:pos="9026" w:leader="dot"/>
            </w:tabs>
            <w:rPr/>
          </w:pPr>
          <w:hyperlink w:anchor="__RefHeading___Toc1920603_3650668749">
            <w:r>
              <w:rPr>
                <w:webHidden/>
                <w:rStyle w:val="IndexLink"/>
                <w:rtl w:val="true"/>
              </w:rPr>
              <w:t>ردّيه‌هاى حسن بن فرحان‌</w:t>
            </w:r>
            <w:r>
              <w:rPr>
                <w:rStyle w:val="IndexLink"/>
                <w:rtl w:val="true"/>
              </w:rPr>
              <w:tab/>
            </w:r>
            <w:r>
              <w:rPr>
                <w:rStyle w:val="IndexLink"/>
              </w:rPr>
              <w:t>102</w:t>
            </w:r>
          </w:hyperlink>
        </w:p>
        <w:p>
          <w:pPr>
            <w:pStyle w:val="Contents2"/>
            <w:tabs>
              <w:tab w:val="clear" w:pos="8743"/>
              <w:tab w:val="right" w:pos="9026" w:leader="dot"/>
            </w:tabs>
            <w:rPr/>
          </w:pPr>
          <w:hyperlink w:anchor="__RefHeading___Toc1920605_3650668749">
            <w:r>
              <w:rPr>
                <w:webHidden/>
                <w:rStyle w:val="IndexLink"/>
                <w:rtl w:val="true"/>
              </w:rPr>
              <w:t>بخش دوم</w:t>
            </w:r>
            <w:r>
              <w:rPr>
                <w:rStyle w:val="IndexLink"/>
                <w:rtl w:val="true"/>
              </w:rPr>
              <w:t xml:space="preserve">: </w:t>
            </w:r>
            <w:r>
              <w:rPr>
                <w:rStyle w:val="IndexLink"/>
                <w:rtl w:val="true"/>
              </w:rPr>
              <w:t>حسن بن فرحان‌</w:t>
            </w:r>
            <w:r>
              <w:rPr>
                <w:rStyle w:val="IndexLink"/>
                <w:rtl w:val="true"/>
              </w:rPr>
              <w:tab/>
            </w:r>
            <w:r>
              <w:rPr>
                <w:rStyle w:val="IndexLink"/>
              </w:rPr>
              <w:t>103</w:t>
            </w:r>
          </w:hyperlink>
        </w:p>
        <w:p>
          <w:pPr>
            <w:pStyle w:val="Contents3"/>
            <w:tabs>
              <w:tab w:val="clear" w:pos="8459"/>
              <w:tab w:val="right" w:pos="9026" w:leader="dot"/>
            </w:tabs>
            <w:rPr/>
          </w:pPr>
          <w:hyperlink w:anchor="__RefHeading___Toc1920607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920609_3650668749">
            <w:r>
              <w:rPr>
                <w:webHidden/>
                <w:rStyle w:val="IndexLink"/>
                <w:rtl w:val="true"/>
              </w:rPr>
              <w:t>آراى حسن بن فرحان مالكى در ردّ وهابيت‌</w:t>
            </w:r>
            <w:r>
              <w:rPr>
                <w:rStyle w:val="IndexLink"/>
                <w:rtl w:val="true"/>
              </w:rPr>
              <w:tab/>
            </w:r>
            <w:r>
              <w:rPr>
                <w:rStyle w:val="IndexLink"/>
              </w:rPr>
              <w:t>105</w:t>
            </w:r>
          </w:hyperlink>
        </w:p>
        <w:p>
          <w:pPr>
            <w:pStyle w:val="Contents4"/>
            <w:tabs>
              <w:tab w:val="clear" w:pos="8176"/>
              <w:tab w:val="right" w:pos="9026" w:leader="dot"/>
            </w:tabs>
            <w:rPr/>
          </w:pPr>
          <w:hyperlink w:anchor="__RefHeading___Toc1920611_3650668749">
            <w:r>
              <w:rPr>
                <w:webHidden/>
                <w:rStyle w:val="IndexLink"/>
              </w:rPr>
              <w:t>1</w:t>
            </w:r>
            <w:r>
              <w:rPr>
                <w:rStyle w:val="IndexLink"/>
                <w:rtl w:val="true"/>
              </w:rPr>
              <w:t xml:space="preserve">. </w:t>
            </w:r>
            <w:r>
              <w:rPr>
                <w:rStyle w:val="IndexLink"/>
                <w:rtl w:val="true"/>
              </w:rPr>
              <w:t>وهابيان و تكفير مسلمين‌</w:t>
            </w:r>
            <w:r>
              <w:rPr>
                <w:rStyle w:val="IndexLink"/>
                <w:rtl w:val="true"/>
              </w:rPr>
              <w:tab/>
            </w:r>
            <w:r>
              <w:rPr>
                <w:rStyle w:val="IndexLink"/>
              </w:rPr>
              <w:t>105</w:t>
            </w:r>
          </w:hyperlink>
        </w:p>
        <w:p>
          <w:pPr>
            <w:pStyle w:val="Contents4"/>
            <w:tabs>
              <w:tab w:val="clear" w:pos="8176"/>
              <w:tab w:val="right" w:pos="9026" w:leader="dot"/>
            </w:tabs>
            <w:rPr/>
          </w:pPr>
          <w:hyperlink w:anchor="__RefHeading___Toc1920613_3650668749">
            <w:r>
              <w:rPr>
                <w:webHidden/>
                <w:rStyle w:val="IndexLink"/>
              </w:rPr>
              <w:t>2</w:t>
            </w:r>
            <w:r>
              <w:rPr>
                <w:rStyle w:val="IndexLink"/>
                <w:rtl w:val="true"/>
              </w:rPr>
              <w:t xml:space="preserve">. </w:t>
            </w:r>
            <w:r>
              <w:rPr>
                <w:rStyle w:val="IndexLink"/>
                <w:rtl w:val="true"/>
              </w:rPr>
              <w:t>طعن وهابيان بر برخى از اهل بيت</w:t>
            </w:r>
            <w:r>
              <w:rPr>
                <w:rStyle w:val="IndexLink"/>
                <w:rtl w:val="true"/>
              </w:rPr>
              <w:t>:</w:t>
              <w:tab/>
            </w:r>
            <w:r>
              <w:rPr>
                <w:rStyle w:val="IndexLink"/>
              </w:rPr>
              <w:t>106</w:t>
            </w:r>
          </w:hyperlink>
        </w:p>
        <w:p>
          <w:pPr>
            <w:pStyle w:val="Contents4"/>
            <w:tabs>
              <w:tab w:val="clear" w:pos="8176"/>
              <w:tab w:val="right" w:pos="9026" w:leader="dot"/>
            </w:tabs>
            <w:rPr/>
          </w:pPr>
          <w:hyperlink w:anchor="__RefHeading___Toc1920615_3650668749">
            <w:r>
              <w:rPr>
                <w:webHidden/>
                <w:rStyle w:val="IndexLink"/>
              </w:rPr>
              <w:t>3</w:t>
            </w:r>
            <w:r>
              <w:rPr>
                <w:rStyle w:val="IndexLink"/>
                <w:rtl w:val="true"/>
              </w:rPr>
              <w:t xml:space="preserve">. </w:t>
            </w:r>
            <w:r>
              <w:rPr>
                <w:rStyle w:val="IndexLink"/>
                <w:rtl w:val="true"/>
              </w:rPr>
              <w:t>شيوع افكار الحادى در بين جوانان عربستان‌</w:t>
            </w:r>
            <w:r>
              <w:rPr>
                <w:rStyle w:val="IndexLink"/>
                <w:rtl w:val="true"/>
              </w:rPr>
              <w:tab/>
            </w:r>
            <w:r>
              <w:rPr>
                <w:rStyle w:val="IndexLink"/>
              </w:rPr>
              <w:t>107</w:t>
            </w:r>
          </w:hyperlink>
        </w:p>
        <w:p>
          <w:pPr>
            <w:pStyle w:val="Contents4"/>
            <w:tabs>
              <w:tab w:val="clear" w:pos="8176"/>
              <w:tab w:val="right" w:pos="9026" w:leader="dot"/>
            </w:tabs>
            <w:rPr/>
          </w:pPr>
          <w:hyperlink w:anchor="__RefHeading___Toc1920617_3650668749">
            <w:r>
              <w:rPr>
                <w:webHidden/>
                <w:rStyle w:val="IndexLink"/>
              </w:rPr>
              <w:t>4</w:t>
            </w:r>
            <w:r>
              <w:rPr>
                <w:rStyle w:val="IndexLink"/>
                <w:rtl w:val="true"/>
              </w:rPr>
              <w:t xml:space="preserve">. </w:t>
            </w:r>
            <w:r>
              <w:rPr>
                <w:rStyle w:val="IndexLink"/>
                <w:rtl w:val="true"/>
              </w:rPr>
              <w:t>سيره قدماى سلفى‌در تكفير مسلمين‌</w:t>
            </w:r>
            <w:r>
              <w:rPr>
                <w:rStyle w:val="IndexLink"/>
                <w:rtl w:val="true"/>
              </w:rPr>
              <w:tab/>
            </w:r>
            <w:r>
              <w:rPr>
                <w:rStyle w:val="IndexLink"/>
              </w:rPr>
              <w:t>108</w:t>
            </w:r>
          </w:hyperlink>
        </w:p>
        <w:p>
          <w:pPr>
            <w:pStyle w:val="Contents4"/>
            <w:tabs>
              <w:tab w:val="clear" w:pos="8176"/>
              <w:tab w:val="right" w:pos="9026" w:leader="dot"/>
            </w:tabs>
            <w:rPr/>
          </w:pPr>
          <w:hyperlink w:anchor="__RefHeading___Toc1920619_3650668749">
            <w:r>
              <w:rPr>
                <w:webHidden/>
                <w:rStyle w:val="IndexLink"/>
              </w:rPr>
              <w:t>5</w:t>
            </w:r>
            <w:r>
              <w:rPr>
                <w:rStyle w:val="IndexLink"/>
                <w:rtl w:val="true"/>
              </w:rPr>
              <w:t xml:space="preserve">. </w:t>
            </w:r>
            <w:r>
              <w:rPr>
                <w:rStyle w:val="IndexLink"/>
                <w:rtl w:val="true"/>
              </w:rPr>
              <w:t>تكفير مسلمين، عامل تفرقه‌</w:t>
            </w:r>
            <w:r>
              <w:rPr>
                <w:rStyle w:val="IndexLink"/>
                <w:rtl w:val="true"/>
              </w:rPr>
              <w:tab/>
            </w:r>
            <w:r>
              <w:rPr>
                <w:rStyle w:val="IndexLink"/>
              </w:rPr>
              <w:t>110</w:t>
            </w:r>
          </w:hyperlink>
        </w:p>
        <w:p>
          <w:pPr>
            <w:pStyle w:val="Contents4"/>
            <w:tabs>
              <w:tab w:val="clear" w:pos="8176"/>
              <w:tab w:val="right" w:pos="9026" w:leader="dot"/>
            </w:tabs>
            <w:rPr/>
          </w:pPr>
          <w:hyperlink w:anchor="__RefHeading___Toc1920621_3650668749">
            <w:r>
              <w:rPr>
                <w:webHidden/>
                <w:rStyle w:val="IndexLink"/>
              </w:rPr>
              <w:t>6</w:t>
            </w:r>
            <w:r>
              <w:rPr>
                <w:rStyle w:val="IndexLink"/>
                <w:rtl w:val="true"/>
              </w:rPr>
              <w:t xml:space="preserve">. </w:t>
            </w:r>
            <w:r>
              <w:rPr>
                <w:rStyle w:val="IndexLink"/>
                <w:rtl w:val="true"/>
              </w:rPr>
              <w:t>وهابيان و وارد كردن تجسيم در اسلام‌</w:t>
            </w:r>
            <w:r>
              <w:rPr>
                <w:rStyle w:val="IndexLink"/>
                <w:rtl w:val="true"/>
              </w:rPr>
              <w:tab/>
            </w:r>
            <w:r>
              <w:rPr>
                <w:rStyle w:val="IndexLink"/>
              </w:rPr>
              <w:t>111</w:t>
            </w:r>
          </w:hyperlink>
        </w:p>
        <w:p>
          <w:pPr>
            <w:pStyle w:val="Contents4"/>
            <w:tabs>
              <w:tab w:val="clear" w:pos="8176"/>
              <w:tab w:val="right" w:pos="9026" w:leader="dot"/>
            </w:tabs>
            <w:rPr/>
          </w:pPr>
          <w:hyperlink w:anchor="__RefHeading___Toc1920623_3650668749">
            <w:r>
              <w:rPr>
                <w:webHidden/>
                <w:rStyle w:val="IndexLink"/>
              </w:rPr>
              <w:t>7</w:t>
            </w:r>
            <w:r>
              <w:rPr>
                <w:rStyle w:val="IndexLink"/>
                <w:rtl w:val="true"/>
              </w:rPr>
              <w:t xml:space="preserve">. </w:t>
            </w:r>
            <w:r>
              <w:rPr>
                <w:rStyle w:val="IndexLink"/>
                <w:rtl w:val="true"/>
              </w:rPr>
              <w:t>نسبت غلوّ به وهابيان معاصر</w:t>
            </w:r>
            <w:r>
              <w:rPr>
                <w:rStyle w:val="IndexLink"/>
                <w:rtl w:val="true"/>
              </w:rPr>
              <w:tab/>
            </w:r>
            <w:r>
              <w:rPr>
                <w:rStyle w:val="IndexLink"/>
              </w:rPr>
              <w:t>111</w:t>
            </w:r>
          </w:hyperlink>
        </w:p>
        <w:p>
          <w:pPr>
            <w:pStyle w:val="Contents4"/>
            <w:tabs>
              <w:tab w:val="clear" w:pos="8176"/>
              <w:tab w:val="right" w:pos="9026" w:leader="dot"/>
            </w:tabs>
            <w:rPr/>
          </w:pPr>
          <w:hyperlink w:anchor="__RefHeading___Toc1920625_3650668749">
            <w:r>
              <w:rPr>
                <w:webHidden/>
                <w:rStyle w:val="IndexLink"/>
              </w:rPr>
              <w:t>8</w:t>
            </w:r>
            <w:r>
              <w:rPr>
                <w:rStyle w:val="IndexLink"/>
                <w:rtl w:val="true"/>
              </w:rPr>
              <w:t xml:space="preserve">. </w:t>
            </w:r>
            <w:r>
              <w:rPr>
                <w:rStyle w:val="IndexLink"/>
                <w:rtl w:val="true"/>
              </w:rPr>
              <w:t>انتقاد از تكفير مخالفان‌</w:t>
            </w:r>
            <w:r>
              <w:rPr>
                <w:rStyle w:val="IndexLink"/>
                <w:rtl w:val="true"/>
              </w:rPr>
              <w:tab/>
            </w:r>
            <w:r>
              <w:rPr>
                <w:rStyle w:val="IndexLink"/>
              </w:rPr>
              <w:t>113</w:t>
            </w:r>
          </w:hyperlink>
        </w:p>
        <w:p>
          <w:pPr>
            <w:pStyle w:val="Contents4"/>
            <w:tabs>
              <w:tab w:val="clear" w:pos="8176"/>
              <w:tab w:val="right" w:pos="9026" w:leader="dot"/>
            </w:tabs>
            <w:rPr/>
          </w:pPr>
          <w:hyperlink w:anchor="__RefHeading___Toc1920627_3650668749">
            <w:r>
              <w:rPr>
                <w:webHidden/>
                <w:rStyle w:val="IndexLink"/>
              </w:rPr>
              <w:t>9</w:t>
            </w:r>
            <w:r>
              <w:rPr>
                <w:rStyle w:val="IndexLink"/>
                <w:rtl w:val="true"/>
              </w:rPr>
              <w:t xml:space="preserve">. </w:t>
            </w:r>
            <w:r>
              <w:rPr>
                <w:rStyle w:val="IndexLink"/>
                <w:rtl w:val="true"/>
              </w:rPr>
              <w:t>نسبت تكفير سريع به وهابيان‌</w:t>
            </w:r>
            <w:r>
              <w:rPr>
                <w:rStyle w:val="IndexLink"/>
                <w:rtl w:val="true"/>
              </w:rPr>
              <w:tab/>
            </w:r>
            <w:r>
              <w:rPr>
                <w:rStyle w:val="IndexLink"/>
              </w:rPr>
              <w:t>114</w:t>
            </w:r>
          </w:hyperlink>
        </w:p>
        <w:p>
          <w:pPr>
            <w:pStyle w:val="Contents4"/>
            <w:tabs>
              <w:tab w:val="clear" w:pos="8176"/>
              <w:tab w:val="right" w:pos="9026" w:leader="dot"/>
            </w:tabs>
            <w:rPr/>
          </w:pPr>
          <w:hyperlink w:anchor="__RefHeading___Toc1920629_3650668749">
            <w:r>
              <w:rPr>
                <w:webHidden/>
                <w:rStyle w:val="IndexLink"/>
              </w:rPr>
              <w:t>10</w:t>
            </w:r>
            <w:r>
              <w:rPr>
                <w:rStyle w:val="IndexLink"/>
                <w:rtl w:val="true"/>
              </w:rPr>
              <w:t xml:space="preserve">. </w:t>
            </w:r>
            <w:r>
              <w:rPr>
                <w:rStyle w:val="IndexLink"/>
                <w:rtl w:val="true"/>
              </w:rPr>
              <w:t>حكم وهابيان به لوازم اقوال‌</w:t>
            </w:r>
            <w:r>
              <w:rPr>
                <w:rStyle w:val="IndexLink"/>
                <w:rtl w:val="true"/>
              </w:rPr>
              <w:tab/>
            </w:r>
            <w:r>
              <w:rPr>
                <w:rStyle w:val="IndexLink"/>
              </w:rPr>
              <w:t>114</w:t>
            </w:r>
          </w:hyperlink>
        </w:p>
        <w:p>
          <w:pPr>
            <w:pStyle w:val="Contents4"/>
            <w:tabs>
              <w:tab w:val="clear" w:pos="8176"/>
              <w:tab w:val="right" w:pos="9026" w:leader="dot"/>
            </w:tabs>
            <w:rPr/>
          </w:pPr>
          <w:hyperlink w:anchor="__RefHeading___Toc1920631_3650668749">
            <w:r>
              <w:rPr>
                <w:webHidden/>
                <w:rStyle w:val="IndexLink"/>
              </w:rPr>
              <w:t>11</w:t>
            </w:r>
            <w:r>
              <w:rPr>
                <w:rStyle w:val="IndexLink"/>
                <w:rtl w:val="true"/>
              </w:rPr>
              <w:t xml:space="preserve">. </w:t>
            </w:r>
            <w:r>
              <w:rPr>
                <w:rStyle w:val="IndexLink"/>
                <w:rtl w:val="true"/>
              </w:rPr>
              <w:t>غلوّ وهابيان در تكفير</w:t>
            </w:r>
            <w:r>
              <w:rPr>
                <w:rStyle w:val="IndexLink"/>
                <w:rtl w:val="true"/>
              </w:rPr>
              <w:tab/>
            </w:r>
            <w:r>
              <w:rPr>
                <w:rStyle w:val="IndexLink"/>
              </w:rPr>
              <w:t>115</w:t>
            </w:r>
          </w:hyperlink>
        </w:p>
        <w:p>
          <w:pPr>
            <w:pStyle w:val="Contents4"/>
            <w:tabs>
              <w:tab w:val="clear" w:pos="8176"/>
              <w:tab w:val="right" w:pos="9026" w:leader="dot"/>
            </w:tabs>
            <w:rPr/>
          </w:pPr>
          <w:hyperlink w:anchor="__RefHeading___Toc1920633_3650668749">
            <w:r>
              <w:rPr>
                <w:webHidden/>
                <w:rStyle w:val="IndexLink"/>
              </w:rPr>
              <w:t>12</w:t>
            </w:r>
            <w:r>
              <w:rPr>
                <w:rStyle w:val="IndexLink"/>
                <w:rtl w:val="true"/>
              </w:rPr>
              <w:t xml:space="preserve">. </w:t>
            </w:r>
            <w:r>
              <w:rPr>
                <w:rStyle w:val="IndexLink"/>
                <w:rtl w:val="true"/>
              </w:rPr>
              <w:t>تناقض وهابيان در عمل‌</w:t>
            </w:r>
            <w:r>
              <w:rPr>
                <w:rStyle w:val="IndexLink"/>
                <w:rtl w:val="true"/>
              </w:rPr>
              <w:tab/>
            </w:r>
            <w:r>
              <w:rPr>
                <w:rStyle w:val="IndexLink"/>
              </w:rPr>
              <w:t>115</w:t>
            </w:r>
          </w:hyperlink>
        </w:p>
        <w:p>
          <w:pPr>
            <w:pStyle w:val="Contents4"/>
            <w:tabs>
              <w:tab w:val="clear" w:pos="8176"/>
              <w:tab w:val="right" w:pos="9026" w:leader="dot"/>
            </w:tabs>
            <w:rPr/>
          </w:pPr>
          <w:hyperlink w:anchor="__RefHeading___Toc1920635_3650668749">
            <w:r>
              <w:rPr>
                <w:webHidden/>
                <w:rStyle w:val="IndexLink"/>
              </w:rPr>
              <w:t>13</w:t>
            </w:r>
            <w:r>
              <w:rPr>
                <w:rStyle w:val="IndexLink"/>
                <w:rtl w:val="true"/>
              </w:rPr>
              <w:t xml:space="preserve">. </w:t>
            </w:r>
            <w:r>
              <w:rPr>
                <w:rStyle w:val="IndexLink"/>
                <w:rtl w:val="true"/>
              </w:rPr>
              <w:t>بى‌انصافى وهابيان در حق شيعه‌</w:t>
            </w:r>
            <w:r>
              <w:rPr>
                <w:rStyle w:val="IndexLink"/>
                <w:rtl w:val="true"/>
              </w:rPr>
              <w:tab/>
            </w:r>
            <w:r>
              <w:rPr>
                <w:rStyle w:val="IndexLink"/>
              </w:rPr>
              <w:t>117</w:t>
            </w:r>
          </w:hyperlink>
        </w:p>
        <w:p>
          <w:pPr>
            <w:pStyle w:val="Contents4"/>
            <w:tabs>
              <w:tab w:val="clear" w:pos="8176"/>
              <w:tab w:val="right" w:pos="9026" w:leader="dot"/>
            </w:tabs>
            <w:rPr/>
          </w:pPr>
          <w:hyperlink w:anchor="__RefHeading___Toc1920637_3650668749">
            <w:r>
              <w:rPr>
                <w:webHidden/>
                <w:rStyle w:val="IndexLink"/>
              </w:rPr>
              <w:t>14</w:t>
            </w:r>
            <w:r>
              <w:rPr>
                <w:rStyle w:val="IndexLink"/>
                <w:rtl w:val="true"/>
              </w:rPr>
              <w:t xml:space="preserve">. </w:t>
            </w:r>
            <w:r>
              <w:rPr>
                <w:rStyle w:val="IndexLink"/>
                <w:rtl w:val="true"/>
              </w:rPr>
              <w:t>تناقض سلفى‌ها در جرح و تعديل‌</w:t>
            </w:r>
            <w:r>
              <w:rPr>
                <w:rStyle w:val="IndexLink"/>
                <w:rtl w:val="true"/>
              </w:rPr>
              <w:tab/>
            </w:r>
            <w:r>
              <w:rPr>
                <w:rStyle w:val="IndexLink"/>
              </w:rPr>
              <w:t>118</w:t>
            </w:r>
          </w:hyperlink>
        </w:p>
        <w:p>
          <w:pPr>
            <w:pStyle w:val="Contents4"/>
            <w:tabs>
              <w:tab w:val="clear" w:pos="8176"/>
              <w:tab w:val="right" w:pos="9026" w:leader="dot"/>
            </w:tabs>
            <w:rPr/>
          </w:pPr>
          <w:hyperlink w:anchor="__RefHeading___Toc1920639_3650668749">
            <w:r>
              <w:rPr>
                <w:webHidden/>
                <w:rStyle w:val="IndexLink"/>
              </w:rPr>
              <w:t>15</w:t>
            </w:r>
            <w:r>
              <w:rPr>
                <w:rStyle w:val="IndexLink"/>
                <w:rtl w:val="true"/>
              </w:rPr>
              <w:t xml:space="preserve">. </w:t>
            </w:r>
            <w:r>
              <w:rPr>
                <w:rStyle w:val="IndexLink"/>
                <w:rtl w:val="true"/>
              </w:rPr>
              <w:t xml:space="preserve">ابن تيميه و تنقيص امام على </w:t>
            </w:r>
            <w:r>
              <w:rPr>
                <w:rStyle w:val="IndexLink"/>
                <w:rtl w:val="true"/>
              </w:rPr>
              <w:t>(</w:t>
            </w:r>
            <w:r>
              <w:rPr>
                <w:rStyle w:val="IndexLink"/>
                <w:rtl w:val="true"/>
              </w:rPr>
              <w:t>ع</w:t>
            </w:r>
            <w:r>
              <w:rPr>
                <w:rStyle w:val="IndexLink"/>
                <w:rtl w:val="true"/>
              </w:rPr>
              <w:t>)</w:t>
              <w:tab/>
            </w:r>
            <w:r>
              <w:rPr>
                <w:rStyle w:val="IndexLink"/>
              </w:rPr>
              <w:t>119</w:t>
            </w:r>
          </w:hyperlink>
        </w:p>
        <w:p>
          <w:pPr>
            <w:pStyle w:val="Contents4"/>
            <w:tabs>
              <w:tab w:val="clear" w:pos="8176"/>
              <w:tab w:val="right" w:pos="9026" w:leader="dot"/>
            </w:tabs>
            <w:rPr/>
          </w:pPr>
          <w:hyperlink w:anchor="__RefHeading___Toc1920641_3650668749">
            <w:r>
              <w:rPr>
                <w:webHidden/>
                <w:rStyle w:val="IndexLink"/>
              </w:rPr>
              <w:t>16</w:t>
            </w:r>
            <w:r>
              <w:rPr>
                <w:rStyle w:val="IndexLink"/>
                <w:rtl w:val="true"/>
              </w:rPr>
              <w:t xml:space="preserve">. </w:t>
            </w:r>
            <w:r>
              <w:rPr>
                <w:rStyle w:val="IndexLink"/>
                <w:rtl w:val="true"/>
              </w:rPr>
              <w:t>حكم سلفى‌ها به تكفير و قتل مخالفان خود</w:t>
            </w:r>
            <w:r>
              <w:rPr>
                <w:rStyle w:val="IndexLink"/>
                <w:rtl w:val="true"/>
              </w:rPr>
              <w:tab/>
            </w:r>
            <w:r>
              <w:rPr>
                <w:rStyle w:val="IndexLink"/>
              </w:rPr>
              <w:t>120</w:t>
            </w:r>
          </w:hyperlink>
        </w:p>
        <w:p>
          <w:pPr>
            <w:pStyle w:val="Contents4"/>
            <w:tabs>
              <w:tab w:val="clear" w:pos="8176"/>
              <w:tab w:val="right" w:pos="9026" w:leader="dot"/>
            </w:tabs>
            <w:rPr/>
          </w:pPr>
          <w:hyperlink w:anchor="__RefHeading___Toc1920643_3650668749">
            <w:r>
              <w:rPr>
                <w:webHidden/>
                <w:rStyle w:val="IndexLink"/>
              </w:rPr>
              <w:t>17</w:t>
            </w:r>
            <w:r>
              <w:rPr>
                <w:rStyle w:val="IndexLink"/>
                <w:rtl w:val="true"/>
              </w:rPr>
              <w:t xml:space="preserve">. </w:t>
            </w:r>
            <w:r>
              <w:rPr>
                <w:rStyle w:val="IndexLink"/>
                <w:rtl w:val="true"/>
              </w:rPr>
              <w:t>ترس وهابيان از مسلمين نه كفار</w:t>
            </w:r>
            <w:r>
              <w:rPr>
                <w:rStyle w:val="IndexLink"/>
                <w:rtl w:val="true"/>
              </w:rPr>
              <w:tab/>
            </w:r>
            <w:r>
              <w:rPr>
                <w:rStyle w:val="IndexLink"/>
              </w:rPr>
              <w:t>120</w:t>
            </w:r>
          </w:hyperlink>
        </w:p>
        <w:p>
          <w:pPr>
            <w:pStyle w:val="Contents4"/>
            <w:tabs>
              <w:tab w:val="clear" w:pos="8176"/>
              <w:tab w:val="right" w:pos="9026" w:leader="dot"/>
            </w:tabs>
            <w:rPr/>
          </w:pPr>
          <w:hyperlink w:anchor="__RefHeading___Toc1920645_3650668749">
            <w:r>
              <w:rPr>
                <w:webHidden/>
                <w:rStyle w:val="IndexLink"/>
              </w:rPr>
              <w:t>18</w:t>
            </w:r>
            <w:r>
              <w:rPr>
                <w:rStyle w:val="IndexLink"/>
                <w:rtl w:val="true"/>
              </w:rPr>
              <w:t xml:space="preserve">. </w:t>
            </w:r>
            <w:r>
              <w:rPr>
                <w:rStyle w:val="IndexLink"/>
                <w:rtl w:val="true"/>
              </w:rPr>
              <w:t xml:space="preserve">دشمنى ابن تيميه با امام على </w:t>
            </w:r>
            <w:r>
              <w:rPr>
                <w:rStyle w:val="IndexLink"/>
                <w:rtl w:val="true"/>
              </w:rPr>
              <w:t>(</w:t>
            </w:r>
            <w:r>
              <w:rPr>
                <w:rStyle w:val="IndexLink"/>
                <w:rtl w:val="true"/>
              </w:rPr>
              <w:t>ع</w:t>
            </w:r>
            <w:r>
              <w:rPr>
                <w:rStyle w:val="IndexLink"/>
                <w:rtl w:val="true"/>
              </w:rPr>
              <w:t>)</w:t>
              <w:tab/>
            </w:r>
            <w:r>
              <w:rPr>
                <w:rStyle w:val="IndexLink"/>
              </w:rPr>
              <w:t>122</w:t>
            </w:r>
          </w:hyperlink>
        </w:p>
        <w:p>
          <w:pPr>
            <w:pStyle w:val="Contents4"/>
            <w:tabs>
              <w:tab w:val="clear" w:pos="8176"/>
              <w:tab w:val="right" w:pos="9026" w:leader="dot"/>
            </w:tabs>
            <w:rPr/>
          </w:pPr>
          <w:hyperlink w:anchor="__RefHeading___Toc1920647_3650668749">
            <w:r>
              <w:rPr>
                <w:webHidden/>
                <w:rStyle w:val="IndexLink"/>
              </w:rPr>
              <w:t>19</w:t>
            </w:r>
            <w:r>
              <w:rPr>
                <w:rStyle w:val="IndexLink"/>
                <w:rtl w:val="true"/>
              </w:rPr>
              <w:t xml:space="preserve">. </w:t>
            </w:r>
            <w:r>
              <w:rPr>
                <w:rStyle w:val="IndexLink"/>
                <w:rtl w:val="true"/>
              </w:rPr>
              <w:t>انتقاد وهابيان از جلوگيرى ورود كتاب‌هاى شيعه‌</w:t>
            </w:r>
            <w:r>
              <w:rPr>
                <w:rStyle w:val="IndexLink"/>
                <w:rtl w:val="true"/>
              </w:rPr>
              <w:tab/>
            </w:r>
            <w:r>
              <w:rPr>
                <w:rStyle w:val="IndexLink"/>
              </w:rPr>
              <w:t>123</w:t>
            </w:r>
          </w:hyperlink>
        </w:p>
        <w:p>
          <w:pPr>
            <w:pStyle w:val="Contents4"/>
            <w:tabs>
              <w:tab w:val="clear" w:pos="8176"/>
              <w:tab w:val="right" w:pos="9026" w:leader="dot"/>
            </w:tabs>
            <w:rPr/>
          </w:pPr>
          <w:hyperlink w:anchor="__RefHeading___Toc1920649_3650668749">
            <w:r>
              <w:rPr>
                <w:webHidden/>
                <w:rStyle w:val="IndexLink"/>
              </w:rPr>
              <w:t>20</w:t>
            </w:r>
            <w:r>
              <w:rPr>
                <w:rStyle w:val="IndexLink"/>
                <w:rtl w:val="true"/>
              </w:rPr>
              <w:t xml:space="preserve">. </w:t>
            </w:r>
            <w:r>
              <w:rPr>
                <w:rStyle w:val="IndexLink"/>
                <w:rtl w:val="true"/>
              </w:rPr>
              <w:t>انتقاد از محمد بن عبدالوهاب‌</w:t>
            </w:r>
            <w:r>
              <w:rPr>
                <w:rStyle w:val="IndexLink"/>
                <w:rtl w:val="true"/>
              </w:rPr>
              <w:tab/>
            </w:r>
            <w:r>
              <w:rPr>
                <w:rStyle w:val="IndexLink"/>
              </w:rPr>
              <w:t>123</w:t>
            </w:r>
          </w:hyperlink>
        </w:p>
        <w:p>
          <w:pPr>
            <w:pStyle w:val="Contents4"/>
            <w:tabs>
              <w:tab w:val="clear" w:pos="8176"/>
              <w:tab w:val="right" w:pos="9026" w:leader="dot"/>
            </w:tabs>
            <w:rPr/>
          </w:pPr>
          <w:hyperlink w:anchor="__RefHeading___Toc1920651_3650668749">
            <w:r>
              <w:rPr>
                <w:webHidden/>
                <w:rStyle w:val="IndexLink"/>
              </w:rPr>
              <w:t>21</w:t>
            </w:r>
            <w:r>
              <w:rPr>
                <w:rStyle w:val="IndexLink"/>
                <w:rtl w:val="true"/>
              </w:rPr>
              <w:t xml:space="preserve">. </w:t>
            </w:r>
            <w:r>
              <w:rPr>
                <w:rStyle w:val="IndexLink"/>
                <w:rtl w:val="true"/>
              </w:rPr>
              <w:t>مردود دانستن تندروى سلفيان‌</w:t>
            </w:r>
            <w:r>
              <w:rPr>
                <w:rStyle w:val="IndexLink"/>
                <w:rtl w:val="true"/>
              </w:rPr>
              <w:tab/>
            </w:r>
            <w:r>
              <w:rPr>
                <w:rStyle w:val="IndexLink"/>
              </w:rPr>
              <w:t>125</w:t>
            </w:r>
          </w:hyperlink>
        </w:p>
        <w:p>
          <w:pPr>
            <w:pStyle w:val="Contents4"/>
            <w:tabs>
              <w:tab w:val="clear" w:pos="8176"/>
              <w:tab w:val="right" w:pos="9026" w:leader="dot"/>
            </w:tabs>
            <w:rPr/>
          </w:pPr>
          <w:hyperlink w:anchor="__RefHeading___Toc1920653_3650668749">
            <w:r>
              <w:rPr>
                <w:webHidden/>
                <w:rStyle w:val="IndexLink"/>
              </w:rPr>
              <w:t>22</w:t>
            </w:r>
            <w:r>
              <w:rPr>
                <w:rStyle w:val="IndexLink"/>
                <w:rtl w:val="true"/>
              </w:rPr>
              <w:t xml:space="preserve">. </w:t>
            </w:r>
            <w:r>
              <w:rPr>
                <w:rStyle w:val="IndexLink"/>
                <w:rtl w:val="true"/>
              </w:rPr>
              <w:t>تنقيص محمّد بن عبدالوهاب‌</w:t>
            </w:r>
            <w:r>
              <w:rPr>
                <w:rStyle w:val="IndexLink"/>
                <w:rtl w:val="true"/>
              </w:rPr>
              <w:tab/>
            </w:r>
            <w:r>
              <w:rPr>
                <w:rStyle w:val="IndexLink"/>
              </w:rPr>
              <w:t>126</w:t>
            </w:r>
          </w:hyperlink>
        </w:p>
        <w:p>
          <w:pPr>
            <w:pStyle w:val="Contents4"/>
            <w:tabs>
              <w:tab w:val="clear" w:pos="8176"/>
              <w:tab w:val="right" w:pos="9026" w:leader="dot"/>
            </w:tabs>
            <w:rPr/>
          </w:pPr>
          <w:hyperlink w:anchor="__RefHeading___Toc1920655_3650668749">
            <w:r>
              <w:rPr>
                <w:webHidden/>
                <w:rStyle w:val="IndexLink"/>
              </w:rPr>
              <w:t>23</w:t>
            </w:r>
            <w:r>
              <w:rPr>
                <w:rStyle w:val="IndexLink"/>
                <w:rtl w:val="true"/>
              </w:rPr>
              <w:t xml:space="preserve">. </w:t>
            </w:r>
            <w:r>
              <w:rPr>
                <w:rStyle w:val="IndexLink"/>
                <w:rtl w:val="true"/>
              </w:rPr>
              <w:t>نسبت ناصبى دادن به بزرگان وهابى‌</w:t>
            </w:r>
            <w:r>
              <w:rPr>
                <w:rStyle w:val="IndexLink"/>
                <w:rtl w:val="true"/>
              </w:rPr>
              <w:tab/>
            </w:r>
            <w:r>
              <w:rPr>
                <w:rStyle w:val="IndexLink"/>
              </w:rPr>
              <w:t>127</w:t>
            </w:r>
          </w:hyperlink>
        </w:p>
        <w:p>
          <w:pPr>
            <w:pStyle w:val="Contents4"/>
            <w:tabs>
              <w:tab w:val="clear" w:pos="8176"/>
              <w:tab w:val="right" w:pos="9026" w:leader="dot"/>
            </w:tabs>
            <w:rPr/>
          </w:pPr>
          <w:hyperlink w:anchor="__RefHeading___Toc1920657_3650668749">
            <w:r>
              <w:rPr>
                <w:webHidden/>
                <w:rStyle w:val="IndexLink"/>
              </w:rPr>
              <w:t>24</w:t>
            </w:r>
            <w:r>
              <w:rPr>
                <w:rStyle w:val="IndexLink"/>
                <w:rtl w:val="true"/>
              </w:rPr>
              <w:t xml:space="preserve">. </w:t>
            </w:r>
            <w:r>
              <w:rPr>
                <w:rStyle w:val="IndexLink"/>
                <w:rtl w:val="true"/>
              </w:rPr>
              <w:t>دشمنى سلفى‌هاى افراطى با اهل بيت</w:t>
            </w:r>
            <w:r>
              <w:rPr>
                <w:rStyle w:val="IndexLink"/>
                <w:rtl w:val="true"/>
              </w:rPr>
              <w:t>:</w:t>
              <w:tab/>
            </w:r>
            <w:r>
              <w:rPr>
                <w:rStyle w:val="IndexLink"/>
              </w:rPr>
              <w:t>131</w:t>
            </w:r>
          </w:hyperlink>
        </w:p>
        <w:p>
          <w:pPr>
            <w:pStyle w:val="Contents3"/>
            <w:tabs>
              <w:tab w:val="clear" w:pos="8459"/>
              <w:tab w:val="right" w:pos="9026" w:leader="dot"/>
            </w:tabs>
            <w:rPr/>
          </w:pPr>
          <w:hyperlink w:anchor="__RefHeading___Toc1920659_3650668749">
            <w:r>
              <w:rPr>
                <w:webHidden/>
                <w:rStyle w:val="IndexLink"/>
                <w:rtl w:val="true"/>
              </w:rPr>
              <w:t xml:space="preserve">نقد حسن بن فرحان بر </w:t>
            </w:r>
            <w:r>
              <w:rPr>
                <w:rStyle w:val="IndexLink"/>
                <w:rtl w:val="true"/>
              </w:rPr>
              <w:t>«</w:t>
            </w:r>
            <w:r>
              <w:rPr>
                <w:rStyle w:val="IndexLink"/>
                <w:rtl w:val="true"/>
              </w:rPr>
              <w:t>كشف الشبهات</w:t>
            </w:r>
            <w:r>
              <w:rPr>
                <w:rStyle w:val="IndexLink"/>
                <w:rtl w:val="true"/>
              </w:rPr>
              <w:t>»</w:t>
              <w:tab/>
            </w:r>
            <w:r>
              <w:rPr>
                <w:rStyle w:val="IndexLink"/>
              </w:rPr>
              <w:t>132</w:t>
            </w:r>
          </w:hyperlink>
        </w:p>
        <w:p>
          <w:pPr>
            <w:pStyle w:val="Contents3"/>
            <w:tabs>
              <w:tab w:val="clear" w:pos="8459"/>
              <w:tab w:val="right" w:pos="9026" w:leader="dot"/>
            </w:tabs>
            <w:rPr/>
          </w:pPr>
          <w:hyperlink w:anchor="__RefHeading___Toc1920661_3650668749">
            <w:r>
              <w:rPr>
                <w:webHidden/>
                <w:rStyle w:val="IndexLink"/>
                <w:rtl w:val="true"/>
              </w:rPr>
              <w:t>برخى از افكار ديگر حسن بن فرحان مالكى‌</w:t>
            </w:r>
            <w:r>
              <w:rPr>
                <w:rStyle w:val="IndexLink"/>
                <w:rtl w:val="true"/>
              </w:rPr>
              <w:tab/>
            </w:r>
            <w:r>
              <w:rPr>
                <w:rStyle w:val="IndexLink"/>
              </w:rPr>
              <w:t>146</w:t>
            </w:r>
          </w:hyperlink>
        </w:p>
        <w:p>
          <w:pPr>
            <w:pStyle w:val="Contents4"/>
            <w:tabs>
              <w:tab w:val="clear" w:pos="8176"/>
              <w:tab w:val="right" w:pos="9026" w:leader="dot"/>
            </w:tabs>
            <w:rPr/>
          </w:pPr>
          <w:hyperlink w:anchor="__RefHeading___Toc1920663_3650668749">
            <w:r>
              <w:rPr>
                <w:webHidden/>
                <w:rStyle w:val="IndexLink"/>
                <w:rtl w:val="true"/>
              </w:rPr>
              <w:t>احمد بن حنبل و نهى از تقليد</w:t>
            </w:r>
            <w:r>
              <w:rPr>
                <w:rStyle w:val="IndexLink"/>
                <w:rtl w:val="true"/>
              </w:rPr>
              <w:tab/>
            </w:r>
            <w:r>
              <w:rPr>
                <w:rStyle w:val="IndexLink"/>
              </w:rPr>
              <w:t>146</w:t>
            </w:r>
          </w:hyperlink>
        </w:p>
        <w:p>
          <w:pPr>
            <w:pStyle w:val="Contents4"/>
            <w:tabs>
              <w:tab w:val="clear" w:pos="8176"/>
              <w:tab w:val="right" w:pos="9026" w:leader="dot"/>
            </w:tabs>
            <w:rPr/>
          </w:pPr>
          <w:hyperlink w:anchor="__RefHeading___Toc1920665_3650668749">
            <w:r>
              <w:rPr>
                <w:webHidden/>
                <w:rStyle w:val="IndexLink"/>
                <w:rtl w:val="true"/>
              </w:rPr>
              <w:t>ابطال حصر در مذاهب اربعه‌</w:t>
            </w:r>
            <w:r>
              <w:rPr>
                <w:rStyle w:val="IndexLink"/>
                <w:rtl w:val="true"/>
              </w:rPr>
              <w:tab/>
            </w:r>
            <w:r>
              <w:rPr>
                <w:rStyle w:val="IndexLink"/>
              </w:rPr>
              <w:t>146</w:t>
            </w:r>
          </w:hyperlink>
        </w:p>
        <w:p>
          <w:pPr>
            <w:pStyle w:val="Contents4"/>
            <w:tabs>
              <w:tab w:val="clear" w:pos="8176"/>
              <w:tab w:val="right" w:pos="9026" w:leader="dot"/>
            </w:tabs>
            <w:rPr/>
          </w:pPr>
          <w:hyperlink w:anchor="__RefHeading___Toc1920667_3650668749">
            <w:r>
              <w:rPr>
                <w:webHidden/>
                <w:rStyle w:val="IndexLink"/>
                <w:rtl w:val="true"/>
              </w:rPr>
              <w:t>ورود اسرائيليات در كتاب‌هاى اسلامى‌</w:t>
            </w:r>
            <w:r>
              <w:rPr>
                <w:rStyle w:val="IndexLink"/>
                <w:rtl w:val="true"/>
              </w:rPr>
              <w:tab/>
            </w:r>
            <w:r>
              <w:rPr>
                <w:rStyle w:val="IndexLink"/>
              </w:rPr>
              <w:t>147</w:t>
            </w:r>
          </w:hyperlink>
        </w:p>
        <w:p>
          <w:pPr>
            <w:pStyle w:val="Contents4"/>
            <w:tabs>
              <w:tab w:val="clear" w:pos="8176"/>
              <w:tab w:val="right" w:pos="9026" w:leader="dot"/>
            </w:tabs>
            <w:rPr/>
          </w:pPr>
          <w:hyperlink w:anchor="__RefHeading___Toc1920669_3650668749">
            <w:r>
              <w:rPr>
                <w:webHidden/>
                <w:rStyle w:val="IndexLink"/>
                <w:rtl w:val="true"/>
              </w:rPr>
              <w:t>دشمنى حنابله با اهل بيت</w:t>
            </w:r>
            <w:r>
              <w:rPr>
                <w:rStyle w:val="IndexLink"/>
                <w:rtl w:val="true"/>
              </w:rPr>
              <w:t>:</w:t>
              <w:tab/>
            </w:r>
            <w:r>
              <w:rPr>
                <w:rStyle w:val="IndexLink"/>
              </w:rPr>
              <w:t>148</w:t>
            </w:r>
          </w:hyperlink>
        </w:p>
        <w:p>
          <w:pPr>
            <w:pStyle w:val="Contents4"/>
            <w:tabs>
              <w:tab w:val="clear" w:pos="8176"/>
              <w:tab w:val="right" w:pos="9026" w:leader="dot"/>
            </w:tabs>
            <w:rPr/>
          </w:pPr>
          <w:hyperlink w:anchor="__RefHeading___Toc1920671_3650668749">
            <w:r>
              <w:rPr>
                <w:webHidden/>
                <w:rStyle w:val="IndexLink"/>
                <w:rtl w:val="true"/>
              </w:rPr>
              <w:t>تأثير عقيده در جرح و تعديل‌</w:t>
            </w:r>
            <w:r>
              <w:rPr>
                <w:rStyle w:val="IndexLink"/>
                <w:rtl w:val="true"/>
              </w:rPr>
              <w:tab/>
            </w:r>
            <w:r>
              <w:rPr>
                <w:rStyle w:val="IndexLink"/>
              </w:rPr>
              <w:t>149</w:t>
            </w:r>
          </w:hyperlink>
        </w:p>
        <w:p>
          <w:pPr>
            <w:pStyle w:val="Contents4"/>
            <w:tabs>
              <w:tab w:val="clear" w:pos="8176"/>
              <w:tab w:val="right" w:pos="9026" w:leader="dot"/>
            </w:tabs>
            <w:rPr/>
          </w:pPr>
          <w:hyperlink w:anchor="__RefHeading___Toc1920673_3650668749">
            <w:r>
              <w:rPr>
                <w:webHidden/>
                <w:rStyle w:val="IndexLink"/>
                <w:rtl w:val="true"/>
              </w:rPr>
              <w:t>تقسيم مصاحبت به شرعى و عامى‌</w:t>
            </w:r>
            <w:r>
              <w:rPr>
                <w:rStyle w:val="IndexLink"/>
                <w:rtl w:val="true"/>
              </w:rPr>
              <w:tab/>
            </w:r>
            <w:r>
              <w:rPr>
                <w:rStyle w:val="IndexLink"/>
              </w:rPr>
              <w:t>150</w:t>
            </w:r>
          </w:hyperlink>
        </w:p>
        <w:p>
          <w:pPr>
            <w:pStyle w:val="Contents4"/>
            <w:tabs>
              <w:tab w:val="clear" w:pos="8176"/>
              <w:tab w:val="right" w:pos="9026" w:leader="dot"/>
            </w:tabs>
            <w:rPr/>
          </w:pPr>
          <w:hyperlink w:anchor="__RefHeading___Toc1920675_3650668749">
            <w:r>
              <w:rPr>
                <w:webHidden/>
                <w:rStyle w:val="IndexLink"/>
                <w:rtl w:val="true"/>
              </w:rPr>
              <w:t>اختصاص فضايل به مهاجرين و انصار</w:t>
            </w:r>
            <w:r>
              <w:rPr>
                <w:rStyle w:val="IndexLink"/>
                <w:rtl w:val="true"/>
              </w:rPr>
              <w:tab/>
            </w:r>
            <w:r>
              <w:rPr>
                <w:rStyle w:val="IndexLink"/>
              </w:rPr>
              <w:t>153</w:t>
            </w:r>
          </w:hyperlink>
        </w:p>
        <w:p>
          <w:pPr>
            <w:pStyle w:val="Contents4"/>
            <w:tabs>
              <w:tab w:val="clear" w:pos="8176"/>
              <w:tab w:val="right" w:pos="9026" w:leader="dot"/>
            </w:tabs>
            <w:rPr/>
          </w:pPr>
          <w:hyperlink w:anchor="__RefHeading___Toc1920677_3650668749">
            <w:r>
              <w:rPr>
                <w:webHidden/>
                <w:rStyle w:val="IndexLink"/>
                <w:rtl w:val="true"/>
              </w:rPr>
              <w:t>لزوم اتفاق امت در تحقق اجماع‌</w:t>
            </w:r>
            <w:r>
              <w:rPr>
                <w:rStyle w:val="IndexLink"/>
                <w:rtl w:val="true"/>
              </w:rPr>
              <w:tab/>
            </w:r>
            <w:r>
              <w:rPr>
                <w:rStyle w:val="IndexLink"/>
              </w:rPr>
              <w:t>154</w:t>
            </w:r>
          </w:hyperlink>
        </w:p>
        <w:p>
          <w:pPr>
            <w:pStyle w:val="Contents4"/>
            <w:tabs>
              <w:tab w:val="clear" w:pos="8176"/>
              <w:tab w:val="right" w:pos="9026" w:leader="dot"/>
            </w:tabs>
            <w:rPr/>
          </w:pPr>
          <w:hyperlink w:anchor="__RefHeading___Toc1920679_3650668749">
            <w:r>
              <w:rPr>
                <w:webHidden/>
                <w:rStyle w:val="IndexLink"/>
                <w:rtl w:val="true"/>
              </w:rPr>
              <w:t xml:space="preserve">مناقشه در حديث </w:t>
            </w:r>
            <w:r>
              <w:rPr>
                <w:rStyle w:val="IndexLink"/>
                <w:rtl w:val="true"/>
              </w:rPr>
              <w:t>«</w:t>
            </w:r>
            <w:r>
              <w:rPr>
                <w:rStyle w:val="IndexLink"/>
                <w:rtl w:val="true"/>
              </w:rPr>
              <w:t>كتاب الله و سنّتى</w:t>
            </w:r>
            <w:r>
              <w:rPr>
                <w:rStyle w:val="IndexLink"/>
                <w:rtl w:val="true"/>
              </w:rPr>
              <w:t>»</w:t>
              <w:tab/>
            </w:r>
            <w:r>
              <w:rPr>
                <w:rStyle w:val="IndexLink"/>
              </w:rPr>
              <w:t>154</w:t>
            </w:r>
          </w:hyperlink>
        </w:p>
        <w:p>
          <w:pPr>
            <w:pStyle w:val="Contents4"/>
            <w:tabs>
              <w:tab w:val="clear" w:pos="8176"/>
              <w:tab w:val="right" w:pos="9026" w:leader="dot"/>
            </w:tabs>
            <w:rPr/>
          </w:pPr>
          <w:hyperlink w:anchor="__RefHeading___Toc1920681_3650668749">
            <w:r>
              <w:rPr>
                <w:webHidden/>
                <w:rStyle w:val="IndexLink"/>
                <w:rtl w:val="true"/>
              </w:rPr>
              <w:t>نقد نظريه عدالت صحابه‌</w:t>
            </w:r>
            <w:r>
              <w:rPr>
                <w:rStyle w:val="IndexLink"/>
                <w:rtl w:val="true"/>
              </w:rPr>
              <w:tab/>
            </w:r>
            <w:r>
              <w:rPr>
                <w:rStyle w:val="IndexLink"/>
              </w:rPr>
              <w:t>155</w:t>
            </w:r>
          </w:hyperlink>
        </w:p>
        <w:p>
          <w:pPr>
            <w:pStyle w:val="Contents4"/>
            <w:tabs>
              <w:tab w:val="clear" w:pos="8176"/>
              <w:tab w:val="right" w:pos="9026" w:leader="dot"/>
            </w:tabs>
            <w:rPr/>
          </w:pPr>
          <w:hyperlink w:anchor="__RefHeading___Toc1920683_3650668749">
            <w:r>
              <w:rPr>
                <w:webHidden/>
                <w:rStyle w:val="IndexLink"/>
                <w:rtl w:val="true"/>
              </w:rPr>
              <w:t>ردّ و مناقشه در تمام فضايل معاويه‌</w:t>
            </w:r>
            <w:r>
              <w:rPr>
                <w:rStyle w:val="IndexLink"/>
                <w:rtl w:val="true"/>
              </w:rPr>
              <w:tab/>
            </w:r>
            <w:r>
              <w:rPr>
                <w:rStyle w:val="IndexLink"/>
              </w:rPr>
              <w:t>157</w:t>
            </w:r>
          </w:hyperlink>
        </w:p>
        <w:p>
          <w:pPr>
            <w:pStyle w:val="Contents4"/>
            <w:tabs>
              <w:tab w:val="clear" w:pos="8176"/>
              <w:tab w:val="right" w:pos="9026" w:leader="dot"/>
            </w:tabs>
            <w:rPr/>
          </w:pPr>
          <w:hyperlink w:anchor="__RefHeading___Toc1920685_3650668749">
            <w:r>
              <w:rPr>
                <w:webHidden/>
                <w:rStyle w:val="IndexLink"/>
                <w:rtl w:val="true"/>
              </w:rPr>
              <w:t>دفاع از شيعه در مورد عبدالله بن سبأ</w:t>
            </w:r>
            <w:r>
              <w:rPr>
                <w:rStyle w:val="IndexLink"/>
                <w:rtl w:val="true"/>
              </w:rPr>
              <w:tab/>
            </w:r>
            <w:r>
              <w:rPr>
                <w:rStyle w:val="IndexLink"/>
              </w:rPr>
              <w:t>158</w:t>
            </w:r>
          </w:hyperlink>
        </w:p>
        <w:p>
          <w:pPr>
            <w:pStyle w:val="Contents4"/>
            <w:tabs>
              <w:tab w:val="clear" w:pos="8176"/>
              <w:tab w:val="right" w:pos="9026" w:leader="dot"/>
            </w:tabs>
            <w:rPr/>
          </w:pPr>
          <w:hyperlink w:anchor="__RefHeading___Toc1920687_3650668749">
            <w:r>
              <w:rPr>
                <w:webHidden/>
                <w:rStyle w:val="IndexLink"/>
                <w:rtl w:val="true"/>
              </w:rPr>
              <w:t>مناقشه در خلافت عمر</w:t>
            </w:r>
            <w:r>
              <w:rPr>
                <w:rStyle w:val="IndexLink"/>
                <w:rtl w:val="true"/>
              </w:rPr>
              <w:tab/>
            </w:r>
            <w:r>
              <w:rPr>
                <w:rStyle w:val="IndexLink"/>
              </w:rPr>
              <w:t>161</w:t>
            </w:r>
          </w:hyperlink>
        </w:p>
        <w:p>
          <w:pPr>
            <w:pStyle w:val="Contents4"/>
            <w:tabs>
              <w:tab w:val="clear" w:pos="8176"/>
              <w:tab w:val="right" w:pos="9026" w:leader="dot"/>
            </w:tabs>
            <w:rPr/>
          </w:pPr>
          <w:hyperlink w:anchor="__RefHeading___Toc1920689_3650668749">
            <w:r>
              <w:rPr>
                <w:webHidden/>
                <w:rStyle w:val="IndexLink"/>
                <w:rtl w:val="true"/>
              </w:rPr>
              <w:t xml:space="preserve">دفاع از امام على </w:t>
            </w:r>
            <w:r>
              <w:rPr>
                <w:rStyle w:val="IndexLink"/>
                <w:rtl w:val="true"/>
              </w:rPr>
              <w:t>(</w:t>
            </w:r>
            <w:r>
              <w:rPr>
                <w:rStyle w:val="IndexLink"/>
                <w:rtl w:val="true"/>
              </w:rPr>
              <w:t>ع</w:t>
            </w:r>
            <w:r>
              <w:rPr>
                <w:rStyle w:val="IndexLink"/>
                <w:rtl w:val="true"/>
              </w:rPr>
              <w:t>)</w:t>
              <w:tab/>
            </w:r>
            <w:r>
              <w:rPr>
                <w:rStyle w:val="IndexLink"/>
              </w:rPr>
              <w:t>162</w:t>
            </w:r>
          </w:hyperlink>
        </w:p>
        <w:p>
          <w:pPr>
            <w:pStyle w:val="Contents4"/>
            <w:tabs>
              <w:tab w:val="clear" w:pos="8176"/>
              <w:tab w:val="right" w:pos="9026" w:leader="dot"/>
            </w:tabs>
            <w:rPr/>
          </w:pPr>
          <w:hyperlink w:anchor="__RefHeading___Toc1920691_3650668749">
            <w:r>
              <w:rPr>
                <w:webHidden/>
                <w:rStyle w:val="IndexLink"/>
                <w:rtl w:val="true"/>
              </w:rPr>
              <w:t xml:space="preserve">دفاع از بيعت با امام على </w:t>
            </w:r>
            <w:r>
              <w:rPr>
                <w:rStyle w:val="IndexLink"/>
                <w:rtl w:val="true"/>
              </w:rPr>
              <w:t>(</w:t>
            </w:r>
            <w:r>
              <w:rPr>
                <w:rStyle w:val="IndexLink"/>
                <w:rtl w:val="true"/>
              </w:rPr>
              <w:t>ع</w:t>
            </w:r>
            <w:r>
              <w:rPr>
                <w:rStyle w:val="IndexLink"/>
                <w:rtl w:val="true"/>
              </w:rPr>
              <w:t>)</w:t>
              <w:tab/>
            </w:r>
            <w:r>
              <w:rPr>
                <w:rStyle w:val="IndexLink"/>
              </w:rPr>
              <w:t>163</w:t>
            </w:r>
          </w:hyperlink>
        </w:p>
        <w:p>
          <w:pPr>
            <w:pStyle w:val="Contents4"/>
            <w:tabs>
              <w:tab w:val="clear" w:pos="8176"/>
              <w:tab w:val="right" w:pos="9026" w:leader="dot"/>
            </w:tabs>
            <w:rPr/>
          </w:pPr>
          <w:hyperlink w:anchor="__RefHeading___Toc1920693_3650668749">
            <w:r>
              <w:rPr>
                <w:webHidden/>
                <w:rStyle w:val="IndexLink"/>
                <w:rtl w:val="true"/>
              </w:rPr>
              <w:t>نسبت كذب به برخى از علماى اهل سنت‌</w:t>
            </w:r>
            <w:r>
              <w:rPr>
                <w:rStyle w:val="IndexLink"/>
                <w:rtl w:val="true"/>
              </w:rPr>
              <w:tab/>
            </w:r>
            <w:r>
              <w:rPr>
                <w:rStyle w:val="IndexLink"/>
              </w:rPr>
              <w:t>164</w:t>
            </w:r>
          </w:hyperlink>
        </w:p>
        <w:p>
          <w:pPr>
            <w:pStyle w:val="Contents4"/>
            <w:tabs>
              <w:tab w:val="clear" w:pos="8176"/>
              <w:tab w:val="right" w:pos="9026" w:leader="dot"/>
            </w:tabs>
            <w:rPr/>
          </w:pPr>
          <w:hyperlink w:anchor="__RefHeading___Toc1920695_3650668749">
            <w:r>
              <w:rPr>
                <w:webHidden/>
                <w:rStyle w:val="IndexLink"/>
                <w:rtl w:val="true"/>
              </w:rPr>
              <w:t>ادعاى غلو اهل سنت در نسبت اجتهاد</w:t>
            </w:r>
            <w:r>
              <w:rPr>
                <w:rStyle w:val="IndexLink"/>
                <w:rtl w:val="true"/>
              </w:rPr>
              <w:tab/>
            </w:r>
            <w:r>
              <w:rPr>
                <w:rStyle w:val="IndexLink"/>
              </w:rPr>
              <w:t>167</w:t>
            </w:r>
          </w:hyperlink>
        </w:p>
        <w:p>
          <w:pPr>
            <w:pStyle w:val="Contents4"/>
            <w:tabs>
              <w:tab w:val="clear" w:pos="8176"/>
              <w:tab w:val="right" w:pos="9026" w:leader="dot"/>
            </w:tabs>
            <w:rPr/>
          </w:pPr>
          <w:hyperlink w:anchor="__RefHeading___Toc1920697_3650668749">
            <w:r>
              <w:rPr>
                <w:webHidden/>
                <w:rStyle w:val="IndexLink"/>
                <w:rtl w:val="true"/>
              </w:rPr>
              <w:t>ادعاى اغفال شدن معاصرين از اهل سنت‌</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1_17280"/>
      <w:bookmarkStart w:id="1" w:name="pg1741_17280"/>
      <w:bookmarkEnd w:id="1"/>
    </w:p>
    <w:p>
      <w:pPr>
        <w:pStyle w:val="Heading2"/>
        <w:numPr>
          <w:ilvl w:val="1"/>
          <w:numId w:val="1"/>
        </w:numPr>
        <w:rPr/>
      </w:pPr>
      <w:bookmarkStart w:id="2" w:name="pg1741_17280"/>
      <w:bookmarkStart w:id="3" w:name="__RefHeading___Toc1920499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978-964-540-307-0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۲۳۳۴۹۹۶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وهابيت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علوي 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 تدوين مركز تحقيقات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 حسني،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Maliki, Muhammad Alawi</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050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bookmarkStart w:id="7" w:name="pg1741_17289"/>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20503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 زواياى پيدا و پنهان اين تفكر پرداخته و با بهرهِ‌مندى از</w:t>
      </w:r>
      <w:bookmarkStart w:id="10" w:name="pg1741_17291"/>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20505_3650668749"/>
      <w:bookmarkStart w:id="12" w:name="_Toc4"/>
      <w:bookmarkEnd w:id="11"/>
      <w:r>
        <w:rPr>
          <w:rtl w:val="true"/>
        </w:rPr>
        <w:t>پيشگفتار</w:t>
      </w:r>
      <w:bookmarkStart w:id="13" w:name="pg1741_17292"/>
      <w:bookmarkEnd w:id="12"/>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عربستان و منطقه مدتى است از علماى اهل سنت افرادى پيدا شده‌اند كه با تندروى‌هاى سلفى‌ها و وهابيان مخالفت كرده و در برابر افكار ناصواب آنها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كتاب‌ها و سخنان خود به شبهات وهابيان پاسخ داده و آنها را به اعتدال و ميانه‌روى دعوت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ديدگاه‌هاى دو تن از آنان را بررسى مى‌كنيم</w:t>
      </w:r>
      <w:r>
        <w:rPr>
          <w:rFonts w:eastAsia="IRNazanin" w:cs="IRNazanin"/>
          <w:color w:val="111111"/>
          <w:sz w:val="28"/>
          <w:szCs w:val="28"/>
          <w:rtl w:val="true"/>
          <w:lang w:bidi="fa-IR"/>
        </w:rPr>
        <w:t>.</w:t>
      </w:r>
    </w:p>
    <w:p>
      <w:pPr>
        <w:pStyle w:val="Heading2"/>
        <w:numPr>
          <w:ilvl w:val="1"/>
          <w:numId w:val="1"/>
        </w:numPr>
        <w:rPr/>
      </w:pPr>
      <w:bookmarkStart w:id="14" w:name="__RefHeading___Toc1920507_3650668749"/>
      <w:bookmarkStart w:id="15" w:name="_Toc5"/>
      <w:bookmarkEnd w:id="14"/>
      <w:r>
        <w:rPr>
          <w:rtl w:val="true"/>
        </w:rPr>
        <w:t>بخش اول</w:t>
      </w:r>
      <w:r>
        <w:rPr>
          <w:rtl w:val="true"/>
        </w:rPr>
        <w:t xml:space="preserve">: </w:t>
      </w:r>
      <w:r>
        <w:rPr>
          <w:rtl w:val="true"/>
        </w:rPr>
        <w:t>محمد علوى مالكى‌</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20509_3650668749"/>
      <w:bookmarkStart w:id="17" w:name="_Toc6"/>
      <w:bookmarkEnd w:id="16"/>
      <w:r>
        <w:rPr>
          <w:rtl w:val="true"/>
        </w:rPr>
        <w:t>اشاره</w:t>
      </w:r>
      <w:bookmarkStart w:id="18" w:name="pg1741_17293"/>
      <w:bookmarkEnd w:id="17"/>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9" w:name="__RefHeading___Toc1920511_3650668749"/>
      <w:bookmarkStart w:id="20" w:name="_Toc7"/>
      <w:bookmarkEnd w:id="19"/>
      <w:r>
        <w:rPr>
          <w:rtl w:val="true"/>
        </w:rPr>
        <w:t>شرح حال مالكى‌</w:t>
      </w:r>
      <w:bookmarkEnd w:id="20"/>
    </w:p>
    <w:p>
      <w:pPr>
        <w:pStyle w:val="Heading4"/>
        <w:numPr>
          <w:ilvl w:val="3"/>
          <w:numId w:val="1"/>
        </w:numPr>
        <w:rPr/>
      </w:pPr>
      <w:bookmarkStart w:id="21" w:name="__RefHeading___Toc1920513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نسب او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حسن فرزند علوى، فرزند عباس، فرزند عبدالعزيز مالكى حسنى ادريسى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مكه مكرمه در خانواده علمى متولد شد كه پدر و جدّش محدث و عالم بوده و نيز بسيارى از خاندانش در زمره عالمان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كتاب‌هاى حديث را از پدرش و از جدش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مكه نشو و نما پيدا كرده و در حلقات درسى كه در مسجدالحرام تشكيل مى‌شد شركت مى‌كرد و نيز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تحفيظ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خود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جهت فراگيرى علم مسافرت‌هايى را به مصر و مغرب و هند و پاكستان و شهرهاى شام داشت و در اين سفرها از شخصيت‌هاى مختلف استفاده كرده و به زيارت مشاهد مشرفه آن ديار 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قبل از رسيدن به بلوغ به دستور پدرش سيد علوى مالكى هر درسى را كه نزد او فراگرفته بود تدريس مى‌نمود، و اسانيد را از محدثان</w:t>
      </w:r>
      <w:bookmarkStart w:id="23" w:name="pg1741_17294"/>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فقهاء در كشورهاى اسلامى فرا مى‌گرفت كه مجموع آن به دويست شيخ مى‌رسد، و قرائت‌هاى هفت گانه را نزد شيخ قراء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به نام شيخ عبدالعزيز السود فرا گرفت و از او در اين زمينه اجازه گرفت، و لذا تا مدت زمانى او يكى از اعضاى گروه داوران مسابقات قرآن كريم در مكه مكرمه به حساب مى‌آمد، كه به جهت كثرت اشتغالاتش از اين كار عذرخواهى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رسمى به عنوان استاد و مدرس در دانشكده شريعت در مكه مكرمه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انتخاب شد، و پس از سه سال از وفات پدرش علما در خانه او جمع شده و او را مكلف به تدريس در مسجد الحرام به جاى پدرش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ايامى بود كه مباحثى را در راديو و تلوزيون عربستان مطرح نمود كه بخشى از آن درباره سيره نبوى بود، ولى بعد از مدتى از دانشگاه بيرون آمده و مشغول به تأليف و تبليغ شد، و در كنفرانس‌هاى بين‌المللى بسيارى شركت كرده و مباحثى را مطرح نمود</w:t>
      </w:r>
      <w:r>
        <w:rPr>
          <w:rFonts w:eastAsia="IRNazanin" w:cs="IRNazanin"/>
          <w:color w:val="111111"/>
          <w:sz w:val="28"/>
          <w:szCs w:val="28"/>
          <w:rtl w:val="true"/>
          <w:lang w:bidi="fa-IR"/>
        </w:rPr>
        <w:t>.</w:t>
      </w:r>
    </w:p>
    <w:p>
      <w:pPr>
        <w:pStyle w:val="Heading4"/>
        <w:numPr>
          <w:ilvl w:val="3"/>
          <w:numId w:val="1"/>
        </w:numPr>
        <w:rPr/>
      </w:pPr>
      <w:bookmarkStart w:id="24" w:name="__RefHeading___Toc1920515_3650668749"/>
      <w:bookmarkStart w:id="25" w:name="_Toc9"/>
      <w:bookmarkEnd w:id="24"/>
      <w:r>
        <w:rPr>
          <w:rtl w:val="true"/>
        </w:rPr>
        <w:t>مؤلفات مالكى‌</w:t>
      </w:r>
      <w:bookmarkEnd w:id="25"/>
    </w:p>
    <w:p>
      <w:pPr>
        <w:pStyle w:val="BookText"/>
        <w:rPr/>
      </w:pPr>
      <w:r>
        <w:rPr>
          <w:rFonts w:ascii="Amiri" w:hAnsi="Amiri" w:eastAsia="Amiri" w:cs="Amiri"/>
          <w:color w:val="111111"/>
          <w:sz w:val="28"/>
          <w:sz w:val="28"/>
          <w:szCs w:val="28"/>
          <w:rtl w:val="true"/>
          <w:lang w:bidi="ar-SA"/>
        </w:rPr>
        <w:t>از او تأليفاتى بر جاى مانده از آن جمله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حول الموطأ؛</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الموطأ و عناية الامة الاسلامية 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مقارنة عن روايات موطأ الامام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حول الموطأ و ردّها؛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دارالهجرة مالك بن انس؛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الرجال؛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الأسانيد؛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الأثبات؛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الاساسية فى علم مصطلح الحديث؛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الاساسية فى علوم القرآن؛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الاساسية فى اصول الفقه؛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الإتقان فى علوم القرآن؛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العقود اللؤلؤية فى الأسانيد العلوية؛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ذوى الهمم العلية برفع اسانيد والدى السنية؛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الطالع السعيد المنتخب من المسلسلات و الاسانيد؛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رحاب البيت الحرام؛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الانسان الكامل؛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الحوادث النبوية؛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يجب ان تصحح؛</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النبويه؛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المجازفة بالتكفير؛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الله؛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السلف فى فهم النصوص</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كتاب‌هايى كه به صد كتاب مى‌رسد، و برخى از آنها به طبع رسيده و بقيه مخطوط مى‌باشد</w:t>
      </w:r>
      <w:r>
        <w:rPr>
          <w:rFonts w:eastAsia="IRNazanin" w:cs="IRNazanin"/>
          <w:color w:val="111111"/>
          <w:sz w:val="28"/>
          <w:szCs w:val="28"/>
          <w:rtl w:val="true"/>
          <w:lang w:bidi="fa-IR"/>
        </w:rPr>
        <w:t>.</w:t>
      </w:r>
      <w:bookmarkStart w:id="26" w:name="pg1741_17296"/>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4"/>
        <w:numPr>
          <w:ilvl w:val="3"/>
          <w:numId w:val="1"/>
        </w:numPr>
        <w:rPr/>
      </w:pPr>
      <w:bookmarkStart w:id="27" w:name="__RefHeading___Toc1920517_3650668749"/>
      <w:bookmarkStart w:id="28" w:name="_Toc10"/>
      <w:bookmarkEnd w:id="27"/>
      <w:r>
        <w:rPr>
          <w:rtl w:val="true"/>
        </w:rPr>
        <w:t>مشايخ مالكى‌</w:t>
      </w:r>
      <w:bookmarkEnd w:id="28"/>
    </w:p>
    <w:p>
      <w:pPr>
        <w:pStyle w:val="BookText"/>
        <w:rPr/>
      </w:pPr>
      <w:r>
        <w:rPr>
          <w:rFonts w:ascii="Amiri" w:hAnsi="Amiri" w:eastAsia="Amiri" w:cs="Amiri"/>
          <w:color w:val="111111"/>
          <w:sz w:val="28"/>
          <w:sz w:val="28"/>
          <w:szCs w:val="28"/>
          <w:rtl w:val="true"/>
          <w:lang w:bidi="ar-SA"/>
        </w:rPr>
        <w:t>محمّد بن علوى مالكى مشايخى داشته كه از آنان با سند روايات را نقل كرده است كه از جمله آن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علوى بن عباس مالكى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يحيى بن شيخ 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عربى تبانى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حسن بن سعيد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حافظ تيجانى، استاد حديث در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حسن بن محمّد مشاط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نور سيف بن هلال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عبدالله بن سعيد للحجى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يس فادانى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فقيه، حسنين بن محمّد مخلوف، مفتى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ابراهيم ابوالعيون، شيخ خلوتيه در مصر؛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محمّد زكريا كاندهلوى، شيخ حديث در هند؛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حبيب الرحمان اعظمى، شيخ حديث؛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محمّد يوسف بنورى بكراتسى؛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شفيع، مفتى پاكستان؛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اسعد عبجى مفتى شافعه در حلب؛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بن احمد بن عبدالبارى اهدل يمانى؛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مكى بن محمّد بن جعفر كتانى دمشقى؛</w:t>
      </w:r>
      <w:bookmarkStart w:id="29" w:name="pg1741_17297"/>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امين بن محمود خطاب سبكى مصرى؛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معمر محمّد بن عبدالله عربى مصرى، معروف به عقورى، شاگرد باجورى</w:t>
      </w:r>
      <w:r>
        <w:rPr>
          <w:rFonts w:eastAsia="IRNazanin" w:cs="IRNazanin"/>
          <w:color w:val="111111"/>
          <w:sz w:val="28"/>
          <w:szCs w:val="28"/>
          <w:rtl w:val="true"/>
          <w:lang w:bidi="fa-IR"/>
        </w:rPr>
        <w:t>.</w:t>
      </w:r>
    </w:p>
    <w:p>
      <w:pPr>
        <w:pStyle w:val="Heading4"/>
        <w:numPr>
          <w:ilvl w:val="3"/>
          <w:numId w:val="1"/>
        </w:numPr>
        <w:rPr/>
      </w:pPr>
      <w:bookmarkStart w:id="30" w:name="__RefHeading___Toc1920519_3650668749"/>
      <w:bookmarkStart w:id="31" w:name="_Toc11"/>
      <w:bookmarkEnd w:id="30"/>
      <w:r>
        <w:rPr>
          <w:rtl w:val="true"/>
        </w:rPr>
        <w:t>حكم وهابيان به تكفير مالكى‌</w:t>
      </w:r>
      <w:bookmarkEnd w:id="31"/>
    </w:p>
    <w:p>
      <w:pPr>
        <w:pStyle w:val="BookText"/>
        <w:rPr/>
      </w:pPr>
      <w:r>
        <w:rPr>
          <w:rFonts w:ascii="IRNazanin" w:hAnsi="IRNazanin" w:eastAsia="IRNazanin"/>
          <w:color w:val="111111"/>
          <w:sz w:val="28"/>
          <w:sz w:val="28"/>
          <w:szCs w:val="28"/>
          <w:rtl w:val="true"/>
          <w:lang w:bidi="fa-IR"/>
        </w:rPr>
        <w:t xml:space="preserve">بعد از آنكه محمّد بن علوى مالكى افكار خود را كه بخشى از آنها بر ضد وهابيان بوده در جامعه منتشر كرد هيئت علماى افتاى سعودى و وهابى بيانيه‌اى را بر ضدّ او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رقم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كردند كه در آن تصريح به ضلالت و گمراهى او شده است، و در آن بيانيه اين چنين آمده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مجلس هيئة كبار العلماء فيما عرضه سماحة الرئيس العام لادارات البحوث العلمية و الافتاء و الدعوة و الارشاد، ممّا بلغه من انّ لمحمد علوي مالكي نشاطاً كبيراً في نشر البدع و الخرافات، و الدعوة الي الضلال و الوثنية، و انّه يؤلّف الكتب و يتصل بالناس، و يقوم بالأسفار من اجل تلك الامور، و اطلع علي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ادعية و صلوات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نظر مجلس هيئت بزرگان علما آن‌گونه كه آن را شخص رئيس عام ادارات بحوث علمى و افتا و دعوت و ارشاد عرضه كرده و آن را ابلاغ نموده اين است كه محمّد علوى مالكى فعاليت‌هاى گسترده و زيادى را در نشر بدعت‌ها و خرافات و دعوت به گمراهى و بت پرستى داشته است، و اينكه او كتاب‌هايى را تأليف كرده و بين مردم توزيع مى‌كند و براى اين امر سفرهايى را انجام داده است، و ما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ادعية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پيدا كرده‌ايم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مجلس فقراتى از كتاب‌هاى محمّد بن علوى مالكى خوانده شد و در آخر جلسه و در آخر بيانيه آمده است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انّما نهتم بتعقّب مثل هذه الأخطاء و الخطايا من اجل ان ننبه إلي خطورتها و خطرها من باب نصح المسلمين و ارشادهم و تحذيرهم ممّا يخشي منه علي العقيدة الصحيحة و الايمان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نكتب لكم به كذلك لتتصرفوا حياله بما فيه الخير للإسلام و المسلمين؛ فكما انّ مصر مستهدفة من اعداء الاسلام بحكم عددها و عدتها و اجماعها من حيث الاصل علي السنة؛ فانّ السعودية مستهدفة بنفس القدر ان لم يكن اكثر بحكم موقعها من قلوب المسلمين، و بحكم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عقيدتها القائمة علي حماية جناب التوحيد، و علي توجيه الناس الي السنة الصحيحة، و اهتمامها بنشر العقيدة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اقل من ان ننبّه الي بعض مواطن الخطر لتعلموا علي درئه ما استطعتم، و الظن بكم بل الاعتقاد فيكم سيكون في محلّه ان شاء الله؛ فانّ الامر جدّ خطير كما رأيتم من بعض فقرات الكتاب</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تعقيب مثل اين خطاها و گناهان مى‌پردازيم تا به خطر و اهميت آنها از باب نصيحت مسلمين و ارشاد و برحذر داشتن آنها آگاهى دهيم؛ امرى كه از آن به جهت عقيده صحيح و ايمان به حق ترسيده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بيانيه را به اين جهت صادر كرديم تا آن‌گونه كه به صلاح اسلام و مسلمين است با او مقابله كنيد؛ زيرا همان‌گونه كه مصر مورد تعرض دشمنان اسلام با عِدّه و عُدّه واقع شده و بر نابودى اصل سنت اتفاق پيدا گشته، همچنين سعوديه مورد هدف همين مشكل واقع شده اگر بيشتر از آن نباشد به جهت آنكه موقعيت خاصى در قلوب مسلمانان دارند، و به حكم آنكه عقيده‌اش قائم بر حمايت توحيد و توجيه مردم به سنت صحيح و اهتمام به نشر عقيده در هر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بر ماست كه برخى از خطرهاى او را به مردم تذكر دهيم تا در حدّ امكان جلو كارهاى او گرفته شود، و گمان به شما بلكه اعتقاد در حق شما در جاى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مى‌باشد اگر خدا بخواهد؛ چرا كه قضيه جداً خطير است آن‌گونه كه شما از برخى فقرات كتاب مشاهده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هيئت بزرگان علماى وهابى نزد خود به اين نتيجه رسيدند كه محمّد بن علوى مالكى داعى سوء بوده و اقدام به نشر گمراهى و بدعت‌ها مى‌كند و كتاب‌هاى او مملو از خرافات و دعوت به شرك و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اين نتيجه رسيدند تا در مورد اصلاح حال او و توبه از اقوالش بكوشند و او را نصيحت كرده و به قول خودشان حق را براى او نمايان سازند و تشخيص دادند كه او را نزد شيخ عبدالله بن محمّد بن حميد، رئيس مجلس اعلى براى حكم و شيخ عبدالعزيز بن عبدالله بن باز، رئيس كلّ ادارات بحوث علمى و افتا و دعوت و ارشاد، و شيخ سليمان بن عبيد، رئيس كلّ شئون حرمين شريفين حاضر كرده تا به قول آنها پاسخگوى سخنان الحادى و صوفيه‌اى شود كه از او صادر شده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اجتماع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الأعلى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مجلس اعلاى حكم در روز پنج شنبه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تشكيل شد و جماعتى نيز در آن شركت كردند و از محمّد بن مالكى علوى خواسته شد تا از مطالبى كه در كتاب‌هاى او كه در مصر چاپ شده و مشايخ او كه درباره آنان سؤال كردند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اهل مجلس شنيدند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و خودش نيز بر آن اعتراف دارد با او در مطالبى كه در آن دو كتاب آمده به مناقشه پرداختند و به او گفتند كه امور شركى و بدعت‌هايى كه به 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را جمع كرده و كتباً بنويسد كه از آنها رجوع كرده است، و سپس در روزنامه‌ها و راديو و تلويزيون اعلام برائت از آنها نمايد، و در غير اين صورت امر او را به حاكمان سعودى حواله دهند تا او را از برنامه‌ها و تدريس‌ها و فعاليت‌هاى علمى كه در مسجدالحرام و راديو و تلويزيون و روزنامه‌ها دارد منع نمايد تا به قول آنها باطلش را در عالم اسلامى منتشر نسازد و سبب فتنه در بين مسلمانان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دائمى بحوث علمى و افتاى علماى وهابى سعودى آن دو كتابى را كه محمّد بن علوى مالكى اعتراف كرده بود كه از جانب اوست و خودش آن دو را تأليف و آماده چاپ كرده بين خود قرائت نمودند و آن مواردى را كه به گمانشان از امور شركى و بدعت بود جمع كرده و از سوى رئيس كلّ شئون حرمين شريفين با نامه‌اى به شماره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سوى مالكى فرستادند، ولى او از درخواست آنان و حكمى كه در آن مجلس برايش كرده بودند امتناع ورزيد و در ضمن نامه‌اى رأى خود را در آن مكتوب كرده و به رئيس كلّ ادارات بحوث علمى و افتا و دعوت و ارشاد همراه با نامه رئيس كلّ شئون حرمين شريفين با رقم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فرستاد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 نامه چنين مرقوم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 در آن اجتماع حاضر شدم و نامه و خطاب شيخ عبدالعزيز و نوشته مشايخ بر من در آن مجالس عرضه شد، ولى من از پيشنهاد آنان امتناع كردم و خواستم تا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آن جلسات آنان را قانع كنم كه نپذيرفتند، و لذا در آخر در جواب درخواست آنان تصريح به عدم موافقت با اعلام توبه خود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در جلسه‌اى كه در ماه رجب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رياض تشكيل شد در اين موضوع از سوى علماى وهابى نظر داده شد و به اين نتيجه رسيدند كه بايد از راه ديگر با او به مقابله بپردازند، و تصميم بر اين گرفته شد كه گروه دائمى بحوث علمى و افتا بيانيه‌اى صادر كرده و در آن مواردى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شرك و بدعت به حساب مى‌آيد و به واليان امر از حكام سعودى ابلاغ نمايند، كه از جمله اشكالات به نظر آنان در آن كتاب اينها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ابياتى را نقل كرده كه از جمله آنها اين دو بيت شعر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الدهر قد حارب الوري جعلت لنفسي نعل سيده حصنا</w:t>
      </w:r>
    </w:p>
    <w:p>
      <w:pPr>
        <w:pStyle w:val="BookText"/>
        <w:rPr/>
      </w:pPr>
      <w:r>
        <w:rPr>
          <w:rFonts w:ascii="Amiri" w:hAnsi="Amiri" w:eastAsia="Amiri" w:cs="Amiri"/>
          <w:color w:val="111111"/>
          <w:sz w:val="28"/>
          <w:sz w:val="28"/>
          <w:szCs w:val="28"/>
          <w:rtl w:val="true"/>
          <w:lang w:bidi="ar-SA"/>
        </w:rPr>
        <w:t>تحصنت منه في بديع مثالها بسور منيع نلت في ظله الأمنا</w:t>
      </w:r>
    </w:p>
    <w:p>
      <w:pPr>
        <w:pStyle w:val="BookText"/>
        <w:rPr/>
      </w:pPr>
      <w:r>
        <w:rPr>
          <w:rFonts w:ascii="IRNazanin" w:hAnsi="IRNazanin" w:eastAsia="IRNazanin"/>
          <w:color w:val="111111"/>
          <w:sz w:val="28"/>
          <w:sz w:val="28"/>
          <w:szCs w:val="28"/>
          <w:rtl w:val="true"/>
          <w:lang w:bidi="fa-IR"/>
        </w:rPr>
        <w:t xml:space="preserve">و چون روزگار را مشاهده كردم كه با مردم به جنگ درآمده براى خود نعل سيدش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محافظ خود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در مثال بى‌نظيرش تحصن نمودم با حصارى محكم تا در سايه آن به امن و امان رسم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قصيده بكرى را در دو صفحه از كتابش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در آن انواعى از شرك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اعراض از خداى عزوجل شده؛ زيرا در آن قصيده چنين آمده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ارسل الرحمن أو يرسل من رحمة تصعد أو تنزل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في ملكوت الله أو ملكه من كلّ ما يختص أو يشتمل</w:t>
      </w:r>
    </w:p>
    <w:p>
      <w:pPr>
        <w:pStyle w:val="BookText"/>
        <w:rPr/>
      </w:pPr>
      <w:r>
        <w:rPr>
          <w:rFonts w:ascii="Amiri" w:hAnsi="Amiri" w:eastAsia="Amiri" w:cs="Amiri"/>
          <w:color w:val="111111"/>
          <w:sz w:val="28"/>
          <w:sz w:val="28"/>
          <w:szCs w:val="28"/>
          <w:rtl w:val="true"/>
          <w:lang w:bidi="ar-SA"/>
        </w:rPr>
        <w:t>الّا وطه المصطفي عبده نبيه مختاره المرسل</w:t>
      </w:r>
    </w:p>
    <w:p>
      <w:pPr>
        <w:pStyle w:val="BookText"/>
        <w:rPr/>
      </w:pPr>
      <w:r>
        <w:rPr>
          <w:rFonts w:ascii="Amiri" w:hAnsi="Amiri" w:eastAsia="Amiri" w:cs="Amiri"/>
          <w:color w:val="111111"/>
          <w:sz w:val="28"/>
          <w:sz w:val="28"/>
          <w:szCs w:val="28"/>
          <w:rtl w:val="true"/>
          <w:lang w:bidi="ar-SA"/>
        </w:rPr>
        <w:t>واسطة فيها واصل لها يعلم هذا كل من يعقل</w:t>
      </w:r>
    </w:p>
    <w:p>
      <w:pPr>
        <w:pStyle w:val="BookText"/>
        <w:rPr/>
      </w:pPr>
      <w:r>
        <w:rPr>
          <w:rFonts w:ascii="Amiri" w:hAnsi="Amiri" w:eastAsia="Amiri" w:cs="Amiri"/>
          <w:color w:val="111111"/>
          <w:sz w:val="28"/>
          <w:sz w:val="28"/>
          <w:szCs w:val="28"/>
          <w:rtl w:val="true"/>
          <w:lang w:bidi="ar-SA"/>
        </w:rPr>
        <w:t>فلذبه من كل ما تشتكي فهو شفيع دائماً يقبل</w:t>
      </w:r>
    </w:p>
    <w:p>
      <w:pPr>
        <w:pStyle w:val="BookText"/>
        <w:rPr/>
      </w:pPr>
      <w:r>
        <w:rPr>
          <w:rFonts w:ascii="Amiri" w:hAnsi="Amiri" w:eastAsia="Amiri" w:cs="Amiri"/>
          <w:color w:val="111111"/>
          <w:sz w:val="28"/>
          <w:sz w:val="28"/>
          <w:szCs w:val="28"/>
          <w:rtl w:val="true"/>
          <w:lang w:bidi="ar-SA"/>
        </w:rPr>
        <w:t>ولذبه من كل ما ترتجي فانّه المرجع و الموئل</w:t>
      </w:r>
    </w:p>
    <w:p>
      <w:pPr>
        <w:pStyle w:val="BookText"/>
        <w:rPr/>
      </w:pPr>
      <w:r>
        <w:rPr>
          <w:rFonts w:ascii="Amiri" w:hAnsi="Amiri" w:eastAsia="Amiri" w:cs="Amiri"/>
          <w:color w:val="111111"/>
          <w:sz w:val="28"/>
          <w:sz w:val="28"/>
          <w:szCs w:val="28"/>
          <w:rtl w:val="true"/>
          <w:lang w:bidi="ar-SA"/>
        </w:rPr>
        <w:t>وناده إن أزمة انشبت اظفارها و استحكم المعضل</w:t>
      </w:r>
    </w:p>
    <w:p>
      <w:pPr>
        <w:pStyle w:val="BookText"/>
        <w:rPr/>
      </w:pPr>
      <w:r>
        <w:rPr>
          <w:rFonts w:ascii="Amiri" w:hAnsi="Amiri" w:eastAsia="Amiri" w:cs="Amiri"/>
          <w:color w:val="111111"/>
          <w:sz w:val="28"/>
          <w:sz w:val="28"/>
          <w:szCs w:val="28"/>
          <w:rtl w:val="true"/>
          <w:lang w:bidi="ar-SA"/>
        </w:rPr>
        <w:t>يا اكرم الخلق علي ربّه و خير من فيهم به يسأل</w:t>
      </w:r>
    </w:p>
    <w:p>
      <w:pPr>
        <w:pStyle w:val="BookText"/>
        <w:rPr/>
      </w:pPr>
      <w:r>
        <w:rPr>
          <w:rFonts w:ascii="Amiri" w:hAnsi="Amiri" w:eastAsia="Amiri" w:cs="Amiri"/>
          <w:color w:val="111111"/>
          <w:sz w:val="28"/>
          <w:sz w:val="28"/>
          <w:szCs w:val="28"/>
          <w:rtl w:val="true"/>
          <w:lang w:bidi="ar-SA"/>
        </w:rPr>
        <w:t>كم مسني الكرب و كم مرة فرجت كرباً بعضه يذهل</w:t>
      </w:r>
    </w:p>
    <w:p>
      <w:pPr>
        <w:pStyle w:val="BookText"/>
        <w:rPr/>
      </w:pPr>
      <w:r>
        <w:rPr>
          <w:rFonts w:ascii="Amiri" w:hAnsi="Amiri" w:eastAsia="Amiri" w:cs="Amiri"/>
          <w:color w:val="111111"/>
          <w:sz w:val="28"/>
          <w:sz w:val="28"/>
          <w:szCs w:val="28"/>
          <w:rtl w:val="true"/>
          <w:lang w:bidi="ar-SA"/>
        </w:rPr>
        <w:t>فبالذي خصك بين الورى برتبة عنها العلا تنزل</w:t>
      </w:r>
    </w:p>
    <w:p>
      <w:pPr>
        <w:pStyle w:val="BookText"/>
        <w:rPr/>
      </w:pPr>
      <w:r>
        <w:rPr>
          <w:rFonts w:ascii="Amiri" w:hAnsi="Amiri" w:eastAsia="Amiri" w:cs="Amiri"/>
          <w:color w:val="111111"/>
          <w:sz w:val="28"/>
          <w:sz w:val="28"/>
          <w:szCs w:val="28"/>
          <w:rtl w:val="true"/>
          <w:lang w:bidi="ar-SA"/>
        </w:rPr>
        <w:t>عجّل باذهاب الذي اشتكى فان توقفت فمن ذا اسأل</w:t>
      </w:r>
    </w:p>
    <w:p>
      <w:pPr>
        <w:pStyle w:val="BookText"/>
        <w:rPr/>
      </w:pPr>
      <w:r>
        <w:rPr>
          <w:rFonts w:ascii="Amiri" w:hAnsi="Amiri" w:eastAsia="Amiri" w:cs="Amiri"/>
          <w:color w:val="111111"/>
          <w:sz w:val="28"/>
          <w:sz w:val="28"/>
          <w:szCs w:val="28"/>
          <w:rtl w:val="true"/>
          <w:lang w:bidi="ar-SA"/>
        </w:rPr>
        <w:t>خداوند رحمان نفرستاده و نمى‌فرستد رحمتى را كه بالا رود يا فرود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ملكوت خدا يا مُلك او هر آنچه اختصاصى است يا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طه مصطفى بنده او،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مختار او از بين فرستاده شدگان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واسطه در بين مخلوقات و اصل آن هاست و هر فرد عاقلى اين مطلب را 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پناه ببر از هر آنچه شكوه مى‌نمايى، و او شفيعى است كه دائماً شفاعتش مورد قبول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پناه ببر از هر آنچه اميد دارى؛ چرا كه او محل رجوع و بازگشت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صدا كن هرگاه مشكلات بر تو روى آورد و معضلات بر تو محكم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اى كريم‌ترين مخلوقات بر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كسى كه در بين خلايق از او سؤال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گرفتارى‌هايى كه بر من عارض شده و چندين بار مشكلات مرا برطرف كردى كه برخى از آنها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به كسى كه تو را از بين مخلوقات به مقام و رتبه‌اى اختصاص داده و با آن رتبه از عالم بالا بركات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كن به بردن آنچه كه از آن شكوه مى‌نمايم، و اگر تو حاجتم را برآورده ننمايى پس از چه كسى درخواست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ليلة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شب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قدر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حرف خطايى آشكار و واضح است؛ چرا كه بدون شك شب قدر برترين شب‌هاست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قصيده‌اى را از ابن حجر هيتمى نقل كرده كه در آن اثبات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اطلاق است و اينكه آن حضرت وضو گرفته و نماز پنج گانه را مى‌خواند و حج به جاى آورده و روزه مى‌گيرد، و اين امور بر او محال نيست و اعمال بر او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هيتمى نقل كرده كه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مى‌برده و آن را تأييد كرده است در حالى كه پناه به غير خدا نوعى از شرك اكبر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غرق در محبت انبيا و صالحان شود اين حالت او را به اذن در بوسيدن قبور آنان و دست كشيدن به آن قبرها و صورت ماليدن به آنها وا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امورى از اين قبيل را به برخى از صحابه نسبت داده و آنها را قبول كرده و انكار نكرده است، با اينكه اين امور از بدعت‌ها و وسايل شرك اكبر است و نسبت آنها به برخى از صحابه باطل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مالكى 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زيارت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كمال حج است و اينكه زيارت او نزد صوفيه واجب مى‌باشد، و اينكه هجرت به سوى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همانند هجرت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اين مطالب را اقرار كرده و انكار ننموده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كراماتى را براى زائر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كه تمام آنها خبر از غيب بوده و نسبتى است بر خدا بدون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دعوت به پناه بردن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شفاعت از او هنگام زيارتش كرده و اين‌گونه مى‌نويسد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بتجديد التوبة في هذا الموقف الشريف و سؤال الله تعالي ان يجعلها لديه نصوحاً، و الاستشفاء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قبولها و الاكثار من الاستغفار و التضرّع بتلاوة الآية المذكورة، و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يقول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نفسي ظلماً كثيراً، و اتيت بجهلي و غفلتي امراً كبيراً، و قد وفدت عليك زائراً و بك مستجيراً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تأكيد مى‌شود به تجديد توبه در اين جايگاه شريف و درخواست از خداوند متعال كه آن را نزد خود نصوح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بازگشت به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درخواست شفاعت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توبه، و اينكه زياد استغفار و تضرع كند با تلاوت آن آيه كه ذكر شد </w:t>
      </w:r>
      <w:r>
        <w:rPr>
          <w:rStyle w:val="FootnoteAnchor"/>
          <w:rtl w:val="true"/>
        </w:rPr>
        <w:footnoteReference w:id="4"/>
      </w:r>
      <w:r>
        <w:rPr>
          <w:rFonts w:ascii="IRNazanin" w:hAnsi="IRNazanin" w:eastAsia="IRNazanin"/>
          <w:color w:val="111111"/>
          <w:sz w:val="28"/>
          <w:sz w:val="28"/>
          <w:szCs w:val="28"/>
          <w:rtl w:val="true"/>
          <w:lang w:bidi="fa-IR"/>
        </w:rPr>
        <w:t>، و اينكه بعد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من به خودم ظلم زيادى كرده‌ام و با جهل و غفلتم امر بزرگى را اتيان نموده‌ام، و من به جهت زيارت بر تو وارد شده‌ام و تنها به تو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عالمان وهابى در تعليقه خود بر كلام مالكى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معلوم است كه طلب شفاعت و پناه بردن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از انواع شرك اكبر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كتابش شعرى را ذكر كرده كه همراه با دعا هنگام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كه از جمله آن اشعار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هذا نزيلك اضحي لا ملاذ له الّا جنابك يا سؤلي و يا املي</w:t>
      </w:r>
    </w:p>
    <w:p>
      <w:pPr>
        <w:pStyle w:val="BookText"/>
        <w:rPr/>
      </w:pPr>
      <w:r>
        <w:rPr>
          <w:rFonts w:ascii="IRNazanin" w:hAnsi="IRNazanin" w:eastAsia="IRNazanin"/>
          <w:color w:val="111111"/>
          <w:sz w:val="28"/>
          <w:sz w:val="28"/>
          <w:szCs w:val="28"/>
          <w:rtl w:val="true"/>
          <w:lang w:bidi="fa-IR"/>
        </w:rPr>
        <w:t>اين است وضعيت من كه اكنون بر تو فرود آمده‌ام و پناهى بر من نيست جز جناب تو اى خواسته من و آرزويم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ضيف ضعيف غريب قد اناخ بكم</w:t>
      </w:r>
    </w:p>
    <w:p>
      <w:pPr>
        <w:pStyle w:val="BookText"/>
        <w:rPr/>
      </w:pPr>
      <w:r>
        <w:rPr>
          <w:rFonts w:ascii="Amiri" w:hAnsi="Amiri" w:eastAsia="Amiri" w:cs="Amiri"/>
          <w:color w:val="111111"/>
          <w:sz w:val="28"/>
          <w:sz w:val="28"/>
          <w:szCs w:val="28"/>
          <w:rtl w:val="true"/>
          <w:lang w:bidi="ar-SA"/>
        </w:rPr>
        <w:t>ويستجير بكم يا سادة العرب</w:t>
      </w:r>
    </w:p>
    <w:p>
      <w:pPr>
        <w:pStyle w:val="BookText"/>
        <w:rPr/>
      </w:pPr>
      <w:r>
        <w:rPr>
          <w:rFonts w:ascii="Amiri" w:hAnsi="Amiri" w:eastAsia="Amiri" w:cs="Amiri"/>
          <w:color w:val="111111"/>
          <w:sz w:val="28"/>
          <w:sz w:val="28"/>
          <w:szCs w:val="28"/>
          <w:rtl w:val="true"/>
          <w:lang w:bidi="ar-SA"/>
        </w:rPr>
        <w:t>يا مكرم الضيف يا عون الزمان و يا</w:t>
      </w:r>
    </w:p>
    <w:p>
      <w:pPr>
        <w:pStyle w:val="BookText"/>
        <w:rPr/>
      </w:pPr>
      <w:r>
        <w:rPr>
          <w:rFonts w:ascii="Amiri" w:hAnsi="Amiri" w:eastAsia="Amiri" w:cs="Amiri"/>
          <w:color w:val="111111"/>
          <w:sz w:val="28"/>
          <w:sz w:val="28"/>
          <w:szCs w:val="28"/>
          <w:rtl w:val="true"/>
          <w:lang w:bidi="ar-SA"/>
        </w:rPr>
        <w:t>غوث الفقير و مرمي القصد و الطلب</w:t>
      </w:r>
    </w:p>
    <w:p>
      <w:pPr>
        <w:pStyle w:val="BookText"/>
        <w:rPr/>
      </w:pPr>
      <w:r>
        <w:rPr>
          <w:rFonts w:ascii="IRNazanin" w:hAnsi="IRNazanin" w:eastAsia="IRNazanin"/>
          <w:color w:val="111111"/>
          <w:sz w:val="28"/>
          <w:sz w:val="28"/>
          <w:szCs w:val="28"/>
          <w:rtl w:val="true"/>
          <w:lang w:bidi="fa-IR"/>
        </w:rPr>
        <w:t>ميهمانى است ضعيف و غريب كه بر شما وارد شده و به شما پناه مى‌برد اى بزرگان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اكرام كننده ميهمان، واى كمك‌كننده زمان، واى پناه فقيران و هدف قصدها و طلب‌ها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برخى از شعرا در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شعرى را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اترضي مع الجاه المنيع ضياعناو نحن إلى اعتاب بابك</w:t>
      </w:r>
    </w:p>
    <w:p>
      <w:pPr>
        <w:pStyle w:val="BookText"/>
        <w:rPr/>
      </w:pPr>
      <w:r>
        <w:rPr>
          <w:rFonts w:ascii="Amiri" w:hAnsi="Amiri" w:eastAsia="Amiri" w:cs="Amiri"/>
          <w:color w:val="111111"/>
          <w:sz w:val="28"/>
          <w:sz w:val="28"/>
          <w:szCs w:val="28"/>
          <w:rtl w:val="true"/>
          <w:lang w:bidi="ar-SA"/>
        </w:rPr>
        <w:t>ننسب افضها علينا نفخة نبوية تلمّ شتات المسلمين و ترأب</w:t>
      </w:r>
    </w:p>
    <w:p>
      <w:pPr>
        <w:pStyle w:val="BookText"/>
        <w:rPr/>
      </w:pPr>
      <w:r>
        <w:rPr>
          <w:rFonts w:ascii="IRNazanin" w:hAnsi="IRNazanin" w:eastAsia="IRNazanin"/>
          <w:color w:val="111111"/>
          <w:sz w:val="28"/>
          <w:sz w:val="28"/>
          <w:szCs w:val="28"/>
          <w:rtl w:val="true"/>
          <w:lang w:bidi="fa-IR"/>
        </w:rPr>
        <w:t>آيا با آن مقام بزرگى كه داراى راضى مى‌شوى كه ما ضايع شويم؟ در حالى كه ما به عتبه‌هاى در خانه تو منسوب مى‌باشيم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ما از نفخات نبويه‌ات بريز، تا پراكندگى مسلمين را جمع كرده و آنان را اصلاح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آن‌گاه بر علماى وهابى تعليقه خود بر اين اشعار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ابيات پنج گانه از شرك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بيتى را از قصيده همزيه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ليته خصني برؤية وجه زال عن كل من رآه العناء</w:t>
      </w:r>
    </w:p>
    <w:p>
      <w:pPr>
        <w:pStyle w:val="BookText"/>
        <w:rPr/>
      </w:pPr>
      <w:r>
        <w:rPr>
          <w:rFonts w:ascii="IRNazanin" w:hAnsi="IRNazanin" w:eastAsia="IRNazanin"/>
          <w:color w:val="111111"/>
          <w:sz w:val="28"/>
          <w:sz w:val="28"/>
          <w:szCs w:val="28"/>
          <w:rtl w:val="true"/>
          <w:lang w:bidi="fa-IR"/>
        </w:rPr>
        <w:t>اى كاش يك نظر اختصاصى به من مى‌كرد تا از هر آن كس كه من او را ديده‌ام زحمتم زايل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وهابى در تعليقه اين شعر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حرف دروغ و باطل است؛ چرا كه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 اقوام بسيارى او را ديده‌اند در حالى كه از آنان زحمت و كفرشان زايل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كفش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بيت غلو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رأس هذا الكون نعل محمّد</w:t>
      </w:r>
    </w:p>
    <w:p>
      <w:pPr>
        <w:pStyle w:val="BookText"/>
        <w:rPr/>
      </w:pPr>
      <w:r>
        <w:rPr>
          <w:rFonts w:ascii="Amiri" w:hAnsi="Amiri" w:eastAsia="Amiri" w:cs="Amiri"/>
          <w:color w:val="111111"/>
          <w:sz w:val="28"/>
          <w:sz w:val="28"/>
          <w:szCs w:val="28"/>
          <w:rtl w:val="true"/>
          <w:lang w:bidi="ar-SA"/>
        </w:rPr>
        <w:t>سمت فجميع الخلق تحت ظلاله</w:t>
      </w:r>
    </w:p>
    <w:p>
      <w:pPr>
        <w:pStyle w:val="BookText"/>
        <w:rPr/>
      </w:pPr>
      <w:r>
        <w:rPr>
          <w:rFonts w:ascii="Amiri" w:hAnsi="Amiri" w:eastAsia="Amiri" w:cs="Amiri"/>
          <w:color w:val="111111"/>
          <w:sz w:val="28"/>
          <w:sz w:val="28"/>
          <w:szCs w:val="28"/>
          <w:rtl w:val="true"/>
          <w:lang w:bidi="ar-SA"/>
        </w:rPr>
        <w:t>لدي الطور موسي نودي اخلع</w:t>
      </w:r>
    </w:p>
    <w:p>
      <w:pPr>
        <w:pStyle w:val="BookText"/>
        <w:rPr/>
      </w:pPr>
      <w:r>
        <w:rPr>
          <w:rFonts w:ascii="Amiri" w:hAnsi="Amiri" w:eastAsia="Amiri" w:cs="Amiri"/>
          <w:color w:val="111111"/>
          <w:sz w:val="28"/>
          <w:sz w:val="28"/>
          <w:szCs w:val="28"/>
          <w:rtl w:val="true"/>
          <w:lang w:bidi="ar-SA"/>
        </w:rPr>
        <w:t>واحمد إلي العرش لم يأمر بخلع نعاله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اين عالم نعل محمّد است كه بالا رفته پس تمام خلق زير سايه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نزد طور، به موسى ندا داده شد كه كفش خود را درآورد، ولى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عرش الهى مأمور به كندن كفشش 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نيز در صفحه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قصيده‌اى شرك آلود از شيخ عمر باقى خلوتى آورده كه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ملاذ الورى و خير عيان و رجاء لكل دان قصي</w:t>
      </w:r>
    </w:p>
    <w:p>
      <w:pPr>
        <w:pStyle w:val="BookText"/>
        <w:rPr/>
      </w:pPr>
      <w:r>
        <w:rPr>
          <w:rFonts w:ascii="Amiri" w:hAnsi="Amiri" w:eastAsia="Amiri" w:cs="Amiri"/>
          <w:color w:val="111111"/>
          <w:sz w:val="28"/>
          <w:sz w:val="28"/>
          <w:szCs w:val="28"/>
          <w:rtl w:val="true"/>
          <w:lang w:bidi="ar-SA"/>
        </w:rPr>
        <w:t>لك وجهي وجهت يا ابيض الوجه فوجه اليه وجه الولي</w:t>
      </w:r>
    </w:p>
    <w:p>
      <w:pPr>
        <w:pStyle w:val="BookText"/>
        <w:rPr/>
      </w:pPr>
      <w:r>
        <w:rPr>
          <w:rFonts w:ascii="IRNazanin" w:hAnsi="IRNazanin" w:eastAsia="IRNazanin"/>
          <w:color w:val="111111"/>
          <w:sz w:val="28"/>
          <w:sz w:val="28"/>
          <w:szCs w:val="28"/>
          <w:rtl w:val="true"/>
          <w:lang w:bidi="fa-IR"/>
        </w:rPr>
        <w:t>اى پناه عالم و بهترين موجودى كه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هر نزديك 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رويم به سوى توست اى سفيد روى و آن را تنها متوجه تو نموده‌ام، پس تو هم با وجه ولايت بر من نظر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قيم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نقل كرده كه موهم آن است كه راه به سوى خدا و بهشتش منحصر در پيروى اهل بيت است يعنى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او در كلام ابن قيم تصرف كرده و درست آن را نقل ننموده است؛ زيرا ابن قيم در آن كتاب سخن از ابراهيم خليل و آل او از انبيا به ميان آورده و ذكر كرده كه خداوند سبحان تمام پيامبران بعد از ابراهيم از ذرّيه او را مبعوث به رسالت كرده و طريق به سوى او را تنها راه آنان قرار داده است كه از آن جمله 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شيخ محمّد علوى مالكى اصل كلام ابن قيم را ترك كرده و در آن تصرف نموده، و تنها چيزى را نقل كرده كه تنها به خواننده چنين القا مى‌كند كه مراد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نيست كه اين رأى همان مذهب رافضه دوازده امامى است، كه نظرشان بر اين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احاديث وارد از غير طريق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احتجاج نبوده و به آن عمل نمى‌شود، گرچه راوى آن ابوبكر يا عمر و يا عثمان باشند، و اين به اشتباه انداختنى است شنيع كه مقصود او تحقيق مقصد ناگوار و خطير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آنچه گفته شد چيزى است كه در صفحه چهارم و پنجم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جمله دعايى كه در آنجا نقل كرده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وانشلني من اوحال التوحيد و اغرقني في عين بحر الوحدة،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إلّا هو به منوط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باتلاق‌هاى توحيد برهان و در چشمه درياى وحدت غرق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نيست جز آنكه به او وابسته است كه مقصودش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مطالب را وهابيان در نامه‌اى نوشته و براى نايب رئيس مجلس وزراء همراه با نامه رئيس كل با رقم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در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مجلس هجدهم كه درباره او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ماه شوال منعقد شد بار ديگر موضوع او را مطرح كردند؛ چرا كه خبر دار شده بودند كه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ازدياد است، و اينكه محمد بن علوى مالكى دائماً بدعت‌ها و گمراهى‌هاى خود را در داخل و خارج منتشر مى‌سازد، و به اين نتيجه رسيدند كه فسادى كه مترتب بر كارهايش</w:t>
      </w:r>
      <w:bookmarkStart w:id="32" w:name="pg1741_17311"/>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مى‌شود عظيم است؛ چرا كه مربوط به اصل عقيده توحيدى مى‌باشد كه خداوند تمام رسولان را براى دعوت مردم به آن فرستاده تا حيات و زندگى خود را بر اساس آن اقامه كنند و كارها و آراى باطل او تنها در امور فرعى اجتهادى نيست تا اختلاف در آن جايز باشد، و اينكه او كوشش مى‌كند تا بت‌پرستى و عبادت قبور انبيا و تعلق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كشورها بازگرداند و در دعوت به توحيد طعن زده و مشغول به نشر شرك و خرافات و غلو در قبور است، و اين مطالب را در كتاب‌هايش تقرير كرده و به آن در مجالسش دعوت مى‌نمايد، و به جهت دعوت به آن مسافرت به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دولت سعودى اجازه نداد تا او را زندان كرده يا از مسافرت منع كنند و مقرر ساخت تا عالم بزرگ و معروفى همچون او در مكه و مملكت آزاد باشد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33" w:name="__RefHeading___Toc1920521_3650668749"/>
      <w:bookmarkStart w:id="34" w:name="_Toc12"/>
      <w:bookmarkEnd w:id="33"/>
      <w:r>
        <w:rPr>
          <w:rtl w:val="true"/>
        </w:rPr>
        <w:t>تأليفات وهابيان بر ضد مالكى‌</w:t>
      </w:r>
      <w:bookmarkEnd w:id="34"/>
    </w:p>
    <w:p>
      <w:pPr>
        <w:pStyle w:val="BookText"/>
        <w:rPr/>
      </w:pPr>
      <w:r>
        <w:rPr>
          <w:rFonts w:ascii="IRNazanin" w:hAnsi="IRNazanin" w:eastAsia="IRNazanin"/>
          <w:color w:val="111111"/>
          <w:sz w:val="28"/>
          <w:sz w:val="28"/>
          <w:szCs w:val="28"/>
          <w:rtl w:val="true"/>
          <w:lang w:bidi="fa-IR"/>
        </w:rPr>
        <w:t>وهابيان بعد از آنكه كتاب‌هاى محمّد بن علوى مالكى را مشاهده و قرائت كردند درصدد پاسخ به آنها برآمدند كه برخى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و الردّ على محمد علوى المالكى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محمّد فاتح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صالح آل الشيخ، وزير اوقاف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المالكى فى ردّ منكراته و ضلالاته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سليمان بن منيع، قاضى محكمه تمييز در مكه مكرمه و عضو هيئت كبار علما در عربستان</w:t>
      </w:r>
      <w:r>
        <w:rPr>
          <w:rFonts w:eastAsia="Amiri" w:cs="Amiri" w:ascii="Amiri" w:hAnsi="Amiri"/>
          <w:color w:val="111111"/>
          <w:sz w:val="28"/>
          <w:szCs w:val="28"/>
          <w:rtl w:val="true"/>
          <w:lang w:bidi="ar-SA"/>
        </w:rPr>
        <w:t>.</w:t>
      </w:r>
      <w:bookmarkStart w:id="35" w:name="pg1741_17313"/>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36" w:name="__RefHeading___Toc1920523_3650668749"/>
      <w:bookmarkStart w:id="37" w:name="_Toc13"/>
      <w:bookmarkEnd w:id="36"/>
      <w:r>
        <w:rPr>
          <w:rtl w:val="true"/>
        </w:rPr>
        <w:t>مهم‌ترين كتاب مالكى در ردّ وهابيان‌</w:t>
      </w:r>
      <w:bookmarkEnd w:id="37"/>
    </w:p>
    <w:p>
      <w:pPr>
        <w:pStyle w:val="Heading4"/>
        <w:numPr>
          <w:ilvl w:val="3"/>
          <w:numId w:val="1"/>
        </w:numPr>
        <w:rPr/>
      </w:pPr>
      <w:bookmarkStart w:id="38" w:name="__RefHeading___Toc1920525_365066874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همان‌گونه كه اشاره شد، او كتاب‌هاى بسيارى بر ضدّ عقايد وهابيان تأليف نموده است كه از جمله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كتاب به موضوع بر حذر شدن از گزافه‌گويى در تكفير، مجاز عقلى، واسطه بين خلق و خالق، بدعت، حقيقت توسل، شفاعت، استعانت از ارواح اوليا و ديگر موضوعات پرداخته و در هر موضوعى ديدگاه وهابيان را به طور مفصّل و مستدلّ پاسخ داده است</w:t>
      </w:r>
      <w:r>
        <w:rPr>
          <w:rFonts w:eastAsia="IRNazanin" w:cs="IRNazanin"/>
          <w:color w:val="111111"/>
          <w:sz w:val="28"/>
          <w:szCs w:val="28"/>
          <w:rtl w:val="true"/>
          <w:lang w:bidi="fa-IR"/>
        </w:rPr>
        <w:t>.</w:t>
      </w:r>
    </w:p>
    <w:p>
      <w:pPr>
        <w:pStyle w:val="Heading4"/>
        <w:numPr>
          <w:ilvl w:val="3"/>
          <w:numId w:val="1"/>
        </w:numPr>
        <w:rPr/>
      </w:pPr>
      <w:bookmarkStart w:id="40" w:name="__RefHeading___Toc1920527_3650668749"/>
      <w:bookmarkStart w:id="41" w:name="_Toc15"/>
      <w:bookmarkEnd w:id="40"/>
      <w:r>
        <w:rPr>
          <w:rtl w:val="true"/>
        </w:rPr>
        <w:t>تقريظات اهل سنت بر كتاب مالكى‌</w:t>
      </w:r>
      <w:bookmarkEnd w:id="41"/>
    </w:p>
    <w:p>
      <w:pPr>
        <w:pStyle w:val="Heading5"/>
        <w:numPr>
          <w:ilvl w:val="4"/>
          <w:numId w:val="1"/>
        </w:numPr>
        <w:rPr/>
      </w:pPr>
      <w:bookmarkStart w:id="42" w:name="__RefHeading___Toc1920529_3650668749"/>
      <w:bookmarkStart w:id="43" w:name="_Toc16"/>
      <w:bookmarkEnd w:id="42"/>
      <w:r>
        <w:rPr>
          <w:rtl w:val="true"/>
        </w:rPr>
        <w:t>اشاره</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به حدّى در جهان اسلام تأثير گذار بوده كه بسيارى از علماى كشورهاى اسلامى خصوصاً مصر بر آن مقدمه و تقريظ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ذكر اسامى آنها كه با او در اين كتاب هم عقيده بودند اشاره مى‌كنيم</w:t>
      </w:r>
      <w:r>
        <w:rPr>
          <w:rFonts w:eastAsia="IRNazanin" w:cs="IRNazanin"/>
          <w:color w:val="111111"/>
          <w:sz w:val="28"/>
          <w:szCs w:val="28"/>
          <w:rtl w:val="true"/>
          <w:lang w:bidi="fa-IR"/>
        </w:rPr>
        <w:t>:</w:t>
      </w:r>
      <w:bookmarkStart w:id="44" w:name="pg1741_17314"/>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5"/>
        <w:numPr>
          <w:ilvl w:val="4"/>
          <w:numId w:val="1"/>
        </w:numPr>
        <w:rPr/>
      </w:pPr>
      <w:bookmarkStart w:id="45" w:name="__RefHeading___Toc1920531_3650668749"/>
      <w:bookmarkStart w:id="46" w:name="_Toc17"/>
      <w:bookmarkEnd w:id="45"/>
      <w:r>
        <w:rPr/>
        <w:t>1</w:t>
      </w:r>
      <w:r>
        <w:rPr>
          <w:rtl w:val="true"/>
        </w:rPr>
        <w:t xml:space="preserve">. </w:t>
      </w:r>
      <w:r>
        <w:rPr>
          <w:rtl w:val="true"/>
        </w:rPr>
        <w:t>حسنين محمد مخلوف‌</w:t>
      </w:r>
      <w:bookmarkEnd w:id="46"/>
    </w:p>
    <w:p>
      <w:pPr>
        <w:pStyle w:val="BookText"/>
        <w:rPr/>
      </w:pPr>
      <w:r>
        <w:rPr>
          <w:rFonts w:ascii="IRNazanin" w:hAnsi="IRNazanin" w:eastAsia="IRNazanin"/>
          <w:color w:val="111111"/>
          <w:sz w:val="28"/>
          <w:sz w:val="28"/>
          <w:szCs w:val="28"/>
          <w:rtl w:val="true"/>
          <w:lang w:bidi="fa-IR"/>
        </w:rPr>
        <w:t xml:space="preserve">او كه مفتى سابق كشور مصر، و عضو هيأت بزرگان علماى ازهر، و عضو مركز رابطة العالم الاسلامى بوده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تقريظى نوشته و مطالب آن را صحيح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ابتداى آن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اشتمل هذا الكتاب العظيم للعلامة المحقق الجليل، فضيلة الاستاذ السيد محمد علوي المالكي، علي مباحث هامة مفيدة و موضوعات جليلة عديدة، تنفع المسلمين في هذه الازمان التي يحتاجون فيها إلي الوقوف علي المعلومات الهامة و الأحكام العامة لخدمة الاسلام و تحقيق العقائد الدينية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اين كتاب مهم، براى علامه محقق جليل، صاحب فضيلت استاد سيد محمد علوى مالكى مشتمل بر مباحث مهم و مفيد و موضوعات خوب متعددى است كه مى‌تواند در اين زمان به مسلمانانى كه به دنبال اطلاع از معلومات مهم و احكام عمومى به جهت خدمت اسلام و تحقيق عقايد دينى هستند را نفع رساند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آنكه حسنين محمد مخلوف بر اين كتاب تقريظ نوشت و علما</w:t>
      </w:r>
      <w:bookmarkStart w:id="47" w:name="pg1741_17315"/>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از آن آگاه شدند تقريظ او را تأييد كرده و با او موافقت نموده و در نامه‌اى گفتار او را تصديق كردند كه از جمله آنها اين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طبيب نجّار، رئيس سابق دانشگاه الأزهر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شيخ محمدبن احمد بن حسن خزرجى، وزير عدل و شؤون اسلامى و اوقاف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ابوالوفاء تفتازانى، وكيل دانشگاه 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عبدالرحمان آل الشيخ ابوبكر بن سالم، مفتى جمهورى اسلامى جزيره‌هاى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عبدالرحمان هاشمى حسنى، مشاور رئيس دولت امارات متحده 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امام موسى ضيف الله، عضو رابطة العالم الاسلامى</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920533_3650668749"/>
      <w:bookmarkStart w:id="49" w:name="_Toc18"/>
      <w:bookmarkEnd w:id="48"/>
      <w:r>
        <w:rPr/>
        <w:t>2</w:t>
      </w:r>
      <w:r>
        <w:rPr>
          <w:rtl w:val="true"/>
        </w:rPr>
        <w:t xml:space="preserve">. </w:t>
      </w:r>
      <w:r>
        <w:rPr>
          <w:rtl w:val="true"/>
        </w:rPr>
        <w:t>شيخ محمد خزرجى‌</w:t>
      </w:r>
      <w:bookmarkEnd w:id="49"/>
    </w:p>
    <w:p>
      <w:pPr>
        <w:pStyle w:val="BookText"/>
        <w:rPr/>
      </w:pPr>
      <w:r>
        <w:rPr>
          <w:rFonts w:ascii="Amiri" w:hAnsi="Amiri" w:eastAsia="Amiri" w:cs="Amiri"/>
          <w:color w:val="111111"/>
          <w:sz w:val="28"/>
          <w:sz w:val="28"/>
          <w:szCs w:val="28"/>
          <w:rtl w:val="true"/>
          <w:lang w:bidi="ar-SA"/>
        </w:rPr>
        <w:t xml:space="preserve">او كه وزير عدل و شؤون اسلامى و اوقاف در دولت امارات متحده عربى است در تفريط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كتابه وضع الأمور في مجاريها و حاد عن الشطط في مراميها، و جنّبها الإفراط و التفريط و صحّح الأوهام و التخليط، و بذل النصيحة لإخوانه المسلمين بالأدلة القاطعة و البراهين ليسلكوا مسالك السلف و يقلدوا اهل</w:t>
      </w:r>
      <w:bookmarkStart w:id="50" w:name="pg1741_17316"/>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الفضل من الخلف</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 در كتابش امور را در مجارى آن قرار داده و در نسبت‌ها از انحراف كناره گزيده و از افراط و تفريط اجتناب كرده و موضوعات خيالى و افكار التقاطى را تصحيح نموده است، و نهايت خيرخواهى خود را براى برادران مسلمان خود با ادله قاطع و برهان‌ها به كار گرفته تا راه سلف را بپيمايد و از اهل فضل علماى شايسته امروزه پيروى نمايند</w:t>
      </w:r>
      <w:r>
        <w:rPr>
          <w:rFonts w:eastAsia="IRNazanin" w:cs="IRNazanin"/>
          <w:color w:val="111111"/>
          <w:sz w:val="28"/>
          <w:szCs w:val="28"/>
          <w:rtl w:val="true"/>
          <w:lang w:bidi="fa-IR"/>
        </w:rPr>
        <w:t>.</w:t>
      </w:r>
    </w:p>
    <w:p>
      <w:pPr>
        <w:pStyle w:val="Heading5"/>
        <w:numPr>
          <w:ilvl w:val="4"/>
          <w:numId w:val="1"/>
        </w:numPr>
        <w:rPr/>
      </w:pPr>
      <w:bookmarkStart w:id="51" w:name="__RefHeading___Toc1920535_3650668749"/>
      <w:bookmarkStart w:id="52" w:name="_Toc19"/>
      <w:bookmarkEnd w:id="51"/>
      <w:r>
        <w:rPr/>
        <w:t>3</w:t>
      </w:r>
      <w:r>
        <w:rPr>
          <w:rtl w:val="true"/>
        </w:rPr>
        <w:t xml:space="preserve">. </w:t>
      </w:r>
      <w:r>
        <w:rPr>
          <w:rtl w:val="true"/>
        </w:rPr>
        <w:t>شيخ محمد طيب نجار</w:t>
      </w:r>
      <w:bookmarkEnd w:id="52"/>
    </w:p>
    <w:p>
      <w:pPr>
        <w:pStyle w:val="BookText"/>
        <w:rPr/>
      </w:pPr>
      <w:r>
        <w:rPr>
          <w:rFonts w:ascii="IRNazanin" w:hAnsi="IRNazanin" w:eastAsia="IRNazanin"/>
          <w:color w:val="111111"/>
          <w:sz w:val="28"/>
          <w:sz w:val="28"/>
          <w:szCs w:val="28"/>
          <w:rtl w:val="true"/>
          <w:lang w:bidi="fa-IR"/>
        </w:rPr>
        <w:t xml:space="preserve">او كه رئيس مركز سنت و سيره و رئيس سابق دانشگاه الازهر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بحق بيان واضح لبعض المفاهيم التي آمن بها بعض الناس و ظنّوا انّ انكارها باطل من القول و الزور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 كتاب به حق بيان واضحى است براى برخى از مفاهيمى كه برخى از مردم به آن ايمان آورده و گمان كرده‌اند كه انكار آن از گفتارهاى باطل مى‌باشد</w:t>
      </w:r>
      <w:r>
        <w:rPr>
          <w:rFonts w:eastAsia="IRNazanin" w:cs="IRNazanin"/>
          <w:color w:val="111111"/>
          <w:sz w:val="28"/>
          <w:szCs w:val="28"/>
          <w:rtl w:val="true"/>
          <w:lang w:bidi="fa-IR"/>
        </w:rPr>
        <w:t>.</w:t>
      </w:r>
    </w:p>
    <w:p>
      <w:pPr>
        <w:pStyle w:val="Heading5"/>
        <w:numPr>
          <w:ilvl w:val="4"/>
          <w:numId w:val="1"/>
        </w:numPr>
        <w:rPr/>
      </w:pPr>
      <w:bookmarkStart w:id="53" w:name="__RefHeading___Toc1920537_3650668749"/>
      <w:bookmarkStart w:id="54" w:name="_Toc20"/>
      <w:bookmarkEnd w:id="53"/>
      <w:r>
        <w:rPr/>
        <w:t>4</w:t>
      </w:r>
      <w:r>
        <w:rPr>
          <w:rtl w:val="true"/>
        </w:rPr>
        <w:t xml:space="preserve">. </w:t>
      </w:r>
      <w:r>
        <w:rPr>
          <w:rtl w:val="true"/>
        </w:rPr>
        <w:t>سيد عبدالله كنون حسنى‌</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كه رئيس رابطه علماى مغرب و عضو رابطة العالم الاسلامى در مكه بوده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العجيب ان يتعرض مؤمن علي زيارة قبر النبي، و قد امرنا بزيارة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لنتّعظ بها و نعتبر، و بزيارة قبور آبائنا و امّهاتنا و قرابتنا صلة للرحم و تعهد لهم بالدعاء الصالح، و قد ورد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ربّه في زيارة قبر امه فاذن له، فكيف لانزور قبر اشرف المرسلين الذي هدانا به إلي الصراط المستقيم، و هو امّن الناس علينا و احبهم الينا، بل و احبّ الينا من آبائنا و ابناءنا و من انفسنا التي هي بين جنبينا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بسيار تعجب آور اينكه مؤمنى بر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كند، در حالى كه ما مأمور به زيارت تمام قبرها هستيم تا از آن پند و عبرت بگيريم، و نيز قبرهاى پدران و مادران و اقوام خود را به جهت صله رحم زيارت كنيم و با آنان در دعاى صالح عهد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اذن گرفت تا به زيارت قبر مادرش برود و خداوند به او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ما به زيارت قبر شريف‌ترين فرستاده شده‌ها نرويم، كسى كه خداوند ما را به واسطه او به راه راست هدايت نمود، و او از همه افراد ديگر بر ما بيشتر</w:t>
      </w:r>
      <w:bookmarkStart w:id="55" w:name="pg1741_17318"/>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منّت دارد و از همه بيشتر محبوب ماست، بلكه او را از پدران و فرزندان و حتى از جانمان بيشتر دوست داريم </w:t>
      </w:r>
      <w:r>
        <w:rPr>
          <w:rFonts w:eastAsia="IRNazanin" w:cs="IRNazanin"/>
          <w:color w:val="111111"/>
          <w:sz w:val="28"/>
          <w:szCs w:val="28"/>
          <w:rtl w:val="true"/>
          <w:lang w:bidi="fa-IR"/>
        </w:rPr>
        <w:t>...</w:t>
      </w:r>
    </w:p>
    <w:p>
      <w:pPr>
        <w:pStyle w:val="Heading5"/>
        <w:numPr>
          <w:ilvl w:val="4"/>
          <w:numId w:val="1"/>
        </w:numPr>
        <w:rPr/>
      </w:pPr>
      <w:bookmarkStart w:id="56" w:name="__RefHeading___Toc1920539_3650668749"/>
      <w:bookmarkStart w:id="57" w:name="_Toc21"/>
      <w:bookmarkEnd w:id="56"/>
      <w:r>
        <w:rPr/>
        <w:t>5</w:t>
      </w:r>
      <w:r>
        <w:rPr>
          <w:rtl w:val="true"/>
        </w:rPr>
        <w:t xml:space="preserve">. </w:t>
      </w:r>
      <w:r>
        <w:rPr>
          <w:rtl w:val="true"/>
        </w:rPr>
        <w:t>دكتر حسينى عبدالمجيد هاشم‌</w:t>
      </w:r>
      <w:bookmarkEnd w:id="57"/>
    </w:p>
    <w:p>
      <w:pPr>
        <w:pStyle w:val="BookText"/>
        <w:rPr/>
      </w:pPr>
      <w:r>
        <w:rPr>
          <w:rFonts w:ascii="IRNazanin" w:hAnsi="IRNazanin" w:eastAsia="IRNazanin"/>
          <w:color w:val="111111"/>
          <w:sz w:val="28"/>
          <w:sz w:val="28"/>
          <w:szCs w:val="28"/>
          <w:rtl w:val="true"/>
          <w:lang w:bidi="fa-IR"/>
        </w:rPr>
        <w:t xml:space="preserve">او كه وكيل دانشگاه الأزهر مصر و مدير مسئول مجمع بحوث اسلامى بوده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هذا الكتاب يوفر علي المسلمين الخلافات التي تمزّق وحدتهم، و ذلك ببيان المنهج السليم و القول الحق، حتي يجتمع المسلمون علي الخير و الحق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اين كتاب بر مسلمانان اختلافى را كه پديد آمده و باعث از هم گسيخته شدن وحدت آنان شده را به خوبى روشن مى‌سازد، و آن هم با بيان روش سالم و قول حق، تا مسلمانان بر خير و حق اجتماع نمايند </w:t>
      </w:r>
      <w:r>
        <w:rPr>
          <w:rFonts w:eastAsia="IRNazanin" w:cs="IRNazanin"/>
          <w:color w:val="111111"/>
          <w:sz w:val="28"/>
          <w:szCs w:val="28"/>
          <w:rtl w:val="true"/>
          <w:lang w:bidi="fa-IR"/>
        </w:rPr>
        <w:t>...</w:t>
      </w:r>
    </w:p>
    <w:p>
      <w:pPr>
        <w:pStyle w:val="Heading5"/>
        <w:numPr>
          <w:ilvl w:val="4"/>
          <w:numId w:val="1"/>
        </w:numPr>
        <w:rPr/>
      </w:pPr>
      <w:bookmarkStart w:id="58" w:name="__RefHeading___Toc1920541_3650668749"/>
      <w:bookmarkStart w:id="59" w:name="_Toc22"/>
      <w:bookmarkEnd w:id="58"/>
      <w:r>
        <w:rPr/>
        <w:t>6</w:t>
      </w:r>
      <w:r>
        <w:rPr>
          <w:rtl w:val="true"/>
        </w:rPr>
        <w:t xml:space="preserve">. </w:t>
      </w:r>
      <w:r>
        <w:rPr>
          <w:rtl w:val="true"/>
        </w:rPr>
        <w:t>دكتر رؤوف شبلى‌</w:t>
      </w:r>
      <w:bookmarkEnd w:id="59"/>
    </w:p>
    <w:p>
      <w:pPr>
        <w:pStyle w:val="BookText"/>
        <w:rPr/>
      </w:pPr>
      <w:r>
        <w:rPr>
          <w:rFonts w:ascii="IRNazanin" w:hAnsi="IRNazanin" w:eastAsia="IRNazanin"/>
          <w:color w:val="111111"/>
          <w:sz w:val="28"/>
          <w:sz w:val="28"/>
          <w:szCs w:val="28"/>
          <w:rtl w:val="true"/>
          <w:lang w:bidi="fa-IR"/>
        </w:rPr>
        <w:t xml:space="preserve">او كه وكيل دانشگاه الأزهر مصر بوده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الشيخ محمد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w:t>
      </w:r>
      <w:bookmarkStart w:id="60" w:name="pg1741_17319"/>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العاقلة المهذّبة التي تردّ كيد الذين يحاولون وضع الغبش في عيون المسلمين باسم الاسلام لدافع اناني و فكرة سياسية مريضة عرفها المسلمون في مشارق الارض و مغاربها، و رفضوها و قصمها الله عند من له ذوق اسلامي يحب الله و رسوله و جماعة المسلمين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كتاب شيخ محمد علوى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 معقول و منظم است كه خيانت كسانى را كه در صدد ايجاد بدبينى در چشم مسلمانان به اسم اسلام‌اند را برطرف مى‌سازد، كسانى كه انگيزه‌اى جز انانيت نفس و فكر سياسى مريض ندارند و مسلمانان در شرق و غرب زمين آنان را شناخته و ترك نموده‌اند، و نيز خداوند كمر آنان را نزد كسانى كه ذوق اسلامى داشته و خدا و رسولش و جماعت مسلمين را دوست دارند شكسته است </w:t>
      </w:r>
      <w:r>
        <w:rPr>
          <w:rFonts w:eastAsia="IRNazanin" w:cs="IRNazanin"/>
          <w:color w:val="111111"/>
          <w:sz w:val="28"/>
          <w:szCs w:val="28"/>
          <w:rtl w:val="true"/>
          <w:lang w:bidi="fa-IR"/>
        </w:rPr>
        <w:t>...</w:t>
      </w:r>
    </w:p>
    <w:p>
      <w:pPr>
        <w:pStyle w:val="Heading5"/>
        <w:numPr>
          <w:ilvl w:val="4"/>
          <w:numId w:val="1"/>
        </w:numPr>
        <w:rPr/>
      </w:pPr>
      <w:bookmarkStart w:id="61" w:name="__RefHeading___Toc1920543_3650668749"/>
      <w:bookmarkStart w:id="62" w:name="_Toc23"/>
      <w:bookmarkEnd w:id="61"/>
      <w:r>
        <w:rPr/>
        <w:t>7</w:t>
      </w:r>
      <w:r>
        <w:rPr>
          <w:rtl w:val="true"/>
        </w:rPr>
        <w:t xml:space="preserve">. </w:t>
      </w:r>
      <w:r>
        <w:rPr>
          <w:rtl w:val="true"/>
        </w:rPr>
        <w:t>سيد يوسف هاشم رفاعى‌</w:t>
      </w:r>
      <w:bookmarkEnd w:id="62"/>
    </w:p>
    <w:p>
      <w:pPr>
        <w:pStyle w:val="BookText"/>
        <w:rPr/>
      </w:pPr>
      <w:r>
        <w:rPr>
          <w:rFonts w:ascii="Amiri" w:hAnsi="Amiri" w:eastAsia="Amiri" w:cs="Amiri"/>
          <w:color w:val="111111"/>
          <w:sz w:val="28"/>
          <w:sz w:val="28"/>
          <w:szCs w:val="28"/>
          <w:rtl w:val="true"/>
          <w:lang w:bidi="ar-SA"/>
        </w:rPr>
        <w:t xml:space="preserve">او كه عضو مجلس امت و وزير سابق دولت در شؤون مجلس وزراى كويت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انّ كل طالب حق سوف يسرّ بهذا</w:t>
      </w:r>
      <w:bookmarkStart w:id="63" w:name="pg1741_17320"/>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السفر القيّم، و كل معاند سوف تنهار حجته و تبطل لجاجته بعد ان بيّن السيد محمد علوي ما بيّن، و اوضح ما اوضح مستنداً بذلك كلّه إلي كتاب الله و سنة رسوله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 اقوال و آثار السلف الصالح من هذه الأمة المحمدية الكريمة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شكى نيست كه تمام طالبان حق در آينده به اين كتاب باارزش خشنود خواهند شد، و نيز هر معاندى در آينده حجتش از بين رفته و لجاجتش باطل خواهد شد بعد از آنكه سيد محمد علوى مطالب خود را بيان كرده و با استناد به كتاب خدا و سنت رسولش سرور ما محمد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اقوال و آثار سلف صالح از اين امت محمدى كريم حق را واضح نمود</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920545_3650668749"/>
      <w:bookmarkStart w:id="65" w:name="_Toc24"/>
      <w:bookmarkEnd w:id="64"/>
      <w:r>
        <w:rPr/>
        <w:t>8</w:t>
      </w:r>
      <w:r>
        <w:rPr>
          <w:rtl w:val="true"/>
        </w:rPr>
        <w:t xml:space="preserve">. </w:t>
      </w:r>
      <w:r>
        <w:rPr>
          <w:rtl w:val="true"/>
        </w:rPr>
        <w:t>دكتر عبدالفتاح بركه‌</w:t>
      </w:r>
      <w:bookmarkEnd w:id="65"/>
    </w:p>
    <w:p>
      <w:pPr>
        <w:pStyle w:val="BookText"/>
        <w:rPr/>
      </w:pPr>
      <w:r>
        <w:rPr>
          <w:rFonts w:ascii="Amiri" w:hAnsi="Amiri" w:eastAsia="Amiri" w:cs="Amiri"/>
          <w:color w:val="111111"/>
          <w:sz w:val="28"/>
          <w:sz w:val="28"/>
          <w:szCs w:val="28"/>
          <w:rtl w:val="true"/>
          <w:lang w:bidi="ar-SA"/>
        </w:rPr>
        <w:t xml:space="preserve">او كه مدير مسئول مجمع بحوث اسلامى در قاهره است در تقريظى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الكتاب النفيس جهد كبير من عالم مدقق محقق يعمل به علي جمع كلمة المسلمين، و محو آثار العصبية عند</w:t>
      </w:r>
      <w:bookmarkStart w:id="66" w:name="pg1741_17321"/>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الاختلاف في المسائل الفرعية و الاجتهادية، خاصة فيما يتعلق بتنابذ بعض طوائف المسلمين فيما بينهم بالكفر او بالشرك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در اين كتاب كوشش فراوانى است از عالم اهل دقت و محقق كه در صدد اجتماع كلمه مسلمين و محو آثار تعصب هنگام اختلاف در مسايل فرعى و اجتهادى است، على الخصوص در مسايلى كه مربوط به نسبت‌دادن كفر و شرك توسط برخى از طوايف مسلمان به برخى ديگر است </w:t>
      </w:r>
      <w:r>
        <w:rPr>
          <w:rFonts w:eastAsia="IRNazanin" w:cs="IRNazanin"/>
          <w:color w:val="111111"/>
          <w:sz w:val="28"/>
          <w:szCs w:val="28"/>
          <w:rtl w:val="true"/>
          <w:lang w:bidi="fa-IR"/>
        </w:rPr>
        <w:t>...</w:t>
      </w:r>
    </w:p>
    <w:p>
      <w:pPr>
        <w:pStyle w:val="Heading5"/>
        <w:numPr>
          <w:ilvl w:val="4"/>
          <w:numId w:val="1"/>
        </w:numPr>
        <w:rPr/>
      </w:pPr>
      <w:bookmarkStart w:id="67" w:name="__RefHeading___Toc1920547_3650668749"/>
      <w:bookmarkStart w:id="68" w:name="_Toc25"/>
      <w:bookmarkEnd w:id="67"/>
      <w:r>
        <w:rPr/>
        <w:t>9</w:t>
      </w:r>
      <w:r>
        <w:rPr>
          <w:rtl w:val="true"/>
        </w:rPr>
        <w:t xml:space="preserve">. </w:t>
      </w:r>
      <w:r>
        <w:rPr>
          <w:rtl w:val="true"/>
        </w:rPr>
        <w:t>سيد احمد عوض مدنى‌</w:t>
      </w:r>
      <w:bookmarkEnd w:id="68"/>
    </w:p>
    <w:p>
      <w:pPr>
        <w:pStyle w:val="BookText"/>
        <w:rPr/>
      </w:pPr>
      <w:r>
        <w:rPr>
          <w:rFonts w:ascii="Amiri" w:hAnsi="Amiri" w:eastAsia="Amiri" w:cs="Amiri"/>
          <w:color w:val="111111"/>
          <w:sz w:val="28"/>
          <w:sz w:val="28"/>
          <w:szCs w:val="28"/>
          <w:rtl w:val="true"/>
          <w:lang w:bidi="ar-SA"/>
        </w:rPr>
        <w:t xml:space="preserve">او كه رئيس مجلس افتاء شرعى و قاضى محكمه علياى سودان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الذين يتعرضون اليوم لنصح المسلمين بالامر و النهي، اختلطت عليهم مقاييس التكفير و التضليل، فسارعوا إلي تكفير المسلمين و وصفهم بالشرك المبين، اعتماداً علي انّ من قارف امراً من هذه الامور المذكورة في الأبواب الثلاثة علي خلاف فهمهم المبني علي</w:t>
      </w:r>
      <w:bookmarkStart w:id="69" w:name="pg1741_17322"/>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مذهبهم، فقد خرج عن الدين، انّ الاستاذ الكبير و العالم النحرير السيد العلوي خادم العلم و الدين بالحرمين الشريفين قد صحح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المفاهيم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همانا كسانى كه امروزه متعرض نصيحت مسلمانان با امر به معروف و نهى از منكرند، مقياس‌هاى تكفير و نسبت به گمراهى نزد آنان اشتباه شده و با سرعت هرچه تمام‌تر در صدد تكفير مسلمانان و توصيف آنان به شرك آشكارند، و آنان در اين اتهام بر اين مطلب اعتماد دارند كه هرگاه كسى مرتكب يكى از اين امور ذكر شده در اين سه باب بر خلاف فهم در مذهبشان گردد از دين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استاد بزرگ و عالم زبردست سيد علوى، خادم علم و دين در دو حرم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مسجدالحرام و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را تصحيح نموده است </w:t>
      </w:r>
      <w:r>
        <w:rPr>
          <w:rFonts w:eastAsia="IRNazanin" w:cs="IRNazanin"/>
          <w:color w:val="111111"/>
          <w:sz w:val="28"/>
          <w:szCs w:val="28"/>
          <w:rtl w:val="true"/>
          <w:lang w:bidi="fa-IR"/>
        </w:rPr>
        <w:t>....</w:t>
      </w:r>
    </w:p>
    <w:p>
      <w:pPr>
        <w:pStyle w:val="Heading5"/>
        <w:numPr>
          <w:ilvl w:val="4"/>
          <w:numId w:val="1"/>
        </w:numPr>
        <w:rPr/>
      </w:pPr>
      <w:bookmarkStart w:id="70" w:name="__RefHeading___Toc1920549_3650668749"/>
      <w:bookmarkStart w:id="71" w:name="_Toc26"/>
      <w:bookmarkEnd w:id="70"/>
      <w:r>
        <w:rPr/>
        <w:t>10</w:t>
      </w:r>
      <w:r>
        <w:rPr>
          <w:rtl w:val="true"/>
        </w:rPr>
        <w:t xml:space="preserve">. </w:t>
      </w:r>
      <w:r>
        <w:rPr>
          <w:rtl w:val="true"/>
        </w:rPr>
        <w:t>محمد مالك كاند هلوى‌</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از علماى اهل سنت لاهور پاكستان است و شيخ حديث و رئيس دانشگاه الأشرفية و رئيس جمعيت علماى اسلام در آن كشور به حساب مى‌آيد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w:t>
      </w:r>
      <w:bookmarkStart w:id="72" w:name="pg1741_17323"/>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انّ هذا الكتاب يحتوي علي مواضيع مبتكرة و مضامين عالية، يحتاج اليها العلماء و الطلاب، و فيه من حسن ذوق المؤلف و علوّ فكرته ماتحلّ به المغلقات في موضوعات كثيرة في اصول الدين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در حقيقت اين كتاب دربر دارنده موضوعات ابتكارى و مضامين عالى است كه علما و طلاب به آن احتياج دارند و مؤلف در آن ذوق نيكو و افكار بلندى به كار برده كه با آن مغلقات در موضوعات بسيارى از اصول دين باز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تقريظ را تعدادى از علماى اهل سنت پاكستان تصديق كرده‌اند؛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عبيدالله مفتى، رئيس دانشگاه؛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نايب رئيس دانشگاه؛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مياه بن محمد مياه، امير جمعيت علماى اسلام پاكستان؛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شيخ الاسلام حسين احمد مدنى</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1920551_3650668749"/>
      <w:bookmarkStart w:id="74" w:name="_Toc27"/>
      <w:bookmarkEnd w:id="73"/>
      <w:r>
        <w:rPr/>
        <w:t>11</w:t>
      </w:r>
      <w:r>
        <w:rPr>
          <w:rtl w:val="true"/>
        </w:rPr>
        <w:t xml:space="preserve">. </w:t>
      </w:r>
      <w:r>
        <w:rPr>
          <w:rtl w:val="true"/>
        </w:rPr>
        <w:t>دكتر عبدالرزاق اسكندر</w:t>
      </w:r>
      <w:bookmarkEnd w:id="7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او كه از علماى اهل سنت و مدير تعليم در دانشگاه علوم اسلامى كراچى است در تقريظ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 انّ الوقت قدحان لتجتمع كلمة علماء الحق، و ان يكونوا صفاً واحداً كالبنيان المرصوص إزاء العدو المشترك الذي يهدف بحوله وقوته القضاء علي هذا الدين الحنيف و اهله، و الإساءة بالمقدسات الاسلامية، و ليسامح بعضهم بعضاً في الأمور التي فيها مجال لاجتهاد المجتهدين حتي لاتضيع قوتهم فيما بينهم، بل يجب أن تصرف هذه القوة لنشر الدين الحنيف و الدفاع عنه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مشاهده مى‌كنم كه وقت آن رسيده تا سخن علماى حق جمع شده و صف واحدى را تشكيل دهد همچون بنيان محكم در برابر دشمن مشترك كه با قدرت و قوه‌اش نابودى دين حنيف و اهلش را هدف گرفته و در صدد اهانت و اسائه ادب به مقدسات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علما بايد در امورى كه مجالى براى اجتهاد مجتهدين است نسبت به يكديگر تسامح داشته باشند تا قوتشان در بين خود ضايع نگردد، بلكه واجب است كه اين قوت به جهت نشر دين حنيف و دفاع از آن صرف گردد </w:t>
      </w:r>
      <w:r>
        <w:rPr>
          <w:rFonts w:eastAsia="IRNazanin" w:cs="IRNazanin"/>
          <w:color w:val="111111"/>
          <w:sz w:val="28"/>
          <w:szCs w:val="28"/>
          <w:rtl w:val="true"/>
          <w:lang w:bidi="fa-IR"/>
        </w:rPr>
        <w:t>...</w:t>
      </w:r>
      <w:bookmarkStart w:id="75" w:name="pg1741_17325"/>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5"/>
        <w:numPr>
          <w:ilvl w:val="4"/>
          <w:numId w:val="1"/>
        </w:numPr>
        <w:rPr/>
      </w:pPr>
      <w:bookmarkStart w:id="76" w:name="__RefHeading___Toc1920553_3650668749"/>
      <w:bookmarkStart w:id="77" w:name="_Toc28"/>
      <w:bookmarkEnd w:id="76"/>
      <w:r>
        <w:rPr/>
        <w:t>12</w:t>
      </w:r>
      <w:r>
        <w:rPr>
          <w:rtl w:val="true"/>
        </w:rPr>
        <w:t xml:space="preserve">. </w:t>
      </w:r>
      <w:r>
        <w:rPr>
          <w:rtl w:val="true"/>
        </w:rPr>
        <w:t>سيد محمد عبدالقادر آزاد</w:t>
      </w:r>
      <w:bookmarkEnd w:id="77"/>
    </w:p>
    <w:p>
      <w:pPr>
        <w:pStyle w:val="BookText"/>
        <w:rPr/>
      </w:pPr>
      <w:r>
        <w:rPr>
          <w:rFonts w:ascii="IRNazanin" w:hAnsi="IRNazanin" w:eastAsia="IRNazanin"/>
          <w:color w:val="111111"/>
          <w:sz w:val="28"/>
          <w:sz w:val="28"/>
          <w:szCs w:val="28"/>
          <w:rtl w:val="true"/>
          <w:lang w:bidi="fa-IR"/>
        </w:rPr>
        <w:t xml:space="preserve">او كه از علماى اهل سنت پاكستان و رئيس مجلس علماى آن كشور و خطيب مسجد ملكى لاهور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يحتوي علي ما عليه اهل السنة و الجماعة سلفاً و خلفاً، و قد اجاد فيه و افاد بالأدلة القرآنية و الحديثية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او را چنين يافتم كه نظر قدما و متأخرين اهل سنت و جماعت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كتابش بسيار خوب بحث كرده و با ادله قرآنى و حديثى افاده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حسن فاتح</w:t>
      </w:r>
    </w:p>
    <w:p>
      <w:pPr>
        <w:pStyle w:val="BookText"/>
        <w:rPr/>
      </w:pPr>
      <w:r>
        <w:rPr>
          <w:rFonts w:ascii="IRNazanin" w:hAnsi="IRNazanin" w:eastAsia="IRNazanin"/>
          <w:color w:val="111111"/>
          <w:sz w:val="28"/>
          <w:sz w:val="28"/>
          <w:szCs w:val="28"/>
          <w:rtl w:val="true"/>
          <w:lang w:bidi="fa-IR"/>
        </w:rPr>
        <w:t xml:space="preserve">او كه از علماى اهل سنت سودان و مدير دانشگاه ام درمان اسلامى آن كشور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ابان الكاتب في مؤلفه فساد مقاييس التكفير و التضليل التي ينفثها ادعياء العلم ليباهوا بتقليل المسلمين لابكثرتهم، و ليبذروا</w:t>
      </w:r>
      <w:bookmarkStart w:id="78" w:name="pg1741_17326"/>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الفتنة بين صفوفهم متشبثين تارة بمسائل شكلية، و اخري بمواضيع اختلف حولها العلماء ممّا جعل صوتهم بين الأصوات نشازاً و فكرهم بين الأفكار غريباً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نويسنده در تأليفش فساد مقياس‌هاى تكفير و نسبت به گمراهى را به طور واضح روشن نموده است، امرى كه مدعيان علم آن را بر زبان جارى ساخته تا به كمى مسلمانان افتخار كنند نه به كثرت آن‌ها، و تا اينكه بذر فتنه را بين صفوف مسلمانان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اين كار خود گاهى به مسايل ظاهرى تمسك كرده و گاهى هم به‌موضوعاتى تمسك مى‌كنند كه علما درباره آن اختلاف نظر دارند، امرى كه صداى آنان را بين صداها منفور كرده و فكر آنها را بين فكرها غريب نموده است</w:t>
      </w:r>
      <w:r>
        <w:rPr>
          <w:rFonts w:eastAsia="IRNazanin" w:cs="IRNazanin"/>
          <w:color w:val="111111"/>
          <w:sz w:val="28"/>
          <w:szCs w:val="28"/>
          <w:rtl w:val="true"/>
          <w:lang w:bidi="fa-IR"/>
        </w:rPr>
        <w:t>.</w:t>
      </w:r>
    </w:p>
    <w:p>
      <w:pPr>
        <w:pStyle w:val="Heading5"/>
        <w:numPr>
          <w:ilvl w:val="4"/>
          <w:numId w:val="1"/>
        </w:numPr>
        <w:rPr/>
      </w:pPr>
      <w:bookmarkStart w:id="79" w:name="__RefHeading___Toc1920555_3650668749"/>
      <w:bookmarkStart w:id="80" w:name="_Toc29"/>
      <w:bookmarkEnd w:id="79"/>
      <w:r>
        <w:rPr/>
        <w:t>14</w:t>
      </w:r>
      <w:r>
        <w:rPr>
          <w:rtl w:val="true"/>
        </w:rPr>
        <w:t xml:space="preserve">. </w:t>
      </w:r>
      <w:r>
        <w:rPr>
          <w:rtl w:val="true"/>
        </w:rPr>
        <w:t>استاد احمد عبدالغفور عطار</w:t>
      </w:r>
      <w:bookmarkEnd w:id="80"/>
    </w:p>
    <w:p>
      <w:pPr>
        <w:pStyle w:val="BookText"/>
        <w:rPr/>
      </w:pPr>
      <w:r>
        <w:rPr>
          <w:rFonts w:ascii="IRNazanin" w:hAnsi="IRNazanin" w:eastAsia="IRNazanin"/>
          <w:color w:val="111111"/>
          <w:sz w:val="28"/>
          <w:sz w:val="28"/>
          <w:szCs w:val="28"/>
          <w:rtl w:val="true"/>
          <w:lang w:bidi="fa-IR"/>
        </w:rPr>
        <w:t xml:space="preserve">او كه از بزرگان حجاز و اديب آن ديار به حساب مى‌آيد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مؤلفه العلامة البحاثة لايكتب ما كتب ابتغاء الجدل مع من يخالفونه في بعض آرائه اشد المخالفة التي تصل إلي حدّ التكفير، و انّما كتب مؤلفه</w:t>
      </w:r>
      <w:bookmarkStart w:id="81" w:name="pg1741_17327"/>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ابتغاء تقرير الحق، متخذاً اسلوب الحكمة و العفاف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و فهميدم كه مؤلف علامه و بحث‌كننده آن هرگز اين كتاب را به جهت جدل با مخالفان خود بر سر موضوعاتى كه شديداً با آنها مخالف است ننوشته، امرى كه به حدّ كفر كشيده مى‌شود، بلكه مؤلف كتاب را به جهت تقرير حق تأليف نموده و اسلوب حكمت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كرده است </w:t>
      </w:r>
      <w:r>
        <w:rPr>
          <w:rFonts w:eastAsia="IRNazanin" w:cs="IRNazanin"/>
          <w:color w:val="111111"/>
          <w:sz w:val="28"/>
          <w:szCs w:val="28"/>
          <w:rtl w:val="true"/>
          <w:lang w:bidi="fa-IR"/>
        </w:rPr>
        <w:t>...</w:t>
      </w:r>
    </w:p>
    <w:p>
      <w:pPr>
        <w:pStyle w:val="Heading5"/>
        <w:numPr>
          <w:ilvl w:val="4"/>
          <w:numId w:val="1"/>
        </w:numPr>
        <w:rPr/>
      </w:pPr>
      <w:bookmarkStart w:id="82" w:name="__RefHeading___Toc1920557_3650668749"/>
      <w:bookmarkStart w:id="83" w:name="_Toc30"/>
      <w:bookmarkEnd w:id="82"/>
      <w:r>
        <w:rPr/>
        <w:t>15</w:t>
      </w:r>
      <w:r>
        <w:rPr>
          <w:rtl w:val="true"/>
        </w:rPr>
        <w:t xml:space="preserve">. </w:t>
      </w:r>
      <w:r>
        <w:rPr>
          <w:rtl w:val="true"/>
        </w:rPr>
        <w:t>شيخ محمد شاذلى نيفر</w:t>
      </w:r>
      <w:bookmarkEnd w:id="83"/>
    </w:p>
    <w:p>
      <w:pPr>
        <w:pStyle w:val="BookText"/>
        <w:rPr/>
      </w:pPr>
      <w:r>
        <w:rPr>
          <w:rFonts w:ascii="Amiri" w:hAnsi="Amiri" w:eastAsia="Amiri" w:cs="Amiri"/>
          <w:color w:val="111111"/>
          <w:sz w:val="28"/>
          <w:sz w:val="28"/>
          <w:szCs w:val="28"/>
          <w:rtl w:val="true"/>
          <w:lang w:bidi="ar-SA"/>
        </w:rPr>
        <w:t xml:space="preserve">او كه از علماى تونس و مسئول دانشكده شريعت تونس و عضو رابطة العالم الاسلامى مكه مكرمه بوده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ضد وهابيان كنونى مى‌نويسد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ينعقون باسم الإصلاح و التقدمية لم يكفهم انّهم مسمومون حتّي ارغموا المسلمين علي تلك السموم، اذ ساعدتهم الظروف المعوجة علي الحكم، و رفعوا عقيرتهم بالدعوة لما يسمونه بالإصلاح و التقدمية، كي يغزوا العالم</w:t>
      </w:r>
      <w:bookmarkStart w:id="84" w:name="pg1741_17328"/>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الاسلامي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كسانى كه به اسم اصلاحات و پيشرفت صدا برآورده‌اند، كفايت نكردند به آنچه را كه خود مسموم‌اند تا آنكه مسلمانان را به آن سم‌ها مبتلا كردند؛ زيرا ظرفيت‌هاى انحرافى در حكومت آنان را مساعدت كرده و صداى خود را به دعوت بلند نمودند در مورد آن چيزى كه آن را اصلاح و پيشرفت ناميدند، تا از اين طريق عالم اسلامى را فتح نمايند </w:t>
      </w:r>
      <w:r>
        <w:rPr>
          <w:rFonts w:eastAsia="IRNazanin" w:cs="IRNazanin"/>
          <w:color w:val="111111"/>
          <w:sz w:val="28"/>
          <w:szCs w:val="28"/>
          <w:rtl w:val="true"/>
          <w:lang w:bidi="fa-IR"/>
        </w:rPr>
        <w:t>...</w:t>
      </w:r>
    </w:p>
    <w:p>
      <w:pPr>
        <w:pStyle w:val="Heading5"/>
        <w:numPr>
          <w:ilvl w:val="4"/>
          <w:numId w:val="1"/>
        </w:numPr>
        <w:rPr/>
      </w:pPr>
      <w:bookmarkStart w:id="85" w:name="__RefHeading___Toc1920559_3650668749"/>
      <w:bookmarkStart w:id="86" w:name="_Toc31"/>
      <w:bookmarkEnd w:id="85"/>
      <w:r>
        <w:rPr/>
        <w:t>16</w:t>
      </w:r>
      <w:r>
        <w:rPr>
          <w:rtl w:val="true"/>
        </w:rPr>
        <w:t xml:space="preserve">. </w:t>
      </w:r>
      <w:r>
        <w:rPr>
          <w:rtl w:val="true"/>
        </w:rPr>
        <w:t>شيخ محمد فال بنانى‌</w:t>
      </w:r>
      <w:bookmarkEnd w:id="86"/>
    </w:p>
    <w:p>
      <w:pPr>
        <w:pStyle w:val="BookText"/>
        <w:rPr/>
      </w:pPr>
      <w:r>
        <w:rPr>
          <w:rFonts w:ascii="Amiri" w:hAnsi="Amiri" w:eastAsia="Amiri" w:cs="Amiri"/>
          <w:color w:val="111111"/>
          <w:sz w:val="28"/>
          <w:sz w:val="28"/>
          <w:szCs w:val="28"/>
          <w:rtl w:val="true"/>
          <w:lang w:bidi="ar-SA"/>
        </w:rPr>
        <w:t xml:space="preserve">وى كه مدير رابطة الاسلامى در موريتانى و عضو رابطة العالم الاسلامى مكه مكرمه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والله اعلم انّه لم يبق للمعاندين في هذه المسائل بعد النظر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التسليم لكل ما جاء فيه؛ إذ انّ ما جاء فيه كاد ان يكون مجمعاً عليه قديماً و حديثاً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معاندان در اين مسايل بعد از نظر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تسليم باقى نمى‌ماند</w:t>
      </w:r>
      <w:bookmarkStart w:id="87" w:name="pg1741_17329"/>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نسبت به آنچه در آن آمده است؛ زيرا آنچه در اين كتاب آمده نزديك است كه مورد اجماع بين قدما و متأخرين باشد </w:t>
      </w:r>
      <w:r>
        <w:rPr>
          <w:rFonts w:eastAsia="IRNazanin" w:cs="IRNazanin"/>
          <w:color w:val="111111"/>
          <w:sz w:val="28"/>
          <w:szCs w:val="28"/>
          <w:rtl w:val="true"/>
          <w:lang w:bidi="fa-IR"/>
        </w:rPr>
        <w:t>...</w:t>
      </w:r>
    </w:p>
    <w:p>
      <w:pPr>
        <w:pStyle w:val="Heading5"/>
        <w:numPr>
          <w:ilvl w:val="4"/>
          <w:numId w:val="1"/>
        </w:numPr>
        <w:rPr/>
      </w:pPr>
      <w:bookmarkStart w:id="88" w:name="__RefHeading___Toc1920561_3650668749"/>
      <w:bookmarkStart w:id="89" w:name="_Toc32"/>
      <w:bookmarkEnd w:id="88"/>
      <w:r>
        <w:rPr/>
        <w:t>17</w:t>
      </w:r>
      <w:r>
        <w:rPr>
          <w:rtl w:val="true"/>
        </w:rPr>
        <w:t xml:space="preserve">. </w:t>
      </w:r>
      <w:r>
        <w:rPr>
          <w:rtl w:val="true"/>
        </w:rPr>
        <w:t>شيخ محمد عزيز الرحمن حقانى هزاروى‌</w:t>
      </w:r>
      <w:bookmarkEnd w:id="89"/>
    </w:p>
    <w:p>
      <w:pPr>
        <w:pStyle w:val="BookText"/>
        <w:rPr/>
      </w:pPr>
      <w:r>
        <w:rPr>
          <w:rFonts w:ascii="IRNazanin" w:hAnsi="IRNazanin" w:eastAsia="IRNazanin"/>
          <w:color w:val="111111"/>
          <w:sz w:val="28"/>
          <w:sz w:val="28"/>
          <w:szCs w:val="28"/>
          <w:rtl w:val="true"/>
          <w:lang w:bidi="fa-IR"/>
        </w:rPr>
        <w:t xml:space="preserve">او كه خطيب و امام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راولپندى پاكستان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وجدنا انّ كل ما فيه هو في جملة ما عليه جمهور علماء اهل السنة و الجماعة سلفاً و خلفاً، و هو الذي وجدنا عليه مشايخنا من المحدثين و المفسرين و الفقهاء المحققين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آن يافتم كه آنچه در اين كتاب آمده فى الجمله نظر جمهور اهل سنت و جماعت از قدما و متأخرين است، و آن چيزى است كه مشايخ ما از محدثان و مفسران و فقهاى محقق بر آن اتفاق نظر دارند </w:t>
      </w:r>
      <w:r>
        <w:rPr>
          <w:rFonts w:eastAsia="IRNazanin" w:cs="IRNazanin"/>
          <w:color w:val="111111"/>
          <w:sz w:val="28"/>
          <w:szCs w:val="28"/>
          <w:rtl w:val="true"/>
          <w:lang w:bidi="fa-IR"/>
        </w:rPr>
        <w:t>...</w:t>
      </w:r>
    </w:p>
    <w:p>
      <w:pPr>
        <w:pStyle w:val="Heading5"/>
        <w:numPr>
          <w:ilvl w:val="4"/>
          <w:numId w:val="1"/>
        </w:numPr>
        <w:rPr/>
      </w:pPr>
      <w:bookmarkStart w:id="90" w:name="__RefHeading___Toc1920563_3650668749"/>
      <w:bookmarkStart w:id="91" w:name="_Toc33"/>
      <w:bookmarkEnd w:id="90"/>
      <w:r>
        <w:rPr/>
        <w:t>18</w:t>
      </w:r>
      <w:r>
        <w:rPr>
          <w:rtl w:val="true"/>
        </w:rPr>
        <w:t xml:space="preserve">. </w:t>
      </w:r>
      <w:r>
        <w:rPr>
          <w:rtl w:val="true"/>
        </w:rPr>
        <w:t>شيخ ابراهيم دسوقى مرعى‌</w:t>
      </w:r>
      <w:bookmarkEnd w:id="91"/>
    </w:p>
    <w:p>
      <w:pPr>
        <w:pStyle w:val="BookText"/>
        <w:rPr/>
      </w:pPr>
      <w:r>
        <w:rPr>
          <w:rFonts w:ascii="Amiri" w:hAnsi="Amiri" w:eastAsia="Amiri" w:cs="Amiri"/>
          <w:color w:val="111111"/>
          <w:sz w:val="28"/>
          <w:sz w:val="28"/>
          <w:szCs w:val="28"/>
          <w:rtl w:val="true"/>
          <w:lang w:bidi="ar-SA"/>
        </w:rPr>
        <w:t xml:space="preserve">او كه وزير سابق اوقاف مصر بوده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لايوجد مانع شرعي او عقلي</w:t>
      </w:r>
      <w:bookmarkStart w:id="92" w:name="pg1741_17330"/>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يمنع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أو بعد مماته، فضلا عن الأدلة التي ساقها في هذا المقام، و اذا كان المتفق عليه هو التوسل بالأعمال الصالحة فانّه لا مانع إذا من التوسل بالصالحين من هذه الأمة، و مثل التوسل الإستعانة و الاستغاثة و ما شابه ذلك، و المؤمن في كل ذلك لا يري غير ربّه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مانع شرعى يا عقلى وجود ندارد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يا بعد از مرگ او را منع كرد تا چه رسد به ادله‌اى كه ايشان در اين مقام به ترتيب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توسل به اعمال صالح مورد اتفاق است، مانعى از توسل به صالحان از اين 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توسل است استعانت و استغاثه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تمام اين امور جز پروردگارش را مشاهده نمى‌كند</w:t>
      </w:r>
      <w:r>
        <w:rPr>
          <w:rFonts w:eastAsia="IRNazanin" w:cs="IRNazanin"/>
          <w:color w:val="111111"/>
          <w:sz w:val="28"/>
          <w:szCs w:val="28"/>
          <w:rtl w:val="true"/>
          <w:lang w:bidi="fa-IR"/>
        </w:rPr>
        <w:t>.</w:t>
      </w:r>
    </w:p>
    <w:p>
      <w:pPr>
        <w:pStyle w:val="Heading5"/>
        <w:numPr>
          <w:ilvl w:val="4"/>
          <w:numId w:val="1"/>
        </w:numPr>
        <w:rPr/>
      </w:pPr>
      <w:bookmarkStart w:id="93" w:name="__RefHeading___Toc1920565_3650668749"/>
      <w:bookmarkStart w:id="94" w:name="_Toc34"/>
      <w:bookmarkEnd w:id="93"/>
      <w:r>
        <w:rPr/>
        <w:t>19</w:t>
      </w:r>
      <w:r>
        <w:rPr>
          <w:rtl w:val="true"/>
        </w:rPr>
        <w:t xml:space="preserve">. </w:t>
      </w:r>
      <w:r>
        <w:rPr>
          <w:rtl w:val="true"/>
        </w:rPr>
        <w:t>شيخ حسين محمود معوّض‌</w:t>
      </w:r>
      <w:bookmarkEnd w:id="94"/>
    </w:p>
    <w:p>
      <w:pPr>
        <w:pStyle w:val="BookText"/>
        <w:rPr/>
      </w:pPr>
      <w:r>
        <w:rPr>
          <w:rFonts w:ascii="IRNazanin" w:hAnsi="IRNazanin" w:eastAsia="IRNazanin"/>
          <w:color w:val="111111"/>
          <w:sz w:val="28"/>
          <w:sz w:val="28"/>
          <w:szCs w:val="28"/>
          <w:rtl w:val="true"/>
          <w:lang w:bidi="fa-IR"/>
        </w:rPr>
        <w:t xml:space="preserve">او كه از علماى دانشگاه الازهر مصر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تصفحت كتاب العالم الجليل الحسيب، النسيب، محمد</w:t>
      </w:r>
      <w:bookmarkStart w:id="95" w:name="pg1741_17331"/>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علوي المالكي الحسني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فوجدته حافلا بالعلم الغزير، و الفهم السليم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كتاب عالم جليل، با حسب و نسب، محمد علوى مالكى حسنى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بررسى كردم و آن را مملو از علم سرشار و فهم سالم ديدم </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920567_3650668749"/>
      <w:bookmarkStart w:id="97" w:name="_Toc35"/>
      <w:bookmarkEnd w:id="96"/>
      <w:r>
        <w:rPr/>
        <w:t>20</w:t>
      </w:r>
      <w:r>
        <w:rPr>
          <w:rtl w:val="true"/>
        </w:rPr>
        <w:t xml:space="preserve">. </w:t>
      </w:r>
      <w:r>
        <w:rPr>
          <w:rtl w:val="true"/>
        </w:rPr>
        <w:t>عبدالسلام جبران‌</w:t>
      </w:r>
      <w:bookmarkEnd w:id="97"/>
    </w:p>
    <w:p>
      <w:pPr>
        <w:pStyle w:val="BookText"/>
        <w:rPr/>
      </w:pPr>
      <w:r>
        <w:rPr>
          <w:rFonts w:ascii="Amiri" w:hAnsi="Amiri" w:eastAsia="Amiri" w:cs="Amiri"/>
          <w:color w:val="111111"/>
          <w:sz w:val="28"/>
          <w:sz w:val="28"/>
          <w:szCs w:val="28"/>
          <w:rtl w:val="true"/>
          <w:lang w:bidi="ar-SA"/>
        </w:rPr>
        <w:t xml:space="preserve">او كه رئيس علمى مراكش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عرض هذا الكتاب علي أنظار العلماء العارفين تلقوه بالقبول و الثناء علي مؤلفة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كتاب به ديد علماى عارف رسيد آن را تلقى به قبول كرده و بر مؤلف آن درود فرستادند </w:t>
      </w:r>
      <w:r>
        <w:rPr>
          <w:rFonts w:eastAsia="IRNazanin" w:cs="IRNazanin"/>
          <w:color w:val="111111"/>
          <w:sz w:val="28"/>
          <w:szCs w:val="28"/>
          <w:rtl w:val="true"/>
          <w:lang w:bidi="fa-IR"/>
        </w:rPr>
        <w:t>...</w:t>
      </w:r>
    </w:p>
    <w:p>
      <w:pPr>
        <w:pStyle w:val="Heading4"/>
        <w:numPr>
          <w:ilvl w:val="3"/>
          <w:numId w:val="1"/>
        </w:numPr>
        <w:rPr/>
      </w:pPr>
      <w:bookmarkStart w:id="98" w:name="__RefHeading___Toc1920569_3650668749"/>
      <w:bookmarkStart w:id="99" w:name="_Toc36"/>
      <w:bookmarkEnd w:id="98"/>
      <w:r>
        <w:rPr>
          <w:rtl w:val="true"/>
        </w:rPr>
        <w:t>جماعت علماى يمن‌</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جماعتى از علماى يمن بعد از مطالعه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تقريظ نوشته و از آن تمجيد كرده‌اند، آنان در تقريظ خود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فقد اطلع علماء اليمن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العلامة الحجة فضيلة السيد محمد علوي المالكي، فاقروه و قرروه و قرظوه و وجدوه احسن مؤلف و اجوده في مواضيعه قرّر مؤلفه فيه عقيدة السلف و الخلف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علماى يمن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پيدا كردند از مؤلف آن علامه، صاحب فضيلت، سيد محمد علوى مالكى، و آن را ثابت دانسته و تقرير نمودند و بر او تقريظ زده و آن را بهترين و نيكوترين تأليف در مورد خود دانستند كه مؤلف آن در اين كتاب عقيده قدما و متأخرين را تقرير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تقريظ را تعدادى از علماى يمن امضا كرده‌اند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مفتى جمهورى يمن سيد احمد بن محمد زباره؛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ابراهيم بن عمر بن عقيل، مفتى تعز؛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اسد بن حمزة بن عبدالقادر، رئيس علماى زبيد؛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داود؛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عبدالهادى عجيل، رئيس انقاذ اسلامى يمن؛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حزام مقرمى، رئيس مركز اسلامى تعز؛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على وصابى؛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بن سليمان، مفتى زبيد؛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عبدالكريم بن عبدالله؛</w:t>
      </w:r>
      <w:bookmarkStart w:id="100" w:name="pg1741_17333"/>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حسين بن عبدالله وصابى؛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سيد محمد على بطلح؛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على مكرم؛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على منصور، مدير حوزه‌هاى علمى صنعاء</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3"/>
        <w:numPr>
          <w:ilvl w:val="2"/>
          <w:numId w:val="1"/>
        </w:numPr>
        <w:rPr/>
      </w:pPr>
      <w:bookmarkStart w:id="101" w:name="__RefHeading___Toc1920571_3650668749"/>
      <w:bookmarkStart w:id="102" w:name="_Toc37"/>
      <w:bookmarkEnd w:id="101"/>
      <w:r>
        <w:rPr>
          <w:rtl w:val="true"/>
        </w:rPr>
        <w:t>نمونه‌هايى از افكار محمد بن علوى مالكى‌</w:t>
      </w:r>
      <w:bookmarkEnd w:id="102"/>
    </w:p>
    <w:p>
      <w:pPr>
        <w:pStyle w:val="Heading4"/>
        <w:numPr>
          <w:ilvl w:val="3"/>
          <w:numId w:val="1"/>
        </w:numPr>
        <w:rPr/>
      </w:pPr>
      <w:bookmarkStart w:id="103" w:name="__RefHeading___Toc1920573_3650668749"/>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اينك به نمونه‌هايى از ديدگاه‌هاى ايشان در ردّ عقايد وهابيان اشاره مى‌كنيم</w:t>
      </w:r>
      <w:r>
        <w:rPr>
          <w:rFonts w:eastAsia="IRNazanin" w:cs="IRNazanin"/>
          <w:color w:val="111111"/>
          <w:sz w:val="28"/>
          <w:szCs w:val="28"/>
          <w:rtl w:val="true"/>
          <w:lang w:bidi="fa-IR"/>
        </w:rPr>
        <w:t>:</w:t>
      </w:r>
    </w:p>
    <w:p>
      <w:pPr>
        <w:pStyle w:val="Heading4"/>
        <w:numPr>
          <w:ilvl w:val="3"/>
          <w:numId w:val="1"/>
        </w:numPr>
        <w:rPr/>
      </w:pPr>
      <w:bookmarkStart w:id="105" w:name="__RefHeading___Toc1920575_3650668749"/>
      <w:bookmarkStart w:id="106" w:name="_Toc39"/>
      <w:bookmarkEnd w:id="105"/>
      <w:r>
        <w:rPr/>
        <w:t>1</w:t>
      </w:r>
      <w:r>
        <w:rPr>
          <w:rtl w:val="true"/>
        </w:rPr>
        <w:t xml:space="preserve">. </w:t>
      </w:r>
      <w:r>
        <w:rPr>
          <w:rtl w:val="true"/>
        </w:rPr>
        <w:t>مخالفت با وهابيان تكفيرى‌</w:t>
      </w:r>
      <w:bookmarkEnd w:id="106"/>
    </w:p>
    <w:p>
      <w:pPr>
        <w:pStyle w:val="BookText"/>
        <w:rPr/>
      </w:pPr>
      <w:r>
        <w:rPr>
          <w:rFonts w:ascii="Amiri" w:hAnsi="Amiri" w:eastAsia="Amiri" w:cs="Amiri"/>
          <w:color w:val="111111"/>
          <w:sz w:val="28"/>
          <w:sz w:val="28"/>
          <w:szCs w:val="28"/>
          <w:rtl w:val="true"/>
          <w:lang w:bidi="ar-SA"/>
        </w:rPr>
        <w:t xml:space="preserve">ايشان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المجازفة بالتكفير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مخالفت با تكفير افراطى وهابيان مى‌نويسد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ابتلينا بجماعة تخصصت في توزيع الكفر و الشرك و اصدار الأحكام بالقاب و اوصاف لا يصحّ و لا يليق ان تُطلق علي مسلم يشهد ان لا اله الّا الله و انّ محمّداً رسول الله، كقول بعضهم فيمن يختلف في الرأي و المذهب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سمعنا كثيراً من السفهاء الذين ينسبون انفسهم إلي العقيدة يكيلون مثل هذه الألفاظ جُزافاً، و يزيد بعض جهلتهم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الشرك و الضلال في هذه الأزمان، و مجدّد ملّة عمرو بن لحّي المدعو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نسمع بعض السفهاء يكيل مثل هذا السب و الشتم و بمثل هذه الألفاظ القبيحة الّتي لا تصدر إلّا عن السوقة الذين لم يجيدوا اسلوب الدعوة و طريقة الأدب في النقاش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ما به كسانى مبتلا شده‌ايم كه در توزيع كفر و شرك و صادر كردن احكام با القاب و اوصاف غير صحيح تخصص دارند، اوصافى كه لايق مسلمان شهادت‌دهنده به توحيد و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مثل اينكه برخى از آنان به افرادى كه مخالف خود در رأى و مذهب مى‌باشند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 را اطلاق مى‌كنند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بسيارى از سفيهانى كه خودشان را به عقيده نسبت مى‌دهند شنيده‌ايم كه چگونه امثال اين‌گونه الفاظ را بى‌ضابطه و به‌طور</w:t>
      </w:r>
      <w:bookmarkStart w:id="107" w:name="pg1741_17335"/>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گسترده،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برخى از آنها پا از اين فراتر نهاده و بر مخالف خود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كننده به شرك و گمراهى در اين زمان، و تجديد كننده ملّت عمرو بن لحى آقاى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از برخى سفيهان مى‌شنويم كه به صورت گسترده امثال اين دشنام‌ها و فحش‌ها و الفاظ قبيح را به كار مى‌برند، الفاظى كه تنها از افراد كوچه و بازار صادر مى‌شود، كسانى كه اسلوب و روش دعوت و طريقه ادب در مناقشه را به خوبى نمى‌دانند </w:t>
      </w:r>
      <w:r>
        <w:rPr>
          <w:rFonts w:eastAsia="IRNazanin" w:cs="IRNazanin"/>
          <w:color w:val="111111"/>
          <w:sz w:val="28"/>
          <w:szCs w:val="28"/>
          <w:rtl w:val="true"/>
          <w:lang w:bidi="fa-IR"/>
        </w:rPr>
        <w:t>...</w:t>
      </w:r>
    </w:p>
    <w:p>
      <w:pPr>
        <w:pStyle w:val="Heading4"/>
        <w:numPr>
          <w:ilvl w:val="3"/>
          <w:numId w:val="1"/>
        </w:numPr>
        <w:rPr/>
      </w:pPr>
      <w:bookmarkStart w:id="108" w:name="__RefHeading___Toc1920577_3650668749"/>
      <w:bookmarkStart w:id="109" w:name="_Toc40"/>
      <w:bookmarkEnd w:id="108"/>
      <w:r>
        <w:rPr/>
        <w:t>2</w:t>
      </w:r>
      <w:r>
        <w:rPr>
          <w:rtl w:val="true"/>
        </w:rPr>
        <w:t xml:space="preserve">. </w:t>
      </w:r>
      <w:r>
        <w:rPr>
          <w:rtl w:val="true"/>
        </w:rPr>
        <w:t xml:space="preserve">مشروعيت زيارت قبر پيامبر </w:t>
      </w:r>
      <w:r>
        <w:rPr>
          <w:rtl w:val="true"/>
        </w:rPr>
        <w:t>(</w:t>
      </w:r>
      <w:r>
        <w:rPr>
          <w:rtl w:val="true"/>
        </w:rPr>
        <w:t>ص</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او در مقدمه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النبوية بين الشرعية والبدعية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نظرية وهابيان در تحريم بار سفر بستن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قد ظهر في موسم الحجّ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أساء إلى المسلمين و كدّر عليهم صفوهم و هم في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اكبر ايذاء لهم و جرح لشعورهم، و هم حجاج زوار قاصدون وجه الله سبحانه و تعالى؛ اذ يقول هذا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مفسدة راجحة لا خير فيها، فأزعجنا هذا الإفتراء و التعدي و سوء الأدب</w:t>
      </w:r>
      <w:bookmarkStart w:id="110" w:name="pg1741_17336"/>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علي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احببت ان اشارك بهذه الرسالة في الدفاع عن مقام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الذبّ عنه، و هو اقل ما يقدمه الحبيب لحبيبه و المؤمن لنبيه، و هو ليس غلواً ممقوتاً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موسم حج امسال،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از سوى وهابيان چاپ شد كه در آن به مسلمانان اهانت شده و نيكان را مكدّر نموده است، نيكانى كه در حال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بيشترين آزار و اهانت را به زائرانى داشتند كه تنها قصدشان خداوند سبحان و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متجاوز كتاب گفته كه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داراى مفسده بوده و در آن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اهانت و سركشى و سوء ادب بر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دوست داشتم تا با تأليف اين رساله در دفاع از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كمترين كارى است كه مى‌تواند يك دوست نسبت به محبوبش و مؤمن نسبت به پيامبرش انجام دهد، و اين كار غلو ناپسند نيست </w:t>
      </w:r>
      <w:r>
        <w:rPr>
          <w:rFonts w:eastAsia="IRNazanin" w:cs="IRNazanin"/>
          <w:color w:val="111111"/>
          <w:sz w:val="28"/>
          <w:szCs w:val="28"/>
          <w:rtl w:val="true"/>
          <w:lang w:bidi="fa-IR"/>
        </w:rPr>
        <w:t>...</w:t>
      </w:r>
    </w:p>
    <w:p>
      <w:pPr>
        <w:pStyle w:val="Heading4"/>
        <w:numPr>
          <w:ilvl w:val="3"/>
          <w:numId w:val="1"/>
        </w:numPr>
        <w:rPr/>
      </w:pPr>
      <w:bookmarkStart w:id="111" w:name="__RefHeading___Toc1920579_3650668749"/>
      <w:bookmarkStart w:id="112" w:name="_Toc41"/>
      <w:bookmarkEnd w:id="111"/>
      <w:r>
        <w:rPr/>
        <w:t>3</w:t>
      </w:r>
      <w:r>
        <w:rPr>
          <w:rtl w:val="true"/>
        </w:rPr>
        <w:t xml:space="preserve">. </w:t>
      </w:r>
      <w:r>
        <w:rPr>
          <w:rtl w:val="true"/>
        </w:rPr>
        <w:t>مشروعيت توسل به ارواح اوليا</w:t>
      </w:r>
      <w:bookmarkEnd w:id="11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علوى مالكى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جاهِدُوا فِي سَبِيلِهِ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ووسيله‌اى براى تقرب به او 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راه او جهاد كنيد،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نظر وهابيان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را نمى‌پذيرفتند،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الآية كما تري، فهو شامل للتوسل بالذوات الفاضلة من الأنبياء و الصالحين في الحياة و بعد الممات، و بالإتيان بالاعمال الصالحة علي الوجه المأمور به، و للتوسل بها بعد وقوعها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لفظ وسيله در آيه عام است آن‌گونه كه مى‌بينى، پس اين لفظ شامل توسل به نفوس فاضل از انبيا و صالحان، در زمان حيات و بعد از مرگ آن شده، و به انجام اعمال صالح به طورى كه به آنها دستور داده شده، و به توسل به آنها بعد از وقوعشان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توجيه توسل به اولياى الهى مى‌گويد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ممّا لا شك فيه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الله قدر علي و مرتبة رفيعة و جاه عظيم، فاي مانع شرعي أو عقلي يمنع التوسل به؟ فضلًا عن الأدلة التي تثبته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في ذلك سائلين غير الله تعالي و لا داعين الّا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ندعوه بما أحب أيّاً كان؛ تارة نسأله باعمالنا الصالحة؛ لانّه يحبّها، و تارة نسأله بمن يحبّه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ذلك انّ كلّ ما احبّه الله صحّ التوسل به، و كذا كل من احبّه من نبي او ولي، و هو واضح لدى كل ذي فطرة سليمة، و لا يمنع منه عقل و لا نقل، بل تظافر العقل و النقل علي جوازه، و المسؤول في ذلك كلّه الله وحده لا شريك له، لا النبي و لا الولي و لا الحي و لاالميت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جاز السؤال بالأعمال فبالنبي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لانّه افضل المخلوقات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منزلت بلند و مرتبه بالا و مقام بزرگى دارد، و چه مانع شرعى يا عقلى از توسل به او جلوگيرى مى‌كند؟ تا چه رسد به ادله‌اى كه توسل به او را در دنيا و آخرت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عمل از غير خدا سؤال نكرده و به جز او را نخوانده‌ايم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خدا را به آنچه دوست دارد مى‌خوانيم،</w:t>
      </w:r>
      <w:bookmarkStart w:id="113" w:name="pg1741_17339"/>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هر چه باشد؛ گاه او را به اعمال صالح خود مى‌خوانيم؛ چرا كه آنها را دوست دارد، و گاه او را به فردى از خلقش مى‌خوانيم كه دوستش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آن اين است كه هر چه را خداوند دوست دارد مى‌توان به آن توسل جست، و هم‌چنين هر كسى را از پيامبر يا ولى خداوند دوست دارد مى‌توان به او توسل كرد، و اين امرى است واضح نزد هر صاحب فطرت سالم كه عقل و نقل مانع آن نمى‌باشد، بلكه عقل و نقل بر جواز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شده در همه اين موارد تنها خداست كه شريك و همتايى ندارد، نه پيامبر يا ولى، و نه زنده و نه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سؤال به اعمال صحيح است 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است؛ چرا كه او برتر مخلوقات مى‌باشد </w:t>
      </w:r>
      <w:r>
        <w:rPr>
          <w:rFonts w:eastAsia="IRNazanin" w:cs="IRNazanin"/>
          <w:color w:val="111111"/>
          <w:sz w:val="28"/>
          <w:szCs w:val="28"/>
          <w:rtl w:val="true"/>
          <w:lang w:bidi="fa-IR"/>
        </w:rPr>
        <w:t>...</w:t>
      </w:r>
    </w:p>
    <w:p>
      <w:pPr>
        <w:pStyle w:val="Heading4"/>
        <w:numPr>
          <w:ilvl w:val="3"/>
          <w:numId w:val="1"/>
        </w:numPr>
        <w:rPr/>
      </w:pPr>
      <w:bookmarkStart w:id="114" w:name="__RefHeading___Toc1920581_3650668749"/>
      <w:bookmarkStart w:id="115" w:name="_Toc42"/>
      <w:bookmarkEnd w:id="114"/>
      <w:r>
        <w:rPr/>
        <w:t>4</w:t>
      </w:r>
      <w:r>
        <w:rPr>
          <w:rtl w:val="true"/>
        </w:rPr>
        <w:t xml:space="preserve">. </w:t>
      </w:r>
      <w:r>
        <w:rPr>
          <w:rtl w:val="true"/>
        </w:rPr>
        <w:t xml:space="preserve">عدم خوف پيامبر </w:t>
      </w:r>
      <w:r>
        <w:rPr>
          <w:rtl w:val="true"/>
        </w:rPr>
        <w:t>(</w:t>
      </w:r>
      <w:r>
        <w:rPr>
          <w:rtl w:val="true"/>
        </w:rPr>
        <w:t>ص</w:t>
      </w:r>
      <w:r>
        <w:rPr>
          <w:rtl w:val="true"/>
        </w:rPr>
        <w:t xml:space="preserve">) </w:t>
      </w:r>
      <w:r>
        <w:rPr>
          <w:rtl w:val="true"/>
        </w:rPr>
        <w:t>از وقوع امت در شرك‌</w:t>
      </w:r>
      <w:bookmarkEnd w:id="115"/>
    </w:p>
    <w:p>
      <w:pPr>
        <w:pStyle w:val="BookText"/>
        <w:rPr/>
      </w:pPr>
      <w:r>
        <w:rPr>
          <w:rFonts w:ascii="IRNazanin" w:hAnsi="IRNazanin" w:eastAsia="IRNazanin"/>
          <w:color w:val="111111"/>
          <w:sz w:val="28"/>
          <w:sz w:val="28"/>
          <w:szCs w:val="28"/>
          <w:rtl w:val="true"/>
          <w:lang w:bidi="fa-IR"/>
        </w:rPr>
        <w:t xml:space="preserve">محمد بن علوى مالكى در ردّ ادعاى وهابيان از بازگشت شرك به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الحديث الصحيح ما يدلّ على انّ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من وقوع الشرك و الوثنية؛ لانّه طلب و دعا ان لايكون قبره وثنا يعبد، و دعاؤه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لاتجعل قبري وثناً يعبد، اشتدّ غضب الله على قوم اتخذوا قبور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الحديث الشريف علي ماتعطيه رواياته من جميع طرقه، النهي عن ان يقصد القبر بالصلاة عليه أو إليه، تعظيماً لصاحب القبر او للقبر، فانّ ذلك كان ذريعة لمن سبق من الأمم إلي الشرك و عبادة القبور و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اعتبر الشارع بهذا النهي هذه الذريعة فسدّها علي امته لئلّا يقعوا فيما وقع فيه الأمم قبلهم، و قد حقّق الله رجاءه و استجاب دعاءه، فليس في المسلمين من يعظم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عليه أو إليه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عنه عليه الصلاة و السلام الإشارة إلي دفنه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البزار بسند صحيح، و الطبراني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انّ مسجده الشريف يكون بجوار قبره و حكم له بهذا الفضل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ورغب الأمة في اتيانه، و لم يأمرهم بهجر مسجده لأجل القبر و لا بدهمه، بل صرّح بانّ الصلاة فيه أفضل من ألف صلاة فيما سواه الّا المسجد الحرام، و خصّ مايلي القبر الشريف إلي المنبر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حديث صحيح مطلبى آمده كه دلالت دارد بر اينكه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بت‌پرستى انجام نمى‌گيرد؛ زيرا حضرت طلب كرده و دعا نموده كه قبر او بتى نشود كه آن را بپرستند، و مى‌دانيم كه دعاى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قرار مده كه پرستيده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بر قومى شدت يافت كه قبرهاى انبيايشان را مساجد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حديث آن‌گونه كه از مجموعه طرق آن استفاده مى‌شود عبارت است از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قصد شود نماز بر آن يا به طرف آن، به جهت تعظيم صاحب قبر يا براى قبر، كه اين كار راهى بوده براى امت‌هاى پيشين به وقوع در شرك و عبادت قبور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با اين نهى خود اين راه را سدّ كرده تا امتش در مشكلى نيفتند كه امت‌هاى پيشين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اميد آن حضرت را محقق ساخت و دعايش را مستجاب نمود، و لذا در بين مسلمانان كسى وجود ندارد كه قبر آن حضرت را تعظيم كرده و بر آن يا به سوى آن نماز گزارد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او عليه الصلاة و السلام ثابت شده كه به اين موضعى كه الآن</w:t>
      </w:r>
      <w:bookmarkStart w:id="116" w:name="pg1741_17342"/>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دفن شده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بزار به سند صحيح و نيز طبرانى مرفوعاً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عبارت استفاده مى‌شود كه مسجد شريف آن حضرت در جوار قبر او خواهد بود، و حكم كرده بر او به اين فضيلت و امت را ترغيب به آمدن به آنجا نموده است، و مردم را به جهت قبرش از مسجدش دور نكرده و دستور تخريب آن را نداده است، بلكه تصريح كرده به اينكه نماز در آن از هزار نماز در غير آن برتر است، جز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قبر تا منبر را به باغى از باغ‌هاى بهشت توصيف كرده است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920583_3650668749"/>
      <w:bookmarkStart w:id="118" w:name="_Toc43"/>
      <w:bookmarkEnd w:id="117"/>
      <w:r>
        <w:rPr/>
        <w:t>5</w:t>
      </w:r>
      <w:r>
        <w:rPr>
          <w:rtl w:val="true"/>
        </w:rPr>
        <w:t xml:space="preserve">. </w:t>
      </w:r>
      <w:r>
        <w:rPr>
          <w:rtl w:val="true"/>
        </w:rPr>
        <w:t>ردّ استدلال وهابيان بر حرمت زيارت قبور اوليا</w:t>
      </w:r>
      <w:bookmarkEnd w:id="118"/>
    </w:p>
    <w:p>
      <w:pPr>
        <w:pStyle w:val="BookText"/>
        <w:rPr/>
      </w:pPr>
      <w:r>
        <w:rPr>
          <w:rFonts w:ascii="IRNazanin" w:hAnsi="IRNazanin" w:eastAsia="IRNazanin"/>
          <w:color w:val="111111"/>
          <w:sz w:val="28"/>
          <w:sz w:val="28"/>
          <w:szCs w:val="28"/>
          <w:rtl w:val="true"/>
          <w:lang w:bidi="fa-IR"/>
        </w:rPr>
        <w:t xml:space="preserve">محمد بن علوى مالكى در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 قبري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وهابيان به آن بر عدم جواز نماز و دعا در كنار قبور اوليا و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زكي الدين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به الحث علي كثرة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لايهمل حتي لايزار إلّا في بعض الأوقات، كالعيد الذي لايأتي في العام إلّا مرتين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فهم منه النهي عن ان يجعل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للزيارة يوم خاص لايكون إلّا فيه، كما انّ العيد كذلك، و إنّما الذي ينبغي هو أن يزار عليه الصلاة و السلام كلّما تيسر ذلك من غير تخصيص بيوم، و ذكر هذا التأويل التقي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فهم انّ معناه النهي عن سوء الأدب عند زيارته عليه الصلاة و السلام باللهو و اللعب كما يفعل في الاعياد و انّما يزار للسلام عليه و الدعاء عنده و رجاء بركة نظره و دعائه و ردّ سلامه، مع المحافظة علي الأدب اللائق بهذه الحضرة الشريفة النبوية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الأقرب ان شاء الله، فانّ من عادة أهل الكتاب الاغراق في اللهو و الزينة و اللعب عند زيارة انبيائهم و صالحيهم، فنهي عليه الصلاة و السلام الأمة عن ان يتشبّهوا في هذا اللهو و اللعب عند زيارته عليه الصلاة و السلام، بل عليهم ان يأتوا لزيارته مستغفرين تائبين و ان يكونوا إذا زاروه بعد وفاته كما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يكونون بين يديه في حياته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حافظ زكى‌الدين منذرى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مراد از اين حديث وادار كردن بر كثرت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اينكه هميشه به زيارت آن بيايند نه اينكه در برخى از اوقات، مثل روز عيد كه در سال تنها دوبار مى‌آيند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از علما از آن حديث اين‌گونه فهميده‌اند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از اينكه زيارت او در يك روز خاص انجام گيرد، همان‌گونه كه عيد اين‌گونه است، و آنچه سزاوار است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ممكن است زيارت گردد و به روز خاصى اختصاص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را سبكى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حديث چنين فهميده‌اند كه معنى اين حديث نهى از اسائه ادب است هنگام زيارت پيامبر عليه الصلاة و السلام، با لهو و لعب، آن‌گونه كه در اعياد انجام مى‌گيرد، بلكه بايد تنها به جهت سلام و دعا كنار قبر و اميد بركت نظر و دعاى او و ردّ سلامش به زيارت آن حضرت رفته شود، ولى با محافظت بر ادبى كه لايق به آن حضرت شريف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اين معنى به واقع نزديك‌تر است اگر خدا بخواهد؛ زيرا از عادات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و غلو در لهو و زينت و لعب هنگام زيارت انبيا و صالحانشان مى‌باشد؛ لذا پيامبر عليه الصلاة و السلام امت را از تشبّه به آنان در اين لهو و لعب هنگام زيارتش نهى كرده است، بلكه بر مسلمانان وظيفه است كه همچنان كه در زمان حيات آن حضرت براى استغفار و توبه نزد او</w:t>
      </w:r>
      <w:bookmarkStart w:id="119" w:name="pg1741_17345"/>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مى‌آمدند پس از وفاتش نيز به هنگام زيارت چنين نمايند</w:t>
      </w:r>
      <w:r>
        <w:rPr>
          <w:rFonts w:eastAsia="IRNazanin" w:cs="IRNazanin"/>
          <w:color w:val="111111"/>
          <w:sz w:val="28"/>
          <w:szCs w:val="28"/>
          <w:rtl w:val="true"/>
          <w:lang w:bidi="fa-IR"/>
        </w:rPr>
        <w:t>.</w:t>
      </w:r>
    </w:p>
    <w:p>
      <w:pPr>
        <w:pStyle w:val="Heading4"/>
        <w:numPr>
          <w:ilvl w:val="3"/>
          <w:numId w:val="1"/>
        </w:numPr>
        <w:rPr/>
      </w:pPr>
      <w:bookmarkStart w:id="120" w:name="__RefHeading___Toc1920585_3650668749"/>
      <w:bookmarkStart w:id="121" w:name="_Toc44"/>
      <w:bookmarkEnd w:id="120"/>
      <w:r>
        <w:rPr/>
        <w:t>6</w:t>
      </w:r>
      <w:r>
        <w:rPr>
          <w:rtl w:val="true"/>
        </w:rPr>
        <w:t xml:space="preserve">. </w:t>
      </w:r>
      <w:r>
        <w:rPr>
          <w:rtl w:val="true"/>
        </w:rPr>
        <w:t>مفهوم صحيح سنت و بدعت‌</w:t>
      </w:r>
      <w:bookmarkEnd w:id="121"/>
    </w:p>
    <w:p>
      <w:pPr>
        <w:pStyle w:val="BookText"/>
        <w:rPr/>
      </w:pPr>
      <w:r>
        <w:rPr>
          <w:rFonts w:ascii="IRNazanin" w:hAnsi="IRNazanin" w:eastAsia="IRNazanin"/>
          <w:color w:val="111111"/>
          <w:sz w:val="28"/>
          <w:sz w:val="28"/>
          <w:szCs w:val="28"/>
          <w:rtl w:val="true"/>
          <w:lang w:bidi="fa-IR"/>
        </w:rPr>
        <w:t>محمّد بن علوى مالكى درباره مفهوم بدعت و سنت كه وهابيان بسيار تنگ‌نظرى دارند و هر چيزى را بدعت مى‌دانند، مگر آنكه دليل خاصى بر آن وارد شده باشد،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حجتهم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العمل لم يفعله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عمل السلف وعليه فهو حرام أو بدعة أو ضلالة؛ لانّه مخالف لكتاب الله وسنة رسوله، هكذا يتجاسرون علي الدين واحكامه بلا نظر ولا رويّة، وهذا الكلام منهم اوّله حقّ وآخره باطل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دليل آنها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واز كردار پيشينيان نيست، ولذا حرام يا بدعت يا گمراهى است؛ زيرا مخالف كتاب خدا وسنت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اين‌گونه بر دين واحكام آن جسارت مى‌كنند بدون آنكه نظر وتأمّل نمايند، واين كلام آنها، اولش حقّ وآخرش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السلف الصالح لم يفعله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ليس بدليل بل هو عدم دليل، ودليل التحريم انّما يكون بورود نصّ يفيد النهي عند فعل الشي‌ء أو الإنكار علي فعله من المشرّع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ممّن يقوم مقامه من الذين جعل سنتهم هي سنته وطريقتهم هي طريقته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سلف صالح اين كار را انجام نداده دليل نمى‌شود، بلكه عدم دليل حرمت است، ودليل تحريم به ورود نصّى است كه دلالت بر نهى از انجام شى‌ء يا انكارِ كارى از مشرّع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يا از كسانى كه جانشين آنان بوده كسانى كه سنّت وروش آنها همان سنّت وروش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اكثر بعض المتأخرين من الاستدلال بالعدم والترك علي تحريم اشياء او ذمّها، وافرط في استعماله بعض المتنطعين المتزمتين بحجة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أو بحجّة انّ الخلفاء الراشدين لم يفعلوه، وهذا منهم جهل عريض، ناتج عن عقل مريض؛ ذلك انّ تركهم العمل به قد يكون لعذر قام لهم في الوقت،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لما هو افضل منه، أو لعلّه لم يبلغ جميعهم علم به، وتفصيل ذلك هو؛</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الأصوليين عرّفوا السنة بانّها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أو تقريره، ولم يدخلوا ما تركه في جملة ذلك، لانّه ليس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هو خطاب الله، وقد ذكر الاصوليون انّه هو الّذي يدلّ عليه القرآن أو السنة أو الاجماع أو القياس، والترك ليس واحداً منها، فلا يكون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عدم فعل وعدم الفعل يقتضي عدم الدليل، فلا يقتضي الترك تحريماً إلّا بدليل أو قرينة من كتاب أو سنة أو اجماع أو قياس</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متأخرين، در استدلال به عدم وترك بر تحريم اشياء وذمّ آنها افراط كرده‌اند، ونيز برخى از تندروها در اين زمينه زياده‌روى نموده‌اند به اين استدلال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انجام نداده ونيز خلفاى راشدين چنين نكرده‌اند، واين حرف از آنان نادانى گسترده‌اى است كه ناشى از عقل مريض است؛ زيرا ترك يك</w:t>
      </w:r>
      <w:bookmarkStart w:id="122" w:name="pg1741_17348"/>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عمل از آنان گاهى به جهت عذرى است كه براى آنان در آن وقت پديد آمده است، يا به جهت آن است كه بهتر از آن را ملاحظه كرده بودند، يا آنكه درباره آن هيچ كس چيزى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آن اين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اصولى‌ها سنّت را اين‌گونه تعريف كرده‌اند كه آن، قول وفعل وتقرير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وترك حضرت را در آن داخل نكرده‌اند؛ زيرا دليل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همان خطاب خداست، واصولى‌ها گفته‌اند كه همان چيزى است كه قرآن يا سنّت يا اجماع يا قياس بر آن دلالت دارد، وترك، يكى از آنها نيست ولذا دليل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عدم فعل است وعدم فعل مقتضى عدم دليل است ولذا ترك، تحريم به حساب نمى‌آيد مگر با دليل يا قرينه‌اى از كتاب يا سنّت يا اجماع يا قياس</w:t>
      </w:r>
      <w:r>
        <w:rPr>
          <w:rFonts w:eastAsia="IRNazanin" w:cs="IRNazanin"/>
          <w:color w:val="111111"/>
          <w:sz w:val="28"/>
          <w:szCs w:val="28"/>
          <w:rtl w:val="true"/>
          <w:lang w:bidi="fa-IR"/>
        </w:rPr>
        <w:t>.</w:t>
      </w:r>
    </w:p>
    <w:p>
      <w:pPr>
        <w:pStyle w:val="Heading4"/>
        <w:numPr>
          <w:ilvl w:val="3"/>
          <w:numId w:val="1"/>
        </w:numPr>
        <w:rPr/>
      </w:pPr>
      <w:bookmarkStart w:id="123" w:name="__RefHeading___Toc1920587_3650668749"/>
      <w:bookmarkStart w:id="124" w:name="_Toc45"/>
      <w:bookmarkEnd w:id="123"/>
      <w:r>
        <w:rPr/>
        <w:t>7</w:t>
      </w:r>
      <w:r>
        <w:rPr>
          <w:rtl w:val="true"/>
        </w:rPr>
        <w:t xml:space="preserve">. </w:t>
      </w:r>
      <w:r>
        <w:rPr>
          <w:rtl w:val="true"/>
        </w:rPr>
        <w:t xml:space="preserve">فوايد برپايى مراسم جشن ميلاد نبوى </w:t>
      </w:r>
      <w:r>
        <w:rPr>
          <w:rtl w:val="true"/>
        </w:rPr>
        <w:t>(</w:t>
      </w:r>
      <w:r>
        <w:rPr>
          <w:rtl w:val="true"/>
        </w:rPr>
        <w:t>ص</w:t>
      </w:r>
      <w:r>
        <w:rPr>
          <w:rtl w:val="true"/>
        </w:rPr>
        <w:t>)</w:t>
      </w:r>
      <w:bookmarkEnd w:id="124"/>
    </w:p>
    <w:p>
      <w:pPr>
        <w:pStyle w:val="BookText"/>
        <w:rPr/>
      </w:pPr>
      <w:r>
        <w:rPr>
          <w:rFonts w:ascii="IRNazanin" w:hAnsi="IRNazanin" w:eastAsia="IRNazanin"/>
          <w:color w:val="111111"/>
          <w:sz w:val="28"/>
          <w:sz w:val="28"/>
          <w:szCs w:val="28"/>
          <w:rtl w:val="true"/>
          <w:lang w:bidi="fa-IR"/>
        </w:rPr>
        <w:t xml:space="preserve">محمد بن علوى مالكى رساله‌اى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الاحتفال بالمولد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در آن نكاتى را در مورد جواز برپايى مراسم در ردّ نظر وهابيان كه آن را بدعت مى‌دانند، اين‌گونه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لانقول بسنيّة الاحتفال بالمولد المذكور في ليلة مخصوصة، بل من اعتقد ذلك فقد ابتدع في الدين؛ لأنّ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التعلق به يجب أن يكون في كلّ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الاجتماعات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للدعوة إلي الله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 للصلاة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نبويّة و إمدادات محمدية يسجد القلم في محراب البيان عاجزاً عن تعداد آثارها و مظاهر أنوارها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التعرض لمكافأته بأداء بعض ما يجب له علينا ببيان أوصافه الكاملة و أخلاقه الفاضلة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اجتمعنا علي شي‌ء من المدائح التي فيها ذكر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فضله و جهاده و خصائصة، و لم نقرأ قصة المولد النبوي التي تعارف الناس علي قرائتها، و اصطلحوا عليها ثمّ استمعنا إلي ما يلقيه المتحدّثون من مواعظ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ارشادات، و إلي ما يتلوه القاري‌ء من آيات،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فعلنا ذلك فانّ ذلك داخل تحت المولد النبوي الشريف، و أظنّ أنّ هذا المعني‌لايختلف عليه اثنان، و لاينتطح فيه عنزان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تعظيماً للداخل عليه و تأليفاً كما قام لابنته فاطمة و أقرّها علي تعظيمها له بذلك، و أمر الأنصار بقيامهم لسيّدهم، فدلّ ذلك علي مشروعية القيام،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عظم لذلك</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حياته و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حالة المولد غير حاضر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قاري‌ء المولد الشريف مستحضر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بتشخيص ذاته الشريف، فهو عليه الصلاة و السلام قادم في العالم الجسماني من العالم النوراني من قبل هذا الوقت بزمن الولادة الشريفة، و حاضر عند قول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ظلي هو أقرب من حضوره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الاستحضار التشخيص و الحضور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الصلاة و السلام متخلّق بأخلاق ربّه، و قد قال عليه الصلاة و السلام في الحديث فكان مقتضي تأسّيه بربّه و تخلّقه بأخلاقه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مع ذاكره في كلّ مقام يذكر فيه بروحه الشريفة، و يكون استحضار الذاكر ذلك موجباً لزيادة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قايل به سنت بودن برپايى مراسم در شب مخصوصى نيستيم، بلكه مى‌گوييم هر كسى چنين اعتقادى داشته باشد در دين بدعت گذاشته است؛ چرا كه ياد آن حضرت و اظهار علاقه به او بايد در هر زمان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اجتماعات در مولودى‌خوانى وسيله‌اى است براى دعوت به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 فايده نبوى و امداداتى محمدى كه بر درود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انسان مى‌شود، عوايدى كه قلم در محراب بيان عاجز از شمارش آثار و مظاهر انوار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كار پاداش دهى است در برابر برخى از حقوقى كه به گردن ما دارد، به اينكه اوصاف كامل و اخلاق فاضل او را بيان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 چيزى از مدايحى كه ذكر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جهاد و خصايص او در آن است جمع شويم ولى قصه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عرف مردم مى‌خوانند و اصطلاحى براى آنها شده را نخوانيم و تنها به آنچه حديث گويان از مواعظ و ارشادات القا مى‌كنند، و به آنچه كه قارى از آيات قرآن تلاوت مى‌كند، گوش فرا دهيم،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كنيم اين كار داخل در مولد پيامبر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وسيله آن معناى برپايى مراسم در ولادت پيامبر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مى‌كنم كه در اين معنا حتى دو نفر هم با هم اختلاف نداشته باشند و دو بز بر يكديگر شاخ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كه بر او وارد مى‌شد به احترامش برمى‌خواست و با او الفت و انس برقرار مى‌كرد، همان‌گونه كه براى دخترش فاطمه بلند مى‌شد و بر او تعظيم مى‌كرد، و انصار را دستور داد تا بر موالى خود قيام نمايند، و اين دلالت بر مشروعيت و قيام دارد، و او سزاوارتر از ديگران براى تعظيم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در حال حيات و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ولى هنگام برپايى مراسم ولادت، او حاضر نيست؟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اين است كه قارى مولودى‌خوان شريف، او را با مشخص ساختن ذات شريفش نزد خود حاضر مى‌كند، و در اين حال از عالم</w:t>
      </w:r>
      <w:bookmarkStart w:id="125" w:name="pg1741_17353"/>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نورانى قبل از اين وقت به زمان ولادت شريفش به عالم جسمانى وارد شده و نزد گفته خواننده حاضر مى‌گردد، و او با حضور ظلّى حاضر مى‌شود كه از حضور اصلى او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حضور شخصى و حضور روحانياينكه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پروردگارش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همنشين كسى هستم كه مرا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هستم كه مرا ياد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مقتضاى تأسى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 او به اخلاق پروردگارش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كننده او در هر مقامى كه ياد او با روح شريفش مى‌شود حاضر باشد، و حاضر كردن ذاكر،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موجب زيادتى در تعظيم او خواهد شد</w:t>
      </w:r>
      <w:r>
        <w:rPr>
          <w:rFonts w:eastAsia="IRNazanin" w:cs="IRNazanin"/>
          <w:color w:val="111111"/>
          <w:sz w:val="28"/>
          <w:szCs w:val="28"/>
          <w:rtl w:val="true"/>
          <w:lang w:bidi="fa-IR"/>
        </w:rPr>
        <w:t>.</w:t>
      </w:r>
    </w:p>
    <w:p>
      <w:pPr>
        <w:pStyle w:val="Heading4"/>
        <w:numPr>
          <w:ilvl w:val="3"/>
          <w:numId w:val="1"/>
        </w:numPr>
        <w:rPr/>
      </w:pPr>
      <w:bookmarkStart w:id="126" w:name="__RefHeading___Toc1920589_3650668749"/>
      <w:bookmarkStart w:id="127" w:name="_Toc46"/>
      <w:bookmarkEnd w:id="126"/>
      <w:r>
        <w:rPr/>
        <w:t>8</w:t>
      </w:r>
      <w:r>
        <w:rPr>
          <w:rtl w:val="true"/>
        </w:rPr>
        <w:t xml:space="preserve">. </w:t>
      </w:r>
      <w:r>
        <w:rPr>
          <w:rtl w:val="true"/>
        </w:rPr>
        <w:t>حيات برزخى‌</w:t>
      </w:r>
      <w:bookmarkEnd w:id="127"/>
    </w:p>
    <w:p>
      <w:pPr>
        <w:pStyle w:val="BookText"/>
        <w:rPr/>
      </w:pPr>
      <w:r>
        <w:rPr>
          <w:rFonts w:ascii="IRNazanin" w:hAnsi="IRNazanin" w:eastAsia="IRNazanin"/>
          <w:color w:val="111111"/>
          <w:sz w:val="28"/>
          <w:sz w:val="28"/>
          <w:szCs w:val="28"/>
          <w:rtl w:val="true"/>
          <w:lang w:bidi="fa-IR"/>
        </w:rPr>
        <w:t xml:space="preserve">محمّد بن علوى مالكى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أَنَّهُمْ إِذْ ظَلَمُوا أَنْفُسَهُمْ جاؤُكَ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نظريه وهابيان كه آيه را به بعد از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نمى‌دهند،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اراد تخصيصها بحال الحياة فما اصاب؛ لانّ الفعل في سياق الشرط يفيد العموم، واعلي صيغ العموم ما وقع في سياق الشرط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وتخصيصها باحدهما يحتاج إلي دليل وهو 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اتى العموم حتي يكون تخصيصها بحالة الحياة دعوي تحتاج إلي دليل؟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الفعل في سياق الشرط، والقاعدة المقررة في الاصول انّ الفعل إذا وقع في سياق الشرط كان عاماً؛ لانّ الفعل في معني النكرة، لتضمنه مصدراً منكراً، والنكرة الواقعة في سياق النفي أو الشرط تكون للعموم وضعاً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هر كس اراده كند تخصيص آيه را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به واقع نرسيده است؛ زيرا فعل در سياق شرط مفيد عموم است، ومهم‌ترين صيغه عموم آن است كه در سياق شرط قرار گيرد، همان‌گونه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وتخصيص آيه به يكى از افراد، احتياج به دليل دارد كه در اينجا مفقود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عموم پيدا شد تا اينكه تخصيص آن به حالت حيات ادعايى باشد كه محتاج به دليل است؟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فعل در سياق شرط واقع شده استفاده عموم شد؛ زيرا در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اصول ثابت شده كه هرگاه فعل در سياق شرط بيايد افاده عموم مى‌كند و فعل در معناى نكرده است، چون متضمن مصدر نكره مى‌باشد، و نكره در سياق نفى يا شرط از حيث وضع براى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 پاسخ استدلال برخى از وهابيان كه براى اثبات عدم حيات برزخى به آياتى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انسانى جاودانگى قرار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آنها كه انتظار مرگ تو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تو بميرى، آنان جاويد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مى‌ميرى و آنها نيز خواهند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مى‌كنند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يورد هذه الآيات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قصداً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ينبه الناس إلي انّ هذا الآيات جاءت لتبين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ما يجري علي البشر من الموت وانّ الله هو الباقي الحي الّذي لايموت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جائت لتصحيح مفهوم شائع وتصور باطل في العقول الجاهلية، حيث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انّهم يربطون بين الكمالات الانسانية والفضائل البشرية الّتي يتصف بها الرجل وبين الحياة؛ اذ يعتقدون انّ الرجل اذا مات انتهي فضله وكماله وماتت معه مزيته وصار لاقيمة له ولا فضيلة، بل مات وماتت معه فضائله وخصاله، ومن هنا جاءت الآيات لتبين فساد هذا المعني وبطلان ذلك التصور، جاءت لتقول لابي جهل وابي‌لهب وجماعة المشركين ومن علي شاكلتهم انّ محمداً بشر وليس بمخلّد علي وجه الارض، بل انّه سيجري عليه ما يجري علي عامة البشر، ولكن هذا لا ينقص كمالاته ولا يؤثر علي درجته ولا ينقص من مرتبته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اين آيات را به عنوان ايراد ذكر كرده، عمداً يا جهلًا نمى‌خواهد مردم را آگاه سازد كه اين‌گونه آيات بدين جهت آمده تا روشن كند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ساير مردم از دنيا رحلت مى‌كند وتنها كسى كه باقى مى‌ماند خداى حى است كه در او مرگ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آرى اين‌گونه آيات به جهت تصحيح مفهومى شايع وتصورى باطل در عقول جاهليت آمده است؛ زيرا آنان بين كمالات انسانى وفضايل بشرى كه فردى پيدا مى‌كند وبين زنده‌بودن او ربط مى‌دهند و مى‌گويند كه آن شخص تا زنده است اين كمالات وفضايل را دارد وهنگامى كه فوت كرد همه آنها تمام مى‌شود وموجودى بى‌خاصيت خواهد شد وبا مرگش فضائل وكمالاتش دفن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اين آيات براى كشاندن خطّ بطلان بر اين‌گونه عقايد نازل شده تا به ابوجهل وابولهب وجماعت مشركان وهمفكران آنها بگويد كه محمّد بشرى است كه هرگز در روى زمين باقى نخواهد بود، بلكه همان احكامى كه بر ديگر افراد بشر وارد مى‌شود بر او نيز وارد خواهد شد، ولى اين احكام كمالات او را ناقص نخواهد كرد وبر درجه او تأثير نخواهد گذاشت واز مرتبه او كم نخواهد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اين باره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حقيقية، و هذا ما دلّت عليه الآيات البينات و الأحاديث المشهورة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الحياة الحقيقية لا تعارض وصفهم بالموت، كما جاء ذلك في كتاب الله العزيز؛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قَبْلِكَ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معني قولنا عن الحياة البرزخية بانّها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حقيقية أي ليست خيالية أو مثالية كما يتصوّرها بعض الملاحدة ممّن لا تتسع عقولهم للإيمان إلّا بالمشاهد المحسوس دون الغيب الذي لا يطيق العقل البشري تصوره و لا تسليم كيفيته لقدرة الله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تظافرت الأحاديث و الآثار التي تثبت بانّ الميت يسمع و يحسّ و يعرف؛ سواء كان مؤمناً أم كافراً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حيات برزخى حيات حقيقى است، و اين آن چيزى است كه آيات بينّات و احاديث مشهور و صحيح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حيات حقيقى با توصيف آنها به مرگ تعارض ندارد آن‌گونه كه در كتاب عزيز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براى هيچ بشرى قبل از تو خلد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خواهى مرد همان‌گونه كه ديگران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معناى قول ما كه حيات برزخى حقيقى است اين است كه خيالى يا مثالى نمى‌باشد آن‌گونه كه برخى از ملحدان كه عقولشان گنجايش ايمان جز از راه مشاهده به حسّ را ندارد تصور كرده‌اند، نه غيبى كه عقل بشرى طاقت تصور آن را نداشته و تسليم كيفيت قدرت خداوند عزوجل نيستند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و آثار بسيارى وارد شده و اثبات مى‌كند كه ميت مى‌شنود</w:t>
      </w:r>
      <w:bookmarkStart w:id="128" w:name="pg1741_17359"/>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حسّ دارد و مى‌فهمد؛ چه مؤمن باشد يا كافر</w:t>
      </w:r>
      <w:r>
        <w:rPr>
          <w:rFonts w:eastAsia="IRNazanin" w:cs="IRNazanin"/>
          <w:color w:val="111111"/>
          <w:sz w:val="28"/>
          <w:szCs w:val="28"/>
          <w:rtl w:val="true"/>
          <w:lang w:bidi="fa-IR"/>
        </w:rPr>
        <w:t>.</w:t>
      </w:r>
    </w:p>
    <w:p>
      <w:pPr>
        <w:pStyle w:val="Heading4"/>
        <w:numPr>
          <w:ilvl w:val="3"/>
          <w:numId w:val="1"/>
        </w:numPr>
        <w:rPr/>
      </w:pPr>
      <w:bookmarkStart w:id="129" w:name="__RefHeading___Toc1920591_3650668749"/>
      <w:bookmarkStart w:id="130" w:name="_Toc47"/>
      <w:bookmarkEnd w:id="129"/>
      <w:r>
        <w:rPr/>
        <w:t>9</w:t>
      </w:r>
      <w:r>
        <w:rPr>
          <w:rtl w:val="true"/>
        </w:rPr>
        <w:t xml:space="preserve">. </w:t>
      </w:r>
      <w:r>
        <w:rPr>
          <w:rtl w:val="true"/>
        </w:rPr>
        <w:t xml:space="preserve">علم غيب پيامبر </w:t>
      </w:r>
      <w:r>
        <w:rPr>
          <w:rtl w:val="true"/>
        </w:rPr>
        <w:t>(</w:t>
      </w:r>
      <w:r>
        <w:rPr>
          <w:rtl w:val="true"/>
        </w:rPr>
        <w:t>ص</w:t>
      </w:r>
      <w:r>
        <w:rPr>
          <w:rtl w:val="true"/>
        </w:rPr>
        <w:t xml:space="preserve">) </w:t>
      </w:r>
      <w:r>
        <w:rPr>
          <w:rtl w:val="true"/>
        </w:rPr>
        <w:t>در عالم برزخ‌</w:t>
      </w:r>
      <w:bookmarkEnd w:id="130"/>
    </w:p>
    <w:p>
      <w:pPr>
        <w:pStyle w:val="BookText"/>
        <w:rPr/>
      </w:pPr>
      <w:r>
        <w:rPr>
          <w:rFonts w:ascii="Amiri" w:hAnsi="Amiri" w:eastAsia="Amiri" w:cs="Amiri"/>
          <w:color w:val="111111"/>
          <w:sz w:val="28"/>
          <w:sz w:val="28"/>
          <w:szCs w:val="28"/>
          <w:rtl w:val="true"/>
          <w:lang w:bidi="ar-SA"/>
        </w:rPr>
        <w:t xml:space="preserve">محمّد بن علوى مالكى 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خيرلكم تحدثون و يحدث لكم و وفاتى خير لكم تعرض على اعمالكم؛ فما رأيت من خير حمدت الله و ما رأيت من شرّ استغفرت لكم</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من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مى‌گوييد و با شما سخن مى‌گويم، وفاتم نيز براى شما خير است؛ زيرا اعمال شما بر من عرضه مى‌شود؛ و آنچه از خير در آن ببينم خدا را ستايش مى‌كنم و آنچه از شرّ ببينم براى شما استغفار مى‌نمايم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اثبات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كه وهابيان آن را انكار مى‌كنند،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صحيح لامطعن فيه وهو يدلّ علي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أعمالنا بعرضها عليه ويستغفر الله لنا علي فعلنا من سيي‌ء وقبيح، واذا كان كذلك فانّه يجوز لنا ان نتوسل به إلي الله ونستشفع به لديه؛ لانّه يعلم بذلك فيشفع فينا ويدعو لنا وهو الشفيع المشفّع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51"/>
      </w:r>
      <w:bookmarkStart w:id="131" w:name="pg1741_17360"/>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پس حديث صحيح است ودر آن طعنى نيست وآن دلالت مى‌كند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ما با عرضه كردن بر او اطلاع دارد وبراى ما از اعمال بد استغفار مى‌نمايد، وچون چنين است، لذا براى ما جايز است كه به او براى قرب به خداوند توسل جسته وطلب شفاعت نزد او نماييم؛ زيرا او از اعمال ما آگاه است و مى‌تواند در حقّ ما شفاعت نموده ودر حقّ ما دعا نمايد، واو شفيع مشفّع است </w:t>
      </w:r>
      <w:r>
        <w:rPr>
          <w:rFonts w:eastAsia="IRNazanin" w:cs="IRNazanin"/>
          <w:color w:val="111111"/>
          <w:sz w:val="28"/>
          <w:szCs w:val="28"/>
          <w:rtl w:val="true"/>
          <w:lang w:bidi="fa-IR"/>
        </w:rPr>
        <w:t>...</w:t>
      </w:r>
    </w:p>
    <w:p>
      <w:pPr>
        <w:pStyle w:val="Heading4"/>
        <w:numPr>
          <w:ilvl w:val="3"/>
          <w:numId w:val="1"/>
        </w:numPr>
        <w:rPr/>
      </w:pPr>
      <w:bookmarkStart w:id="132" w:name="__RefHeading___Toc1920593_3650668749"/>
      <w:bookmarkStart w:id="133" w:name="_Toc48"/>
      <w:bookmarkEnd w:id="132"/>
      <w:r>
        <w:rPr/>
        <w:t>10</w:t>
      </w:r>
      <w:r>
        <w:rPr>
          <w:rtl w:val="true"/>
        </w:rPr>
        <w:t xml:space="preserve">. </w:t>
      </w:r>
      <w:r>
        <w:rPr>
          <w:rtl w:val="true"/>
        </w:rPr>
        <w:t>رجحان بار سفر بستن براى زيارت قبور اوليا</w:t>
      </w:r>
      <w:bookmarkEnd w:id="133"/>
    </w:p>
    <w:p>
      <w:pPr>
        <w:pStyle w:val="BookText"/>
        <w:rPr/>
      </w:pPr>
      <w:r>
        <w:rPr>
          <w:rFonts w:ascii="IRNazanin" w:hAnsi="IRNazanin" w:eastAsia="IRNazanin"/>
          <w:color w:val="111111"/>
          <w:sz w:val="28"/>
          <w:sz w:val="28"/>
          <w:szCs w:val="28"/>
          <w:rtl w:val="true"/>
          <w:lang w:bidi="fa-IR"/>
        </w:rPr>
        <w:t xml:space="preserve">محمد بن علوى در رجحان بار سفر بستن براى زيارت قبور اوليا به‌ويژه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وهابيان آن را بدعت مى‌دانند،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ان لم يكن نصاً للزيارة فلا شك انّ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من الأمكنة البعيدة من الهجرة إلي الله و رسوله، فمن زاره عليه الصلاة و السلام فهو ممن يدخل في هذه الآية و نحوها</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به‌عنوان مهاجرت به سوى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وپيامبر او، از خانه خود بيرون رود، سپس مرگش فرا رسد، پاداش او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نص براى زيارت نباشد شكى نيست در اينكه زيارت آن حضرت خصوصاً از مكان‌هاى دور، مصداق هجرت به سوى خدا و رسولش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كس آن حضرت عليه الصلاة و السلام را زيارت كند داخل در اين آيه و نحو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هؤلاء المنتسبون إلي السلفية فجعلوا قضية الزيارة و شدّ الرحل إلي زيارة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ايمان و كفر و توحيد و شرك، و راحوا يخلعون القاب الضلال و الكفر والشرك علي كل من يخالفهم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متّفقون جميعاً على مشروعية شدّ الرحل إلي ذلك البناء المسمّي بالمسجد النبوي بلا خلاف</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افرادى كه خودشان را به سلف نسبت مى‌دهند آمده‌اند و قضيه زيارت و بستن بار سفر به جهت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قضيه ايمان و كفر و شرك و توحيد كرده‌اند، و اين راه را در پيش گرفته‌اند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القاب ضلالت و كفر و شرك را بر هر مسلمانى اطلاق كنند كه در اين مسأله با آنان مخالف است، پس حول و قوه‌اى جز براى خداى على و عظيم نيست، با اينكه آنان همگى متفق بر مشروعيت بار سفر بستن به جهت آن ساختمان معروف به مسجد نبوى هستند و هيچ اختلافى در اين مسأله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الرحل إلي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و السلام عليه في مسجده و زيارة صاحبيه و من في تلك البقاع الطاهرة و رؤية المآثر و المشاهد التي هي معاهد الوحي و التنزيل و مواطن الإيمان و الجهاد، 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لهذا القصد المبارك، قامت القيامة و نزلت المصائب و زلزلت الأرض زلزالها و اخرجت الارض اثقالها و حكموا عليه بالضلال أو الشرك، و ان خففوا الحكم حكموا عليه بالبدعة و مخالفة السنة النبوية علي اضعف الاحوال الايمانية، و يقول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المقصد الشرعي الصحيح بالزيارة انّما هو للمسجد،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مسافر لزيارة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وانّما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للصلاة في المسجد النبوي، و انّي لأعجب كيف استحق هذا المسجد هذا الفضل و اصبح من المساحد التي تشدّ اليها الرجال؟ أليس لانّه مسجده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 فرق بينه و بين المساجد؟ و إذا كان شرف المسجد و فضله لاجله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تسنّ زيارة المسجد و تحرم زيارة من شرف المسجد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سفر بسته‌ام به‌جهت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سلام ودرود فرستادن بر او در مسجدش و زيارت دو صاحبش و هر آنكه در آن بقعه پاك است، و نيز آثار و مشاهدى را كه جايگاه نزول وحى و قرآن و موطن ايمان و جهاد است را مشاهد كنم، هرگاه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قصد مبارك مسافرت كرده‌ام قيامت برپا شده و مصائب بر او فرود مى‌آيد و در زمين زلزله مى‌شود و زمين بارهاى سنگين خود را خارج مى‌كند، به اين نحو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حكم به ضلالت و شرك مى‌كنند، و اگر بخواهند حكم او را تخفيف دهند كمترين‌حكمش اين است كه‌بر او حكم به بدعت و مخالفت سنت نبوى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شرعى صحيح، زيارت براى مسجد است و تو نبايد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مسافرت به‌جهت زيارت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 بلكه تنها 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نماز در مسجد نبوى مسافرت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تعجب مى‌كنم كه چگونه اين مسجد مستحق اين‌فضيلت شده و از مساجدى شده كه بار سفر به سوى آن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بدين جهت نيست كه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چه فرقى بين مسجد او و ساير مساجد ديگر مى‌باشد؟ و چون شرف و فضيلت مسجد به جهت انتساب به آن حضرت است، پس چگونه زيارت مسجد او سنت است، ولى زيارت كسى كه شرف مسجد به خاطر اوست سنت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تستدعي سفراً وتستلزم رحيلا؛ اذ انّها عبارة عن انتقال من الزائر للمزور، وذلك الانتقال يقتضي سفراً ويتطلب مجيئاً، ولايتصور انتقال بدون سفر ولا يتحقق مجي‌ء بغيره، كما لايمكن ان تكون هجرة بدون انتقال ولا تتأتي رحلة بدون ارتحال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بالبقيع وأحد تقديراً ووفاءً منه لأصحابه الكرام ومن اوفي</w:t>
      </w:r>
      <w:bookmarkStart w:id="134" w:name="pg1741_17365"/>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زيارت مستلزم سفر وحركت است؛ زيرا عبارت است از انتقال وحركت از طرف زائر براى رسيدن به شخص زيارت شده، واين انتقال مقتضى سفر بوده ومستلزم آمدن است، وهرگز حركت بدون سفر متصور نيست همان‌گونه كه آمدن بدون سفر امكان‌پذير نمى‌باشد، ونيز هجرت بدون حركت ونيز رحلت بدون ارتحال صدق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طريق صحيح رسيده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به طرف بقيع وأحد بيرون مى‌آمد تا حقّ اصحابش را ادا نمايد، وچه كسى باوفاتر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اينكه مى‌گويند بار سفر بستن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خلاف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5" w:name="__RefHeading___Toc1920595_3650668749"/>
      <w:bookmarkStart w:id="136" w:name="_Toc49"/>
      <w:bookmarkEnd w:id="135"/>
      <w:r>
        <w:rPr/>
        <w:t>11</w:t>
      </w:r>
      <w:r>
        <w:rPr>
          <w:rtl w:val="true"/>
        </w:rPr>
        <w:t xml:space="preserve">. </w:t>
      </w:r>
      <w:r>
        <w:rPr>
          <w:rtl w:val="true"/>
        </w:rPr>
        <w:t>اتخاذ واسطه بين خلق و خالق‌</w:t>
      </w:r>
      <w:bookmarkEnd w:id="136"/>
    </w:p>
    <w:p>
      <w:pPr>
        <w:pStyle w:val="BookText"/>
        <w:rPr/>
      </w:pPr>
      <w:r>
        <w:rPr>
          <w:rFonts w:ascii="IRNazanin" w:hAnsi="IRNazanin" w:eastAsia="IRNazanin"/>
          <w:color w:val="111111"/>
          <w:sz w:val="28"/>
          <w:sz w:val="28"/>
          <w:szCs w:val="28"/>
          <w:rtl w:val="true"/>
          <w:lang w:bidi="fa-IR"/>
        </w:rPr>
        <w:t>او درباره برداشت غلط وهابيان از مفهوم واسطه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يخطئ كثير من الناس في فهم حقيقة الواسطة فيطلقون الحكم هكذا جزافاً بانّ الواسطة شرك و انّ من اتخذ واسطة باي كيفية كانت فقد اشرك بالله، و انّ شأنه في هذا شأن المشركين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هذا كلام مردود، و الاستدلال بالآية في غير محلّه؛ و ذلك لانّ هذه الآية الكريمة صريحة في الإنكار علي المشركين عبادتهم للأصنام و اتخاذها آلهة من دون تعالي و اشراكهم اياها في دعوي الربوبية، علي انّ عبادتهم لها تقربهم إلي الله زلفي، فكفرهم و اشراكهم من حيث عبادتهم لها و من حيث اعتقادهم انّها ارباب من دون الله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فالواسطة لابدّ منها و هي ليست شركاً، و ليس كل من اتخذ بيته و بين الله واسطة يعتبر شركاً، و إلّا لكان البشر كلهم مشركين بالله؛ لانّ امورهم جميعاً تبني علي الواسطة،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القرآن بواسطة جبرئيل، فجبرئيل واسطة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العظمي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قاسم و الله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انّه يجوز وصف أي بشر عادي بانّه فرج الكربة و قضي الحاجة، أي كان واسطة فيها، فكيف بالسيد الكريم و النبي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مردم در فهم حقيقت واسطه اشتباه مى‌كنند و بى‌ضابطه و مطلق حكم مى‌كنند كه واسطه شرك است و اينكه هر كس واسطه‌اى را قرار دهد به هر كيفيتى باشد او به خداوند شرك ورزيده است، و اينكه شأن او در اين‌باره همانند مشركان است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 را عبادت نمى‌كنيم جز آنكه ما را به سوى خدا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مردودى است و استدلال به آن به بى‌جاست؛ زيرا كه اين آيه صريح در انكار بر مشركان است از آن جهت كه بت‌ها را پرستيده و تنها آنها را خدايان خود خوانده‌اند، و نيز آنها را شريك خدا در ادعاى ربوبيت مى‌دانند، با اين ديد كه عبادت آنها آنان را به خداوند نزديك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كفر و شرك آنها بدين جهت است كه بت‌ها را پرستيده و معتقدند كه آنها با قطع نظر از خداوند ربّ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واسطه بايد باشد و در عين حال شرك نيست، و هر كس كه بين خود و خدا واسطه‌اى قرار دهد كار شرك‌آميزى نكرده است، وگرنه بايد تمام بشر مشرك به خدا مى‌بودند؛ زيرا تمام امور آنها مبتنى بر واسطه است؛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طريق واسطه جبرئيل تلقى كرده و جبرئيل واسطه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واسطه بزرگ براى صحابه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تقسيم‌كننده و خدا عطاكننده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مطلب ظاهر مى‌گردد كه جايز است بشر عادى را اين‌گونه توصيف كرد كه او گرفتارى</w:t>
      </w:r>
      <w:bookmarkStart w:id="137" w:name="pg1741_17368"/>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را برطرف نموده و حاجت را برآورده كرد؛ يعنى واسطه در آن بود، تا چه رسد به سرور كريم و پيامبر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8" w:name="__RefHeading___Toc1920597_3650668749"/>
      <w:bookmarkStart w:id="139" w:name="_Toc50"/>
      <w:bookmarkEnd w:id="138"/>
      <w:r>
        <w:rPr/>
        <w:t>12</w:t>
      </w:r>
      <w:r>
        <w:rPr>
          <w:rtl w:val="true"/>
        </w:rPr>
        <w:t xml:space="preserve">. </w:t>
      </w:r>
      <w:r>
        <w:rPr>
          <w:rtl w:val="true"/>
        </w:rPr>
        <w:t>استغاثه به ارواح اوليا</w:t>
      </w:r>
      <w:bookmarkEnd w:id="139"/>
    </w:p>
    <w:p>
      <w:pPr>
        <w:pStyle w:val="BookText"/>
        <w:rPr/>
      </w:pPr>
      <w:r>
        <w:rPr>
          <w:rFonts w:ascii="IRNazanin" w:hAnsi="IRNazanin" w:eastAsia="IRNazanin"/>
          <w:color w:val="111111"/>
          <w:sz w:val="28"/>
          <w:sz w:val="28"/>
          <w:szCs w:val="28"/>
          <w:rtl w:val="true"/>
          <w:lang w:bidi="fa-IR"/>
        </w:rPr>
        <w:t>محمد بن علوى مالكى در جواز بلكه رجحان استغاثه به ارواح اوليا كه وهابيان آن را شرك اكبر مى‌دانند،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انّما هو سؤال الأنبياء و الصالحين من اهل القبور في برازخهم؛ لانّهم غير قادرين و قد سبق ردّ هذا الوهم مبسوطاً 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احياء قادرون علي الشفاعة و الدعاء، و حياتهم حياة برزخية لائقة بمقامهم يصحّ بها نفعهم بالدعاء و الاستغفار، و المنكر لذلك اخف احواله انّه جاهل بما كاد يلحق بالمتواتر من سنته عليه الصلاة و السلام الدال علي انّ موتي المؤمنين لهم في حياتهم البرزخية العلم و السماع و القدرة علي الدعاء و ما شاء الله من التصرفات، فما الظنّ بأكابر اهل البرزخ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النبيين و سائر الصالحين؟</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آنچه منع شده درخواست از انبيا و صالحان از اهل قبور در برزخ‌هاى آنهاست؛ چراكه آنها قادر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اين توهم سابقاً به طور مبسوط و اجمال گذشت، كه انبيا و صالحان زنده بوده و قدرت بر شفاعت و دعا دارند، و حيات آنها حيات برزخى است و لايق به مقام آنهاست و صحيح است كه آنان با حيات برزخى از دعا و استغفار سود مى‌برند، و منكر اين امور كمترين احوالش اين است كه او جاهل به سنت پيامبر عليه الصلاة و السلام است، سنتى كه نزديك است كه ملحق به تواتر شود و دلالت دارد بر اينكه اموات از مؤمنان در عالم برزخ زنده بوده و داراى علم و شنود و قدرت بر دعا و آنچه از تصرفات خدا بخواهد مى‌باشند، پس چه گمانى به بزرگان اهل برزخ از پيامبران و ساير صالحان مى‌باشد؟</w:t>
      </w:r>
      <w:r>
        <w:rPr>
          <w:rFonts w:eastAsia="IRNazanin" w:cs="IRNazanin"/>
          <w:color w:val="111111"/>
          <w:sz w:val="28"/>
          <w:szCs w:val="28"/>
          <w:rtl w:val="true"/>
          <w:lang w:bidi="fa-IR"/>
        </w:rPr>
        <w:t>!</w:t>
      </w:r>
      <w:bookmarkStart w:id="140" w:name="pg1741_17370"/>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4"/>
        <w:numPr>
          <w:ilvl w:val="3"/>
          <w:numId w:val="1"/>
        </w:numPr>
        <w:rPr/>
      </w:pPr>
      <w:bookmarkStart w:id="141" w:name="__RefHeading___Toc1920599_3650668749"/>
      <w:bookmarkStart w:id="142" w:name="_Toc51"/>
      <w:bookmarkEnd w:id="141"/>
      <w:r>
        <w:rPr>
          <w:rtl w:val="true"/>
        </w:rPr>
        <w:t>تأليفات حسن بن فرحان‌</w:t>
      </w:r>
      <w:bookmarkEnd w:id="142"/>
    </w:p>
    <w:p>
      <w:pPr>
        <w:pStyle w:val="BookText"/>
        <w:rPr/>
      </w:pPr>
      <w:r>
        <w:rPr>
          <w:rFonts w:ascii="Amiri" w:hAnsi="Amiri" w:eastAsia="Amiri" w:cs="Amiri"/>
          <w:color w:val="111111"/>
          <w:sz w:val="28"/>
          <w:sz w:val="28"/>
          <w:szCs w:val="28"/>
          <w:rtl w:val="true"/>
          <w:lang w:bidi="ar-SA"/>
        </w:rPr>
        <w:t>او داراى تأليفات بسيارى است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على بن ابى‌طالب فى ضوء الروايات الصحيحة؛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انقاذ التاريخ الاسلامى؛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فى كتب العقائد؛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 و الصحابة بين الإطلاق اللغوى و التخصيص الشرعى؛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الصحابة، اصحاب الصحبة الشرعية؛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الشورى و بيعة عثمان؛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المدنية؛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ابى‌سفيان، قرائة فى المناقب و المثالب؛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صالح فوزان و تلميذه الخراشى؛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عبدالله السعد و تلميذه الحميدى؛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سفر الحوالى؛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محمّد المحزون؛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سليمان العودة؛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قرائة فى منهاج السنة لابن تيمية، و ردّ ما فيه من اخطاء فى حق اميرالمؤمنين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عبدالوهاب داعية و ليس نبياً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920601_3650668749"/>
      <w:bookmarkStart w:id="144" w:name="_Toc52"/>
      <w:bookmarkEnd w:id="143"/>
      <w:r>
        <w:rPr>
          <w:rtl w:val="true"/>
        </w:rPr>
        <w:t>مقالات حسن بن فرحان‌</w:t>
      </w:r>
      <w:bookmarkEnd w:id="144"/>
    </w:p>
    <w:p>
      <w:pPr>
        <w:pStyle w:val="BookText"/>
        <w:rPr/>
      </w:pPr>
      <w:r>
        <w:rPr>
          <w:rFonts w:ascii="IRNazanin" w:hAnsi="IRNazanin" w:eastAsia="IRNazanin"/>
          <w:color w:val="111111"/>
          <w:sz w:val="28"/>
          <w:sz w:val="28"/>
          <w:szCs w:val="28"/>
          <w:rtl w:val="true"/>
          <w:lang w:bidi="fa-IR"/>
        </w:rPr>
        <w:t>او نيز مقالاتى را از خود به يادگار گذاشته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النملة و الدرس العملى؛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المعلم يعيد تأتأة العباس؛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المعارف بين الاحراج و الواجب؛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المعارف و الأعذار الخفية؛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البرهان لا حوار الصاروخ؛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لاتسير وحدها؛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 الثقافة هل يمرّ بسلام؛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المناظرات، مبادى‌ء و اجراءات؛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شتائم المسلمين و حوارات غيرهم؛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للمشتومين فقط؛</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النشر بين العموم و الخصوص؛</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حريق منى؛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هموم الكاتب؛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كبش الحقيقة؛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عبدالعزيز و اسرار الانجاز؛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فى تحولات السنة للشيعة؛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العقول؛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السرقات الادبية؛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فيكلمة سمو ولى العهد؛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فى المعجم الجغرافى للمخلاف السليمانى؛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كوسوفو، المسرحية القادمة؛</w:t>
      </w:r>
      <w:bookmarkStart w:id="145" w:name="pg1741_17372"/>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الى متى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اعتذار و عتاب؛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التعصب و الانصاف؛</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 المعيلى</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920603_3650668749"/>
      <w:bookmarkStart w:id="147" w:name="_Toc53"/>
      <w:bookmarkEnd w:id="146"/>
      <w:r>
        <w:rPr>
          <w:rtl w:val="true"/>
        </w:rPr>
        <w:t>ردّيه‌هاى حسن بن فرحان‌</w:t>
      </w:r>
      <w:bookmarkEnd w:id="147"/>
    </w:p>
    <w:p>
      <w:pPr>
        <w:pStyle w:val="BookText"/>
        <w:rPr/>
      </w:pPr>
      <w:r>
        <w:rPr>
          <w:rFonts w:ascii="IRNazanin" w:hAnsi="IRNazanin" w:eastAsia="IRNazanin"/>
          <w:color w:val="111111"/>
          <w:sz w:val="28"/>
          <w:sz w:val="28"/>
          <w:szCs w:val="28"/>
          <w:rtl w:val="true"/>
          <w:lang w:bidi="fa-IR"/>
        </w:rPr>
        <w:t>رديه‌هايى كه حسن بن فرحان مالكى داشته چه در روزنامه‌ها و فتاوى يا بيانات يا جواب‌ها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القعقاع بن عمرو، حقيقة ام اسطورة؟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المقررات بين الواقع و الأمل؛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الدكتور عبدالرحمن الفريح؛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الشيخ المالكى فى حمود العقل؛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الشيخ المالكى فى على الخضير؛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الشيخ المالكى فى الشيخ عبدالله السعد</w:t>
      </w:r>
      <w:r>
        <w:rPr>
          <w:rFonts w:eastAsia="Amiri" w:cs="Amiri" w:ascii="Amiri" w:hAnsi="Amiri"/>
          <w:color w:val="111111"/>
          <w:sz w:val="28"/>
          <w:szCs w:val="28"/>
          <w:rtl w:val="true"/>
          <w:lang w:bidi="ar-SA"/>
        </w:rPr>
        <w:t>.</w:t>
      </w:r>
      <w:bookmarkStart w:id="148" w:name="pg1741_17373"/>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2"/>
        <w:numPr>
          <w:ilvl w:val="1"/>
          <w:numId w:val="1"/>
        </w:numPr>
        <w:rPr/>
      </w:pPr>
      <w:bookmarkStart w:id="149" w:name="__RefHeading___Toc1920605_3650668749"/>
      <w:bookmarkStart w:id="150" w:name="_Toc54"/>
      <w:bookmarkEnd w:id="149"/>
      <w:r>
        <w:rPr>
          <w:rtl w:val="true"/>
        </w:rPr>
        <w:t>بخش دوم</w:t>
      </w:r>
      <w:r>
        <w:rPr>
          <w:rtl w:val="true"/>
        </w:rPr>
        <w:t xml:space="preserve">: </w:t>
      </w:r>
      <w:r>
        <w:rPr>
          <w:rtl w:val="true"/>
        </w:rPr>
        <w:t>حسن بن فرحان‌</w:t>
      </w:r>
      <w:bookmarkEnd w:id="1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920607_3650668749"/>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شرح حال حسن بن فرحان مالكى</w:t>
      </w:r>
    </w:p>
    <w:p>
      <w:pPr>
        <w:pStyle w:val="BookText"/>
        <w:rPr/>
      </w:pPr>
      <w:r>
        <w:rPr>
          <w:rFonts w:ascii="IRNazanin" w:hAnsi="IRNazanin" w:eastAsia="IRNazanin"/>
          <w:color w:val="111111"/>
          <w:sz w:val="28"/>
          <w:sz w:val="28"/>
          <w:szCs w:val="28"/>
          <w:rtl w:val="true"/>
          <w:lang w:bidi="fa-IR"/>
        </w:rPr>
        <w:t>حسن بن فرحان مالكى در سايت خود در شرح حال خود چنين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متولد كوه‌هاى بنى‌مالك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هستم كه تعليمات ابتدايى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جنيه بنى‌مالك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تعليمات دانشگاهى را در دانشكده دعوت و اعلام در دانشگاه محمّد بن سعود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علم را از برخى از علما و شيوخ در مساجد رياض آموختم كه از مشهورترين آنها شيخ محمّد حسن موريتانى و شيخ عبدالعزيز بن باز، و شيخ ناصر العقل، و شيخ عبدالله سعد، و شيخ عبدالرحمن محموداند كه از آنها در رياض استفاده كرده‌ام، ولى مهم‌ترين اساتيدم كه فضل من به آن استاد باز مى‌گردد شيخ على بن بوبكر نسيب عقيلى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بين من و آن استاد ملاقات‌ها و مراسلات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من در دو علم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تاريخ و ديگرى علم حديث</w:t>
      </w:r>
      <w:r>
        <w:rPr>
          <w:rFonts w:eastAsia="IRNazanin" w:cs="IRNazanin"/>
          <w:color w:val="111111"/>
          <w:sz w:val="28"/>
          <w:szCs w:val="28"/>
          <w:rtl w:val="true"/>
          <w:lang w:bidi="fa-IR"/>
        </w:rPr>
        <w:t>.</w:t>
      </w:r>
      <w:bookmarkStart w:id="153" w:name="pg1741_17375"/>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3"/>
        <w:numPr>
          <w:ilvl w:val="2"/>
          <w:numId w:val="1"/>
        </w:numPr>
        <w:rPr/>
      </w:pPr>
      <w:bookmarkStart w:id="154" w:name="__RefHeading___Toc1920609_3650668749"/>
      <w:bookmarkStart w:id="155" w:name="_Toc56"/>
      <w:bookmarkEnd w:id="154"/>
      <w:r>
        <w:rPr>
          <w:rtl w:val="true"/>
        </w:rPr>
        <w:t>آراى حسن بن فرحان مالكى در ردّ وهابيت‌</w:t>
      </w:r>
      <w:bookmarkEnd w:id="155"/>
    </w:p>
    <w:p>
      <w:pPr>
        <w:pStyle w:val="Heading4"/>
        <w:numPr>
          <w:ilvl w:val="3"/>
          <w:numId w:val="1"/>
        </w:numPr>
        <w:rPr/>
      </w:pPr>
      <w:bookmarkStart w:id="156" w:name="__RefHeading___Toc1920611_3650668749"/>
      <w:bookmarkStart w:id="157" w:name="_Toc57"/>
      <w:bookmarkEnd w:id="156"/>
      <w:r>
        <w:rPr/>
        <w:t>1</w:t>
      </w:r>
      <w:r>
        <w:rPr>
          <w:rtl w:val="true"/>
        </w:rPr>
        <w:t xml:space="preserve">. </w:t>
      </w:r>
      <w:r>
        <w:rPr>
          <w:rtl w:val="true"/>
        </w:rPr>
        <w:t>وهابيان و تكفير مسلمين‌</w:t>
      </w:r>
      <w:bookmarkEnd w:id="157"/>
    </w:p>
    <w:p>
      <w:pPr>
        <w:pStyle w:val="BookText"/>
        <w:rPr/>
      </w:pPr>
      <w:r>
        <w:rPr>
          <w:rFonts w:ascii="IRNazanin" w:hAnsi="IRNazanin" w:eastAsia="IRNazanin"/>
          <w:color w:val="111111"/>
          <w:sz w:val="28"/>
          <w:sz w:val="28"/>
          <w:szCs w:val="28"/>
          <w:rtl w:val="true"/>
          <w:lang w:bidi="fa-IR"/>
        </w:rPr>
        <w:t>حسن بن فرحان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الذي اراه انّ معظم الحنابلة ليس علي تكفير ابي‌حنيفة و اصحابه و لا تكفير الأشاعرة و لا تكفير الشيعة من امامية و زيدية و لا الاباضية و لاغيرها من طوائف المسلمين</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من مشاهده مى‌كنم اين است كه معظم حنابله ابوحنيفه و اصحابش و اشاعره و شيعه اماميه و زيديه و اباضيه و ديگر طوائف از مسلمانان را تكفير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وهابيان سلفى و حنبلى امروزه تكفير مى‌نمايند</w:t>
      </w:r>
      <w:r>
        <w:rPr>
          <w:rFonts w:eastAsia="IRNazanin" w:cs="IRNazanin"/>
          <w:color w:val="111111"/>
          <w:sz w:val="28"/>
          <w:szCs w:val="28"/>
          <w:rtl w:val="true"/>
          <w:lang w:bidi="fa-IR"/>
        </w:rPr>
        <w:t>].</w:t>
      </w:r>
      <w:bookmarkStart w:id="158" w:name="pg1741_17376"/>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زال كثير من الحنابلة المعاصرين علي تكفير سائر المسلمين، من الطوائف الأخرى؛ كالشيعة و المعتزلة، بلاتفريق بين المعتدلين و الغلاة و تضليل سائر الأشاعرة و الصوفية، و هم معظم المنتسبين لاهل السنة و الجماعة اليوم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همواره بسيارى از حنابله معاصر در صدد تكفير ساير مسلمانان از طوايف ديگر هم چون شيعه و معتزله مى‌باشند، بدون آنكه بين افراد معتدل و غالى از اين دو دسته فرق گذارند، و نيز عموم اشاعره و صوفيه را كه غالب منتسبين به اهل سنت و جماعت امروز هستند را گمراه مى‌دانند</w:t>
      </w:r>
      <w:r>
        <w:rPr>
          <w:rFonts w:eastAsia="IRNazanin" w:cs="IRNazanin"/>
          <w:color w:val="111111"/>
          <w:sz w:val="28"/>
          <w:szCs w:val="28"/>
          <w:rtl w:val="true"/>
          <w:lang w:bidi="fa-IR"/>
        </w:rPr>
        <w:t>.</w:t>
      </w:r>
    </w:p>
    <w:p>
      <w:pPr>
        <w:pStyle w:val="Heading4"/>
        <w:numPr>
          <w:ilvl w:val="3"/>
          <w:numId w:val="1"/>
        </w:numPr>
        <w:rPr/>
      </w:pPr>
      <w:bookmarkStart w:id="159" w:name="__RefHeading___Toc1920613_3650668749"/>
      <w:bookmarkStart w:id="160" w:name="_Toc58"/>
      <w:bookmarkEnd w:id="159"/>
      <w:r>
        <w:rPr/>
        <w:t>2</w:t>
      </w:r>
      <w:r>
        <w:rPr>
          <w:rtl w:val="true"/>
        </w:rPr>
        <w:t xml:space="preserve">. </w:t>
      </w:r>
      <w:r>
        <w:rPr>
          <w:rtl w:val="true"/>
        </w:rPr>
        <w:t>طعن وهابيان بر برخى از اهل بيت</w:t>
      </w:r>
      <w:r>
        <w:rPr>
          <w:rtl w:val="true"/>
        </w:rPr>
        <w:t>:</w:t>
      </w:r>
      <w:bookmarkEnd w:id="160"/>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 بعضهم في ذم بعض ائمة اهل البيت البريئين من غلوّ الأتباع، مع المبالغة في مدح ملوك بني‌امية و تبرير مظالمهم، و قد ذمّتهم الأحاديث</w:t>
      </w:r>
      <w:bookmarkStart w:id="161" w:name="pg1741_17377"/>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الصحيحة و الآثار الصحابية و التابعية، و لبيان هذا موضع آخر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دائماً برخى از وهابيان حنبلى درصدد مذمت نمودن برخى از اهل بيت‌اند، امامانى كه از غلوّ پيروان خود بيزارند ولى در مدح و ستايش پادشاهان بنى‌اميه و مبرّا كردن آنان از ظلم‌هايشان مبالغه مى‌نمايند، پادشاهانى كه در احاديث صحيح و آثار صحابه و تابعين مذمت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بيان اين مطلب موضع ديگرى است</w:t>
      </w:r>
      <w:r>
        <w:rPr>
          <w:rFonts w:eastAsia="IRNazanin" w:cs="IRNazanin"/>
          <w:color w:val="111111"/>
          <w:sz w:val="28"/>
          <w:szCs w:val="28"/>
          <w:rtl w:val="true"/>
          <w:lang w:bidi="fa-IR"/>
        </w:rPr>
        <w:t>.</w:t>
      </w:r>
    </w:p>
    <w:p>
      <w:pPr>
        <w:pStyle w:val="Heading4"/>
        <w:numPr>
          <w:ilvl w:val="3"/>
          <w:numId w:val="1"/>
        </w:numPr>
        <w:rPr/>
      </w:pPr>
      <w:bookmarkStart w:id="162" w:name="__RefHeading___Toc1920615_3650668749"/>
      <w:bookmarkStart w:id="163" w:name="_Toc59"/>
      <w:bookmarkEnd w:id="162"/>
      <w:r>
        <w:rPr/>
        <w:t>3</w:t>
      </w:r>
      <w:r>
        <w:rPr>
          <w:rtl w:val="true"/>
        </w:rPr>
        <w:t xml:space="preserve">. </w:t>
      </w:r>
      <w:r>
        <w:rPr>
          <w:rtl w:val="true"/>
        </w:rPr>
        <w:t>شيوع افكار الحادى در بين جوانان عربستان‌</w:t>
      </w:r>
      <w:bookmarkEnd w:id="163"/>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اخبرني احد اساتذة العقيدة باحدي الجامعات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الآراء الالحادية لها وجود عند بعض الطلاب، اثناء فتح باب الحوار معهم و هم من طلبة الأقسام الشرعية، فضلا عن غيرها</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اساتيد عقيده در يكى از دانشگاه‌هاى سعودى به من خبر داد كه آراء الحادى در برخى از جوانان دانشگاهى نفوذ كرده است و اين مطلب را در اثناى باز كردن بحث و گفت‌وگو با آنها فهميدم، با كسانى كه از دانشجويان اقسام شريعت بودند تا چه رسد به غير</w:t>
      </w:r>
      <w:bookmarkStart w:id="164" w:name="pg1741_17378"/>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Heading4"/>
        <w:numPr>
          <w:ilvl w:val="3"/>
          <w:numId w:val="1"/>
        </w:numPr>
        <w:rPr/>
      </w:pPr>
      <w:bookmarkStart w:id="165" w:name="__RefHeading___Toc1920617_3650668749"/>
      <w:bookmarkStart w:id="166" w:name="_Toc60"/>
      <w:bookmarkEnd w:id="165"/>
      <w:r>
        <w:rPr/>
        <w:t>4</w:t>
      </w:r>
      <w:r>
        <w:rPr>
          <w:rtl w:val="true"/>
        </w:rPr>
        <w:t xml:space="preserve">. </w:t>
      </w:r>
      <w:r>
        <w:rPr>
          <w:rtl w:val="true"/>
        </w:rPr>
        <w:t>سيره قدماى سلفى‌در تكفير مسلمين‌</w:t>
      </w:r>
      <w:bookmarkEnd w:id="166"/>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الأمراض التي دخلت في كتب العقائد و في عقول المسلمين؛ من التكفير الظالم و التبديع و التضليل دون استناد علي ادلة و براهين صحيحة، مع نشر الأكاذيب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في الأزمنة المتأخرة فقط، و هذا نتيجة لعدم الإطلاع علي كتب المتخاصمين في القرن الثالث و الرابع، ففيها الكثير من هذا التكفير الظالم و التبديع و التفسيق، و هي الكتب التي يتحاكم اليها العقائديّون المعاصرون، تاركين نصوص القرآن و السنة، و محتجّين بما لا حجة فيه؛ بانّ السلف الصالح كانوا يكفّرون و يفسّقون و يضلّلون و يفحشون القول و يفتون بقتل مخالفيهم، و استحلال دمائهم و اموالهم و أعراضهم، و يقصدون بالسلف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الصالح من كان علي مذهبهم في الخصومات، فمن كان منهم، فهو من السلف الصالح، و ان كان كاذباً فاجراً، و من كان من غيرهم فهو من السلف الصالح، و ان كان من اعبد الناس و اصدقهم</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مردم گمان مى‌كنند اين امراضى كه در كتاب‌هاى اعتقادى و عقول مسلمانان از تكفير به ناحق و نسبت به بدعت و گمراهى بدون هيچ‌گونه استناد به ادله و براهين صحيح، با نشر دروغ‌هايى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تنها در زمان‌هاى متأخر بوده است، و اين‌گونه قضاوت نتيجه عدم اطلاع بر كتب مخالفان در قرن سوم و چهارم است، كه در آنها بسيارى از اين تكفيرهاى به ناحق و نسبت دادن به بدعت و فسق يافت مى‌شود، كتاب‌هايى كه علماى عقايد معاصر آنها را حَكَم قرار داده و نصوص قرآن و سنت را رها كرده‌اند، و به چيزى احتجاج مى‌كنند كه حجت نيست؛ به اينكه سلف صالح تكفير و تفسيق مى‌كرده و نسبت به گمراهى وفحش لفظى مى‌دادند، و فتوا به قتل مخالفان داده و خون و اموال و آبروى آنان را حلال مى‌شمردند، و مقصودشان به سلف صالح كسانى است كه در خصومت‌ها مذهب آنان را داشته‌اند و هركس كه از آنان بوده او از سلف صالح است گرچه دروغگو فاجر باشد، و هركس كه در مذهب آنان نبوده او از سلف پست است گرچه از عابدترين و</w:t>
      </w:r>
      <w:bookmarkStart w:id="167" w:name="pg1741_17380"/>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راستگوترين مردم باشد</w:t>
      </w:r>
      <w:r>
        <w:rPr>
          <w:rFonts w:eastAsia="IRNazanin" w:cs="IRNazanin"/>
          <w:color w:val="111111"/>
          <w:sz w:val="28"/>
          <w:szCs w:val="28"/>
          <w:rtl w:val="true"/>
          <w:lang w:bidi="fa-IR"/>
        </w:rPr>
        <w:t>.</w:t>
      </w:r>
    </w:p>
    <w:p>
      <w:pPr>
        <w:pStyle w:val="Heading4"/>
        <w:numPr>
          <w:ilvl w:val="3"/>
          <w:numId w:val="1"/>
        </w:numPr>
        <w:rPr/>
      </w:pPr>
      <w:bookmarkStart w:id="168" w:name="__RefHeading___Toc1920619_3650668749"/>
      <w:bookmarkStart w:id="169" w:name="_Toc61"/>
      <w:bookmarkEnd w:id="168"/>
      <w:r>
        <w:rPr/>
        <w:t>5</w:t>
      </w:r>
      <w:r>
        <w:rPr>
          <w:rtl w:val="true"/>
        </w:rPr>
        <w:t xml:space="preserve">. </w:t>
      </w:r>
      <w:r>
        <w:rPr>
          <w:rtl w:val="true"/>
        </w:rPr>
        <w:t>تكفير مسلمين، عامل تفرقه‌</w:t>
      </w:r>
      <w:bookmarkEnd w:id="169"/>
    </w:p>
    <w:p>
      <w:pPr>
        <w:pStyle w:val="BookText"/>
        <w:rPr/>
      </w:pPr>
      <w:r>
        <w:rPr>
          <w:rFonts w:ascii="IRNazanin" w:hAnsi="IRNazanin" w:eastAsia="IRNazanin"/>
          <w:color w:val="111111"/>
          <w:sz w:val="28"/>
          <w:sz w:val="28"/>
          <w:szCs w:val="28"/>
          <w:rtl w:val="true"/>
          <w:lang w:bidi="fa-IR"/>
        </w:rPr>
        <w:t>حسن بن فرحان در ردّ تكفير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تتبّعنا اسباب نكسات المسلمين في الماضي؛ كسقوط بغداد و احتلال الشام و فلسطين من قبل الصليبيين و سقوط الأندلس لوجدنا انّ السبب الظاهر للخاصة و العامة هو تفرق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نظرنا لسبب هذا التفرق لوجدناه يكمن في الاتهامات المتبادلة بالضلالة و البدعة و الكفر، مع الاستغلال السياسي لهذه الطوائف، اذ اصبحتْ كل فرقة تري انّ اليهود و النصاري و الصليبيين و المغول اقرب لها من الطائفة الأخري التي تلتقي معها في الأصول العامة للاسلام</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اسباب شكست مسلمانان را در گذشته پيگيرى كنيم همچون سقوط بغداد و اشغال شام و فلسطين از سوى صليبى‌ها و سقوط اندلس، پى مى‌بريم كه سبب ظاهر براى خاص و عام همان تفرقه</w:t>
      </w:r>
      <w:bookmarkStart w:id="170" w:name="pg1741_17381"/>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سبب اين تفرقه نظر افكنديم پى مى‌بريم كه در يك مطلب نهفته است و آن اتهاماتى از قبيل گمراهى، بدعت و كفر بوده كه به يكديگر زده مى‌شده است، با ضعف سياسى كه بر اين طوائف حاكم بوده است؛ زيرا فرقه‌اى مى‌بيند كه يهود و نصارا و صليبى‌ها و مغول به آنها از طوائف ديگر نزديك‌تر است، طوائفى كه با يكديگر در اصول عامه اسلام اشتراك نظر دارند</w:t>
      </w:r>
      <w:r>
        <w:rPr>
          <w:rFonts w:eastAsia="IRNazanin" w:cs="IRNazanin"/>
          <w:color w:val="111111"/>
          <w:sz w:val="28"/>
          <w:szCs w:val="28"/>
          <w:rtl w:val="true"/>
          <w:lang w:bidi="fa-IR"/>
        </w:rPr>
        <w:t>.</w:t>
      </w:r>
    </w:p>
    <w:p>
      <w:pPr>
        <w:pStyle w:val="Heading4"/>
        <w:numPr>
          <w:ilvl w:val="3"/>
          <w:numId w:val="1"/>
        </w:numPr>
        <w:rPr/>
      </w:pPr>
      <w:bookmarkStart w:id="171" w:name="__RefHeading___Toc1920621_3650668749"/>
      <w:bookmarkStart w:id="172" w:name="_Toc62"/>
      <w:bookmarkEnd w:id="171"/>
      <w:r>
        <w:rPr/>
        <w:t>6</w:t>
      </w:r>
      <w:r>
        <w:rPr>
          <w:rtl w:val="true"/>
        </w:rPr>
        <w:t xml:space="preserve">. </w:t>
      </w:r>
      <w:r>
        <w:rPr>
          <w:rtl w:val="true"/>
        </w:rPr>
        <w:t>وهابيان و وارد كردن تجسيم در اسلام‌</w:t>
      </w:r>
      <w:bookmarkEnd w:id="172"/>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تجد بعض غلاتهم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الاسلام بلا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يقصد بعضهم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ذكره من امراض فكرية؛ كالتكفير و الظلم و الاسرائيليات و التجسيم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بلكه برخى از غاليان آنان را مشاهده مى‌كنى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بدون سنت خيرى نيست، و مقصود آنان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ذكرش خواهد آمد و آن مرض‌هاى فكرى از قبيل تكفير و ظلم و اسرائيليات و تجسيم مى‌باشد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1920623_3650668749"/>
      <w:bookmarkStart w:id="174" w:name="_Toc63"/>
      <w:bookmarkEnd w:id="173"/>
      <w:r>
        <w:rPr/>
        <w:t>7</w:t>
      </w:r>
      <w:r>
        <w:rPr>
          <w:rtl w:val="true"/>
        </w:rPr>
        <w:t xml:space="preserve">. </w:t>
      </w:r>
      <w:r>
        <w:rPr>
          <w:rtl w:val="true"/>
        </w:rPr>
        <w:t>نسبت غلوّ به وهابيان معاصر</w:t>
      </w:r>
      <w:bookmarkEnd w:id="17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الفكر عند غلاة الحنابلة لا معتدليهم، هو الذي فرّخ لنا اليوم هؤلاء الغوغاء من التيار التبديعي، الذي يَصمّ الناس بالبدعة و الضلالة و لعلهم اوقع الناس فيها، فلذلك لايستغرب بعض الإخوة ان قام بعض هؤلاء الغلاة و شبّه الباحثين من طلبة العلم المخالفين له بالمستشرقين او بفرعون او ابليس او سلمان 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لانستغرب منهم هذا التبديع و التكفير، فنحن نرحمهم؛ لانّنا نعرف من اين أُتوا، أُتوا من الجهل المسمّي علماً، و الظلم المسمّي عدلا، و البدعة المسمّاة سنة</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فكر نزد غاليان حنابله نه افراد معتدل از آنها موجب شده كه اين مصيبت را در جامعه كنونى پديد آورد و آن جامعه‌اى است كه نسبت بدعت‌گزار بودن به مردم مى‌دهند، و گوش مردم را با به كار بردن الفاظ بدعت و گمراهى پر كرده‌اند، و گويا خودشان در اين دو بيشتر فرو رفته‌اند، و لذا برخى از برادران تعجب نمى‌كنند اگر برخى از اين غاليان قيام كرده و بحث كنندگان از طلبه علم را كه مخالف آنان هستند را به لقب مستشرق يا فرعون يا شيطان يا سلمان</w:t>
      </w:r>
      <w:bookmarkStart w:id="175" w:name="pg1741_17383"/>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و ما از آنها اين نسبت‌هاى به بدعت و كفر را غريب نمى‌دانيم، و ما به آنان رحم مى‌كنيم؛ چرا كه مى‌دانيم از كجا آمده‌اند، حرف آنان از جهلى سرچشمه گرفته كه آن را علم ناميده‌اند، و از ظلمى كه آن را عدالت ناميده‌اند و بدعتى كه آن را سنت مى‌دانند</w:t>
      </w:r>
      <w:r>
        <w:rPr>
          <w:rFonts w:eastAsia="IRNazanin" w:cs="IRNazanin"/>
          <w:color w:val="111111"/>
          <w:sz w:val="28"/>
          <w:szCs w:val="28"/>
          <w:rtl w:val="true"/>
          <w:lang w:bidi="fa-IR"/>
        </w:rPr>
        <w:t>.</w:t>
      </w:r>
    </w:p>
    <w:p>
      <w:pPr>
        <w:pStyle w:val="Heading4"/>
        <w:numPr>
          <w:ilvl w:val="3"/>
          <w:numId w:val="1"/>
        </w:numPr>
        <w:rPr/>
      </w:pPr>
      <w:bookmarkStart w:id="176" w:name="__RefHeading___Toc1920625_3650668749"/>
      <w:bookmarkStart w:id="177" w:name="_Toc64"/>
      <w:bookmarkEnd w:id="176"/>
      <w:r>
        <w:rPr/>
        <w:t>8</w:t>
      </w:r>
      <w:r>
        <w:rPr>
          <w:rtl w:val="true"/>
        </w:rPr>
        <w:t xml:space="preserve">. </w:t>
      </w:r>
      <w:r>
        <w:rPr>
          <w:rtl w:val="true"/>
        </w:rPr>
        <w:t>انتقاد از تكفير مخالفان‌</w:t>
      </w:r>
      <w:bookmarkEnd w:id="177"/>
    </w:p>
    <w:p>
      <w:pPr>
        <w:pStyle w:val="BookText"/>
        <w:rPr/>
      </w:pPr>
      <w:r>
        <w:rPr>
          <w:rFonts w:ascii="IRNazanin" w:hAnsi="IRNazanin" w:eastAsia="IRNazanin"/>
          <w:color w:val="111111"/>
          <w:sz w:val="28"/>
          <w:sz w:val="28"/>
          <w:szCs w:val="28"/>
          <w:rtl w:val="true"/>
          <w:lang w:bidi="fa-IR"/>
        </w:rPr>
        <w:t>حسن بر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 ظلمنا في تكفير ابي حنيفة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يجعلنا نتوقف في ظلمنا فِرَقاً اخري؛ كالشيعة و المعتزلة، و الصوفية و الاشاعرة و غيرهم؛ لانّه ان سلّمنا بانّ تكفيرنا لابي حنيفة كان خاطئاً، فما الذي يمنع من انّ تكفيرنا لهؤلاء كان خاطئاً ايضاً؟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تكفير ابوحنيفه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كرده‌ايم، اين امر باعث مى‌شود كه در ظلم كردن به ديگر فرقه‌ها از قبيل شيعه و معتزله و صوفيه و اشاعره و ديگران توقف نماييم؛ زيرا اگر تسليم شويم كه تكفير ابوحنيفه از سوى ما اشتباه بوده چه چيز</w:t>
      </w:r>
      <w:bookmarkStart w:id="178" w:name="pg1741_17384"/>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مانع آن است كه تكفير اين فرقه‌ها را نيز خطا و اشتباه نباشد؟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920627_3650668749"/>
      <w:bookmarkStart w:id="180" w:name="_Toc65"/>
      <w:bookmarkEnd w:id="179"/>
      <w:r>
        <w:rPr/>
        <w:t>9</w:t>
      </w:r>
      <w:r>
        <w:rPr>
          <w:rtl w:val="true"/>
        </w:rPr>
        <w:t xml:space="preserve">. </w:t>
      </w:r>
      <w:r>
        <w:rPr>
          <w:rtl w:val="true"/>
        </w:rPr>
        <w:t>نسبت تكفير سريع به وهابيان‌</w:t>
      </w:r>
      <w:bookmarkEnd w:id="180"/>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والعاقل من اتعظ بهذا عن تلك؛ فلايتسرّع في التكفير قبل معرفة حجج الخصم و ارتفاع موانع التكفير، ومعرفة شُبَهه و اعتذاره، من قوله لا من نقل خصمه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عاقل آن است كه از اين امور عبرت گيرد و قبل از آنكه به ادله مخالف خود معرفت پيدا نمايد و موانع تكفير را مرتفع سازد، و شبهات و عذرهاى او را از زبان خودش بشناسد نه از نقل دشمنانش، با سرعت كسى را تكفير نكند</w:t>
      </w:r>
      <w:r>
        <w:rPr>
          <w:rFonts w:eastAsia="IRNazanin" w:cs="IRNazanin"/>
          <w:color w:val="111111"/>
          <w:sz w:val="28"/>
          <w:szCs w:val="28"/>
          <w:rtl w:val="true"/>
          <w:lang w:bidi="fa-IR"/>
        </w:rPr>
        <w:t>.</w:t>
      </w:r>
    </w:p>
    <w:p>
      <w:pPr>
        <w:pStyle w:val="Heading4"/>
        <w:numPr>
          <w:ilvl w:val="3"/>
          <w:numId w:val="1"/>
        </w:numPr>
        <w:rPr/>
      </w:pPr>
      <w:bookmarkStart w:id="181" w:name="__RefHeading___Toc1920629_3650668749"/>
      <w:bookmarkStart w:id="182" w:name="_Toc66"/>
      <w:bookmarkEnd w:id="181"/>
      <w:r>
        <w:rPr/>
        <w:t>10</w:t>
      </w:r>
      <w:r>
        <w:rPr>
          <w:rtl w:val="true"/>
        </w:rPr>
        <w:t xml:space="preserve">. </w:t>
      </w:r>
      <w:r>
        <w:rPr>
          <w:rtl w:val="true"/>
        </w:rPr>
        <w:t>حكم وهابيان به لوازم اقوال‌</w:t>
      </w:r>
      <w:bookmarkEnd w:id="182"/>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خللا في النقل، فنُصحّح الروايات في تشويه الخصم و لانتفهمّ حجة الطرف الآخر و لانسمع له، و نكفّر باشياء ليست مكفّرة أو نكفّر بالزامات لايجوز التكفير بها، فلازم</w:t>
      </w:r>
      <w:bookmarkStart w:id="183" w:name="pg1741_17385"/>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القول ليس بقول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معناى آن اين است كه ما مشكلى در نقل داريم، و روايات را در تخريب مخالفان خود تصحيح مى‌كنيم بدون آنكه حجت و دليل طرف ديگر را بفهميم و يا گوش به آن فرا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مخالفان را به چيزهايى تكفير مى‌كنيم كه هرگز موجب تكفير نيستند، يا به الزاماتى تكفير مى‌نماييم كه تكفير به آنها جايز نمى‌باشد؛ چرا كه لازمه قول، اعتقاد گوينده به حساب نمى‌آيد</w:t>
      </w:r>
      <w:r>
        <w:rPr>
          <w:rFonts w:eastAsia="IRNazanin" w:cs="IRNazanin"/>
          <w:color w:val="111111"/>
          <w:sz w:val="28"/>
          <w:szCs w:val="28"/>
          <w:rtl w:val="true"/>
          <w:lang w:bidi="fa-IR"/>
        </w:rPr>
        <w:t>.</w:t>
      </w:r>
    </w:p>
    <w:p>
      <w:pPr>
        <w:pStyle w:val="Heading4"/>
        <w:numPr>
          <w:ilvl w:val="3"/>
          <w:numId w:val="1"/>
        </w:numPr>
        <w:rPr/>
      </w:pPr>
      <w:bookmarkStart w:id="184" w:name="__RefHeading___Toc1920631_3650668749"/>
      <w:bookmarkStart w:id="185" w:name="_Toc67"/>
      <w:bookmarkEnd w:id="184"/>
      <w:r>
        <w:rPr/>
        <w:t>11</w:t>
      </w:r>
      <w:r>
        <w:rPr>
          <w:rtl w:val="true"/>
        </w:rPr>
        <w:t xml:space="preserve">. </w:t>
      </w:r>
      <w:r>
        <w:rPr>
          <w:rtl w:val="true"/>
        </w:rPr>
        <w:t>غلوّ وهابيان در تكفير</w:t>
      </w:r>
      <w:bookmarkEnd w:id="185"/>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وتجدهم يحذّرون من الغلوّ مع غلوهم في التكفير، و غلوّهم في الثناء علي علمائهم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تو آنان را مى‌بينى كه مردم را از غلو بر حذر مى‌دارند در حالى كه خودشان در 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علمائشان غلو وتندروى مى‌كنند</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920633_3650668749"/>
      <w:bookmarkStart w:id="187" w:name="_Toc68"/>
      <w:bookmarkEnd w:id="186"/>
      <w:r>
        <w:rPr/>
        <w:t>12</w:t>
      </w:r>
      <w:r>
        <w:rPr>
          <w:rtl w:val="true"/>
        </w:rPr>
        <w:t xml:space="preserve">. </w:t>
      </w:r>
      <w:r>
        <w:rPr>
          <w:rtl w:val="true"/>
        </w:rPr>
        <w:t>تناقض وهابيان در عمل‌</w:t>
      </w:r>
      <w:bookmarkEnd w:id="187"/>
    </w:p>
    <w:p>
      <w:pPr>
        <w:pStyle w:val="BookText"/>
        <w:rPr/>
      </w:pPr>
      <w:r>
        <w:rPr>
          <w:rFonts w:ascii="IRNazanin" w:hAnsi="IRNazanin" w:eastAsia="IRNazanin"/>
          <w:color w:val="111111"/>
          <w:sz w:val="28"/>
          <w:sz w:val="28"/>
          <w:szCs w:val="28"/>
          <w:rtl w:val="true"/>
          <w:lang w:bidi="fa-IR"/>
        </w:rPr>
        <w:t>وى در مورد وهابيان و سلفى‌ها مى‌گويد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وتراهم يأمرون بالوقوف عند حدود النصوص الشرعية و عدم الزيادة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عليها، بينما هم يزيدون كثيراً من العقائد ليست في الكتاب و لا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يعظّمون تكفير المسلم، من عقائد الخوارج و انّه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الورع عن التكفير انّما هم عن ضعفهم، فاذا قَوُوا لايرقبون في مسلم الّا و لا ذمّة و تراهم ينهون عن الاشتغال بأمر لم يشتغل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فاذا سَنَحت لهم الفرصة امروا الناس بمضايق من الاعتقادات لم تخطر علي بال صحابي و لا تابعي، مع مسمّيات و القاب سمّوها هم و آباؤهم، ما انزل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آنان را مشاهده مى‌كنيد كه امر به توقف نزد حدود نصوص شرعى و عدم زياده بر آن مى‌كنند، در حالى كه آنان بسيارى از عقايد را زياد كرده‌اند كه در قرآن و سنت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مشاهده مى‌كنى آنان را كه تكفير مسلمانان را كه از عقايد خوارج است را ناپسند شمرده و جايز نمى‌دانند، ولى اين ورع از تكفير نشانه ضعف آنان است، ولى هنگامى كه قوى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مسلمانى رعايت خويشاوندى و پيمان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مسلمانى</w:t>
      </w:r>
      <w:bookmarkStart w:id="188" w:name="pg1741_17387"/>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نمى‌گذرند و تمام مخالفان خود را نسبت به كفر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آنان را مشاهده مى‌كنى كه از اشتغال بر كارى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اشتغال نداشته نهى مى‌كنند، ولى هنگامى كه خودشان فرصت پيدا كردند مردم را به اعتقادى دستور مى‌دهند كه به ذهن هيچ صحابى يا تابعى نيامده است، و اين را با اسم‌ها و القابى همراه مى‌كنند كه خود و پدرانشان درآورده و هرگز بر آن دليلى از جانب خداوند ندارند</w:t>
      </w:r>
      <w:r>
        <w:rPr>
          <w:rFonts w:eastAsia="IRNazanin" w:cs="IRNazanin"/>
          <w:color w:val="111111"/>
          <w:sz w:val="28"/>
          <w:szCs w:val="28"/>
          <w:rtl w:val="true"/>
          <w:lang w:bidi="fa-IR"/>
        </w:rPr>
        <w:t>.</w:t>
      </w:r>
    </w:p>
    <w:p>
      <w:pPr>
        <w:pStyle w:val="Heading4"/>
        <w:numPr>
          <w:ilvl w:val="3"/>
          <w:numId w:val="1"/>
        </w:numPr>
        <w:rPr/>
      </w:pPr>
      <w:bookmarkStart w:id="189" w:name="__RefHeading___Toc1920635_3650668749"/>
      <w:bookmarkStart w:id="190" w:name="_Toc69"/>
      <w:bookmarkEnd w:id="189"/>
      <w:r>
        <w:rPr/>
        <w:t>13</w:t>
      </w:r>
      <w:r>
        <w:rPr>
          <w:rtl w:val="true"/>
        </w:rPr>
        <w:t xml:space="preserve">. </w:t>
      </w:r>
      <w:r>
        <w:rPr>
          <w:rtl w:val="true"/>
        </w:rPr>
        <w:t>بى‌انصافى وهابيان در حق شيعه‌</w:t>
      </w:r>
      <w:bookmarkEnd w:id="190"/>
    </w:p>
    <w:p>
      <w:pPr>
        <w:pStyle w:val="BookText"/>
        <w:rPr/>
      </w:pPr>
      <w:r>
        <w:rPr>
          <w:rFonts w:ascii="Amiri" w:hAnsi="Amiri" w:eastAsia="Amiri" w:cs="Amiri"/>
          <w:color w:val="111111"/>
          <w:sz w:val="28"/>
          <w:sz w:val="28"/>
          <w:szCs w:val="28"/>
          <w:rtl w:val="true"/>
          <w:lang w:bidi="ar-SA"/>
        </w:rPr>
        <w:t>او در ردّ وهابيان و سلفى‌ها و بى‌انصافى آنان مى‌نويسد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تراهم يتشددون في نقد و تضعيف الرجال الذين لايوافقونهم في شواذ العقائد، حتي وصل ذمّتهم للبخاري و مسلم و يحيي بن معين و علي بن المديني و الكرابيسي، و ابن الجعد و ابي حنيفة، فضلا عن تضعيف سائر الشيعة، متمسكين بعبارة نقلوها عن الشافعي في تكذيب الخطابية من الروافض، لانّهم يستحلّون الكذب، فجعلها هؤلاء في كل الشيعة، ثقاتهم و ضعفائهم؛ بينما يبالغون في توثيق اتباعهم، ولو كانوا ضعفاء او خفيفي الضبط، كما</w:t>
      </w:r>
      <w:bookmarkStart w:id="191" w:name="pg1741_17388"/>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فعلوا في توثيق ابن بطة مثلا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شما آنان را مشاهده مى‌كنيد كه در نقد و تضعيف افرادى شدت به خرج مى‌دهند كه با آنان در عقايد شاذشان موافق نيستند، به حدّى كه بخارى و مسلم و يحيى بن معين و على بن مدينى و كرابيسى و ابن جعد و ابوحنيفه و حنفى‌ها را تضعيف مى‌كنند تا چه رسد به تضعيف عموم شيعيان، و در اين كار به عبارتى تمسك مى‌كنند كه از شافعى در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 از روافض صادر شده كه آنان دروغ را حلال مى‌شمارند، و آن را بر تمام شيعه حمل مى‌نمايند؛ چه افراد ثقه آنها يا ضعيفشان، و اين در حالى است كه در توثيق پيروانشان مبالغه مى‌كنند، گرچه ضعيف بوده و ضبطش هم كم بوده است، همان‌گونه كه در توثيق ابن بطه چنين نموده‌اند</w:t>
      </w:r>
      <w:r>
        <w:rPr>
          <w:rFonts w:eastAsia="IRNazanin" w:cs="IRNazanin"/>
          <w:color w:val="111111"/>
          <w:sz w:val="28"/>
          <w:szCs w:val="28"/>
          <w:rtl w:val="true"/>
          <w:lang w:bidi="fa-IR"/>
        </w:rPr>
        <w:t>.</w:t>
      </w:r>
    </w:p>
    <w:p>
      <w:pPr>
        <w:pStyle w:val="Heading4"/>
        <w:numPr>
          <w:ilvl w:val="3"/>
          <w:numId w:val="1"/>
        </w:numPr>
        <w:rPr/>
      </w:pPr>
      <w:bookmarkStart w:id="192" w:name="__RefHeading___Toc1920637_3650668749"/>
      <w:bookmarkStart w:id="193" w:name="_Toc70"/>
      <w:bookmarkEnd w:id="192"/>
      <w:r>
        <w:rPr/>
        <w:t>14</w:t>
      </w:r>
      <w:r>
        <w:rPr>
          <w:rtl w:val="true"/>
        </w:rPr>
        <w:t xml:space="preserve">. </w:t>
      </w:r>
      <w:r>
        <w:rPr>
          <w:rtl w:val="true"/>
        </w:rPr>
        <w:t>تناقض سلفى‌ها در جرح و تعديل‌</w:t>
      </w:r>
      <w:bookmarkEnd w:id="193"/>
    </w:p>
    <w:p>
      <w:pPr>
        <w:pStyle w:val="BookText"/>
        <w:rPr/>
      </w:pPr>
      <w:r>
        <w:rPr>
          <w:rFonts w:ascii="IRNazanin" w:hAnsi="IRNazanin" w:eastAsia="IRNazanin"/>
          <w:color w:val="111111"/>
          <w:sz w:val="28"/>
          <w:sz w:val="28"/>
          <w:szCs w:val="28"/>
          <w:rtl w:val="true"/>
          <w:lang w:bidi="fa-IR"/>
        </w:rPr>
        <w:t>او در ردّ سلفى‌ها به جهت تناقض در جرح و تعديل 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وتراهم يتناقضون في الصحابة و وجوب تقديرهم، فيذمّون الشيعة لانّهم ينتقصون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لايذمّون النواصب و لايذكرونهم بسوء، مع انّهم كانوا يلعنون علي بن ابي طالب و يذمّونه و يرمونه بكلّ طامة؛ سواء كان ذلك من قبل حكّامهم من بني‌امية</w:t>
      </w:r>
      <w:bookmarkStart w:id="194" w:name="pg1741_17389"/>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او علمائهم كحريز بن عثمان و ثور بن يزيد و نحوهم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تو آنان را مشاهده مى‌كنى كه در مورد صحابه و وجوب تقدير از آنان متناقض عمل مى‌كنند؛ چرا كه شيعه را مذمت مى‌نمايند؛ به جهت آنكه به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وارد مى‌كنند، ولى نواصب را مذمت نمى‌كنند و آنان را با بدى ياد نمى‌نمايند، با وجود آنكه نواصب على بن ابى طالب را لعن كرده و مذمت مى‌كنند و هر زشتى را به او نسبت مى‌دهند؛ چه اين كار از سوى حاكمان آنان از بنى‌اميه باشد يا علماى آنان، همچون حريز بن عثمان، و ثور بن يزيد و امثال آن دو</w:t>
      </w:r>
      <w:r>
        <w:rPr>
          <w:rFonts w:eastAsia="IRNazanin" w:cs="IRNazanin"/>
          <w:color w:val="111111"/>
          <w:sz w:val="28"/>
          <w:szCs w:val="28"/>
          <w:rtl w:val="true"/>
          <w:lang w:bidi="fa-IR"/>
        </w:rPr>
        <w:t>.</w:t>
      </w:r>
    </w:p>
    <w:p>
      <w:pPr>
        <w:pStyle w:val="Heading4"/>
        <w:numPr>
          <w:ilvl w:val="3"/>
          <w:numId w:val="1"/>
        </w:numPr>
        <w:rPr/>
      </w:pPr>
      <w:bookmarkStart w:id="195" w:name="__RefHeading___Toc1920639_3650668749"/>
      <w:bookmarkStart w:id="196" w:name="_Toc71"/>
      <w:bookmarkEnd w:id="195"/>
      <w:r>
        <w:rPr/>
        <w:t>15</w:t>
      </w:r>
      <w:r>
        <w:rPr>
          <w:rtl w:val="true"/>
        </w:rPr>
        <w:t xml:space="preserve">. </w:t>
      </w:r>
      <w:r>
        <w:rPr>
          <w:rtl w:val="true"/>
        </w:rPr>
        <w:t xml:space="preserve">ابن تيميه و تنقيص امام على </w:t>
      </w:r>
      <w:r>
        <w:rPr>
          <w:rtl w:val="true"/>
        </w:rPr>
        <w:t>(</w:t>
      </w:r>
      <w:r>
        <w:rPr>
          <w:rtl w:val="true"/>
        </w:rPr>
        <w:t>ع</w:t>
      </w:r>
      <w:r>
        <w:rPr>
          <w:rtl w:val="true"/>
        </w:rPr>
        <w:t>)</w:t>
      </w:r>
      <w:bookmarkEnd w:id="196"/>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يبالغون في الاعتذار لعبارات صريحة، صدرت من ائمتهم، كما يفعلون في الاعتذار عمّا كتبه عبدالله بن الإمام احمد أو الاهوازي أو الهروي في التجسيم، أو كتبه البربهاري في التكفير أو ما كتبه ابن تيمية في انتقاص علي بن ابي‌طالب و ردّ كثير من فضائله</w:t>
      </w:r>
      <w:r>
        <w:rPr>
          <w:rFonts w:eastAsia="Amiri" w:cs="Amiri" w:ascii="Amiri" w:hAnsi="Amiri"/>
          <w:color w:val="111111"/>
          <w:sz w:val="28"/>
          <w:szCs w:val="28"/>
          <w:rtl w:val="true"/>
          <w:lang w:bidi="ar-SA"/>
        </w:rPr>
        <w:t xml:space="preserve">. </w:t>
      </w:r>
      <w:r>
        <w:rPr>
          <w:rStyle w:val="FootnoteAnchor"/>
          <w:rtl w:val="true"/>
        </w:rPr>
        <w:footnoteReference w:id="74"/>
      </w:r>
      <w:bookmarkStart w:id="197" w:name="pg1741_17390"/>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آنان در عذرتراشى براى عبارات صريحى كه از امامانشان صادر شده مبالغه مى‌كنند، همان‌گونه كه در نوشته‌هاى عبدالله بن امام احمد، يا اهوازى، يا هروى در تجسيم چنين نموده‌اند، يا آنچه را كه بربهارى در تكفير يا ابن تيميه در نقص وارد كردن بر على بن ابى‌طالب و ردّ بسيارى از فضائلش نوشته چنين نموده‌اند</w:t>
      </w:r>
      <w:r>
        <w:rPr>
          <w:rFonts w:eastAsia="IRNazanin" w:cs="IRNazanin"/>
          <w:color w:val="111111"/>
          <w:sz w:val="28"/>
          <w:szCs w:val="28"/>
          <w:rtl w:val="true"/>
          <w:lang w:bidi="fa-IR"/>
        </w:rPr>
        <w:t>.</w:t>
      </w:r>
    </w:p>
    <w:p>
      <w:pPr>
        <w:pStyle w:val="Heading4"/>
        <w:numPr>
          <w:ilvl w:val="3"/>
          <w:numId w:val="1"/>
        </w:numPr>
        <w:rPr/>
      </w:pPr>
      <w:bookmarkStart w:id="198" w:name="__RefHeading___Toc1920641_3650668749"/>
      <w:bookmarkStart w:id="199" w:name="_Toc72"/>
      <w:bookmarkEnd w:id="198"/>
      <w:r>
        <w:rPr/>
        <w:t>16</w:t>
      </w:r>
      <w:r>
        <w:rPr>
          <w:rtl w:val="true"/>
        </w:rPr>
        <w:t xml:space="preserve">. </w:t>
      </w:r>
      <w:r>
        <w:rPr>
          <w:rtl w:val="true"/>
        </w:rPr>
        <w:t>حكم سلفى‌ها به تكفير و قتل مخالفان خود</w:t>
      </w:r>
      <w:bookmarkEnd w:id="199"/>
    </w:p>
    <w:p>
      <w:pPr>
        <w:pStyle w:val="BookText"/>
        <w:rPr/>
      </w:pPr>
      <w:r>
        <w:rPr>
          <w:rFonts w:ascii="IRNazanin" w:hAnsi="IRNazanin" w:eastAsia="IRNazanin"/>
          <w:color w:val="111111"/>
          <w:sz w:val="28"/>
          <w:sz w:val="28"/>
          <w:szCs w:val="28"/>
          <w:rtl w:val="true"/>
          <w:lang w:bidi="fa-IR"/>
        </w:rPr>
        <w:t>حسن بن فرحان درباره سلفى‌ها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وتراهم يذمّون الخوارج؛ لانّهم يقتلون المسلمين و يكفرونهم، بينما هم يفتون بقتل خصومهم و تكفيرهم، كالخوارج تماماً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مشاهده مى‌كنى آنان را كه خوارج را مذمت مى‌كنند به جهت آنكه مسلمانان را به قتل رسانده و تكفير مى‌كنند، در حالى كه خودشان فتوا به قتل مخالفان خود داده و آنان را تكفير مى‌نمايند، همان‌گونه كه خوارج تمام اين كارها را انجام مى‌دهند</w:t>
      </w:r>
      <w:r>
        <w:rPr>
          <w:rFonts w:eastAsia="IRNazanin" w:cs="IRNazanin"/>
          <w:color w:val="111111"/>
          <w:sz w:val="28"/>
          <w:szCs w:val="28"/>
          <w:rtl w:val="true"/>
          <w:lang w:bidi="fa-IR"/>
        </w:rPr>
        <w:t>.</w:t>
      </w:r>
    </w:p>
    <w:p>
      <w:pPr>
        <w:pStyle w:val="Heading4"/>
        <w:numPr>
          <w:ilvl w:val="3"/>
          <w:numId w:val="1"/>
        </w:numPr>
        <w:rPr/>
      </w:pPr>
      <w:bookmarkStart w:id="200" w:name="__RefHeading___Toc1920643_3650668749"/>
      <w:bookmarkStart w:id="201" w:name="_Toc73"/>
      <w:bookmarkEnd w:id="200"/>
      <w:r>
        <w:rPr/>
        <w:t>17</w:t>
      </w:r>
      <w:r>
        <w:rPr>
          <w:rtl w:val="true"/>
        </w:rPr>
        <w:t xml:space="preserve">. </w:t>
      </w:r>
      <w:r>
        <w:rPr>
          <w:rtl w:val="true"/>
        </w:rPr>
        <w:t>ترس وهابيان از مسلمين نه كفار</w:t>
      </w:r>
      <w:bookmarkEnd w:id="201"/>
    </w:p>
    <w:p>
      <w:pPr>
        <w:pStyle w:val="BookText"/>
        <w:rPr/>
      </w:pPr>
      <w:r>
        <w:rPr>
          <w:rFonts w:ascii="Amiri" w:hAnsi="Amiri" w:eastAsia="Amiri" w:cs="Amiri"/>
          <w:color w:val="111111"/>
          <w:sz w:val="28"/>
          <w:sz w:val="28"/>
          <w:szCs w:val="28"/>
          <w:rtl w:val="true"/>
          <w:lang w:bidi="ar-SA"/>
        </w:rPr>
        <w:t>وى درباره وهابيان مى‌نويسد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إلي اليوم لانخشي إلّا من المسلمين،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ولانحذر إلّا منهم و لو جاء مسافر من بريطانيا أو امريكا، لما استنكرنا شيئاً، لكن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سلطنة عمان أو من دولة ايران لنظرنا اليه شزراً؛ لانّ عمان اباضية و ايران فيها اغلبية شيعية، و لابدّ أن نسأل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سافرت إلي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علمنا به قبل سفره لحذّرناه منهم كثيراً، بينما لانحذّره من اليهود و لا النصاري، بل و لا من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هذا تأويلات و اعتذارات لايسعني استعراضها و لا الجواب عليها</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تنها از مسلمانان مى‌هراسيم، و فقط از آنها پرهيز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مسافرى از انگلستان و امريكا بيايد بر او انكار نمى‌گيريم، ولى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كشور سلطان‌نشين عمان يا از كشور ايران آمده‌ام به او نظر بد داريم، چرا كه مردم عمان اباضى بوده و اغلب مردم ايران شيعه هستند، و بر خود لازم مى‌دانيم كه از او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كشور سفر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سفر از آن اطلاع داشتيم او را از آن بسيار برحذر مى‌داشتيم و اين در حالى است كه او را از يهود و نصارا بلكه از ملحدان برحذر نمى‌نماييم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اين</w:t>
      </w:r>
      <w:bookmarkStart w:id="202" w:name="pg1741_17392"/>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مسأله تأويلات و عذرهايى است كه وقت، اجازه طرح و جواب آنها را نمى‌دهد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920645_3650668749"/>
      <w:bookmarkStart w:id="204" w:name="_Toc74"/>
      <w:bookmarkEnd w:id="203"/>
      <w:r>
        <w:rPr/>
        <w:t>18</w:t>
      </w:r>
      <w:r>
        <w:rPr>
          <w:rtl w:val="true"/>
        </w:rPr>
        <w:t xml:space="preserve">. </w:t>
      </w:r>
      <w:r>
        <w:rPr>
          <w:rtl w:val="true"/>
        </w:rPr>
        <w:t xml:space="preserve">دشمنى ابن تيميه با امام على </w:t>
      </w:r>
      <w:r>
        <w:rPr>
          <w:rtl w:val="true"/>
        </w:rPr>
        <w:t>(</w:t>
      </w:r>
      <w:r>
        <w:rPr>
          <w:rtl w:val="true"/>
        </w:rPr>
        <w:t>ع</w:t>
      </w:r>
      <w:r>
        <w:rPr>
          <w:rtl w:val="true"/>
        </w:rPr>
        <w:t>)</w:t>
      </w:r>
      <w:bookmarkEnd w:id="204"/>
    </w:p>
    <w:p>
      <w:pPr>
        <w:pStyle w:val="BookText"/>
        <w:rPr/>
      </w:pPr>
      <w:r>
        <w:rPr>
          <w:rFonts w:ascii="IRNazanin" w:hAnsi="IRNazanin" w:eastAsia="IRNazanin"/>
          <w:color w:val="111111"/>
          <w:sz w:val="28"/>
          <w:sz w:val="28"/>
          <w:szCs w:val="28"/>
          <w:rtl w:val="true"/>
          <w:lang w:bidi="fa-IR"/>
        </w:rPr>
        <w:t>حسن بن فرحان مالكى بعد از نقل برخى از فضايل معاويه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والغريب انّ بعضهم كابن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مثل هذه النصوص العامة و يعتبرون القادح في الصحابة قادح في الكتاب و السنة، و يقصدون بالصحابة غالباً المتأخرين منهم كمعاوية و عمرو و امثالهم بينما يسكتون عن طعن النواصب في علي و لعنهم 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امر غريب اين است كه برخى همچون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نصوصات عام را مى‌آورند و در نتيجه قدح كننده در صحابه را قدح كننده در قرآن و سنت به حساب مى‌آورند، و مقصودشان به صحابه غالباً متأخران از آنان است، همچون معاويه و عمرو و امثال آنان، در حالى كه از طعن نواصب در حق على و لعن‌كنندگان او سكوت مى‌كنند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bookmarkStart w:id="205" w:name="pg1741_17393"/>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ابن تيمية مع فضله و علمه إلّا انّه يجب أن نعرف انّه شامي و اهل الشام فيهم انحراف في الجملة علي علي بن ابي‌طالب و ميل لمعاوية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ابن تيميه با علم و فضلش بايد بدانيم كه از اهالى شام است، و اهالى شام داراى انحراف كمى درباره على بن ابى‌طالب و ميل او به معاويه بوده‌اند</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920647_3650668749"/>
      <w:bookmarkStart w:id="207" w:name="_Toc75"/>
      <w:bookmarkEnd w:id="206"/>
      <w:r>
        <w:rPr/>
        <w:t>19</w:t>
      </w:r>
      <w:r>
        <w:rPr>
          <w:rtl w:val="true"/>
        </w:rPr>
        <w:t xml:space="preserve">. </w:t>
      </w:r>
      <w:r>
        <w:rPr>
          <w:rtl w:val="true"/>
        </w:rPr>
        <w:t>انتقاد وهابيان از جلوگيرى ورود كتاب‌هاى شيعه‌</w:t>
      </w:r>
      <w:bookmarkEnd w:id="207"/>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لا أري معني لمنع كتب الأشاعرة و الشيعة و الإباضية و غيرهم من المسلمين من دخول المملكة في ضوء التفجُّر المعرفي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من معنايى بر منع كتاب‌هاى اشاعره و شيعه و اباضيه و ديگر مسلمانان از ورود به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نمى‌بينم با وجود انفجار اطلاعات و معارف در دنيا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920649_3650668749"/>
      <w:bookmarkStart w:id="209" w:name="_Toc76"/>
      <w:bookmarkEnd w:id="208"/>
      <w:r>
        <w:rPr/>
        <w:t>20</w:t>
      </w:r>
      <w:r>
        <w:rPr>
          <w:rtl w:val="true"/>
        </w:rPr>
        <w:t xml:space="preserve">. </w:t>
      </w:r>
      <w:r>
        <w:rPr>
          <w:rtl w:val="true"/>
        </w:rPr>
        <w:t>انتقاد از محمد بن عبدالوهاب‌</w:t>
      </w:r>
      <w:bookmarkEnd w:id="20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الإعتراف الّتي إعترف بها المشركون قد أجاب عنها بعض العلماء، وذكروا أنّ المشركين إنّما إعترفوا بها من باب الإفحام والإنقطاع، وليس من باب الإقتناع، ولو كانوا صادقين في إعترافهم لأتوا بلوازم هذا الإعتراف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يذكّرهم بلوازم هذا الإعتراف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أَ فَلا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الله عزّوجلّ يوبّخهم بأنّهم كاذبون وأنّهم لايؤمنون بالله عزّوجلّ خالقاً ورازقاً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اعترافى كه مشركان به آن اقرار كرده‌اند را برخى از علما از آن اين‌گونه جواب داده‌اند كه مشركان اين اعتراف را از باب اجبار وسيه‌رو شدن واز روى ناچارى داشتند، نه از باب قانع شدن ورسيدن به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اعترافشان به اين امور صادق بودند، ملتزم به لوازم آن نيز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خداوند پيامبرش را امر مى‌كند كه آنان را به لوازم اين اعتراف تذكر دهد؛ همان‌گونه كه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أَ فَلا</w:t>
      </w:r>
      <w:bookmarkStart w:id="210" w:name="pg1741_17395"/>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تَتَّقُو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فَلا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خداوند عزّوجلّ آنان را توبيخ مى‌كند كه در ادّعايشان دروغ مى‌گويند وهرگز به خالقيت ورازقيت خدا ايمان ندارند</w:t>
      </w:r>
      <w:r>
        <w:rPr>
          <w:rFonts w:eastAsia="IRNazanin" w:cs="IRNazanin"/>
          <w:color w:val="111111"/>
          <w:sz w:val="28"/>
          <w:szCs w:val="28"/>
          <w:rtl w:val="true"/>
          <w:lang w:bidi="fa-IR"/>
        </w:rPr>
        <w:t>.</w:t>
      </w:r>
    </w:p>
    <w:p>
      <w:pPr>
        <w:pStyle w:val="Heading4"/>
        <w:numPr>
          <w:ilvl w:val="3"/>
          <w:numId w:val="1"/>
        </w:numPr>
        <w:rPr/>
      </w:pPr>
      <w:bookmarkStart w:id="211" w:name="__RefHeading___Toc1920651_3650668749"/>
      <w:bookmarkStart w:id="212" w:name="_Toc77"/>
      <w:bookmarkEnd w:id="211"/>
      <w:r>
        <w:rPr/>
        <w:t>21</w:t>
      </w:r>
      <w:r>
        <w:rPr>
          <w:rtl w:val="true"/>
        </w:rPr>
        <w:t xml:space="preserve">. </w:t>
      </w:r>
      <w:r>
        <w:rPr>
          <w:rtl w:val="true"/>
        </w:rPr>
        <w:t>مردود دانستن تندروى سلفيان‌</w:t>
      </w:r>
      <w:bookmarkEnd w:id="212"/>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ويساعده علي ذلك ايضاً انّ غلاة السنة لهم الصوت الأقوي داخل الوسط السنّي السلفي علي وجه الخصوص، فلذلك لانستغرب هذه الانحسارات عن السنة إلي مذاهب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سيبقي الغلو السلفي من اكبر الأمور المساعدة علي الانتقال الحادّ إلي الشيعة مالم يسارع عقلاء السلفية بنقد الغلو داخل التيار السلفي نفسه، ذلك الغلو المتمثّل في كثرة الاحاديث الضعيفة و الموضوعة الّتي نشدّ بها المذهب و كثرة التكفيرات المخالفة للمنهج السلفي، كتكفير ابي‌حنيفة و الأحناف و تكفير الشيعة و الجهمية و المعتزلة</w:t>
      </w:r>
      <w:r>
        <w:rPr>
          <w:rFonts w:eastAsia="Amiri" w:cs="Amiri" w:ascii="Amiri" w:hAnsi="Amiri"/>
          <w:color w:val="111111"/>
          <w:sz w:val="28"/>
          <w:szCs w:val="28"/>
          <w:rtl w:val="true"/>
          <w:lang w:bidi="ar-SA"/>
        </w:rPr>
        <w:t xml:space="preserve">. </w:t>
      </w:r>
      <w:r>
        <w:rPr>
          <w:rStyle w:val="FootnoteAnchor"/>
          <w:rtl w:val="true"/>
        </w:rPr>
        <w:footnoteReference w:id="81"/>
      </w:r>
      <w:bookmarkStart w:id="213" w:name="pg1741_17396"/>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تأييد اين مطلب اينكه غاليان اهل سنت صداى قوى‌ترى به‌ويژه‌در بين سنى‌هاى سلفى دارند، و لذا اين‌گونه خروج‌ها از مذهب اهل‌سنت به مذاهب ديگر را بدين جهت غريب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كه غلو سلفى‌ها از بزرگ‌ترين امورى گردد كه باعث انتقال سريع اهل سنت به سوى شيعه شود، مگر آنكه عقلاء سلفى به فكر چاره برآمده و غلو و تندروى خود را از درون نقد كنند، غلوى كه در وجود احاديث ضعيف و جعلى براى تأييد مذهب و تكفير مخالفان مذهب و روش سلفى پديدار گشته است، همچون تكفير ابوحنيفه و احناف و تكفير شيعه و جهميه و معتزله</w:t>
      </w:r>
      <w:r>
        <w:rPr>
          <w:rFonts w:eastAsia="IRNazanin" w:cs="IRNazanin"/>
          <w:color w:val="111111"/>
          <w:sz w:val="28"/>
          <w:szCs w:val="28"/>
          <w:rtl w:val="true"/>
          <w:lang w:bidi="fa-IR"/>
        </w:rPr>
        <w:t>.</w:t>
      </w:r>
    </w:p>
    <w:p>
      <w:pPr>
        <w:pStyle w:val="Heading4"/>
        <w:numPr>
          <w:ilvl w:val="3"/>
          <w:numId w:val="1"/>
        </w:numPr>
        <w:rPr/>
      </w:pPr>
      <w:bookmarkStart w:id="214" w:name="__RefHeading___Toc1920653_3650668749"/>
      <w:bookmarkStart w:id="215" w:name="_Toc78"/>
      <w:bookmarkEnd w:id="214"/>
      <w:r>
        <w:rPr/>
        <w:t>22</w:t>
      </w:r>
      <w:r>
        <w:rPr>
          <w:rtl w:val="true"/>
        </w:rPr>
        <w:t xml:space="preserve">. </w:t>
      </w:r>
      <w:r>
        <w:rPr>
          <w:rtl w:val="true"/>
        </w:rPr>
        <w:t>تنقيص محمّد بن عبدالوهاب‌</w:t>
      </w:r>
      <w:bookmarkEnd w:id="215"/>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التوحيد أو كتاب كشف الشبهات أو غيرهما من كتب الشيخ و رسائله انّما الّفها بشر يخطي‌ء و يصيب و لم يؤلّفها ملك و لا رسول، فلذلك من الطبيعي جداً أن يخطي‌ء و لا مانع شرعاً و لا عقلا من وقوع الأخطاء من الشيخ؛ سواء كانت كبيرة أو صغيرة، كثيرة أو قليلة، فقهية أو عقدية</w:t>
      </w:r>
      <w:bookmarkStart w:id="216" w:name="pg1741_17397"/>
    </w:p>
    <w:p>
      <w:pPr>
        <w:pStyle w:val="BookText"/>
        <w:rPr/>
      </w:pPr>
      <w:bookmarkEnd w:id="2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ايمانية</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اين دو از كتاب‌ها و رساله‌هاى شيخ را كسى نوشته كه بشرى است ممكن است خطا كند يا به واقع برسد، و آنها را فرشته يا رسول ننوشته است؛ و لذا خيلى طبيعى به نظر مى‌رسد كه او خطا كند و از نظر شرع و عقل مانعى از وقوع خطاها از شيخ نيست؛ چه آن خطاها بزرگ باشد يا كوچك، زياد باشد يا كم، فقهى باشد يا عقيدتى و ايمانى </w:t>
      </w:r>
      <w:r>
        <w:rPr>
          <w:rFonts w:eastAsia="IRNazanin" w:cs="IRNazanin"/>
          <w:color w:val="111111"/>
          <w:sz w:val="28"/>
          <w:szCs w:val="28"/>
          <w:rtl w:val="true"/>
          <w:lang w:bidi="fa-IR"/>
        </w:rPr>
        <w:t>...</w:t>
      </w:r>
    </w:p>
    <w:p>
      <w:pPr>
        <w:pStyle w:val="Heading4"/>
        <w:numPr>
          <w:ilvl w:val="3"/>
          <w:numId w:val="1"/>
        </w:numPr>
        <w:rPr/>
      </w:pPr>
      <w:bookmarkStart w:id="217" w:name="__RefHeading___Toc1920655_3650668749"/>
      <w:bookmarkStart w:id="218" w:name="_Toc79"/>
      <w:bookmarkEnd w:id="217"/>
      <w:r>
        <w:rPr/>
        <w:t>23</w:t>
      </w:r>
      <w:r>
        <w:rPr>
          <w:rtl w:val="true"/>
        </w:rPr>
        <w:t xml:space="preserve">. </w:t>
      </w:r>
      <w:r>
        <w:rPr>
          <w:rtl w:val="true"/>
        </w:rPr>
        <w:t>نسبت ناصبى دادن به بزرگان وهابى‌</w:t>
      </w:r>
      <w:bookmarkEnd w:id="218"/>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بعد هؤلاء آل تيميّة بحرّان ثمّ دمشق، و ابن كثير كان فيه نصب إلي حدّ كبير، و الذهبي إلي حدّما، امّا ابن تيمية إلي حدّ لا ينكره باحث منصف، فاشتهر عنه النصب و كتبه تشهد بذلك، و لذلك حاكمه علماء عصره علي جملة امور منها بغض علي، ولم يحاكموا غيره من الحنابلة، مع انّ فيهم نصباً ورثوه عن ابن بطة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ابن حامد و البربهاري و ابن أبي‌يعلي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التيار الشامي العثماني له اثر بالغ علي الحياة العلمية عندنا في الخليج، و هذا من اسرار حساسيتنا من الثناء علي الامام علي أو الحسين، و ميلنا الشديد لبني امية، فتنبّه</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آنان، آل تيميه حرّانى دمشقى و ابن‌كثير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تا حدود زيادى نصب و عداوت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 وذهبى نيز تا حدودى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دشمنى ابن‌تيميه نسبت به اهل بيت آن‌قدر زياد بود كه بحث‌كننده منصف نمى‌تواند آن را انكار نمايد، ولذا او مشهور به ناصبى‌بودن است وكتاب‌هاى او نيز بر اين مطلب گواهى مى‌دهد، وبدين جهت علماى هم عصرش او را به جهت امورى از آن جمله بغض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نمودند، با اينكه غير او از حنابله را محاكمه نكردند در حالى كه در آنان نيز نصب و عداوتى بود كه از ابن بطه و ابن حامد و بربهارى و ابن ابى يعلى و ديگران به ارث برده بودند، و مدرسه شام كه عثمانى هستند اثر بسيارى بر حيات علمى ما در خليج گذاشته است، و بدين جهت است كه ما حسّاسيت فراوانى نسبت به‌مدح و ثناى بر امام على يا حسين داشته و ميل شديد به بنى‌اميه داريم، پس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تتابع علماء الشام كابن تيمية و ابن كثير و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اشدّهم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التوجس من فضائل علي و اهل بيته، و تضعيف الأحاديث الصحيحة في فضلهم، مع المبالغة في مدح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لاينجون من تأثير البيئة الشامية الّتي كانت اقوي من محاولات الانصاف، خاصّة مع استئناس هؤلاء بالتراث الحنبلي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سپس يكى پس از ديگرى علماى شام همچون ابن تيميه و ابن كثير و ابن قيم آمدند، كه شديدترين آنها در مخفى نمودن فضائل على و اهل بيتش و تضعيف احاديث صحيح در فضائل آنان، ابن تيميه است، و اين در حالى است كه در مدح ديگران شديداً مبالغه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شام با فضيلتى كه دارند بشرى هستند كه هرگز از تأثير محيط شام بى‌نصيب نبوده‌اند، محيطى كه از انصاف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آنكه آنان با ميراث حنابله انس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حُوكِمَ ابن تيمية في عصره علي بغض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واتّهمه مخالفوه من علماء عصره بالنفاق و اخطئوا في ذلك و اتّهموه بالنصب و اصابوا في كثير من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قاتل للرئاسة لا للديانة، و زعمه انّ اسلام علي مشكّك فيه لصغر سنه و انّ تواتر اسلام معاوية و يزيد بن معاوية اعظم من تواتر اسلام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مخذولا، و غيرذلك من الشناعات التي بقي منها مابقي في كتابه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هذه الأقوال نصباً فليس في الدنيا نصب</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عصرش به جهت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شد و مخالفين از علماى عصرش او را متّهم به نفاق كردند ولى در آن به خطا رفتند و او را متّهم به عداوت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در بسيارى از موارد به واقع رسيدند؛ چرا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جهت رياست جنگيد نه به جهت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او كه اسلام على مورد شك است؛ چرا كه كودكى كم‌سن بوده است، و تواتر اسلام معاويه و يزيد بن معاويه از تواتر اسلام على مهم‌تر است، و اينكه على خوار شده است، و ديگر كلمات زشت و پست كه در كتابش به نام</w:t>
      </w:r>
      <w:bookmarkStart w:id="219" w:name="pg1741_17401"/>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گفته‌ها نصب و دشمنى با حضرت على نباشد پس در دنيا دشمنى نيست</w:t>
      </w:r>
      <w:r>
        <w:rPr>
          <w:rFonts w:eastAsia="IRNazanin" w:cs="IRNazanin"/>
          <w:color w:val="111111"/>
          <w:sz w:val="28"/>
          <w:szCs w:val="28"/>
          <w:rtl w:val="true"/>
          <w:lang w:bidi="fa-IR"/>
        </w:rPr>
        <w:t>.</w:t>
      </w:r>
    </w:p>
    <w:p>
      <w:pPr>
        <w:pStyle w:val="Heading4"/>
        <w:numPr>
          <w:ilvl w:val="3"/>
          <w:numId w:val="1"/>
        </w:numPr>
        <w:rPr/>
      </w:pPr>
      <w:bookmarkStart w:id="220" w:name="__RefHeading___Toc1920657_3650668749"/>
      <w:bookmarkStart w:id="221" w:name="_Toc80"/>
      <w:bookmarkEnd w:id="220"/>
      <w:r>
        <w:rPr/>
        <w:t>24</w:t>
      </w:r>
      <w:r>
        <w:rPr>
          <w:rtl w:val="true"/>
        </w:rPr>
        <w:t xml:space="preserve">. </w:t>
      </w:r>
      <w:r>
        <w:rPr>
          <w:rtl w:val="true"/>
        </w:rPr>
        <w:t>دشمنى سلفى‌هاى افراطى با اهل بيت</w:t>
      </w:r>
      <w:r>
        <w:rPr>
          <w:rtl w:val="true"/>
        </w:rPr>
        <w:t>:</w:t>
      </w:r>
      <w:bookmarkEnd w:id="221"/>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يبالغون في الاعتذار لعبارات صريحة، صدرت من ائمتهم، كما يفعلون في الاعتذار عمّا كتبه عبدالله بن الامام احمد أو الاهوازي أو الهروي في التجسيم، أو كتبه البربهاري في التكفير أو ما كتبه ابن تيمية في انتقاص علي بن ابي‌طالب و ردّ كثير من فضائله</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عذرتراشى براى عبارات صريحى كه از امامانشان صادر شده مبالغه مى‌كنند، همان‌گونه كه در نوشته‌هاى عبدالله بن امام احمد، يا اهوازى، يا هروى در تجسيم چنين نموده‌اند، يا آنچه را كه بربهارى در تكفير يا ابن تيميه در نقص وارد كردن بر على بن ابى‌طالب و ردّ بسيارى از فضائلش نوشته چنين نموده‌اند</w:t>
      </w:r>
      <w:r>
        <w:rPr>
          <w:rFonts w:eastAsia="IRNazanin" w:cs="IRNazanin"/>
          <w:color w:val="111111"/>
          <w:sz w:val="28"/>
          <w:szCs w:val="28"/>
          <w:rtl w:val="true"/>
          <w:lang w:bidi="fa-IR"/>
        </w:rPr>
        <w:t>.</w:t>
      </w:r>
      <w:bookmarkStart w:id="222" w:name="pg1741_17402"/>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3"/>
        <w:numPr>
          <w:ilvl w:val="2"/>
          <w:numId w:val="1"/>
        </w:numPr>
        <w:rPr/>
      </w:pPr>
      <w:bookmarkStart w:id="223" w:name="__RefHeading___Toc1920659_3650668749"/>
      <w:bookmarkStart w:id="224" w:name="_Toc81"/>
      <w:bookmarkEnd w:id="223"/>
      <w:r>
        <w:rPr>
          <w:rtl w:val="true"/>
        </w:rPr>
        <w:t xml:space="preserve">نقد حسن بن فرحان بر </w:t>
      </w:r>
      <w:r>
        <w:rPr>
          <w:rtl w:val="true"/>
        </w:rPr>
        <w:t>«</w:t>
      </w:r>
      <w:r>
        <w:rPr>
          <w:rtl w:val="true"/>
        </w:rPr>
        <w:t>كشف الشبهات</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او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كتابى را تأليف كرده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داعية و ليس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آن انتقاداتى از محمد بن عبدالوهاب و مطالب كتاب او داشته است، اينك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ذيل كلامى از محمد بن عبدالوهاب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قريش الذين لايقولون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لايؤمنون بيوم القيامة، و لا البعث ولا جنة ولا نار، ولا يؤمنون بنبي، و يعبدون الأصنام، و يقتلون و يظلمون و يشربون الخمور و يرتكبون المحرمات، مَثَلهم مَثَل المسلمين الصائمين الحاجين المزكين المتصدقين،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المجتنبين للمحرمات، و يفعلون 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ليسوا سواء، حتي و أن تأول علماؤهم و جهل عوامهم، فالتأويل و الجهل باب واسع، لكن لايساوي فيه من يقوم بأركان الاسلام ممّن لاينكرها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قريش كه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نمى‌كنند و به روز قيامت ايمان نمى‌آورند، و حشر و بهشت و دوزخ را قبول ندارند، و بت‌ها را عبادت مى‌كنند و مى‌كشند و ظلم مى‌نمايند و شرب خمر مى‌كنند و مرتكب محرمات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همانند مسلمانانى هستند كه نماز به جاى آورده و روزه مى‌گيرند و حج به جاى مى‌آورند و زكات و صدقه مى‌دهند و از محرمات اجتناب مى‌كنند و مكارم اخلاق را به جاى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دو مساوى نيستند، پس تأويل و جهل باب واسعى دارد، ولى با كسانى كه به اركان اسلام قيام مى‌كنند و آنها را انكار نمى‌نمايند مساوى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ولايتساوي من يؤمن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 رسولا و من يكذبه و يظنّه ساحراً أو كاهناً، ولا يتساوي من يتوسل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ويتبرك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يرجم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الصالحين و لايتساوي من يؤمن باليوم الآخر و الجنة و النار، مع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 نَمُوتُ وَ 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لايتساوي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لايتساوي من آمن و من كفر، من صدق الرسل و من كذّبهم، من آمن بالبعث و من 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لايتساوي من طلب شفاعة الحي ممّن يطلب شفاعة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لايتساوي من يطلب شفاعة الأحياء و هو يعرف انّهم عبيدالله ممّن يطلب شفاعة الأصنام و يجعلهم مشاركين لله في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كبير بين هؤلاء و هؤلاء</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با كسانى كه او را تكذيب كرده و به گمانشان او ساحر و يا كاهن است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كسانى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و به صالحان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خطا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زده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صالحان را به قتل مى‌رسانند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آخرت و به بهشت و دوزخ ايمان آورده با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ما جز حيات دنيا نيست، مى‌ميريم و زنده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را يك 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 هرگز چنين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آورده با كسى كه كفر ورزيده، كسى كه رسولان را تصديق كرده با كسى كه آنان را تكذيب نموده، كسى كه به حشر ايمان آورده و كسى كه به آنها كافر شده مساوى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درخواست شفاعت از زنده‌اى مى‌كند با كسى كه درخواست شفاعت از جماد مى‌نمايد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درخواست شفاعت از زنده‌ها مى‌كند در حالى كه مى‌داند آنها بندگان خدايند، با كسى كه درخواست شفاعت از بت‌ها مى‌كند و آنها را شريك خداوند در الوهيت مى‌داند يكسان نيست، نه اى شيخ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فرق بزرگى بين اين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فرحان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معظم علماء المسلمين في عهد الشيخ محمد و في ايّامنا هذه يقولون بجواز التبرك بالصالحين و التوسل بهم؛ فهل نحن اليوم نكفر حميع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نخطئهم فقط؟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نكفرهم ردّ عليكم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البلاد و اتّهموكم بالغلوّ في الدين و 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نحن لانكفرهم، رددتم علي محمد بن عبدالوهاب تكفيره لهم؛ لانّه كان يكفر علماء و عوام مثل علماء زماننا و عوامهم تماماً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معظم علماى مسلمين در عصر شيخ محمد و در ايام ما قائل به جواز تبرك به صالحان و توسل به آنان است، آيا ما امروز تمام آنها را تكفير كنيم، يا تنها نسبت خطا به آنان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بگوييم ما آنان را تكفير مى‌كنيم علماى آن شهرها شما را رد كرده و شما را متّهم به غلوّ در دين و تكفير مسلمانان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 آنان را تكفير نمى‌كنيم، بر محمد بن عبدالوهاب به جهت تكفيرش مسلمين را ردّ نموده‌ايد؛ زيرا كه او علما و عوام را همچون علماى زمان ما و عوامشان را تماماً تكفير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سامح الله الشيخ محمد، ففي هذا النص تكفير صريح لعلماء المسلمين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المسلمين لايعبدون الّا الله، بخلاف هؤلاء المشركين الذين يسجدون للأصنام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وإذا لم يكن هذا واضحاً فلن نستطيع التفريق بين امور اخري التباساً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خداوند از تقصيرات شيخ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در اين نص تكفير صريح علماى مسلمين زمان خودش مى‌باشد، مسلمانانى كه جز خدا را عبادت نمى‌كنند به خلاف آن مشركانى كه بت‌ها رامى‌پرستند، و اگر اين امر واضح نباشد ما نمى‌توانيم بين امور ديگر كه مشتبه است فرق 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التسوية بين الخوارج و الوهابية ظلماً فالتسوية بين كفار قريش و المسلمين اكثر ظلماً و ابعد عن الحق</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تسويه بين خوارج و وهابيان ظلم است، پس تسويه بين كفار قريش و مسلمانان ظلمش بيشتر و از حق دورتر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فرحان همچنين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يذكر اسباباً ليست متحققة و لايدري أ هي سبب في القتال ام لا، و يترك الاسباب المتفق عليها بانّها هي سبب 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اسبابى را ذكر كرده كه تحقق خارجى ندارد، و نمى‌داند كه آيا آنها سبب در قتال بوده يا چيز ديگرى دخيل بوده است، و اين در حالى است كه او اسبابى را كه مورد اتفاق است در اينكه سبب قتال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است را رها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فرحان در ردّ كلام محمد بن عبدالوهاب كه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است نه لفظ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مجرد التلفظ بها ينجيهم من التكفير و القتل، بينما من يقولها من معاصري الشيخ لاتعصمهم من سيفه، فالمنافقون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الشهادتين بألسنتهم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و مع ذلك عصمت دماؤهم و اموالهم، اما المعاصرون للشيخ من المسلمين فلم تعصمهم منه؛ لا الشهادتين و لا اركان الاسلام</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مجرد تلفظ به آن آنها را از تكفير و قتل نجات مى‌دهد، در حالى كه افراد معاصر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كلمه توحيد از شمشير او در امان نمى‌شدند، در حالى كه منافقان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شهادتين را بر زبان جارى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مى‌شناخت ولى با اين حال خون‌ها و اموالشان محفوظ بود، ولى معاصران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از شمشير او در امان نبودند نه با گفتن شهادتين و نه با عمل به اركان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در نقد كلام 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تكفير واضح لمن ليس علي معتقد اهل نجد الذين يسميهم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هذا فانّه مهمّ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اين تكفير واضحى است نسبت به كسى كه بر اعتقاد اهل نجد نباشد، كسانى كه آنان را موحد مى‌ناميد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بدان كه خيلى مهم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تكفير صريح للمخالفين له ممّن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ظلم؛ لانّ الشيخ كان يرد علي المسلمين و لم يكن يرد علي كفار و لا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رسائله و كتبه ليس فيها تسمية لمشرك ولا كافر، و إنا فيها تسمية لعلماء المسلمين في عصره كابن فيروز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سليمان بن عبدالوهاب و ابن عفالق و غيرهم من العلماء الذين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بذور التكفير المعاصر التي لازالت تنبت و تؤتي اكلها الدامية في ارجاء العالم الاسلامي</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اين تكفير صريح مخالفان اوست از كسانى كه آنان را دشمنان دعوت يا دشمنان توحيد، يا دشمنان اسلام ناميده‌اند، و اين ظلم است؛ زيرا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ردّ كرده، ولى بر كافران و مشركان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رساله‌ها و كتاب‌هاى او كه نامى از مشركان و كافران به ميان نياورده و تنها نام علماى مسلمين در عصر خود امثال ابن فيروز و سليمان بن عبدالوهاب و ابن عفالق و ديگر علما را ذكر كرده و بر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ريشه‌هاى تكفير معاصر كه دائماً در حال رشد بوده و آثار كشنده‌اش در اطراف عالم اسلامى گسترده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هذا لن يدخل الجنة في زمن الشيخ الّا اهل العيينة و 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السابق تكفير ضمني لكل من يري التوسل بالصالحين، و هم جمهرة 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المسلمين و عامتهم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بنابراين در زمان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وارد بهشت نمى‌شود مگر اهل عيينه و 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سابق تكفير ضمنى است بر هر كسى كه معتقد به توسل به صالحان باشد، كه آنان عموم علماى مسلمين و عامه مسلمانان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والمجتمع السعودي علماؤه و طلاب العلم فيه تربّي علي فتاوي الشيخ، كانوا يميلون لتكفير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هذا تماماً، بل هذا المؤلف مجلدان كبيران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في جهاد المسلمين، ليس فيه حرف في جهاد الكفار الأصليين من اليهود و النصاري، مع انّ بلاد المسلمين المجاورة كان فيها كفار اصليون</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سعودى اعم از علما و طلاب علم در آن بر فتواى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يافته‌اند، آنان كه تمايل به تكفير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كسى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كند اين مطلب را به خوبى مى‌فهمد، بلكه اين دو جلد بزرگش درباره جهاد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است كه تمام آنها در مورد جهاد با مسلمانان مى‌باشد، و در آنها سخنى در مورد جهاد با كفار اصلى از يهود و نصارا به ميان نياورده است، با وجود آنكه در كشورهاى مسلمانان مجاور كفار اصلى وجود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در ردّ 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الأصنام هي السجود لها و الصلاة لها و طلب الحوائج منها، مع الكفر بالنبوات، و أمّا المسلم فلا يصلّي لولي و لا نبي، و يقرّ بأركان الاسلام و اركان الإيمان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پرستش بت‌ها عبارت است از سجده و نماز براى آنها و درخواست حوايج از آنان با كفر به نبوت‌ها، و اما مسلمان براى ولى يا نبى نماز نمى‌خواند و به اركان اسلام و اركان ايمان اقرار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 فرحان در ردّ محمد بن عبدالوهاب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الشيخ عجيب، فهو لايفرق بين المنكر لشي‌ء ممّا جاء به الرسول متعمّداً، ممّن ترك بعض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متأولا</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شيخ عجيب است، او بين منكر عمدى چيزى از آنچه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 كسى كه از روى تأويل برخى از آنچه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ترك مى‌كند فرق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العلماء في عهد الشيخ يعرفون الأبواب الفقهية التي فيها حكم المرتد و لم يقولوا باستباحة الدماء و الأموال الجماعي الذي يفعله الشيخ و اتباعه، و انّما يحكم علي الشخص بمفرده بعد قيام الحجة عليه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همانا علماى در عصر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فقهى را به خوبى مى‌دانستند، ابوابى كه در آنها حكم مرتد است، و هرگز قائل به مباح بودن خون‌ها و اموال عموم مسلمين نشده‌اند، امرى كه شيخ و پيروانش انجام مى‌دهند، و آن علما تنها بر شخصى خاص چنين حكمى داشتند آن هم بعد از قيام حجت بر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جاى ديگر خطاب به محمد بن عبدالوهاب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رأيك فيمن تأول بانّ الاستغاثة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عند قبره؛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انّ من يري هذا الرأي من تأويل، بل لهم في ذلك حديث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يأتي آخر و يقول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لماذا تذهب إلي رجل صالح و تطلب منه ان يدعو الله لك؟ لماذا لاتدعو الله مباشرة؟ اليس في هذا مشابهة لعمل الكفار في اتخاذ هؤلاء واسطة بينك و بين الله؟ ألم يقل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قَرِيبٌ أُجِيبُ دَعْوَةَ الدَّاعِ إِذا 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يمكن لآخر يضيق عليك حتى يكفرك مثلما ضيقت علي الآخرين حتي كفرتهم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يستطيع آخر ان يلزمك بما الزمت به الآخرين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خصوصية، و قد امر الله المنافقين أن يأتوا إليه ليستغفر لهم؛ لانّ اتيانهم إليه دليل ظاهري علي التوبة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تو درباره كسى كه با تأويل معتقد به جواز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قبرش شده است؛ چيست به اين اعتقاد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زنده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كسى كه چنين اعتقادى دارد داراى جانبى از تأويل است، بلكه آنان در اين مسأله به حديث عثمان بن حنيف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ديگرى مى‌آيد و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به‌نزد شخص صالحى رفته واز او مى‌خواهى تا براى تو دعاكند؟ چرا از خداوند به‌طور مستقيم درخواست نمى‌كنى؟ آيا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تشابه به‌عمل كفار در گرفتن واسطه بين خود وخداوند نيست؟ آيا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نزديكم و درخواست دعاكننده را در صورتى كه مرا بخواند پاسخ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ممكن است ديگرى را در تنگنا قرارداده وتكفير نمايد همان‌گونه كه تو ديگران را در تنگنا قرار داده و آنان را تكفير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ديگرى مى‌تواند تو را ملزم كند به آنچه تو ديگران را به آن ملزم ساختى و به تو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خصوصيتى است، چنان‌كه خداوند منافقان را دستور داده تا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او نيز برايشان استغفار نمايد؛ زيرا آمدن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ظاهرى بر توبه است </w:t>
      </w:r>
      <w:r>
        <w:rPr>
          <w:rFonts w:eastAsia="IRNazanin" w:cs="IRNazanin"/>
          <w:color w:val="111111"/>
          <w:sz w:val="28"/>
          <w:szCs w:val="28"/>
          <w:rtl w:val="true"/>
          <w:lang w:bidi="fa-IR"/>
        </w:rPr>
        <w:t>...</w:t>
      </w:r>
      <w:bookmarkStart w:id="225" w:name="pg1741_17416"/>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3"/>
        <w:numPr>
          <w:ilvl w:val="2"/>
          <w:numId w:val="1"/>
        </w:numPr>
        <w:rPr/>
      </w:pPr>
      <w:bookmarkStart w:id="226" w:name="__RefHeading___Toc1920661_3650668749"/>
      <w:bookmarkStart w:id="227" w:name="_Toc82"/>
      <w:bookmarkEnd w:id="226"/>
      <w:r>
        <w:rPr>
          <w:rtl w:val="true"/>
        </w:rPr>
        <w:t>برخى از افكار ديگر حسن بن فرحان مالكى‌</w:t>
      </w:r>
      <w:bookmarkEnd w:id="227"/>
    </w:p>
    <w:p>
      <w:pPr>
        <w:pStyle w:val="Heading4"/>
        <w:numPr>
          <w:ilvl w:val="3"/>
          <w:numId w:val="1"/>
        </w:numPr>
        <w:rPr/>
      </w:pPr>
      <w:bookmarkStart w:id="228" w:name="__RefHeading___Toc1920663_3650668749"/>
      <w:bookmarkStart w:id="229" w:name="_Toc83"/>
      <w:bookmarkEnd w:id="228"/>
      <w:r>
        <w:rPr>
          <w:rtl w:val="true"/>
        </w:rPr>
        <w:t>احمد بن حنبل و نهى از تقليد</w:t>
      </w:r>
      <w:bookmarkEnd w:id="229"/>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احمد بن حنبل نفسه بشر يخطي‌ء و يصيب، و هو الذي حثّ اتباعه علي ترك التقليد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همانا احمد بن حنبل خودش بشرى است كه گاهى خطا كرده و گاهى به صواب مى‌رسيد، و او كسى است كه پيروانش را بر ترك تقليد وادار و تشويق كرده است</w:t>
      </w:r>
      <w:r>
        <w:rPr>
          <w:rFonts w:eastAsia="IRNazanin" w:cs="IRNazanin"/>
          <w:color w:val="111111"/>
          <w:sz w:val="28"/>
          <w:szCs w:val="28"/>
          <w:rtl w:val="true"/>
          <w:lang w:bidi="fa-IR"/>
        </w:rPr>
        <w:t>.</w:t>
      </w:r>
    </w:p>
    <w:p>
      <w:pPr>
        <w:pStyle w:val="Heading4"/>
        <w:numPr>
          <w:ilvl w:val="3"/>
          <w:numId w:val="1"/>
        </w:numPr>
        <w:rPr/>
      </w:pPr>
      <w:bookmarkStart w:id="230" w:name="__RefHeading___Toc1920665_3650668749"/>
      <w:bookmarkStart w:id="231" w:name="_Toc84"/>
      <w:bookmarkEnd w:id="230"/>
      <w:r>
        <w:rPr>
          <w:rtl w:val="true"/>
        </w:rPr>
        <w:t>ابطال حصر در مذاهب اربعه‌</w:t>
      </w:r>
      <w:bookmarkEnd w:id="231"/>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يجب الانتساب إليه و ترك</w:t>
      </w:r>
      <w:bookmarkStart w:id="232" w:name="pg1741_17417"/>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الانتساب إليه كفر مخرج من الملة باجماع المسلمين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المذهب فلا يجب الإنتساب إليه، بل قد يحرم إذا اقترن هذا الانتساب بردّ الحق المخالف للمذهب</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اسلام چيزى است كه بايد به آن منتسب شد و ترك انتساب به آن كفر است و به اتفاق مسلمانان كسى را كه چنين نموده از ملت اسلام خارج مى‌كند، ولى انتساب به مذهب واجب نيست، بلكه در برخى موارد حرام مى‌باشد، اگر اين انتساب با ردّ حقى همراه باشد كه مخالف با مذهب است</w:t>
      </w:r>
      <w:r>
        <w:rPr>
          <w:rFonts w:eastAsia="IRNazanin" w:cs="IRNazanin"/>
          <w:color w:val="111111"/>
          <w:sz w:val="28"/>
          <w:szCs w:val="28"/>
          <w:rtl w:val="true"/>
          <w:lang w:bidi="fa-IR"/>
        </w:rPr>
        <w:t>.</w:t>
      </w:r>
    </w:p>
    <w:p>
      <w:pPr>
        <w:pStyle w:val="Heading4"/>
        <w:numPr>
          <w:ilvl w:val="3"/>
          <w:numId w:val="1"/>
        </w:numPr>
        <w:rPr/>
      </w:pPr>
      <w:bookmarkStart w:id="233" w:name="__RefHeading___Toc1920667_3650668749"/>
      <w:bookmarkStart w:id="234" w:name="_Toc85"/>
      <w:bookmarkEnd w:id="233"/>
      <w:r>
        <w:rPr>
          <w:rtl w:val="true"/>
        </w:rPr>
        <w:t>ورود اسرائيليات در كتاب‌هاى اسلامى‌</w:t>
      </w:r>
      <w:bookmarkEnd w:id="234"/>
    </w:p>
    <w:p>
      <w:pPr>
        <w:pStyle w:val="BookText"/>
        <w:rPr/>
      </w:pPr>
      <w:r>
        <w:rPr>
          <w:rFonts w:ascii="IRNazanin" w:hAnsi="IRNazanin" w:eastAsia="IRNazanin"/>
          <w:color w:val="111111"/>
          <w:sz w:val="28"/>
          <w:sz w:val="28"/>
          <w:szCs w:val="28"/>
          <w:rtl w:val="true"/>
          <w:lang w:bidi="fa-IR"/>
        </w:rPr>
        <w:t>او در رابطه با وارد شدن برخى عقايد و انكار يهود و نصارا در كتاب‌هاى اسلامى مى‌گويد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وخاصة تلك المشتملة علي التجسيم، و تشبيه الله بالانسان، سواء كان منها مكذوباً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مكذوباً علي بعض الصحابة و التابعين، أو كان ممّا تسرّب إلي الكتب من الإسرائيليات المأخوذة عن اليهود و النصاري</w:t>
      </w:r>
      <w:r>
        <w:rPr>
          <w:rFonts w:eastAsia="Amiri" w:cs="Amiri" w:ascii="Amiri" w:hAnsi="Amiri"/>
          <w:color w:val="111111"/>
          <w:sz w:val="28"/>
          <w:szCs w:val="28"/>
          <w:rtl w:val="true"/>
          <w:lang w:bidi="ar-SA"/>
        </w:rPr>
        <w:t xml:space="preserve">. </w:t>
      </w:r>
      <w:r>
        <w:rPr>
          <w:rStyle w:val="FootnoteAnchor"/>
          <w:rtl w:val="true"/>
        </w:rPr>
        <w:footnoteReference w:id="104"/>
      </w:r>
      <w:bookmarkStart w:id="235" w:name="pg1741_17418"/>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على الخصوص رواياتى كه مشتمل بر تجسيم و تشبيه خداوند به انسان است، چه آن رواياتى كه به دروغ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يا آن رواياتى كه به دروغ بر بعضى از صحابه يا تابعين نسبت داده‌اند يا رواياتى از اسرائيليات برگرفته شده از يهود و نصارا كه به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پيدا كرده است</w:t>
      </w:r>
      <w:r>
        <w:rPr>
          <w:rFonts w:eastAsia="IRNazanin" w:cs="IRNazanin"/>
          <w:color w:val="111111"/>
          <w:sz w:val="28"/>
          <w:szCs w:val="28"/>
          <w:rtl w:val="true"/>
          <w:lang w:bidi="fa-IR"/>
        </w:rPr>
        <w:t>.</w:t>
      </w:r>
    </w:p>
    <w:p>
      <w:pPr>
        <w:pStyle w:val="Heading4"/>
        <w:numPr>
          <w:ilvl w:val="3"/>
          <w:numId w:val="1"/>
        </w:numPr>
        <w:rPr/>
      </w:pPr>
      <w:bookmarkStart w:id="236" w:name="__RefHeading___Toc1920669_3650668749"/>
      <w:bookmarkStart w:id="237" w:name="_Toc86"/>
      <w:bookmarkEnd w:id="236"/>
      <w:r>
        <w:rPr>
          <w:rtl w:val="true"/>
        </w:rPr>
        <w:t>دشمنى حنابله با اهل بيت</w:t>
      </w:r>
      <w:r>
        <w:rPr>
          <w:rtl w:val="true"/>
        </w:rPr>
        <w:t>:</w:t>
      </w:r>
      <w:bookmarkEnd w:id="237"/>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الحنابلة لديهم حساسية كبيرة من الثناء علي أميرالمؤمنين علي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ينتشر بينهم، الثناء علي بني‌امية و خاصة معاوية و 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المناهج التعليمية عندنا في المملكة تسببت في انتشار النصب بين عموم طلبة العلم</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نزد حنابله حساسيت زيادى در مورد مدح بر اميرمؤمنان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اوست، در حالى كه در ميان آنها مدح بر بنى‌اميه به‌ويژه معاويه و فرزندش يزيد به طور فراوان مشاهده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آموزش نزد ما در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سرايت دشمنى بين عموم طالبان علم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238" w:name="pg1741_17419"/>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4"/>
        <w:numPr>
          <w:ilvl w:val="3"/>
          <w:numId w:val="1"/>
        </w:numPr>
        <w:rPr/>
      </w:pPr>
      <w:bookmarkStart w:id="239" w:name="__RefHeading___Toc1920671_3650668749"/>
      <w:bookmarkStart w:id="240" w:name="_Toc87"/>
      <w:bookmarkEnd w:id="239"/>
      <w:r>
        <w:rPr>
          <w:rtl w:val="true"/>
        </w:rPr>
        <w:t>تأثير عقيده در جرح و تعديل‌</w:t>
      </w:r>
      <w:bookmarkEnd w:id="240"/>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والعقيدة لها تأثير سيي‌ء علي الجرح و التعديل و لو لم يكن من اثر إلّا التظالم الموجود بسببها لكفي، فتجد كل طائفة من المسلمين تحاول توثيق الرجال الذين ينتمون إليها في العقيدة، و يضعفون رجال الطوائف الأخري و لو كانوا من اوثق الناس و اصلحهم و اضبطهم للرواية، و لعلّ ابرز آثار العقيدة علي الجرح و التعديل عند الحنابلة تضعيف ثقات المخالفين و توثيق ضعفا، الموافقين، و من ذلك؛ تضعيف ثقات الشيعة و خاصة فيما يروونه في فضائل علي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تأثير سويى بر جرح و تعديل دارد، و اگر اثرى به جز ظلمى كه از ناحيه عقيده بر جرح و تعديل رسيده نداشت كافى به نظر مى‌رسيد؛ زيرا هر طايفه‌اى از مسلمانان را مشاهده مى‌كنى كه افرادى را توثيق مى‌كند كه در عقيده به او وابسته است و در مقابل افرادى را از طائفه ديگر تضعيف مى‌كند گرچه از موثق‌ترين و صالح‌ترين و ضابطترين افراد در نقل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w:t>
      </w:r>
      <w:bookmarkStart w:id="241" w:name="pg1741_17420"/>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بارزترين آثار عقيده در جرح و تعديل نزد حنابله، تضعيف ثقات مخالفين و توثيق ضعفاى از موافقين است، كه نمونه آن تضعيف ثقات شيعه و به‌ويژه كسانى است كه فضائل على را نقل مى‌كنند </w:t>
      </w:r>
      <w:r>
        <w:rPr>
          <w:rFonts w:eastAsia="IRNazanin" w:cs="IRNazanin"/>
          <w:color w:val="111111"/>
          <w:sz w:val="28"/>
          <w:szCs w:val="28"/>
          <w:rtl w:val="true"/>
          <w:lang w:bidi="fa-IR"/>
        </w:rPr>
        <w:t>...</w:t>
      </w:r>
    </w:p>
    <w:p>
      <w:pPr>
        <w:pStyle w:val="Heading4"/>
        <w:numPr>
          <w:ilvl w:val="3"/>
          <w:numId w:val="1"/>
        </w:numPr>
        <w:rPr/>
      </w:pPr>
      <w:bookmarkStart w:id="242" w:name="__RefHeading___Toc1920673_3650668749"/>
      <w:bookmarkStart w:id="243" w:name="_Toc88"/>
      <w:bookmarkEnd w:id="242"/>
      <w:r>
        <w:rPr>
          <w:rtl w:val="true"/>
        </w:rPr>
        <w:t>تقسيم مصاحبت به شرعى و عامى‌</w:t>
      </w:r>
      <w:bookmarkEnd w:id="243"/>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الذين قالوها ليسوا من أصحاب الصحبة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هم الطلقاء قالوها يوم حنين، و كانوا حديثي عهد بكفر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اين كسانى از صحابه كه درباره آن چنين حرف‌هايى گفته‌اند از اصحاب مصاحبت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بلكه آنان آزادشدگانى هستند كه در روز حنين چنين گفته‌اند، وتازه از كفر بازگشته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هذا فلاحجة للذين يستدلون بهذه الآيات علي وجوب السكوت عن دراسة التاريخ مثل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الظالمين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بظلمهم و العادلين بعدلهم حتّي يعرف الناس موطن القدوة و التأسي من السلف</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بنابراين دليل و حجتى نيست براى كسانى كه به اين آيات بر وجوب سكوت از بحث در تاريخ استدلال مى‌كنند، مثل قول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وبرادرانمان را كه در ايمان بر ما پيشى گرفتند بيامرز، ودر دل‌هايمان حسد وكينه‌اى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ورحيمى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بايد ظلم ظالمان و عدالت عادلان ذكر شود تا مردم بدانند كه الگو از چه كسانى بپذيرند و به چه افرادى از سلف اقتدا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الصحبة الشرعية هي التي كان فيها النصرة و التمكين في ايام الضعف و الذلّة، و هي الصحبة الممدوحة في القرآن الكريم و السنة النبوية، بمعني انّ كل آيات القرآن الكريم التي اثنت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الثناء منصبّاً علي المهاجرين و الأنصار فقط، و ليس هناك مدح عام لمن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هو منصرف لهؤلاء، لا لغيرهم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اين مصاحبت شرعى همان است كه در آن نصرت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تمكين در برابر فرمان او در ايام ضعف و ذلّت مسلمانان است، و آن مصاحبتى است كه در قرآن كريم و سنت نبوى مورد ستايش قرار گرفته، به اين معنا كه تمام آيا قرآن كريم كه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كرده مدحشان تنها مربوط به مهاجران و انصار است، و هيچ مدح عامى بر همراهان و مصاحبان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آنكه منصرف به آنهاست نه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در جايى ديگر مى‌نويسد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الصحبة الشرعية في تلك الصحبة التي اثني عليها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و نزلت الآيات في وصفها، و كانت أيام الضعف و الذلة، أيام حاجة الاسلام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النصرة، تلك الصحبة التي ان ورد الثناء علي الاصحاب أو الأمر بعدم سبّهم أو الأمر باقتداء بهم، فلاتنصرف هذه المعاني إلّا للصحبة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لايعني عدم الثناء علي الصالحين في أي زمن، و انّما يعني</w:t>
      </w:r>
      <w:bookmarkStart w:id="244" w:name="pg1741_17423"/>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احترام خصوصية السابقين الذين فضّلهم الله و رسوله، و هم المهاجرون و الأنصار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مصاحبت شرعى آن مصاحبتى است كه خدا و رسولش به طور جزم بر آن مدح كرده و آيات در وصفش نازل شده و آن در ايام ضعف و خوارى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احتياج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مصاحبتى كه اگر مدح بر اصحاب يا امر به عدم سبّ آنها يا امر به اقتدا به آنان وارد شود، اين معانى منصرف نمى‌شود، مگر بر مصاحبت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معناى عدم مدح صالحان در هر زمان نيست، بلكه به معناى احترام خصوصى بر سابقين است كه خدا و رسولش آنان را فضيلت داده كه همان مهاجران و انصار باشند </w:t>
      </w:r>
      <w:r>
        <w:rPr>
          <w:rFonts w:eastAsia="IRNazanin" w:cs="IRNazanin"/>
          <w:color w:val="111111"/>
          <w:sz w:val="28"/>
          <w:szCs w:val="28"/>
          <w:rtl w:val="true"/>
          <w:lang w:bidi="fa-IR"/>
        </w:rPr>
        <w:t>...</w:t>
      </w:r>
    </w:p>
    <w:p>
      <w:pPr>
        <w:pStyle w:val="Heading4"/>
        <w:numPr>
          <w:ilvl w:val="3"/>
          <w:numId w:val="1"/>
        </w:numPr>
        <w:rPr/>
      </w:pPr>
      <w:bookmarkStart w:id="245" w:name="__RefHeading___Toc1920675_3650668749"/>
      <w:bookmarkStart w:id="246" w:name="_Toc89"/>
      <w:bookmarkEnd w:id="245"/>
      <w:r>
        <w:rPr>
          <w:rtl w:val="true"/>
        </w:rPr>
        <w:t>اختصاص فضايل به مهاجرين و انصار</w:t>
      </w:r>
      <w:bookmarkEnd w:id="246"/>
    </w:p>
    <w:p>
      <w:pPr>
        <w:pStyle w:val="BookText"/>
        <w:rPr/>
      </w:pP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الشرعية ليسوا إلّا المهاجرين و الأنصار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مصاحبت شرعى داشته‌اند جز مهاجران و انصار نيستند</w:t>
      </w:r>
      <w:r>
        <w:rPr>
          <w:rFonts w:eastAsia="IRNazanin" w:cs="IRNazanin"/>
          <w:color w:val="111111"/>
          <w:sz w:val="28"/>
          <w:szCs w:val="28"/>
          <w:rtl w:val="true"/>
          <w:lang w:bidi="fa-IR"/>
        </w:rPr>
        <w:t>.</w:t>
      </w:r>
      <w:bookmarkStart w:id="247" w:name="pg1741_17424"/>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4"/>
        <w:numPr>
          <w:ilvl w:val="3"/>
          <w:numId w:val="1"/>
        </w:numPr>
        <w:rPr/>
      </w:pPr>
      <w:bookmarkStart w:id="248" w:name="__RefHeading___Toc1920677_3650668749"/>
      <w:bookmarkStart w:id="249" w:name="_Toc90"/>
      <w:bookmarkEnd w:id="248"/>
      <w:r>
        <w:rPr>
          <w:rtl w:val="true"/>
        </w:rPr>
        <w:t>لزوم اتفاق امت در تحقق اجماع‌</w:t>
      </w:r>
      <w:bookmarkEnd w:id="249"/>
    </w:p>
    <w:p>
      <w:pPr>
        <w:pStyle w:val="BookText"/>
        <w:rPr/>
      </w:pPr>
      <w:r>
        <w:rPr>
          <w:rFonts w:ascii="IRNazanin" w:hAnsi="IRNazanin" w:eastAsia="IRNazanin"/>
          <w:color w:val="111111"/>
          <w:sz w:val="28"/>
          <w:sz w:val="28"/>
          <w:szCs w:val="28"/>
          <w:rtl w:val="true"/>
          <w:lang w:bidi="fa-IR"/>
        </w:rPr>
        <w:t xml:space="preserve">حسن بن فرحان مالكى در توضيح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امَّتي عَلي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و ان كان فيه كلام من حيث الثبوت،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لاتعني بعض الأمة، و انّما كلّ امة الإجابة، كلّ المسلمين باختلاف مذاهبهم الفقهية و العقدية 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زعم 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تعني المحدثين أو اصحاب المذاهب الأربعة فقد جازف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گرچه در ثبوت صدور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معناى برخى از امت نيست، بلكه مراد همه كسانى است كه اجابت كرده‌اند؛ يعنى تمام مسلمانان با اختلاف مذاهب فقهى و عقايدى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گمان كند كه پيامبر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محدثين يا اصحاب مذاهب اربعه را قصد كرده گزافه‌گويى كرده است </w:t>
      </w:r>
      <w:r>
        <w:rPr>
          <w:rFonts w:eastAsia="IRNazanin" w:cs="IRNazanin"/>
          <w:color w:val="111111"/>
          <w:sz w:val="28"/>
          <w:szCs w:val="28"/>
          <w:rtl w:val="true"/>
          <w:lang w:bidi="fa-IR"/>
        </w:rPr>
        <w:t>...</w:t>
      </w:r>
    </w:p>
    <w:p>
      <w:pPr>
        <w:pStyle w:val="Heading4"/>
        <w:numPr>
          <w:ilvl w:val="3"/>
          <w:numId w:val="1"/>
        </w:numPr>
        <w:rPr/>
      </w:pPr>
      <w:bookmarkStart w:id="250" w:name="__RefHeading___Toc1920679_3650668749"/>
      <w:bookmarkStart w:id="251" w:name="_Toc91"/>
      <w:bookmarkEnd w:id="250"/>
      <w:r>
        <w:rPr>
          <w:rtl w:val="true"/>
        </w:rPr>
        <w:t xml:space="preserve">مناقشه در حديث </w:t>
      </w:r>
      <w:r>
        <w:rPr>
          <w:rtl w:val="true"/>
        </w:rPr>
        <w:t>«</w:t>
      </w:r>
      <w:r>
        <w:rPr>
          <w:rtl w:val="true"/>
        </w:rPr>
        <w:t>كتاب الله و سنّتى</w:t>
      </w:r>
      <w:r>
        <w:rPr>
          <w:rtl w:val="true"/>
        </w:rPr>
        <w:t>»</w:t>
      </w:r>
      <w:bookmarkEnd w:id="2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bookmarkStart w:id="252" w:name="pg1741_17425"/>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ثَقَلَينِ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حديث صحيح، بل عدّة بعض العلماء متواتراً، و أصله في صحيح مسلم، و قد عارضه بعض جهلة أهل السنة بحديث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ضعيف عند محقّقي أهل السنة، مع انّه يمكن الجمع بينهما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حديثى كه در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دو چيز گرانبها گذاشتم كه اگر به آن دو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حديثى صحيح است، بلكه برخى از علما آن را متواتر به حساب آورده و اصل آن در صحيح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جاهلان اهل سنت آن را معارض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در حالى كه اين حديث نزد محققان اهل سنت ضعيف است، خصوصاً كه مى‌توان بين آن دو را جمع نمود</w:t>
      </w:r>
      <w:r>
        <w:rPr>
          <w:rFonts w:eastAsia="IRNazanin" w:cs="IRNazanin"/>
          <w:color w:val="111111"/>
          <w:sz w:val="28"/>
          <w:szCs w:val="28"/>
          <w:rtl w:val="true"/>
          <w:lang w:bidi="fa-IR"/>
        </w:rPr>
        <w:t>.</w:t>
      </w:r>
    </w:p>
    <w:p>
      <w:pPr>
        <w:pStyle w:val="Heading4"/>
        <w:numPr>
          <w:ilvl w:val="3"/>
          <w:numId w:val="1"/>
        </w:numPr>
        <w:rPr/>
      </w:pPr>
      <w:bookmarkStart w:id="253" w:name="__RefHeading___Toc1920681_3650668749"/>
      <w:bookmarkStart w:id="254" w:name="_Toc92"/>
      <w:bookmarkEnd w:id="253"/>
      <w:r>
        <w:rPr>
          <w:rtl w:val="true"/>
        </w:rPr>
        <w:t>نقد نظريه عدالت صحابه‌</w:t>
      </w:r>
      <w:bookmarkEnd w:id="254"/>
    </w:p>
    <w:p>
      <w:pPr>
        <w:pStyle w:val="BookText"/>
        <w:rPr/>
      </w:pPr>
      <w:r>
        <w:rPr>
          <w:rFonts w:ascii="Amiri" w:hAnsi="Amiri" w:eastAsia="Amiri" w:cs="Amiri"/>
          <w:color w:val="111111"/>
          <w:sz w:val="28"/>
          <w:sz w:val="28"/>
          <w:szCs w:val="28"/>
          <w:rtl w:val="true"/>
          <w:lang w:bidi="ar-SA"/>
        </w:rPr>
        <w:t>او در اين زمينه دو كتاب تأليف كرده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الصحبة و الصحابة بين الاطلاق اللغوى و التخصيص الشرعى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عبدالله السعد فيالصحبة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دفاعيه از ردّ بر كتاب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مصاحبه‌اى 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اهل السنة و غلوا في جانب الصحابة و نقلوا الآيات و الاحاديث الّتي تحمل الثناء و لم ينقلوا الآيات و الاحاديث الّتي تنقل العتب، بل و الذم في بعض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ذهب التيجاني للعراق كانت الصورة الذهنية عن الصحابة صورة تشبه عقيدة الشيعة في‌الأئمة الاثني عشر الذين يعتقدون فيهم العصمة، فلذلك تفاجأ عند ما اكتشف خطأ عمر في تحريم متعة الحجّ أو خطأ عثمان في الإتمام في الصلاة بالحجّ أو اعطائه بعض اقربائه الولايات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فانهارت عنده هذه الصورة المبالغ فيها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سنت در حقّ صحابه غلو كرده و تنها آيات و رواياتى را نقل كرده‌اند كه در بر دارنده ستايش آنان است، ولى آيات و رواياتى</w:t>
      </w:r>
      <w:bookmarkStart w:id="255" w:name="pg1741_17427"/>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كه دلالت بر سرزنش و مذمت آنان در برخى مواقف دارد هرگز نقل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چون تيجانى به عراق مى‌آيد با صورت ذهنى خاصى از صحابه وارد مى‌شود كه شبيه عقيده شيعه درباره امامان دوازده گانه است كه اعتقاد به عصمت باشد، و هنگامى كه براى او خطاى عمر در تحريم متعه حج يا خطاى عثمان در اتمام نماز صبح در حج يا عطاياى او به برخى از اقوامش از قبيل رياست‌ها و اموال را كشف مى‌كند، متحير شده و آن صورت غلوآميز باعث مى‌شود كه دست از مذهب اهل سنت بردارد </w:t>
      </w:r>
      <w:r>
        <w:rPr>
          <w:rFonts w:eastAsia="IRNazanin" w:cs="IRNazanin"/>
          <w:color w:val="111111"/>
          <w:sz w:val="28"/>
          <w:szCs w:val="28"/>
          <w:rtl w:val="true"/>
          <w:lang w:bidi="fa-IR"/>
        </w:rPr>
        <w:t>...</w:t>
      </w:r>
    </w:p>
    <w:p>
      <w:pPr>
        <w:pStyle w:val="Heading4"/>
        <w:numPr>
          <w:ilvl w:val="3"/>
          <w:numId w:val="1"/>
        </w:numPr>
        <w:rPr/>
      </w:pPr>
      <w:bookmarkStart w:id="256" w:name="__RefHeading___Toc1920683_3650668749"/>
      <w:bookmarkStart w:id="257" w:name="_Toc93"/>
      <w:bookmarkEnd w:id="256"/>
      <w:r>
        <w:rPr>
          <w:rtl w:val="true"/>
        </w:rPr>
        <w:t>ردّ و مناقشه در تمام فضايل معاويه‌</w:t>
      </w:r>
      <w:bookmarkEnd w:id="257"/>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الاحاديث في فضل معاوية مكذوبة كما نصّ علي ذلك جمع من اهل العلم منهم اسحاق بن راهويه و ابن عبد البرّ و النسايي و الحاكم و ابوعلي النيسابوري و البخاري و ابن الجوزي و ابن القيم و ابن حجر و غيرهم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احاديثى كه در باب فضايل معاويه آمده دروغ است همان‌گونه كه برخى از اهل علم همچون اسحاق بن راهويه، ابن عبدالبر، نسايى، حاكم، ابوعلى نيشابورى، بخارى، ابن جوزى، ابن قيم، ابن حجر و ديگران به آن اشاره كرده‌اند</w:t>
      </w:r>
      <w:r>
        <w:rPr>
          <w:rFonts w:eastAsia="IRNazanin" w:cs="IRNazanin"/>
          <w:color w:val="111111"/>
          <w:sz w:val="28"/>
          <w:szCs w:val="28"/>
          <w:rtl w:val="true"/>
          <w:lang w:bidi="fa-IR"/>
        </w:rPr>
        <w:t>.</w:t>
      </w:r>
      <w:bookmarkStart w:id="258" w:name="pg1741_17428"/>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4"/>
        <w:numPr>
          <w:ilvl w:val="3"/>
          <w:numId w:val="1"/>
        </w:numPr>
        <w:rPr/>
      </w:pPr>
      <w:bookmarkStart w:id="259" w:name="__RefHeading___Toc1920685_3650668749"/>
      <w:bookmarkStart w:id="260" w:name="_Toc94"/>
      <w:bookmarkEnd w:id="259"/>
      <w:r>
        <w:rPr>
          <w:rtl w:val="true"/>
        </w:rPr>
        <w:t>دفاع از شيعه در مورد عبدالله بن سبأ</w:t>
      </w:r>
      <w:bookmarkEnd w:id="260"/>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شيعه شخصى يهودى به نام عبدالله بن سبأ بوده كه اسلام آورده و سپس مردم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است، در حالى كه مطابق آيات قرآن و روايات فريقين چنين نظريه‌اى باطل است و بطلان آن به حدى است كه حسن بن فرحان مالكى با آنكه سنّى‌است در مقابل آن موضع‌گيرى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انّني امتلك عن احداث الفتنة اسانيد صحيحة تفسّر لي كيف حدثت الفتنة و ليست بحاجة لأسانيد سيف و أمثاله من الضعفاء و الكذابين الذين يفسرون لي احداث الفتنة تفسيراً مختلفاً، فهذا لبّ ما نفيته في مسألة عبدالله بن سبأ</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وجوده فهي تحت البحث و الدراسة، ولا ريب انّ نفيي لدور عبدالله بن سبأ في الفتنة هو نفي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عبدالله بن سبأ؛ لانّ بقية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تتحدث عن رجل يغلو في علي بن أبي‌طالب فقط، و لا ريب انّ نفيي لأخبار عبدالله بن سبأ في الفتنة سيأتي علي رسالة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 الّتي كان الهدف منها اثبات دور عبدالله بن سبأ في احداث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الفتنة في صدر الاسلام، و علي هذا آمل ان يعرف القرّاء سرّ الدفاع المستميت 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عن سيف بن عمر؛ لانّ سقوط سيف يعدّه العودة سقوطاً كاملا لرسالته، بينما أنا اعتبر رجوع الدكتور إلي الحق خيراً له و للتاريخ من التمادي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إلي نفي اساطير ابن سبأ في الفتنة فانّه يسجل بهذا سابقة انصاف لم نعهد صدورها من كثير من الأكاديميين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رجوعه الي نفي اخبار ابن سبأ في الفتنة لا يعني انتقاصاً لرسالته أو انّه لايستحقها، و له في الشافعي اسوة حسنة، فقد كان له مذهب قديم و مذهب جديد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علي سبيل المثال كنت اثبت دور ابن سبأ كاملا حتي بحثته و كنت اثبت القعقاع بن عمرو و صحبته حتي تبيّن لي انّ المصدر الوحيد في هذا هو سيف، فرجعت إلي نفي دور ابن سبأ في الفتنة و إلي نفي وجود قعقاع؛ لانّ المنهج يوجب علينا ألا نبقي مجالا للشكوك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العواطف والأحاسيس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دست من سندهاى صحيح از حوادث فتنه رسيده كه براى من تفسير مى‌كند كه چگونه فتنه حادث شده است و لذا احتياجى به سندهاى سيف و امثال او از ضعفا و دروغ‌گويان ندارم كه حوادث فتنه را به طور مختلف و خلاف واقع تفسير مى‌كنند، و اين خلاصه آن چيزى است كه من در مورد عبدالله بن سبأ نفى مى‌كنم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وجود او تحت بحث و درس است، و شكى نيست كه انكار موقعيت عبدالله بن سبأ از ناحيه من در مورد فتنه در حقيقت انكار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عبدالله بن سبأ مى‌باشد؛ زيرا بقيه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 از مردى مى‌گويد كه در شأن على بن ابى‌طالب غلو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انكار من نسبت به روايات عبدالله بن سبأ در فتنه در پاسخ رساله دكتر سليمان عوده خواهد آمد، رساله‌اى كه درصدد اثبات موقعيت عبدالله بن سبأ در فتنه حوادث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آرزو دارم كه خوانندگان پى به سرّ دفاع بى‌جهت دكتر سليمان عوده از سيف بن عمر ببرند؛ زيرا سقوط سيف از اعتبار باعث مى‌شود كه به طور كامل رساله او از اعتبار ساقط گردد، در حالى كه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به حقّ رجوع كند براى او بهتر است، و اگر به تاريخ مراجعه نمايد از فرو رفتن در باطل براى او بهتر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منكر قصه دروغين ابن سبأ در فتنه گردد با اين كار خود، سابقه انصاف را به جاى خواهد</w:t>
      </w:r>
      <w:bookmarkStart w:id="261" w:name="pg1741_17431"/>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گذاشت كه از بيشتر افراد دانشگاهى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بازگشت او از روايات عبدالله بن سبأ و تأثير او در فتنه به معناى نقص وارد شدن بر رساله او نيست يا اينكه او مستحق رساله نوشتن نباشد؛ زيرا با اين عملش مى‌تواند شافعى را براى خود الگو قرار دهد؛ زيرا او مذهب قديم و مذهب جديد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من سابقاً موقعيت ابن سبأ را به طور كامل تثبيت مى‌كردم تا اينكه بحث و تفحص نمودم و به خلاف آن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وجود قعقاع بن عمرو، و صحابى‌بودن او را ثابت مى‌دانستم تا اينكه برايم روشن شد كه تنها مصدر آن سيف است، و لذا موقعيت ابن سبأ را در فتنه‌ها و نيز وجود قعقاع را انكار كردم؛ زيرا اتخاذ روش صحيح موجب مى‌شود كه جايى را براى شك‌ها و عواطف و احساسات براى ما نگذارد </w:t>
      </w:r>
      <w:r>
        <w:rPr>
          <w:rFonts w:eastAsia="IRNazanin" w:cs="IRNazanin"/>
          <w:color w:val="111111"/>
          <w:sz w:val="28"/>
          <w:szCs w:val="28"/>
          <w:rtl w:val="true"/>
          <w:lang w:bidi="fa-IR"/>
        </w:rPr>
        <w:t>...</w:t>
      </w:r>
    </w:p>
    <w:p>
      <w:pPr>
        <w:pStyle w:val="Heading4"/>
        <w:numPr>
          <w:ilvl w:val="3"/>
          <w:numId w:val="1"/>
        </w:numPr>
        <w:rPr/>
      </w:pPr>
      <w:bookmarkStart w:id="262" w:name="__RefHeading___Toc1920687_3650668749"/>
      <w:bookmarkStart w:id="263" w:name="_Toc95"/>
      <w:bookmarkEnd w:id="262"/>
      <w:r>
        <w:rPr>
          <w:rtl w:val="true"/>
        </w:rPr>
        <w:t>مناقشه در خلافت عمر</w:t>
      </w:r>
      <w:bookmarkEnd w:id="263"/>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وفاة ابي‌بكر الصديق كان قد اوصي بالخلافة لعمر فكانت هذه الوصية ايضاً محلّ اعتراض من بعض الصحابة الكبار، كعلي و طلحة و غيرهما؛ لغلظة عمر عن الجميع، ولم يذكر لنا التاريخ شيئاً آخر غير الغلظة، لكن في ظنّي انّ اعتراض من اعترض كان عنده توجس من</w:t>
      </w:r>
      <w:bookmarkStart w:id="264" w:name="pg1741_17432"/>
    </w:p>
    <w:p>
      <w:pPr>
        <w:pStyle w:val="BookText"/>
        <w:rPr/>
      </w:pPr>
      <w:bookmarkEnd w:id="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مسألة الوصية نفسها، اذ كيف يوصي الخليفة إلي أن يخلفه فلان دون مشورة من المسلمين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ابوبكر قبل از وفاتش وصيت به خلافت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مورد اعتراض از ناحيه برخى از اصحاب بزرگوار همچون على، طلحه و ديگران واقع شد؛ زيرا عمر نسبت به ديگران تند مزاج بود و تاريخ براى ما چيز ديگرى به جز تندى او ذكر نكرده است، ولى به گمان من اعتراض معترضان نزد او شبهه‌اى در مسأله وصيت ايجاد كرده بود؛ زيرا چگونه مى‌تواند خليفه بدون مشورت با مسلمانان، فلان شخص را جانشين خود قرار دهد</w:t>
      </w:r>
      <w:r>
        <w:rPr>
          <w:rFonts w:eastAsia="IRNazanin" w:cs="IRNazanin"/>
          <w:color w:val="111111"/>
          <w:sz w:val="28"/>
          <w:szCs w:val="28"/>
          <w:rtl w:val="true"/>
          <w:lang w:bidi="fa-IR"/>
        </w:rPr>
        <w:t>!!</w:t>
      </w:r>
    </w:p>
    <w:p>
      <w:pPr>
        <w:pStyle w:val="Heading4"/>
        <w:numPr>
          <w:ilvl w:val="3"/>
          <w:numId w:val="1"/>
        </w:numPr>
        <w:rPr/>
      </w:pPr>
      <w:bookmarkStart w:id="265" w:name="__RefHeading___Toc1920689_3650668749"/>
      <w:bookmarkStart w:id="266" w:name="_Toc96"/>
      <w:bookmarkEnd w:id="265"/>
      <w:r>
        <w:rPr>
          <w:rtl w:val="true"/>
        </w:rPr>
        <w:t xml:space="preserve">دفاع از امام على </w:t>
      </w:r>
      <w:r>
        <w:rPr>
          <w:rtl w:val="true"/>
        </w:rPr>
        <w:t>(</w:t>
      </w:r>
      <w:r>
        <w:rPr>
          <w:rtl w:val="true"/>
        </w:rPr>
        <w:t>ع</w:t>
      </w:r>
      <w:r>
        <w:rPr>
          <w:rtl w:val="true"/>
        </w:rPr>
        <w:t>)</w:t>
      </w:r>
      <w:bookmarkEnd w:id="266"/>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ريب انّ علياً هو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قتاله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الأدلة الشرعية و العقلية الّتي معه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كار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با اهالى شام به واقع نزديك‌تر بود؛ زيرا ادله شرعى و عقلى زيادى همراه او بود و او را تأييد مى‌كرد </w:t>
      </w:r>
      <w:r>
        <w:rPr>
          <w:rFonts w:eastAsia="IRNazanin" w:cs="IRNazanin"/>
          <w:color w:val="111111"/>
          <w:sz w:val="28"/>
          <w:szCs w:val="28"/>
          <w:rtl w:val="true"/>
          <w:lang w:bidi="fa-IR"/>
        </w:rPr>
        <w:t>...</w:t>
      </w:r>
      <w:bookmarkStart w:id="267" w:name="pg1741_17433"/>
    </w:p>
    <w:p>
      <w:pPr>
        <w:pStyle w:val="BookText"/>
        <w:rPr/>
      </w:pPr>
      <w:bookmarkEnd w:id="2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4"/>
        <w:numPr>
          <w:ilvl w:val="3"/>
          <w:numId w:val="1"/>
        </w:numPr>
        <w:rPr/>
      </w:pPr>
      <w:bookmarkStart w:id="268" w:name="__RefHeading___Toc1920691_3650668749"/>
      <w:bookmarkStart w:id="269" w:name="_Toc97"/>
      <w:bookmarkEnd w:id="268"/>
      <w:r>
        <w:rPr>
          <w:rtl w:val="true"/>
        </w:rPr>
        <w:t xml:space="preserve">دفاع از بيعت با امام على </w:t>
      </w:r>
      <w:r>
        <w:rPr>
          <w:rtl w:val="true"/>
        </w:rPr>
        <w:t>(</w:t>
      </w:r>
      <w:r>
        <w:rPr>
          <w:rtl w:val="true"/>
        </w:rPr>
        <w:t>ع</w:t>
      </w:r>
      <w:r>
        <w:rPr>
          <w:rtl w:val="true"/>
        </w:rPr>
        <w:t>)</w:t>
      </w:r>
      <w:bookmarkEnd w:id="269"/>
    </w:p>
    <w:p>
      <w:pPr>
        <w:pStyle w:val="BookText"/>
        <w:rPr/>
      </w:pPr>
      <w:r>
        <w:rPr>
          <w:rFonts w:ascii="IRNazanin" w:hAnsi="IRNazanin" w:eastAsia="IRNazanin"/>
          <w:color w:val="111111"/>
          <w:sz w:val="28"/>
          <w:sz w:val="28"/>
          <w:szCs w:val="28"/>
          <w:rtl w:val="true"/>
          <w:lang w:bidi="fa-IR"/>
        </w:rPr>
        <w:t xml:space="preserve">او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على بن ابى طالب فى ضوء الروايات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من يزعم انّ بيعة علي كان مختلفاً فيها و انّ الناس كانوا فرقاً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 يبايعه كثير من كبار الصحابة، وانّها لم يكن فيها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باختيار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بهذه الأقوال الفاسدة يشككون في شرعية خلافة علي و صحة امامته، حتّي يبرروا اخطاء الخارجين عليه من أهل الجمل و صفين، و هذا علاج بالداء لا بالدواء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مشاهده كردم كسى را كه گمان مى‌كرد كه بيعت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 ومردم در اين مسأله چند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بسيارى از بزرگان صحابه با او بيعت نكرده‌اند و در مورد بيعت با او مشورتى نشده است، و نيز با اختيار صحابه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اين‌گونه گفتارهاى فاسدخود درصدد تشكيك واردكردن در مشروعيت خلافت على و صحت امامت او هستند تا اينكه خطاهاى كسانى كه از اهل جمل و صفين بر او خروج نمودند را توجيه نمايند، در حالى كه نمى‌دانند اين كارشان در حقيقت علاج با درد است نه با دواء </w:t>
      </w:r>
      <w:r>
        <w:rPr>
          <w:rFonts w:eastAsia="IRNazanin" w:cs="IRNazanin"/>
          <w:color w:val="111111"/>
          <w:sz w:val="28"/>
          <w:szCs w:val="28"/>
          <w:rtl w:val="true"/>
          <w:lang w:bidi="fa-IR"/>
        </w:rPr>
        <w:t>...</w:t>
      </w:r>
      <w:bookmarkStart w:id="270" w:name="pg1741_17434"/>
    </w:p>
    <w:p>
      <w:pPr>
        <w:pStyle w:val="BookText"/>
        <w:rPr/>
      </w:pPr>
      <w:bookmarkEnd w:id="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4"/>
        <w:numPr>
          <w:ilvl w:val="3"/>
          <w:numId w:val="1"/>
        </w:numPr>
        <w:rPr/>
      </w:pPr>
      <w:bookmarkStart w:id="271" w:name="__RefHeading___Toc1920693_3650668749"/>
      <w:bookmarkStart w:id="272" w:name="_Toc98"/>
      <w:bookmarkEnd w:id="271"/>
      <w:r>
        <w:rPr>
          <w:rtl w:val="true"/>
        </w:rPr>
        <w:t>نسبت كذب به برخى از علماى اهل سنت‌</w:t>
      </w:r>
      <w:bookmarkEnd w:id="272"/>
    </w:p>
    <w:p>
      <w:pPr>
        <w:pStyle w:val="BookText"/>
        <w:rPr/>
      </w:pPr>
      <w:r>
        <w:rPr>
          <w:rFonts w:ascii="IRNazanin" w:hAnsi="IRNazanin" w:eastAsia="IRNazanin"/>
          <w:color w:val="111111"/>
          <w:sz w:val="28"/>
          <w:sz w:val="28"/>
          <w:szCs w:val="28"/>
          <w:rtl w:val="true"/>
          <w:lang w:bidi="fa-IR"/>
        </w:rPr>
        <w:t>او درباره تيجانى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زار العراق و كانت الصدمة الكبري له برؤية الشيعة في الواقع و التزامهم بالدين، مع اتهامنا لهم بالخروج 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فعملية اكتشاف الكذب من اخطر الصدمات الّتي تواجه طالب العلم الحرّ، و هي درس لنا حتّي لا نشوّه صورة الآخرين، سواء كانوا شيعة أو غرباً او شرقاً، و انّما تنقل الحقيقة كاملة بما لها و ما عليها حتّي لا نفقد مصداقيتنا مع طلابنا و ابنائنا</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زيارت عراق رفت و صدمه بزرگى كه به او زده شد هنگامى بود كه واقعيت شيعه را ديد كه آنان ملتزم به دين هستند، با آنكه ما آنان را متّهم به خروج از اسلام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كشف دروغ از ناحيه او از خطرناك‌ترين صدماتى است كه دانشجوى آزادانديش با آن مواجه است، و اين براى ما درس است تا اينكه چهره ديگران را مشوّه جلوه ندهيم، خواه شيعه باشد يا غربى يا شرقى، بلكه حقيقت را به طور كامل نقل كنيم چه آن طورى كه به نفع آن است يا به ضرر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آن تا موقعيت خود را نزد طلاب و فرزندانمان از دست ندهيم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الاسباب العامة الرئيسية في تحول الدكتور التيجاني و غيره من السنة إلي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الذهنية الخاطئة عن الشيعة الّتي صوّرناها تصويراً مشوّهاً بتعميم يخالف الحقيقة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يأتي الدكتور التيجاني إلي الشيعة الذين ينشر غلاة السنة 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يعبدون علياً و يزعمون انّ جبرئيل اخطأ او انّهم يريدون الكيد للاسلام من باب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يمتلكون مصاحف اخرى غير مصاحفنا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حاقدون علي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يتزاوجون سفاحاً و غير ذلك من التشويهات، بل الافتراءات الّتي قد تزيد شباب السنة شكوكاً إذا اكتشفوا الحقيقة، و إذا فقدوا الثقة في علمائهم و باحثيهم، فلا ينتظر منهم العلماء إلّا هذا التحول الحاد و الشك بالمنظومة السنية كلها، بل والحقد علي هذا التواطي‌ء في الكذب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التشوية و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 الأسباب العامة الّتي يتحمّلها المجتمع السني الّذي يجب عليه ان ينقل الصورة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الشيعة الامامية فيهم من يعتقد بتحريف القرآن، لكنّه قلة، و الاغلبية الساحقة من الشيعة يردّون علي هؤلاء، فالتعتيم ابن التشويه</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اسباب عمومى و اصلى در تحول دكتر تيجانى و ديگران از تسنن به تشيع صورت ذهنى اشتباهى است كه از شيعه ترسيم كرده و آن را به نحوى جلوه داده‌ايم كه با حقيقت سازگارى ندارد؛ و لذا هنگامى كه دكتر تيجانى به سراغ شيعيان مى‌رود، آن كسانى كه غاليان از اهل سنت آنها را چنين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را مى‌پرستند و گمان مى‌كنند كه جبرئيل خطا كرده است، و اينكه اينان از راه تشيع درصدد ضربه زدن به اسلام‌اند، و اينكه آنها داراى قرآنى غير از قرآن ما هستند و بر ضد اسلام كينه در دل دارند و ازدواج آنها زناست و ديگر شبهات و تهمت‌هايى كه شك جوانان اهل سنت را زياد مى‌كند هنگامى كه حق را كشف مى‌كنند، و هنگامى كه اطمينانشان نسبت به علما و بحث‌كنندگانشان از آنها گرفته شود نبايد علما از آنان انتظارى به جز اين دگرگونى و تحول سريع و شك در حوزه‌هاى تمام اهل سنت را داشته باشند، بلكه به جهت اين‌گونه توافق بر دروغ و مشوّه ساختن و به جهل كشاندن</w:t>
      </w:r>
      <w:bookmarkStart w:id="273" w:name="pg1741_17437"/>
    </w:p>
    <w:p>
      <w:pPr>
        <w:pStyle w:val="BookText"/>
        <w:rPr/>
      </w:pPr>
      <w:bookmarkEnd w:id="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مردم نسبت به آنان كينه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از اسباب عمومى است كه جامعه سنّى با آن رو به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ميان شيعه كسانى وجود دارد كه معتقد به تحريف قرآن است ولى آنان در اقليت‌اند در حالى كه اغلب شيعيان بر آنان رد نوشته و سخنان آنها را باطل نموده‌اند، پس پوشاندن حقّ، زاده مشوه ساختن آن است</w:t>
      </w:r>
      <w:r>
        <w:rPr>
          <w:rFonts w:eastAsia="IRNazanin" w:cs="IRNazanin"/>
          <w:color w:val="111111"/>
          <w:sz w:val="28"/>
          <w:szCs w:val="28"/>
          <w:rtl w:val="true"/>
          <w:lang w:bidi="fa-IR"/>
        </w:rPr>
        <w:t>.</w:t>
      </w:r>
    </w:p>
    <w:p>
      <w:pPr>
        <w:pStyle w:val="Heading4"/>
        <w:numPr>
          <w:ilvl w:val="3"/>
          <w:numId w:val="1"/>
        </w:numPr>
        <w:rPr/>
      </w:pPr>
      <w:bookmarkStart w:id="274" w:name="__RefHeading___Toc1920695_3650668749"/>
      <w:bookmarkStart w:id="275" w:name="_Toc99"/>
      <w:bookmarkEnd w:id="274"/>
      <w:r>
        <w:rPr>
          <w:rtl w:val="true"/>
        </w:rPr>
        <w:t>ادعاى غلو اهل سنت در نسبت اجتهاد</w:t>
      </w:r>
      <w:bookmarkEnd w:id="275"/>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اسباب نفرة التيجاني عن المذهب السنّي؛ اذ لحظتُ انّ التيجاني اخذ يسخر مَن زعمنا بانّ معاوية اجتهد و هو مأجور علي قتال علي و قتل الصحابة و قتل حجر بن عدي و سبّ علي علي المنابر و استلحاق زياد و مخالفة الاحاديث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يزيد مأجور علي قتل الحسين و استباحة الحرّة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انّ هذا ليس رأي اهل السنة المتقدمين، انّما رأي من تلبس باسم السنة من النواصب أو ممّن اخذته ردود الأفعال </w:t>
      </w:r>
      <w:r>
        <w:rPr>
          <w:rFonts w:eastAsia="Amiri" w:cs="Amiri" w:ascii="Amiri" w:hAnsi="Amiri"/>
          <w:color w:val="111111"/>
          <w:sz w:val="28"/>
          <w:szCs w:val="28"/>
          <w:rtl w:val="true"/>
          <w:lang w:bidi="ar-SA"/>
        </w:rPr>
        <w:t xml:space="preserve">... </w:t>
      </w:r>
      <w:r>
        <w:rPr>
          <w:rStyle w:val="FootnoteAnchor"/>
          <w:rtl w:val="true"/>
        </w:rPr>
        <w:footnoteReference w:id="122"/>
      </w:r>
      <w:bookmarkStart w:id="276" w:name="pg1741_17438"/>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من ملاحظه كردم كه از اسباب نفرت تيجانى از مذهب سنى آن است كه مسخره مى‌كند كسانى را كه گمان كرده‌اند كه معاويه مجتهد است و در جنگ با على و كشتن صحابه و قتل حجر بن عدى و ناسزا گفتن بر على بر روى منابر و ملحق كردن زياد به خود و مخالفت با احاديث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مأجور مى‌باشد و نيز يزيد بر كشتن حسين و مباح كردن مدينه در واقعه حرّه مجتهد و مأجور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حقيقتاً اين حرف رأى قدماى اهل سنت نيست، بلكه رأى‌كسانى است از نواصب كه اسم اهل سنت را بر خود گذاشته يا درصدد عكس‌العمل از حرف‌هاى ديگران‌اند </w:t>
      </w:r>
      <w:r>
        <w:rPr>
          <w:rFonts w:eastAsia="IRNazanin" w:cs="IRNazanin"/>
          <w:color w:val="111111"/>
          <w:sz w:val="28"/>
          <w:szCs w:val="28"/>
          <w:rtl w:val="true"/>
          <w:lang w:bidi="fa-IR"/>
        </w:rPr>
        <w:t>...</w:t>
      </w:r>
    </w:p>
    <w:p>
      <w:pPr>
        <w:pStyle w:val="Heading4"/>
        <w:numPr>
          <w:ilvl w:val="3"/>
          <w:numId w:val="1"/>
        </w:numPr>
        <w:rPr/>
      </w:pPr>
      <w:bookmarkStart w:id="277" w:name="__RefHeading___Toc1920697_3650668749"/>
      <w:bookmarkStart w:id="278" w:name="_Toc100"/>
      <w:bookmarkEnd w:id="277"/>
      <w:r>
        <w:rPr>
          <w:rtl w:val="true"/>
        </w:rPr>
        <w:t>ادعاى اغفال شدن معاصرين از اهل سنت‌</w:t>
      </w:r>
      <w:bookmarkEnd w:id="278"/>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اغفال اهل السنة المعاصرين لتراجم اهل البيت كالباقر و الصادق و الكاظم و زيد بن علي و عيسي بن زيد و النفس الزكية و غيرهم، فالتيجاني تفاجأ بهؤلاء الأئمة الذين لايكادون يذكرون في مدارسنا وجامعتنا و لامراجعنا الحديثة، ثمّ يفاجأ بعلم هؤلاء و فضلهم و شرف بينهم، و ظنّ انّ الامر مبيّت و مدبّر، بينما هو 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فعل لا غير مع جهل ايضاً</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اغفال معاصران اهل سنت نسبت به زندگانى اهل بيت همچون باقر و صادق و كاظم و زيد بن على و عيسى بن زيد و نفس زكيه و ديگران از اسباب ديگر شيعه شدن تيجانى است، او ناگهان با زندگى اين امامان مواجه مى‌شود، كسانى كه در مدارس و دانشگاه‌ها و مراكز جديد ما نامى از آنان برده نمى‌شود، او ناگهان مواجه با علم و فضيلت و شرف آنان مى‌شود، و گمان مى‌كند اين، كارى است حساب شده تا اهل بيت را چنين مخفى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مع المالكى، عبدالله بن سليمان بن منيع،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مفاهيم يجب ان تصحح، محمد بن علوى مالكى، المكتبة المصرية،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المجازفة بالتكفير، محمد بن علوى مالكى، دار القاضى عياض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السلف فى فهم النصوص،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الاحتفال بالمولد النبوى، محمد بن علوى مالكى، چاپ دهم، قاهره، مطبعة دار جوامع الكلم،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النبوية، محمد بن علوى مالكى،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فى كتب التاريخ، حسن بن فرحان مالكى، عمان، مركز الدراسات التاريخية، وقم، دار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قرائة فى كتب العقائد، حسن بن فرحان مالكى، چاپ اول، اردن، مركز الدراسات،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مذكرة فى الصحابة، حسن بن فرحان 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انتقاد التاريخ الاسلامى، حسن بن فرحان مالكى، عمان، مركز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داعية وليس نبياً، حسن بن فرحان مالكى، رياض، مركز الدراسات التاريخية، و عمان، دار الرازى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كشف الشبهات، حسن بن فرحان 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بين الصحبة اللغوية والصحبة الشرعية، حسن بن فرحان مالكى، عمان، مركز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الشيخ عبدالله السعد، حسن بن فرحان مالكى، اردن،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مركز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واصداء حول عبدالله بن سبأ وروايات سيف، حسن بن فرحان مالكى، قم، كلية اصول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على بن أبى‌طالب، حسن بن فرحان مالكى، رياض، مكتبة التوبة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تعليقه از گروه علماى وهابى بر كلام مالكى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المحمدية،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آيه وَ لَوْ أَنَّهُمْ إِذْ ظَلَمُوا أَنْفُسَهُمْ جاؤُكَ فَاسْتَغْفَرُوا اللَّهَ وَ اسْتَغْفَرَ لَهُمُ الرَّسُولُ لَوَجَدُوا اللَّهَ تَوَّاباً رَحِيماً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المالكى از عبدالله بن سليمان بن منيع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المكتبة العصرية، بيروت،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التحذير من المجازفة بالتكفير، محمّد بن علوى مالكى،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محمد بن علوى مالكى،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الاحتفال بالمولد النبوى ص، محمد بن علوى مالكى،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الاحتفال بالمولد النبوى 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المحكم المتين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المنارة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محمد بن علوى المالكى،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حسن بن فرحان مالكى،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حسن بن فرحان مالكى،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مذكرة فى الصحابة، حسن بن فرحان مالكى،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انقاذ التاريخ الاسلامى، حسن بن فرحان مالكى،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حسن بن فرحان مالكى،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فى التحولات السنية للشيعة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 ليس نبياً،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176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حسن بن فرحان مالكى،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بين الصحبة اللغوية و الصحبةالشرعية، حسن بن فرحان مالكى،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الشيخ عبدالله السعد،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و اصداء حول عبدالله بن سبأ و روايات سيف،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ابى‌طالب ع، حسن بن فرحان مالكى،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64.xml"/><Relationship Id="rId172" Type="http://schemas.openxmlformats.org/officeDocument/2006/relationships/footnotes" Target="footnotes.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26689</Words>
  <Characters>102790</Characters>
  <CharactersWithSpaces>128091</CharactersWithSpaces>
  <Paragraphs>1589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2026-08-16T18:20:15Z</dcterms:created>
  <dc:creator>ghaemiyeh.com</dc:creator>
  <dc:description/>
  <dc:language>en-US</dc:language>
  <cp:lastModifiedBy/>
  <dcterms:modified xsi:type="dcterms:W3CDTF">2026-08-16T21:50:19Z</dcterms:modified>
  <cp:revision>1</cp:revision>
  <dc:subject/>
  <dc:title>نقد وهابیت از برون</dc:title>
</cp:coreProperties>
</file>

<file path=docProps/custom.xml><?xml version="1.0" encoding="utf-8"?>
<Properties xmlns="http://schemas.openxmlformats.org/officeDocument/2006/custom-properties" xmlns:vt="http://schemas.openxmlformats.org/officeDocument/2006/docPropsVTypes"/>
</file>