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محمد بن عبد الوهاب بنیانگذار وهابیت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88319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1588321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588323_3650668749">
            <w:r>
              <w:rPr>
                <w:webHidden/>
                <w:rStyle w:val="IndexLink"/>
                <w:rtl w:val="true"/>
              </w:rPr>
              <w:t>ديباچه‌</w:t>
            </w:r>
            <w:r>
              <w:rPr>
                <w:rStyle w:val="IndexLink"/>
                <w:rtl w:val="true"/>
              </w:rPr>
              <w:tab/>
            </w:r>
            <w:r>
              <w:rPr>
                <w:rStyle w:val="IndexLink"/>
              </w:rPr>
              <w:t>6</w:t>
            </w:r>
          </w:hyperlink>
        </w:p>
        <w:p>
          <w:pPr>
            <w:pStyle w:val="Contents2"/>
            <w:tabs>
              <w:tab w:val="clear" w:pos="8743"/>
              <w:tab w:val="right" w:pos="9026" w:leader="dot"/>
            </w:tabs>
            <w:rPr/>
          </w:pPr>
          <w:hyperlink w:anchor="__RefHeading___Toc1588325_3650668749">
            <w:r>
              <w:rPr>
                <w:webHidden/>
                <w:rStyle w:val="IndexLink"/>
                <w:rtl w:val="true"/>
              </w:rPr>
              <w:t>پيشگفتار</w:t>
            </w:r>
            <w:r>
              <w:rPr>
                <w:rStyle w:val="IndexLink"/>
                <w:rtl w:val="true"/>
              </w:rPr>
              <w:tab/>
            </w:r>
            <w:r>
              <w:rPr>
                <w:rStyle w:val="IndexLink"/>
              </w:rPr>
              <w:t>8</w:t>
            </w:r>
          </w:hyperlink>
        </w:p>
        <w:p>
          <w:pPr>
            <w:pStyle w:val="Contents3"/>
            <w:tabs>
              <w:tab w:val="clear" w:pos="8459"/>
              <w:tab w:val="right" w:pos="9026" w:leader="dot"/>
            </w:tabs>
            <w:rPr/>
          </w:pPr>
          <w:hyperlink w:anchor="__RefHeading___Toc1588327_3650668749">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588329_3650668749">
            <w:r>
              <w:rPr>
                <w:webHidden/>
                <w:rStyle w:val="IndexLink"/>
                <w:rtl w:val="true"/>
              </w:rPr>
              <w:t>شرح حال محمّد بن عبدالوهاب‌</w:t>
            </w:r>
            <w:r>
              <w:rPr>
                <w:rStyle w:val="IndexLink"/>
                <w:rtl w:val="true"/>
              </w:rPr>
              <w:tab/>
            </w:r>
            <w:r>
              <w:rPr>
                <w:rStyle w:val="IndexLink"/>
              </w:rPr>
              <w:t>10</w:t>
            </w:r>
          </w:hyperlink>
        </w:p>
        <w:p>
          <w:pPr>
            <w:pStyle w:val="Contents3"/>
            <w:tabs>
              <w:tab w:val="clear" w:pos="8459"/>
              <w:tab w:val="right" w:pos="9026" w:leader="dot"/>
            </w:tabs>
            <w:rPr/>
          </w:pPr>
          <w:hyperlink w:anchor="__RefHeading___Toc1588331_3650668749">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588333_3650668749">
            <w:r>
              <w:rPr>
                <w:webHidden/>
                <w:rStyle w:val="IndexLink"/>
                <w:rtl w:val="true"/>
              </w:rPr>
              <w:t>مخالفت عبدالوهاب با عقايد انحرافى فرزندش محمد</w:t>
            </w:r>
            <w:r>
              <w:rPr>
                <w:rStyle w:val="IndexLink"/>
                <w:rtl w:val="true"/>
              </w:rPr>
              <w:tab/>
            </w:r>
            <w:r>
              <w:rPr>
                <w:rStyle w:val="IndexLink"/>
              </w:rPr>
              <w:t>14</w:t>
            </w:r>
          </w:hyperlink>
        </w:p>
        <w:p>
          <w:pPr>
            <w:pStyle w:val="Contents3"/>
            <w:tabs>
              <w:tab w:val="clear" w:pos="8459"/>
              <w:tab w:val="right" w:pos="9026" w:leader="dot"/>
            </w:tabs>
            <w:rPr/>
          </w:pPr>
          <w:hyperlink w:anchor="__RefHeading___Toc1588335_3650668749">
            <w:r>
              <w:rPr>
                <w:webHidden/>
                <w:rStyle w:val="IndexLink"/>
                <w:rtl w:val="true"/>
              </w:rPr>
              <w:t>اولين پيمان محمد بن عبدالوهاب‌</w:t>
            </w:r>
            <w:r>
              <w:rPr>
                <w:rStyle w:val="IndexLink"/>
                <w:rtl w:val="true"/>
              </w:rPr>
              <w:tab/>
            </w:r>
            <w:r>
              <w:rPr>
                <w:rStyle w:val="IndexLink"/>
              </w:rPr>
              <w:t>14</w:t>
            </w:r>
          </w:hyperlink>
        </w:p>
        <w:p>
          <w:pPr>
            <w:pStyle w:val="Contents3"/>
            <w:tabs>
              <w:tab w:val="clear" w:pos="8459"/>
              <w:tab w:val="right" w:pos="9026" w:leader="dot"/>
            </w:tabs>
            <w:rPr/>
          </w:pPr>
          <w:hyperlink w:anchor="__RefHeading___Toc1588337_3650668749">
            <w:r>
              <w:rPr>
                <w:webHidden/>
                <w:rStyle w:val="IndexLink"/>
                <w:rtl w:val="true"/>
              </w:rPr>
              <w:t xml:space="preserve">تكليف به هجرت به </w:t>
            </w:r>
            <w:r>
              <w:rPr>
                <w:rStyle w:val="IndexLink"/>
                <w:rtl w:val="true"/>
              </w:rPr>
              <w:t>«</w:t>
            </w:r>
            <w:r>
              <w:rPr>
                <w:rStyle w:val="IndexLink"/>
                <w:rtl w:val="true"/>
              </w:rPr>
              <w:t>نجد</w:t>
            </w:r>
            <w:r>
              <w:rPr>
                <w:rStyle w:val="IndexLink"/>
                <w:rtl w:val="true"/>
              </w:rPr>
              <w:t>»</w:t>
              <w:tab/>
            </w:r>
            <w:r>
              <w:rPr>
                <w:rStyle w:val="IndexLink"/>
              </w:rPr>
              <w:t>15</w:t>
            </w:r>
          </w:hyperlink>
        </w:p>
        <w:p>
          <w:pPr>
            <w:pStyle w:val="Contents3"/>
            <w:tabs>
              <w:tab w:val="clear" w:pos="8459"/>
              <w:tab w:val="right" w:pos="9026" w:leader="dot"/>
            </w:tabs>
            <w:rPr/>
          </w:pPr>
          <w:hyperlink w:anchor="__RefHeading___Toc1588339_3650668749">
            <w:r>
              <w:rPr>
                <w:webHidden/>
                <w:rStyle w:val="IndexLink"/>
                <w:rtl w:val="true"/>
              </w:rPr>
              <w:t>محمد بن عبدالوهاب و اقرار گرفتن بر كفر افراد</w:t>
            </w:r>
            <w:r>
              <w:rPr>
                <w:rStyle w:val="IndexLink"/>
                <w:rtl w:val="true"/>
              </w:rPr>
              <w:tab/>
            </w:r>
            <w:r>
              <w:rPr>
                <w:rStyle w:val="IndexLink"/>
              </w:rPr>
              <w:t>16</w:t>
            </w:r>
          </w:hyperlink>
        </w:p>
        <w:p>
          <w:pPr>
            <w:pStyle w:val="Contents3"/>
            <w:tabs>
              <w:tab w:val="clear" w:pos="8459"/>
              <w:tab w:val="right" w:pos="9026" w:leader="dot"/>
            </w:tabs>
            <w:rPr/>
          </w:pPr>
          <w:hyperlink w:anchor="__RefHeading___Toc1588341_3650668749">
            <w:r>
              <w:rPr>
                <w:webHidden/>
                <w:rStyle w:val="IndexLink"/>
                <w:rtl w:val="true"/>
              </w:rPr>
              <w:t xml:space="preserve">موقعيت مردم </w:t>
            </w:r>
            <w:r>
              <w:rPr>
                <w:rStyle w:val="IndexLink"/>
                <w:rtl w:val="true"/>
              </w:rPr>
              <w:t>«</w:t>
            </w:r>
            <w:r>
              <w:rPr>
                <w:rStyle w:val="IndexLink"/>
                <w:rtl w:val="true"/>
              </w:rPr>
              <w:t>نجد</w:t>
            </w:r>
            <w:r>
              <w:rPr>
                <w:rStyle w:val="IndexLink"/>
                <w:rtl w:val="true"/>
              </w:rPr>
              <w:t xml:space="preserve">» </w:t>
            </w:r>
            <w:r>
              <w:rPr>
                <w:rStyle w:val="IndexLink"/>
                <w:rtl w:val="true"/>
              </w:rPr>
              <w:t>در زمان دعوت محمد بن عبدالوهاب‌</w:t>
            </w:r>
            <w:r>
              <w:rPr>
                <w:rStyle w:val="IndexLink"/>
                <w:rtl w:val="true"/>
              </w:rPr>
              <w:tab/>
            </w:r>
            <w:r>
              <w:rPr>
                <w:rStyle w:val="IndexLink"/>
              </w:rPr>
              <w:t>16</w:t>
            </w:r>
          </w:hyperlink>
        </w:p>
        <w:p>
          <w:pPr>
            <w:pStyle w:val="Contents3"/>
            <w:tabs>
              <w:tab w:val="clear" w:pos="8459"/>
              <w:tab w:val="right" w:pos="9026" w:leader="dot"/>
            </w:tabs>
            <w:rPr/>
          </w:pPr>
          <w:hyperlink w:anchor="__RefHeading___Toc1588343_3650668749">
            <w:r>
              <w:rPr>
                <w:webHidden/>
                <w:rStyle w:val="IndexLink"/>
                <w:rtl w:val="true"/>
              </w:rPr>
              <w:t>تندروى محمد بن عبدالوهاب در دعوت‌</w:t>
            </w:r>
            <w:r>
              <w:rPr>
                <w:rStyle w:val="IndexLink"/>
                <w:rtl w:val="true"/>
              </w:rPr>
              <w:tab/>
            </w:r>
            <w:r>
              <w:rPr>
                <w:rStyle w:val="IndexLink"/>
              </w:rPr>
              <w:t>19</w:t>
            </w:r>
          </w:hyperlink>
        </w:p>
        <w:p>
          <w:pPr>
            <w:pStyle w:val="Contents3"/>
            <w:tabs>
              <w:tab w:val="clear" w:pos="8459"/>
              <w:tab w:val="right" w:pos="9026" w:leader="dot"/>
            </w:tabs>
            <w:rPr/>
          </w:pPr>
          <w:hyperlink w:anchor="__RefHeading___Toc1588345_3650668749">
            <w:r>
              <w:rPr>
                <w:webHidden/>
                <w:rStyle w:val="IndexLink"/>
                <w:rtl w:val="true"/>
              </w:rPr>
              <w:t>شورش مسلمانان بر ضد محمد بن عبدالوهاب‌</w:t>
            </w:r>
            <w:r>
              <w:rPr>
                <w:rStyle w:val="IndexLink"/>
                <w:rtl w:val="true"/>
              </w:rPr>
              <w:tab/>
            </w:r>
            <w:r>
              <w:rPr>
                <w:rStyle w:val="IndexLink"/>
              </w:rPr>
              <w:t>20</w:t>
            </w:r>
          </w:hyperlink>
        </w:p>
        <w:p>
          <w:pPr>
            <w:pStyle w:val="Contents3"/>
            <w:tabs>
              <w:tab w:val="clear" w:pos="8459"/>
              <w:tab w:val="right" w:pos="9026" w:leader="dot"/>
            </w:tabs>
            <w:rPr/>
          </w:pPr>
          <w:hyperlink w:anchor="__RefHeading___Toc1588347_3650668749">
            <w:r>
              <w:rPr>
                <w:webHidden/>
                <w:rStyle w:val="IndexLink"/>
                <w:rtl w:val="true"/>
              </w:rPr>
              <w:t>محمد بن عبدالوهاب و ايجاد خلاف بين مسلمين‌</w:t>
            </w:r>
            <w:r>
              <w:rPr>
                <w:rStyle w:val="IndexLink"/>
                <w:rtl w:val="true"/>
              </w:rPr>
              <w:tab/>
            </w:r>
            <w:r>
              <w:rPr>
                <w:rStyle w:val="IndexLink"/>
              </w:rPr>
              <w:t>21</w:t>
            </w:r>
          </w:hyperlink>
        </w:p>
        <w:p>
          <w:pPr>
            <w:pStyle w:val="Contents3"/>
            <w:tabs>
              <w:tab w:val="clear" w:pos="8459"/>
              <w:tab w:val="right" w:pos="9026" w:leader="dot"/>
            </w:tabs>
            <w:rPr/>
          </w:pPr>
          <w:hyperlink w:anchor="__RefHeading___Toc1588349_3650668749">
            <w:r>
              <w:rPr>
                <w:webHidden/>
                <w:rStyle w:val="IndexLink"/>
                <w:rtl w:val="true"/>
              </w:rPr>
              <w:t>سليمان بن عبدالوهاب‌</w:t>
            </w:r>
            <w:r>
              <w:rPr>
                <w:rStyle w:val="IndexLink"/>
                <w:rtl w:val="true"/>
              </w:rPr>
              <w:tab/>
            </w:r>
            <w:r>
              <w:rPr>
                <w:rStyle w:val="IndexLink"/>
              </w:rPr>
              <w:t>22</w:t>
            </w:r>
          </w:hyperlink>
        </w:p>
        <w:p>
          <w:pPr>
            <w:pStyle w:val="Contents3"/>
            <w:tabs>
              <w:tab w:val="clear" w:pos="8459"/>
              <w:tab w:val="right" w:pos="9026" w:leader="dot"/>
            </w:tabs>
            <w:rPr/>
          </w:pPr>
          <w:hyperlink w:anchor="__RefHeading___Toc1588351_3650668749">
            <w:r>
              <w:rPr>
                <w:webHidden/>
                <w:rStyle w:val="IndexLink"/>
                <w:rtl w:val="true"/>
              </w:rPr>
              <w:t xml:space="preserve">ايراد به پيامبر </w:t>
            </w:r>
            <w:r>
              <w:rPr>
                <w:rStyle w:val="IndexLink"/>
                <w:rtl w:val="true"/>
              </w:rPr>
              <w:t>(</w:t>
            </w:r>
            <w:r>
              <w:rPr>
                <w:rStyle w:val="IndexLink"/>
                <w:rtl w:val="true"/>
              </w:rPr>
              <w:t>ص</w:t>
            </w:r>
            <w:r>
              <w:rPr>
                <w:rStyle w:val="IndexLink"/>
                <w:rtl w:val="true"/>
              </w:rPr>
              <w:t>)</w:t>
              <w:tab/>
            </w:r>
            <w:r>
              <w:rPr>
                <w:rStyle w:val="IndexLink"/>
              </w:rPr>
              <w:t>29</w:t>
            </w:r>
          </w:hyperlink>
        </w:p>
        <w:p>
          <w:pPr>
            <w:pStyle w:val="Contents3"/>
            <w:tabs>
              <w:tab w:val="clear" w:pos="8459"/>
              <w:tab w:val="right" w:pos="9026" w:leader="dot"/>
            </w:tabs>
            <w:rPr/>
          </w:pPr>
          <w:hyperlink w:anchor="__RefHeading___Toc1588353_3650668749">
            <w:r>
              <w:rPr>
                <w:webHidden/>
                <w:rStyle w:val="IndexLink"/>
                <w:rtl w:val="true"/>
              </w:rPr>
              <w:t>رشيد رضا و دفاع از جنايات وهابيان‌</w:t>
            </w:r>
            <w:r>
              <w:rPr>
                <w:rStyle w:val="IndexLink"/>
                <w:rtl w:val="true"/>
              </w:rPr>
              <w:tab/>
            </w:r>
            <w:r>
              <w:rPr>
                <w:rStyle w:val="IndexLink"/>
              </w:rPr>
              <w:t>30</w:t>
            </w:r>
          </w:hyperlink>
        </w:p>
        <w:p>
          <w:pPr>
            <w:pStyle w:val="Contents2"/>
            <w:tabs>
              <w:tab w:val="clear" w:pos="8743"/>
              <w:tab w:val="right" w:pos="9026" w:leader="dot"/>
            </w:tabs>
            <w:rPr/>
          </w:pPr>
          <w:hyperlink w:anchor="__RefHeading___Toc1588355_3650668749">
            <w:r>
              <w:rPr>
                <w:webHidden/>
                <w:rStyle w:val="IndexLink"/>
                <w:rtl w:val="true"/>
              </w:rPr>
              <w:t>محمد بن عبدالوهاب و تكفير مسلمين‌</w:t>
            </w:r>
            <w:r>
              <w:rPr>
                <w:rStyle w:val="IndexLink"/>
                <w:rtl w:val="true"/>
              </w:rPr>
              <w:tab/>
            </w:r>
            <w:r>
              <w:rPr>
                <w:rStyle w:val="IndexLink"/>
              </w:rPr>
              <w:t>30</w:t>
            </w:r>
          </w:hyperlink>
        </w:p>
        <w:p>
          <w:pPr>
            <w:pStyle w:val="Contents3"/>
            <w:tabs>
              <w:tab w:val="clear" w:pos="8459"/>
              <w:tab w:val="right" w:pos="9026" w:leader="dot"/>
            </w:tabs>
            <w:rPr/>
          </w:pPr>
          <w:hyperlink w:anchor="__RefHeading___Toc1588357_3650668749">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1588359_3650668749">
            <w:r>
              <w:rPr>
                <w:webHidden/>
                <w:rStyle w:val="IndexLink"/>
                <w:rtl w:val="true"/>
              </w:rPr>
              <w:t>ادعاى محمد بن عبدالوهاب در توحيد</w:t>
            </w:r>
            <w:r>
              <w:rPr>
                <w:rStyle w:val="IndexLink"/>
                <w:rtl w:val="true"/>
              </w:rPr>
              <w:tab/>
            </w:r>
            <w:r>
              <w:rPr>
                <w:rStyle w:val="IndexLink"/>
              </w:rPr>
              <w:t>31</w:t>
            </w:r>
          </w:hyperlink>
        </w:p>
        <w:p>
          <w:pPr>
            <w:pStyle w:val="Contents3"/>
            <w:tabs>
              <w:tab w:val="clear" w:pos="8459"/>
              <w:tab w:val="right" w:pos="9026" w:leader="dot"/>
            </w:tabs>
            <w:rPr/>
          </w:pPr>
          <w:hyperlink w:anchor="__RefHeading___Toc1588361_3650668749">
            <w:r>
              <w:rPr>
                <w:webHidden/>
                <w:rStyle w:val="IndexLink"/>
                <w:rtl w:val="true"/>
              </w:rPr>
              <w:t>معيارهاى توحيد و شرك نزد محمد بن عبدالوهاب‌</w:t>
            </w:r>
            <w:r>
              <w:rPr>
                <w:rStyle w:val="IndexLink"/>
                <w:rtl w:val="true"/>
              </w:rPr>
              <w:tab/>
            </w:r>
            <w:r>
              <w:rPr>
                <w:rStyle w:val="IndexLink"/>
              </w:rPr>
              <w:t>32</w:t>
            </w:r>
          </w:hyperlink>
        </w:p>
        <w:p>
          <w:pPr>
            <w:pStyle w:val="Contents4"/>
            <w:tabs>
              <w:tab w:val="clear" w:pos="8176"/>
              <w:tab w:val="right" w:pos="9026" w:leader="dot"/>
            </w:tabs>
            <w:rPr/>
          </w:pPr>
          <w:hyperlink w:anchor="__RefHeading___Toc1588363_3650668749">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1588365_3650668749">
            <w:r>
              <w:rPr>
                <w:webHidden/>
                <w:rStyle w:val="IndexLink"/>
                <w:rtl w:val="true"/>
              </w:rPr>
              <w:t>معيار اوّل‌</w:t>
            </w:r>
            <w:r>
              <w:rPr>
                <w:rStyle w:val="IndexLink"/>
                <w:rtl w:val="true"/>
              </w:rPr>
              <w:tab/>
            </w:r>
            <w:r>
              <w:rPr>
                <w:rStyle w:val="IndexLink"/>
              </w:rPr>
              <w:t>33</w:t>
            </w:r>
          </w:hyperlink>
        </w:p>
        <w:p>
          <w:pPr>
            <w:pStyle w:val="Contents5"/>
            <w:tabs>
              <w:tab w:val="clear" w:pos="7892"/>
              <w:tab w:val="right" w:pos="9026" w:leader="dot"/>
            </w:tabs>
            <w:rPr/>
          </w:pPr>
          <w:hyperlink w:anchor="__RefHeading___Toc1588367_3650668749">
            <w:r>
              <w:rPr>
                <w:webHidden/>
                <w:rStyle w:val="IndexLink"/>
                <w:rtl w:val="true"/>
              </w:rPr>
              <w:t>اشاره</w:t>
            </w:r>
            <w:r>
              <w:rPr>
                <w:rStyle w:val="IndexLink"/>
                <w:rtl w:val="true"/>
              </w:rPr>
              <w:tab/>
            </w:r>
            <w:r>
              <w:rPr>
                <w:rStyle w:val="IndexLink"/>
              </w:rPr>
              <w:t>33</w:t>
            </w:r>
          </w:hyperlink>
        </w:p>
        <w:p>
          <w:pPr>
            <w:pStyle w:val="Contents5"/>
            <w:tabs>
              <w:tab w:val="clear" w:pos="7892"/>
              <w:tab w:val="right" w:pos="9026" w:leader="dot"/>
            </w:tabs>
            <w:rPr/>
          </w:pPr>
          <w:hyperlink w:anchor="__RefHeading___Toc1588369_3650668749">
            <w:r>
              <w:rPr>
                <w:webHidden/>
                <w:rStyle w:val="IndexLink"/>
                <w:rtl w:val="true"/>
              </w:rPr>
              <w:t>پاسخ‌</w:t>
            </w:r>
            <w:r>
              <w:rPr>
                <w:rStyle w:val="IndexLink"/>
                <w:rtl w:val="true"/>
              </w:rPr>
              <w:tab/>
            </w:r>
            <w:r>
              <w:rPr>
                <w:rStyle w:val="IndexLink"/>
              </w:rPr>
              <w:t>33</w:t>
            </w:r>
          </w:hyperlink>
        </w:p>
        <w:p>
          <w:pPr>
            <w:pStyle w:val="Contents4"/>
            <w:tabs>
              <w:tab w:val="clear" w:pos="8176"/>
              <w:tab w:val="right" w:pos="9026" w:leader="dot"/>
            </w:tabs>
            <w:rPr/>
          </w:pPr>
          <w:hyperlink w:anchor="__RefHeading___Toc1588371_3650668749">
            <w:r>
              <w:rPr>
                <w:webHidden/>
                <w:rStyle w:val="IndexLink"/>
                <w:rtl w:val="true"/>
              </w:rPr>
              <w:t>معيار دوم‌</w:t>
            </w:r>
            <w:r>
              <w:rPr>
                <w:rStyle w:val="IndexLink"/>
                <w:rtl w:val="true"/>
              </w:rPr>
              <w:tab/>
            </w:r>
            <w:r>
              <w:rPr>
                <w:rStyle w:val="IndexLink"/>
              </w:rPr>
              <w:t>34</w:t>
            </w:r>
          </w:hyperlink>
        </w:p>
        <w:p>
          <w:pPr>
            <w:pStyle w:val="Contents5"/>
            <w:tabs>
              <w:tab w:val="clear" w:pos="7892"/>
              <w:tab w:val="right" w:pos="9026" w:leader="dot"/>
            </w:tabs>
            <w:rPr/>
          </w:pPr>
          <w:hyperlink w:anchor="__RefHeading___Toc1588373_3650668749">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1588375_3650668749">
            <w:r>
              <w:rPr>
                <w:webHidden/>
                <w:rStyle w:val="IndexLink"/>
                <w:rtl w:val="true"/>
              </w:rPr>
              <w:t>معيار سوم‌</w:t>
            </w:r>
            <w:r>
              <w:rPr>
                <w:rStyle w:val="IndexLink"/>
                <w:rtl w:val="true"/>
              </w:rPr>
              <w:tab/>
            </w:r>
            <w:r>
              <w:rPr>
                <w:rStyle w:val="IndexLink"/>
              </w:rPr>
              <w:t>35</w:t>
            </w:r>
          </w:hyperlink>
        </w:p>
        <w:p>
          <w:pPr>
            <w:pStyle w:val="Contents5"/>
            <w:tabs>
              <w:tab w:val="clear" w:pos="7892"/>
              <w:tab w:val="right" w:pos="9026" w:leader="dot"/>
            </w:tabs>
            <w:rPr/>
          </w:pPr>
          <w:hyperlink w:anchor="__RefHeading___Toc1588377_3650668749">
            <w:r>
              <w:rPr>
                <w:webHidden/>
                <w:rStyle w:val="IndexLink"/>
                <w:rtl w:val="true"/>
              </w:rPr>
              <w:t>پاسخ‌</w:t>
            </w:r>
            <w:r>
              <w:rPr>
                <w:rStyle w:val="IndexLink"/>
                <w:rtl w:val="true"/>
              </w:rPr>
              <w:tab/>
            </w:r>
            <w:r>
              <w:rPr>
                <w:rStyle w:val="IndexLink"/>
              </w:rPr>
              <w:t>35</w:t>
            </w:r>
          </w:hyperlink>
        </w:p>
        <w:p>
          <w:pPr>
            <w:pStyle w:val="Contents5"/>
            <w:tabs>
              <w:tab w:val="clear" w:pos="7892"/>
              <w:tab w:val="right" w:pos="9026" w:leader="dot"/>
            </w:tabs>
            <w:rPr/>
          </w:pPr>
          <w:hyperlink w:anchor="__RefHeading___Toc1588379_3650668749">
            <w:r>
              <w:rPr>
                <w:webHidden/>
                <w:rStyle w:val="IndexLink"/>
                <w:rtl w:val="true"/>
              </w:rPr>
              <w:t>اشاره</w:t>
            </w:r>
            <w:r>
              <w:rPr>
                <w:rStyle w:val="IndexLink"/>
                <w:rtl w:val="true"/>
              </w:rPr>
              <w:tab/>
            </w:r>
            <w:r>
              <w:rPr>
                <w:rStyle w:val="IndexLink"/>
              </w:rPr>
              <w:t>37</w:t>
            </w:r>
          </w:hyperlink>
        </w:p>
        <w:p>
          <w:pPr>
            <w:pStyle w:val="Contents5"/>
            <w:tabs>
              <w:tab w:val="clear" w:pos="7892"/>
              <w:tab w:val="right" w:pos="9026" w:leader="dot"/>
            </w:tabs>
            <w:rPr/>
          </w:pPr>
          <w:hyperlink w:anchor="__RefHeading___Toc1588381_3650668749">
            <w:r>
              <w:rPr>
                <w:webHidden/>
                <w:rStyle w:val="IndexLink"/>
                <w:rtl w:val="true"/>
              </w:rPr>
              <w:t>پاسخ‌</w:t>
            </w:r>
            <w:r>
              <w:rPr>
                <w:rStyle w:val="IndexLink"/>
                <w:rtl w:val="true"/>
              </w:rPr>
              <w:tab/>
            </w:r>
            <w:r>
              <w:rPr>
                <w:rStyle w:val="IndexLink"/>
              </w:rPr>
              <w:t>38</w:t>
            </w:r>
          </w:hyperlink>
        </w:p>
        <w:p>
          <w:pPr>
            <w:pStyle w:val="Contents4"/>
            <w:tabs>
              <w:tab w:val="clear" w:pos="8176"/>
              <w:tab w:val="right" w:pos="9026" w:leader="dot"/>
            </w:tabs>
            <w:rPr/>
          </w:pPr>
          <w:hyperlink w:anchor="__RefHeading___Toc1588383_3650668749">
            <w:r>
              <w:rPr>
                <w:webHidden/>
                <w:rStyle w:val="IndexLink"/>
                <w:rtl w:val="true"/>
              </w:rPr>
              <w:t>معيار چهارم‌</w:t>
            </w:r>
            <w:r>
              <w:rPr>
                <w:rStyle w:val="IndexLink"/>
                <w:rtl w:val="true"/>
              </w:rPr>
              <w:tab/>
            </w:r>
            <w:r>
              <w:rPr>
                <w:rStyle w:val="IndexLink"/>
              </w:rPr>
              <w:t>39</w:t>
            </w:r>
          </w:hyperlink>
        </w:p>
        <w:p>
          <w:pPr>
            <w:pStyle w:val="Contents5"/>
            <w:tabs>
              <w:tab w:val="clear" w:pos="7892"/>
              <w:tab w:val="right" w:pos="9026" w:leader="dot"/>
            </w:tabs>
            <w:rPr/>
          </w:pPr>
          <w:hyperlink w:anchor="__RefHeading___Toc1588385_3650668749">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1588387_3650668749">
            <w:r>
              <w:rPr>
                <w:webHidden/>
                <w:rStyle w:val="IndexLink"/>
                <w:rtl w:val="true"/>
              </w:rPr>
              <w:t>پاسخ‌</w:t>
            </w:r>
            <w:r>
              <w:rPr>
                <w:rStyle w:val="IndexLink"/>
                <w:rtl w:val="true"/>
              </w:rPr>
              <w:tab/>
            </w:r>
            <w:r>
              <w:rPr>
                <w:rStyle w:val="IndexLink"/>
              </w:rPr>
              <w:t>39</w:t>
            </w:r>
          </w:hyperlink>
        </w:p>
        <w:p>
          <w:pPr>
            <w:pStyle w:val="Contents3"/>
            <w:tabs>
              <w:tab w:val="clear" w:pos="8459"/>
              <w:tab w:val="right" w:pos="9026" w:leader="dot"/>
            </w:tabs>
            <w:rPr/>
          </w:pPr>
          <w:hyperlink w:anchor="__RefHeading___Toc1588389_3650668749">
            <w:r>
              <w:rPr>
                <w:webHidden/>
                <w:rStyle w:val="IndexLink"/>
                <w:rtl w:val="true"/>
              </w:rPr>
              <w:t>گستره تكفير نزد محمد بن عبدالوهاب‌</w:t>
            </w:r>
            <w:r>
              <w:rPr>
                <w:rStyle w:val="IndexLink"/>
                <w:rtl w:val="true"/>
              </w:rPr>
              <w:tab/>
            </w:r>
            <w:r>
              <w:rPr>
                <w:rStyle w:val="IndexLink"/>
              </w:rPr>
              <w:t>42</w:t>
            </w:r>
          </w:hyperlink>
        </w:p>
        <w:p>
          <w:pPr>
            <w:pStyle w:val="Contents4"/>
            <w:tabs>
              <w:tab w:val="clear" w:pos="8176"/>
              <w:tab w:val="right" w:pos="9026" w:leader="dot"/>
            </w:tabs>
            <w:rPr/>
          </w:pPr>
          <w:hyperlink w:anchor="__RefHeading___Toc1588391_3650668749">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1588393_3650668749">
            <w:r>
              <w:rPr>
                <w:webHidden/>
                <w:rStyle w:val="IndexLink"/>
              </w:rPr>
              <w:t>1</w:t>
            </w:r>
            <w:r>
              <w:rPr>
                <w:rStyle w:val="IndexLink"/>
                <w:rtl w:val="true"/>
              </w:rPr>
              <w:t xml:space="preserve">. </w:t>
            </w:r>
            <w:r>
              <w:rPr>
                <w:rStyle w:val="IndexLink"/>
                <w:rtl w:val="true"/>
              </w:rPr>
              <w:t>تكفير اهالى مناطق‌</w:t>
            </w:r>
            <w:r>
              <w:rPr>
                <w:rStyle w:val="IndexLink"/>
                <w:rtl w:val="true"/>
              </w:rPr>
              <w:tab/>
            </w:r>
            <w:r>
              <w:rPr>
                <w:rStyle w:val="IndexLink"/>
              </w:rPr>
              <w:t>43</w:t>
            </w:r>
          </w:hyperlink>
        </w:p>
        <w:p>
          <w:pPr>
            <w:pStyle w:val="Contents5"/>
            <w:tabs>
              <w:tab w:val="clear" w:pos="7892"/>
              <w:tab w:val="right" w:pos="9026" w:leader="dot"/>
            </w:tabs>
            <w:rPr/>
          </w:pPr>
          <w:hyperlink w:anchor="__RefHeading___Toc1588395_3650668749">
            <w:r>
              <w:rPr>
                <w:webHidden/>
                <w:rStyle w:val="IndexLink"/>
                <w:rtl w:val="true"/>
              </w:rPr>
              <w:t>الف</w:t>
            </w:r>
            <w:r>
              <w:rPr>
                <w:rStyle w:val="IndexLink"/>
                <w:rtl w:val="true"/>
              </w:rPr>
              <w:t xml:space="preserve">) </w:t>
            </w:r>
            <w:r>
              <w:rPr>
                <w:rStyle w:val="IndexLink"/>
                <w:rtl w:val="true"/>
              </w:rPr>
              <w:t>تكفير اهالى تمام مناطق‌</w:t>
            </w:r>
            <w:r>
              <w:rPr>
                <w:rStyle w:val="IndexLink"/>
                <w:rtl w:val="true"/>
              </w:rPr>
              <w:tab/>
            </w:r>
            <w:r>
              <w:rPr>
                <w:rStyle w:val="IndexLink"/>
              </w:rPr>
              <w:t>43</w:t>
            </w:r>
          </w:hyperlink>
        </w:p>
        <w:p>
          <w:pPr>
            <w:pStyle w:val="Contents5"/>
            <w:tabs>
              <w:tab w:val="clear" w:pos="7892"/>
              <w:tab w:val="right" w:pos="9026" w:leader="dot"/>
            </w:tabs>
            <w:rPr/>
          </w:pPr>
          <w:hyperlink w:anchor="__RefHeading___Toc1588397_3650668749">
            <w:r>
              <w:rPr>
                <w:webHidden/>
                <w:rStyle w:val="IndexLink"/>
                <w:rtl w:val="true"/>
              </w:rPr>
              <w:t>ب</w:t>
            </w:r>
            <w:r>
              <w:rPr>
                <w:rStyle w:val="IndexLink"/>
                <w:rtl w:val="true"/>
              </w:rPr>
              <w:t xml:space="preserve">) </w:t>
            </w:r>
            <w:r>
              <w:rPr>
                <w:rStyle w:val="IndexLink"/>
                <w:rtl w:val="true"/>
              </w:rPr>
              <w:t>تكفير اهالى برخى مناطق‌</w:t>
            </w:r>
            <w:r>
              <w:rPr>
                <w:rStyle w:val="IndexLink"/>
                <w:rtl w:val="true"/>
              </w:rPr>
              <w:tab/>
            </w:r>
            <w:r>
              <w:rPr>
                <w:rStyle w:val="IndexLink"/>
              </w:rPr>
              <w:t>43</w:t>
            </w:r>
          </w:hyperlink>
        </w:p>
        <w:p>
          <w:pPr>
            <w:pStyle w:val="Contents4"/>
            <w:tabs>
              <w:tab w:val="clear" w:pos="8176"/>
              <w:tab w:val="right" w:pos="9026" w:leader="dot"/>
            </w:tabs>
            <w:rPr/>
          </w:pPr>
          <w:hyperlink w:anchor="__RefHeading___Toc1588399_3650668749">
            <w:r>
              <w:rPr>
                <w:webHidden/>
                <w:rStyle w:val="IndexLink"/>
              </w:rPr>
              <w:t>2</w:t>
            </w:r>
            <w:r>
              <w:rPr>
                <w:rStyle w:val="IndexLink"/>
                <w:rtl w:val="true"/>
              </w:rPr>
              <w:t xml:space="preserve">. </w:t>
            </w:r>
            <w:r>
              <w:rPr>
                <w:rStyle w:val="IndexLink"/>
                <w:rtl w:val="true"/>
              </w:rPr>
              <w:t>تكفير پيروان مذاهب‌</w:t>
            </w:r>
            <w:r>
              <w:rPr>
                <w:rStyle w:val="IndexLink"/>
                <w:rtl w:val="true"/>
              </w:rPr>
              <w:tab/>
            </w:r>
            <w:r>
              <w:rPr>
                <w:rStyle w:val="IndexLink"/>
              </w:rPr>
              <w:t>45</w:t>
            </w:r>
          </w:hyperlink>
        </w:p>
        <w:p>
          <w:pPr>
            <w:pStyle w:val="Contents5"/>
            <w:tabs>
              <w:tab w:val="clear" w:pos="7892"/>
              <w:tab w:val="right" w:pos="9026" w:leader="dot"/>
            </w:tabs>
            <w:rPr/>
          </w:pPr>
          <w:hyperlink w:anchor="__RefHeading___Toc1588401_3650668749">
            <w:r>
              <w:rPr>
                <w:webHidden/>
                <w:rStyle w:val="IndexLink"/>
                <w:rtl w:val="true"/>
              </w:rPr>
              <w:t>الف</w:t>
            </w:r>
            <w:r>
              <w:rPr>
                <w:rStyle w:val="IndexLink"/>
                <w:rtl w:val="true"/>
              </w:rPr>
              <w:t xml:space="preserve">) </w:t>
            </w:r>
            <w:r>
              <w:rPr>
                <w:rStyle w:val="IndexLink"/>
                <w:rtl w:val="true"/>
              </w:rPr>
              <w:t>تكفير اماميه‌</w:t>
            </w:r>
            <w:r>
              <w:rPr>
                <w:rStyle w:val="IndexLink"/>
                <w:rtl w:val="true"/>
              </w:rPr>
              <w:tab/>
            </w:r>
            <w:r>
              <w:rPr>
                <w:rStyle w:val="IndexLink"/>
              </w:rPr>
              <w:t>45</w:t>
            </w:r>
          </w:hyperlink>
        </w:p>
        <w:p>
          <w:pPr>
            <w:pStyle w:val="Contents5"/>
            <w:tabs>
              <w:tab w:val="clear" w:pos="7892"/>
              <w:tab w:val="right" w:pos="9026" w:leader="dot"/>
            </w:tabs>
            <w:rPr/>
          </w:pPr>
          <w:hyperlink w:anchor="__RefHeading___Toc1588403_3650668749">
            <w:r>
              <w:rPr>
                <w:webHidden/>
                <w:rStyle w:val="IndexLink"/>
                <w:rtl w:val="true"/>
              </w:rPr>
              <w:t>ب</w:t>
            </w:r>
            <w:r>
              <w:rPr>
                <w:rStyle w:val="IndexLink"/>
                <w:rtl w:val="true"/>
              </w:rPr>
              <w:t xml:space="preserve">) </w:t>
            </w:r>
            <w:r>
              <w:rPr>
                <w:rStyle w:val="IndexLink"/>
                <w:rtl w:val="true"/>
              </w:rPr>
              <w:t>نسبت شرك به علم فقه و فقها</w:t>
            </w:r>
            <w:r>
              <w:rPr>
                <w:rStyle w:val="IndexLink"/>
                <w:rtl w:val="true"/>
              </w:rPr>
              <w:tab/>
            </w:r>
            <w:r>
              <w:rPr>
                <w:rStyle w:val="IndexLink"/>
              </w:rPr>
              <w:t>45</w:t>
            </w:r>
          </w:hyperlink>
        </w:p>
        <w:p>
          <w:pPr>
            <w:pStyle w:val="Contents5"/>
            <w:tabs>
              <w:tab w:val="clear" w:pos="7892"/>
              <w:tab w:val="right" w:pos="9026" w:leader="dot"/>
            </w:tabs>
            <w:rPr/>
          </w:pPr>
          <w:hyperlink w:anchor="__RefHeading___Toc1588405_3650668749">
            <w:r>
              <w:rPr>
                <w:webHidden/>
                <w:rStyle w:val="IndexLink"/>
                <w:rtl w:val="true"/>
              </w:rPr>
              <w:t>ج</w:t>
            </w:r>
            <w:r>
              <w:rPr>
                <w:rStyle w:val="IndexLink"/>
                <w:rtl w:val="true"/>
              </w:rPr>
              <w:t xml:space="preserve">) </w:t>
            </w:r>
            <w:r>
              <w:rPr>
                <w:rStyle w:val="IndexLink"/>
                <w:rtl w:val="true"/>
              </w:rPr>
              <w:t>تكفير متكلمين‌</w:t>
            </w:r>
            <w:r>
              <w:rPr>
                <w:rStyle w:val="IndexLink"/>
                <w:rtl w:val="true"/>
              </w:rPr>
              <w:tab/>
            </w:r>
            <w:r>
              <w:rPr>
                <w:rStyle w:val="IndexLink"/>
              </w:rPr>
              <w:t>46</w:t>
            </w:r>
          </w:hyperlink>
        </w:p>
        <w:p>
          <w:pPr>
            <w:pStyle w:val="Contents4"/>
            <w:tabs>
              <w:tab w:val="clear" w:pos="8176"/>
              <w:tab w:val="right" w:pos="9026" w:leader="dot"/>
            </w:tabs>
            <w:rPr/>
          </w:pPr>
          <w:hyperlink w:anchor="__RefHeading___Toc1588407_3650668749">
            <w:r>
              <w:rPr>
                <w:webHidden/>
                <w:rStyle w:val="IndexLink"/>
              </w:rPr>
              <w:t>3</w:t>
            </w:r>
            <w:r>
              <w:rPr>
                <w:rStyle w:val="IndexLink"/>
                <w:rtl w:val="true"/>
              </w:rPr>
              <w:t xml:space="preserve">. </w:t>
            </w:r>
            <w:r>
              <w:rPr>
                <w:rStyle w:val="IndexLink"/>
                <w:rtl w:val="true"/>
              </w:rPr>
              <w:t>تكفير علماى پيشين و معاصران خود</w:t>
            </w:r>
            <w:r>
              <w:rPr>
                <w:rStyle w:val="IndexLink"/>
                <w:rtl w:val="true"/>
              </w:rPr>
              <w:tab/>
            </w:r>
            <w:r>
              <w:rPr>
                <w:rStyle w:val="IndexLink"/>
              </w:rPr>
              <w:t>47</w:t>
            </w:r>
          </w:hyperlink>
        </w:p>
        <w:p>
          <w:pPr>
            <w:pStyle w:val="Contents5"/>
            <w:tabs>
              <w:tab w:val="clear" w:pos="7892"/>
              <w:tab w:val="right" w:pos="9026" w:leader="dot"/>
            </w:tabs>
            <w:rPr/>
          </w:pPr>
          <w:hyperlink w:anchor="__RefHeading___Toc1588409_3650668749">
            <w:r>
              <w:rPr>
                <w:webHidden/>
                <w:rStyle w:val="IndexLink"/>
                <w:rtl w:val="true"/>
              </w:rPr>
              <w:t>الف</w:t>
            </w:r>
            <w:r>
              <w:rPr>
                <w:rStyle w:val="IndexLink"/>
                <w:rtl w:val="true"/>
              </w:rPr>
              <w:t xml:space="preserve">) </w:t>
            </w:r>
            <w:r>
              <w:rPr>
                <w:rStyle w:val="IndexLink"/>
                <w:rtl w:val="true"/>
              </w:rPr>
              <w:t>نسبت شرك به علماى اسلام‌</w:t>
            </w:r>
            <w:r>
              <w:rPr>
                <w:rStyle w:val="IndexLink"/>
                <w:rtl w:val="true"/>
              </w:rPr>
              <w:tab/>
            </w:r>
            <w:r>
              <w:rPr>
                <w:rStyle w:val="IndexLink"/>
              </w:rPr>
              <w:t>47</w:t>
            </w:r>
          </w:hyperlink>
        </w:p>
        <w:p>
          <w:pPr>
            <w:pStyle w:val="Contents5"/>
            <w:tabs>
              <w:tab w:val="clear" w:pos="7892"/>
              <w:tab w:val="right" w:pos="9026" w:leader="dot"/>
            </w:tabs>
            <w:rPr/>
          </w:pPr>
          <w:hyperlink w:anchor="__RefHeading___Toc1588411_3650668749">
            <w:r>
              <w:rPr>
                <w:webHidden/>
                <w:rStyle w:val="IndexLink"/>
                <w:rtl w:val="true"/>
              </w:rPr>
              <w:t>ب</w:t>
            </w:r>
            <w:r>
              <w:rPr>
                <w:rStyle w:val="IndexLink"/>
                <w:rtl w:val="true"/>
              </w:rPr>
              <w:t xml:space="preserve">) </w:t>
            </w:r>
            <w:r>
              <w:rPr>
                <w:rStyle w:val="IndexLink"/>
                <w:rtl w:val="true"/>
              </w:rPr>
              <w:t>تكفير سليمان بن سحيم‌</w:t>
            </w:r>
            <w:r>
              <w:rPr>
                <w:rStyle w:val="IndexLink"/>
                <w:rtl w:val="true"/>
              </w:rPr>
              <w:tab/>
            </w:r>
            <w:r>
              <w:rPr>
                <w:rStyle w:val="IndexLink"/>
              </w:rPr>
              <w:t>48</w:t>
            </w:r>
          </w:hyperlink>
        </w:p>
        <w:p>
          <w:pPr>
            <w:pStyle w:val="Contents5"/>
            <w:tabs>
              <w:tab w:val="clear" w:pos="7892"/>
              <w:tab w:val="right" w:pos="9026" w:leader="dot"/>
            </w:tabs>
            <w:rPr/>
          </w:pPr>
          <w:hyperlink w:anchor="__RefHeading___Toc1588413_3650668749">
            <w:r>
              <w:rPr>
                <w:webHidden/>
                <w:rStyle w:val="IndexLink"/>
                <w:rtl w:val="true"/>
              </w:rPr>
              <w:t>ج</w:t>
            </w:r>
            <w:r>
              <w:rPr>
                <w:rStyle w:val="IndexLink"/>
                <w:rtl w:val="true"/>
              </w:rPr>
              <w:t xml:space="preserve">) </w:t>
            </w:r>
            <w:r>
              <w:rPr>
                <w:rStyle w:val="IndexLink"/>
                <w:rtl w:val="true"/>
              </w:rPr>
              <w:t>تكفير احمد بن عبدالكريم‌</w:t>
            </w:r>
            <w:r>
              <w:rPr>
                <w:rStyle w:val="IndexLink"/>
                <w:rtl w:val="true"/>
              </w:rPr>
              <w:tab/>
            </w:r>
            <w:r>
              <w:rPr>
                <w:rStyle w:val="IndexLink"/>
              </w:rPr>
              <w:t>49</w:t>
            </w:r>
          </w:hyperlink>
        </w:p>
        <w:p>
          <w:pPr>
            <w:pStyle w:val="Contents5"/>
            <w:tabs>
              <w:tab w:val="clear" w:pos="7892"/>
              <w:tab w:val="right" w:pos="9026" w:leader="dot"/>
            </w:tabs>
            <w:rPr/>
          </w:pPr>
          <w:hyperlink w:anchor="__RefHeading___Toc1588415_3650668749">
            <w:r>
              <w:rPr>
                <w:webHidden/>
                <w:rStyle w:val="IndexLink"/>
                <w:rtl w:val="true"/>
              </w:rPr>
              <w:t>د</w:t>
            </w:r>
            <w:r>
              <w:rPr>
                <w:rStyle w:val="IndexLink"/>
                <w:rtl w:val="true"/>
              </w:rPr>
              <w:t xml:space="preserve">) </w:t>
            </w:r>
            <w:r>
              <w:rPr>
                <w:rStyle w:val="IndexLink"/>
                <w:rtl w:val="true"/>
              </w:rPr>
              <w:t>تكفير ابن عربى‌</w:t>
            </w:r>
            <w:r>
              <w:rPr>
                <w:rStyle w:val="IndexLink"/>
                <w:rtl w:val="true"/>
              </w:rPr>
              <w:tab/>
            </w:r>
            <w:r>
              <w:rPr>
                <w:rStyle w:val="IndexLink"/>
              </w:rPr>
              <w:t>49</w:t>
            </w:r>
          </w:hyperlink>
        </w:p>
        <w:p>
          <w:pPr>
            <w:pStyle w:val="Contents5"/>
            <w:tabs>
              <w:tab w:val="clear" w:pos="7892"/>
              <w:tab w:val="right" w:pos="9026" w:leader="dot"/>
            </w:tabs>
            <w:rPr/>
          </w:pPr>
          <w:hyperlink w:anchor="__RefHeading___Toc1588417_3650668749">
            <w:r>
              <w:rPr>
                <w:webHidden/>
                <w:rStyle w:val="IndexLink"/>
                <w:rtl w:val="true"/>
              </w:rPr>
              <w:t>ه</w:t>
            </w:r>
            <w:r>
              <w:rPr>
                <w:rStyle w:val="IndexLink"/>
                <w:rtl w:val="true"/>
              </w:rPr>
              <w:t xml:space="preserve">) </w:t>
            </w:r>
            <w:r>
              <w:rPr>
                <w:rStyle w:val="IndexLink"/>
                <w:rtl w:val="true"/>
              </w:rPr>
              <w:t>تكفير ضمنى فخر رازى‌</w:t>
            </w:r>
            <w:r>
              <w:rPr>
                <w:rStyle w:val="IndexLink"/>
                <w:rtl w:val="true"/>
              </w:rPr>
              <w:tab/>
            </w:r>
            <w:r>
              <w:rPr>
                <w:rStyle w:val="IndexLink"/>
              </w:rPr>
              <w:t>49</w:t>
            </w:r>
          </w:hyperlink>
        </w:p>
        <w:p>
          <w:pPr>
            <w:pStyle w:val="Contents5"/>
            <w:tabs>
              <w:tab w:val="clear" w:pos="7892"/>
              <w:tab w:val="right" w:pos="9026" w:leader="dot"/>
            </w:tabs>
            <w:rPr/>
          </w:pPr>
          <w:hyperlink w:anchor="__RefHeading___Toc1588419_3650668749">
            <w:r>
              <w:rPr>
                <w:webHidden/>
                <w:rStyle w:val="IndexLink"/>
                <w:rtl w:val="true"/>
              </w:rPr>
              <w:t>د</w:t>
            </w:r>
            <w:r>
              <w:rPr>
                <w:rStyle w:val="IndexLink"/>
                <w:rtl w:val="true"/>
              </w:rPr>
              <w:t xml:space="preserve">) </w:t>
            </w:r>
            <w:r>
              <w:rPr>
                <w:rStyle w:val="IndexLink"/>
                <w:rtl w:val="true"/>
              </w:rPr>
              <w:t>تكفير ابن عبداللطيف، ابن عفالق و ابن مطلق‌</w:t>
            </w:r>
            <w:r>
              <w:rPr>
                <w:rStyle w:val="IndexLink"/>
                <w:rtl w:val="true"/>
              </w:rPr>
              <w:tab/>
            </w:r>
            <w:r>
              <w:rPr>
                <w:rStyle w:val="IndexLink"/>
              </w:rPr>
              <w:t>50</w:t>
            </w:r>
          </w:hyperlink>
        </w:p>
        <w:p>
          <w:pPr>
            <w:pStyle w:val="Contents4"/>
            <w:tabs>
              <w:tab w:val="clear" w:pos="8176"/>
              <w:tab w:val="right" w:pos="9026" w:leader="dot"/>
            </w:tabs>
            <w:rPr/>
          </w:pPr>
          <w:hyperlink w:anchor="__RefHeading___Toc1588421_3650668749">
            <w:r>
              <w:rPr>
                <w:webHidden/>
                <w:rStyle w:val="IndexLink"/>
              </w:rPr>
              <w:t>4</w:t>
            </w:r>
            <w:r>
              <w:rPr>
                <w:rStyle w:val="IndexLink"/>
                <w:rtl w:val="true"/>
              </w:rPr>
              <w:t xml:space="preserve">. </w:t>
            </w:r>
            <w:r>
              <w:rPr>
                <w:rStyle w:val="IndexLink"/>
                <w:rtl w:val="true"/>
              </w:rPr>
              <w:t>تكفير مسلمانان‌</w:t>
            </w:r>
            <w:r>
              <w:rPr>
                <w:rStyle w:val="IndexLink"/>
                <w:rtl w:val="true"/>
              </w:rPr>
              <w:tab/>
            </w:r>
            <w:r>
              <w:rPr>
                <w:rStyle w:val="IndexLink"/>
              </w:rPr>
              <w:t>50</w:t>
            </w:r>
          </w:hyperlink>
        </w:p>
        <w:p>
          <w:pPr>
            <w:pStyle w:val="Contents5"/>
            <w:tabs>
              <w:tab w:val="clear" w:pos="7892"/>
              <w:tab w:val="right" w:pos="9026" w:leader="dot"/>
            </w:tabs>
            <w:rPr/>
          </w:pPr>
          <w:hyperlink w:anchor="__RefHeading___Toc1588423_3650668749">
            <w:r>
              <w:rPr>
                <w:webHidden/>
                <w:rStyle w:val="IndexLink"/>
                <w:rtl w:val="true"/>
              </w:rPr>
              <w:t>الف</w:t>
            </w:r>
            <w:r>
              <w:rPr>
                <w:rStyle w:val="IndexLink"/>
                <w:rtl w:val="true"/>
              </w:rPr>
              <w:t xml:space="preserve">) </w:t>
            </w:r>
            <w:r>
              <w:rPr>
                <w:rStyle w:val="IndexLink"/>
                <w:rtl w:val="true"/>
              </w:rPr>
              <w:t>نسبت انكار معاد به غالب مردم‌</w:t>
            </w:r>
            <w:r>
              <w:rPr>
                <w:rStyle w:val="IndexLink"/>
                <w:rtl w:val="true"/>
              </w:rPr>
              <w:tab/>
            </w:r>
            <w:r>
              <w:rPr>
                <w:rStyle w:val="IndexLink"/>
              </w:rPr>
              <w:t>50</w:t>
            </w:r>
          </w:hyperlink>
        </w:p>
        <w:p>
          <w:pPr>
            <w:pStyle w:val="Contents5"/>
            <w:tabs>
              <w:tab w:val="clear" w:pos="7892"/>
              <w:tab w:val="right" w:pos="9026" w:leader="dot"/>
            </w:tabs>
            <w:rPr/>
          </w:pPr>
          <w:hyperlink w:anchor="__RefHeading___Toc1588425_3650668749">
            <w:r>
              <w:rPr>
                <w:webHidden/>
                <w:rStyle w:val="IndexLink"/>
                <w:rtl w:val="true"/>
              </w:rPr>
              <w:t>ب</w:t>
            </w:r>
            <w:r>
              <w:rPr>
                <w:rStyle w:val="IndexLink"/>
                <w:rtl w:val="true"/>
              </w:rPr>
              <w:t xml:space="preserve">) </w:t>
            </w:r>
            <w:r>
              <w:rPr>
                <w:rStyle w:val="IndexLink"/>
                <w:rtl w:val="true"/>
              </w:rPr>
              <w:t>تكفير اكثر مسلمانان‌</w:t>
            </w:r>
            <w:r>
              <w:rPr>
                <w:rStyle w:val="IndexLink"/>
                <w:rtl w:val="true"/>
              </w:rPr>
              <w:tab/>
            </w:r>
            <w:r>
              <w:rPr>
                <w:rStyle w:val="IndexLink"/>
              </w:rPr>
              <w:t>51</w:t>
            </w:r>
          </w:hyperlink>
        </w:p>
        <w:p>
          <w:pPr>
            <w:pStyle w:val="Contents5"/>
            <w:tabs>
              <w:tab w:val="clear" w:pos="7892"/>
              <w:tab w:val="right" w:pos="9026" w:leader="dot"/>
            </w:tabs>
            <w:rPr/>
          </w:pPr>
          <w:hyperlink w:anchor="__RefHeading___Toc1588427_3650668749">
            <w:r>
              <w:rPr>
                <w:webHidden/>
                <w:rStyle w:val="IndexLink"/>
                <w:rtl w:val="true"/>
              </w:rPr>
              <w:t>ج</w:t>
            </w:r>
            <w:r>
              <w:rPr>
                <w:rStyle w:val="IndexLink"/>
                <w:rtl w:val="true"/>
              </w:rPr>
              <w:t xml:space="preserve">) </w:t>
            </w:r>
            <w:r>
              <w:rPr>
                <w:rStyle w:val="IndexLink"/>
                <w:rtl w:val="true"/>
              </w:rPr>
              <w:t>تكفير مسلمانان معاصر خود</w:t>
            </w:r>
            <w:r>
              <w:rPr>
                <w:rStyle w:val="IndexLink"/>
                <w:rtl w:val="true"/>
              </w:rPr>
              <w:tab/>
            </w:r>
            <w:r>
              <w:rPr>
                <w:rStyle w:val="IndexLink"/>
              </w:rPr>
              <w:t>51</w:t>
            </w:r>
          </w:hyperlink>
        </w:p>
        <w:p>
          <w:pPr>
            <w:pStyle w:val="Contents2"/>
            <w:tabs>
              <w:tab w:val="clear" w:pos="8743"/>
              <w:tab w:val="right" w:pos="9026" w:leader="dot"/>
            </w:tabs>
            <w:rPr/>
          </w:pPr>
          <w:hyperlink w:anchor="__RefHeading___Toc1588429_3650668749">
            <w:r>
              <w:rPr>
                <w:webHidden/>
                <w:rStyle w:val="IndexLink"/>
                <w:rtl w:val="true"/>
              </w:rPr>
              <w:t>ديدگاه علماى اهل سنت درباره محمد بن عبدالوهاب‌</w:t>
            </w:r>
            <w:r>
              <w:rPr>
                <w:rStyle w:val="IndexLink"/>
                <w:rtl w:val="true"/>
              </w:rPr>
              <w:tab/>
            </w:r>
            <w:r>
              <w:rPr>
                <w:rStyle w:val="IndexLink"/>
              </w:rPr>
              <w:t>53</w:t>
            </w:r>
          </w:hyperlink>
        </w:p>
        <w:p>
          <w:pPr>
            <w:pStyle w:val="Contents3"/>
            <w:tabs>
              <w:tab w:val="clear" w:pos="8459"/>
              <w:tab w:val="right" w:pos="9026" w:leader="dot"/>
            </w:tabs>
            <w:rPr/>
          </w:pPr>
          <w:hyperlink w:anchor="__RefHeading___Toc1588431_3650668749">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1588433_3650668749">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1588435_3650668749">
            <w:r>
              <w:rPr>
                <w:webHidden/>
                <w:rStyle w:val="IndexLink"/>
              </w:rPr>
              <w:t>1</w:t>
            </w:r>
            <w:r>
              <w:rPr>
                <w:rStyle w:val="IndexLink"/>
                <w:rtl w:val="true"/>
              </w:rPr>
              <w:t xml:space="preserve">. </w:t>
            </w:r>
            <w:r>
              <w:rPr>
                <w:rStyle w:val="IndexLink"/>
                <w:rtl w:val="true"/>
              </w:rPr>
              <w:t>محمّد بن عبدالله بن فيروز</w:t>
            </w:r>
            <w:r>
              <w:rPr>
                <w:rStyle w:val="IndexLink"/>
                <w:rtl w:val="true"/>
              </w:rPr>
              <w:tab/>
            </w:r>
            <w:r>
              <w:rPr>
                <w:rStyle w:val="IndexLink"/>
              </w:rPr>
              <w:t>56</w:t>
            </w:r>
          </w:hyperlink>
        </w:p>
        <w:p>
          <w:pPr>
            <w:pStyle w:val="Contents3"/>
            <w:tabs>
              <w:tab w:val="clear" w:pos="8459"/>
              <w:tab w:val="right" w:pos="9026" w:leader="dot"/>
            </w:tabs>
            <w:rPr/>
          </w:pPr>
          <w:hyperlink w:anchor="__RefHeading___Toc1588437_3650668749">
            <w:r>
              <w:rPr>
                <w:webHidden/>
                <w:rStyle w:val="IndexLink"/>
              </w:rPr>
              <w:t>2</w:t>
            </w:r>
            <w:r>
              <w:rPr>
                <w:rStyle w:val="IndexLink"/>
                <w:rtl w:val="true"/>
              </w:rPr>
              <w:t xml:space="preserve">. </w:t>
            </w:r>
            <w:r>
              <w:rPr>
                <w:rStyle w:val="IndexLink"/>
                <w:rtl w:val="true"/>
              </w:rPr>
              <w:t>علوى بن احمد بن حسن حداد</w:t>
            </w:r>
            <w:r>
              <w:rPr>
                <w:rStyle w:val="IndexLink"/>
                <w:rtl w:val="true"/>
              </w:rPr>
              <w:tab/>
            </w:r>
            <w:r>
              <w:rPr>
                <w:rStyle w:val="IndexLink"/>
              </w:rPr>
              <w:t>57</w:t>
            </w:r>
          </w:hyperlink>
        </w:p>
        <w:p>
          <w:pPr>
            <w:pStyle w:val="Contents3"/>
            <w:tabs>
              <w:tab w:val="clear" w:pos="8459"/>
              <w:tab w:val="right" w:pos="9026" w:leader="dot"/>
            </w:tabs>
            <w:rPr/>
          </w:pPr>
          <w:hyperlink w:anchor="__RefHeading___Toc1588439_3650668749">
            <w:r>
              <w:rPr>
                <w:webHidden/>
                <w:rStyle w:val="IndexLink"/>
              </w:rPr>
              <w:t>3</w:t>
            </w:r>
            <w:r>
              <w:rPr>
                <w:rStyle w:val="IndexLink"/>
                <w:rtl w:val="true"/>
              </w:rPr>
              <w:t xml:space="preserve">. </w:t>
            </w:r>
            <w:r>
              <w:rPr>
                <w:rStyle w:val="IndexLink"/>
                <w:rtl w:val="true"/>
              </w:rPr>
              <w:t>عبدالعزيز بن عبدالرحمن بن عدوان‌</w:t>
            </w:r>
            <w:r>
              <w:rPr>
                <w:rStyle w:val="IndexLink"/>
                <w:rtl w:val="true"/>
              </w:rPr>
              <w:tab/>
            </w:r>
            <w:r>
              <w:rPr>
                <w:rStyle w:val="IndexLink"/>
              </w:rPr>
              <w:t>63</w:t>
            </w:r>
          </w:hyperlink>
        </w:p>
        <w:p>
          <w:pPr>
            <w:pStyle w:val="Contents3"/>
            <w:tabs>
              <w:tab w:val="clear" w:pos="8459"/>
              <w:tab w:val="right" w:pos="9026" w:leader="dot"/>
            </w:tabs>
            <w:rPr/>
          </w:pPr>
          <w:hyperlink w:anchor="__RefHeading___Toc1588441_3650668749">
            <w:r>
              <w:rPr>
                <w:webHidden/>
                <w:rStyle w:val="IndexLink"/>
              </w:rPr>
              <w:t>4</w:t>
            </w:r>
            <w:r>
              <w:rPr>
                <w:rStyle w:val="IndexLink"/>
                <w:rtl w:val="true"/>
              </w:rPr>
              <w:t xml:space="preserve">. </w:t>
            </w:r>
            <w:r>
              <w:rPr>
                <w:rStyle w:val="IndexLink"/>
                <w:rtl w:val="true"/>
              </w:rPr>
              <w:t>مربد بن احمد الوهيبى تميمى‌</w:t>
            </w:r>
            <w:r>
              <w:rPr>
                <w:rStyle w:val="IndexLink"/>
                <w:rtl w:val="true"/>
              </w:rPr>
              <w:tab/>
            </w:r>
            <w:r>
              <w:rPr>
                <w:rStyle w:val="IndexLink"/>
              </w:rPr>
              <w:t>64</w:t>
            </w:r>
          </w:hyperlink>
        </w:p>
        <w:p>
          <w:pPr>
            <w:pStyle w:val="Contents3"/>
            <w:tabs>
              <w:tab w:val="clear" w:pos="8459"/>
              <w:tab w:val="right" w:pos="9026" w:leader="dot"/>
            </w:tabs>
            <w:rPr/>
          </w:pPr>
          <w:hyperlink w:anchor="__RefHeading___Toc1588443_3650668749">
            <w:r>
              <w:rPr>
                <w:webHidden/>
                <w:rStyle w:val="IndexLink"/>
              </w:rPr>
              <w:t>5</w:t>
            </w:r>
            <w:r>
              <w:rPr>
                <w:rStyle w:val="IndexLink"/>
                <w:rtl w:val="true"/>
              </w:rPr>
              <w:t xml:space="preserve">. </w:t>
            </w:r>
            <w:r>
              <w:rPr>
                <w:rStyle w:val="IndexLink"/>
                <w:rtl w:val="true"/>
              </w:rPr>
              <w:t>سيف بن احمد عتيقى‌</w:t>
            </w:r>
            <w:r>
              <w:rPr>
                <w:rStyle w:val="IndexLink"/>
                <w:rtl w:val="true"/>
              </w:rPr>
              <w:tab/>
            </w:r>
            <w:r>
              <w:rPr>
                <w:rStyle w:val="IndexLink"/>
              </w:rPr>
              <w:t>65</w:t>
            </w:r>
          </w:hyperlink>
        </w:p>
        <w:p>
          <w:pPr>
            <w:pStyle w:val="Contents3"/>
            <w:tabs>
              <w:tab w:val="clear" w:pos="8459"/>
              <w:tab w:val="right" w:pos="9026" w:leader="dot"/>
            </w:tabs>
            <w:rPr/>
          </w:pPr>
          <w:hyperlink w:anchor="__RefHeading___Toc1588445_3650668749">
            <w:r>
              <w:rPr>
                <w:webHidden/>
                <w:rStyle w:val="IndexLink"/>
              </w:rPr>
              <w:t>6</w:t>
            </w:r>
            <w:r>
              <w:rPr>
                <w:rStyle w:val="IndexLink"/>
                <w:rtl w:val="true"/>
              </w:rPr>
              <w:t xml:space="preserve">. </w:t>
            </w:r>
            <w:r>
              <w:rPr>
                <w:rStyle w:val="IndexLink"/>
                <w:rtl w:val="true"/>
              </w:rPr>
              <w:t xml:space="preserve">احمد بن زينى دحلان </w:t>
            </w:r>
            <w:r>
              <w:rPr>
                <w:rStyle w:val="IndexLink"/>
                <w:rtl w:val="true"/>
              </w:rPr>
              <w:t>(</w:t>
            </w:r>
            <w:r>
              <w:rPr>
                <w:rStyle w:val="IndexLink"/>
                <w:rtl w:val="true"/>
              </w:rPr>
              <w:t xml:space="preserve">ت </w:t>
            </w:r>
            <w:r>
              <w:rPr>
                <w:rStyle w:val="IndexLink"/>
              </w:rPr>
              <w:t>1304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65</w:t>
            </w:r>
          </w:hyperlink>
        </w:p>
        <w:p>
          <w:pPr>
            <w:pStyle w:val="Contents3"/>
            <w:tabs>
              <w:tab w:val="clear" w:pos="8459"/>
              <w:tab w:val="right" w:pos="9026" w:leader="dot"/>
            </w:tabs>
            <w:rPr/>
          </w:pPr>
          <w:hyperlink w:anchor="__RefHeading___Toc1588447_3650668749">
            <w:r>
              <w:rPr>
                <w:webHidden/>
                <w:rStyle w:val="IndexLink"/>
              </w:rPr>
              <w:t>7</w:t>
            </w:r>
            <w:r>
              <w:rPr>
                <w:rStyle w:val="IndexLink"/>
                <w:rtl w:val="true"/>
              </w:rPr>
              <w:t xml:space="preserve">. </w:t>
            </w:r>
            <w:r>
              <w:rPr>
                <w:rStyle w:val="IndexLink"/>
                <w:rtl w:val="true"/>
              </w:rPr>
              <w:t>محمد توفيق سوقيه‌</w:t>
            </w:r>
            <w:r>
              <w:rPr>
                <w:rStyle w:val="IndexLink"/>
                <w:rtl w:val="true"/>
              </w:rPr>
              <w:tab/>
            </w:r>
            <w:r>
              <w:rPr>
                <w:rStyle w:val="IndexLink"/>
              </w:rPr>
              <w:t>70</w:t>
            </w:r>
          </w:hyperlink>
        </w:p>
        <w:p>
          <w:pPr>
            <w:pStyle w:val="Contents3"/>
            <w:tabs>
              <w:tab w:val="clear" w:pos="8459"/>
              <w:tab w:val="right" w:pos="9026" w:leader="dot"/>
            </w:tabs>
            <w:rPr/>
          </w:pPr>
          <w:hyperlink w:anchor="__RefHeading___Toc1588449_3650668749">
            <w:r>
              <w:rPr>
                <w:webHidden/>
                <w:rStyle w:val="IndexLink"/>
              </w:rPr>
              <w:t>8</w:t>
            </w:r>
            <w:r>
              <w:rPr>
                <w:rStyle w:val="IndexLink"/>
                <w:rtl w:val="true"/>
              </w:rPr>
              <w:t>.</w:t>
            </w:r>
            <w:r>
              <w:rPr>
                <w:rStyle w:val="IndexLink"/>
                <w:rtl w:val="true"/>
              </w:rPr>
              <w:t>شيخ محمّد بن عبدالله نجدى‌</w:t>
            </w:r>
            <w:r>
              <w:rPr>
                <w:rStyle w:val="IndexLink"/>
                <w:rtl w:val="true"/>
              </w:rPr>
              <w:tab/>
            </w:r>
            <w:r>
              <w:rPr>
                <w:rStyle w:val="IndexLink"/>
              </w:rPr>
              <w:t>70</w:t>
            </w:r>
          </w:hyperlink>
        </w:p>
        <w:p>
          <w:pPr>
            <w:pStyle w:val="Contents3"/>
            <w:tabs>
              <w:tab w:val="clear" w:pos="8459"/>
              <w:tab w:val="right" w:pos="9026" w:leader="dot"/>
            </w:tabs>
            <w:rPr/>
          </w:pPr>
          <w:hyperlink w:anchor="__RefHeading___Toc1588451_3650668749">
            <w:r>
              <w:rPr>
                <w:webHidden/>
                <w:rStyle w:val="IndexLink"/>
              </w:rPr>
              <w:t>9</w:t>
            </w:r>
            <w:r>
              <w:rPr>
                <w:rStyle w:val="IndexLink"/>
                <w:rtl w:val="true"/>
              </w:rPr>
              <w:t xml:space="preserve">. </w:t>
            </w:r>
            <w:r>
              <w:rPr>
                <w:rStyle w:val="IndexLink"/>
                <w:rtl w:val="true"/>
              </w:rPr>
              <w:t>ابوحامد بن مرزوق‌</w:t>
            </w:r>
            <w:r>
              <w:rPr>
                <w:rStyle w:val="IndexLink"/>
                <w:rtl w:val="true"/>
              </w:rPr>
              <w:tab/>
            </w:r>
            <w:r>
              <w:rPr>
                <w:rStyle w:val="IndexLink"/>
              </w:rPr>
              <w:t>73</w:t>
            </w:r>
          </w:hyperlink>
        </w:p>
        <w:p>
          <w:pPr>
            <w:pStyle w:val="Contents3"/>
            <w:tabs>
              <w:tab w:val="clear" w:pos="8459"/>
              <w:tab w:val="right" w:pos="9026" w:leader="dot"/>
            </w:tabs>
            <w:rPr/>
          </w:pPr>
          <w:hyperlink w:anchor="__RefHeading___Toc1588453_3650668749">
            <w:r>
              <w:rPr>
                <w:webHidden/>
                <w:rStyle w:val="IndexLink"/>
              </w:rPr>
              <w:t>10</w:t>
            </w:r>
            <w:r>
              <w:rPr>
                <w:rStyle w:val="IndexLink"/>
                <w:rtl w:val="true"/>
              </w:rPr>
              <w:t xml:space="preserve">. </w:t>
            </w:r>
            <w:r>
              <w:rPr>
                <w:rStyle w:val="IndexLink"/>
                <w:rtl w:val="true"/>
              </w:rPr>
              <w:t>شيخ محمّد بن سليمان كردى، از اساتيد محمّد بن عبدالوهاب‌</w:t>
            </w:r>
            <w:r>
              <w:rPr>
                <w:rStyle w:val="IndexLink"/>
                <w:rtl w:val="true"/>
              </w:rPr>
              <w:tab/>
            </w:r>
            <w:r>
              <w:rPr>
                <w:rStyle w:val="IndexLink"/>
              </w:rPr>
              <w:t>74</w:t>
            </w:r>
          </w:hyperlink>
        </w:p>
        <w:p>
          <w:pPr>
            <w:pStyle w:val="Contents3"/>
            <w:tabs>
              <w:tab w:val="clear" w:pos="8459"/>
              <w:tab w:val="right" w:pos="9026" w:leader="dot"/>
            </w:tabs>
            <w:rPr/>
          </w:pPr>
          <w:hyperlink w:anchor="__RefHeading___Toc1588455_3650668749">
            <w:r>
              <w:rPr>
                <w:webHidden/>
                <w:rStyle w:val="IndexLink"/>
              </w:rPr>
              <w:t>11</w:t>
            </w:r>
            <w:r>
              <w:rPr>
                <w:rStyle w:val="IndexLink"/>
                <w:rtl w:val="true"/>
              </w:rPr>
              <w:t xml:space="preserve">. </w:t>
            </w:r>
            <w:r>
              <w:rPr>
                <w:rStyle w:val="IndexLink"/>
                <w:rtl w:val="true"/>
              </w:rPr>
              <w:t>محمّد فقيه بن عبدالجبار جاوى‌</w:t>
            </w:r>
            <w:r>
              <w:rPr>
                <w:rStyle w:val="IndexLink"/>
                <w:rtl w:val="true"/>
              </w:rPr>
              <w:tab/>
            </w:r>
            <w:r>
              <w:rPr>
                <w:rStyle w:val="IndexLink"/>
              </w:rPr>
              <w:t>75</w:t>
            </w:r>
          </w:hyperlink>
        </w:p>
        <w:p>
          <w:pPr>
            <w:pStyle w:val="Contents3"/>
            <w:tabs>
              <w:tab w:val="clear" w:pos="8459"/>
              <w:tab w:val="right" w:pos="9026" w:leader="dot"/>
            </w:tabs>
            <w:rPr/>
          </w:pPr>
          <w:hyperlink w:anchor="__RefHeading___Toc1588457_3650668749">
            <w:r>
              <w:rPr>
                <w:webHidden/>
                <w:rStyle w:val="IndexLink"/>
              </w:rPr>
              <w:t>12</w:t>
            </w:r>
            <w:r>
              <w:rPr>
                <w:rStyle w:val="IndexLink"/>
                <w:rtl w:val="true"/>
              </w:rPr>
              <w:t xml:space="preserve">. </w:t>
            </w:r>
            <w:r>
              <w:rPr>
                <w:rStyle w:val="IndexLink"/>
                <w:rtl w:val="true"/>
              </w:rPr>
              <w:t>شيخ عبدالله هروى‌</w:t>
            </w:r>
            <w:r>
              <w:rPr>
                <w:rStyle w:val="IndexLink"/>
                <w:rtl w:val="true"/>
              </w:rPr>
              <w:tab/>
            </w:r>
            <w:r>
              <w:rPr>
                <w:rStyle w:val="IndexLink"/>
              </w:rPr>
              <w:t>77</w:t>
            </w:r>
          </w:hyperlink>
        </w:p>
        <w:p>
          <w:pPr>
            <w:pStyle w:val="Contents3"/>
            <w:tabs>
              <w:tab w:val="clear" w:pos="8459"/>
              <w:tab w:val="right" w:pos="9026" w:leader="dot"/>
            </w:tabs>
            <w:rPr/>
          </w:pPr>
          <w:hyperlink w:anchor="__RefHeading___Toc1588459_3650668749">
            <w:r>
              <w:rPr>
                <w:webHidden/>
                <w:rStyle w:val="IndexLink"/>
              </w:rPr>
              <w:t>13</w:t>
            </w:r>
            <w:r>
              <w:rPr>
                <w:rStyle w:val="IndexLink"/>
                <w:rtl w:val="true"/>
              </w:rPr>
              <w:t xml:space="preserve">. </w:t>
            </w:r>
            <w:r>
              <w:rPr>
                <w:rStyle w:val="IndexLink"/>
                <w:rtl w:val="true"/>
              </w:rPr>
              <w:t>شيخ محمّد طاهر يوسف تيجانى مالكى اشعرى‌</w:t>
            </w:r>
            <w:r>
              <w:rPr>
                <w:rStyle w:val="IndexLink"/>
                <w:rtl w:val="true"/>
              </w:rPr>
              <w:tab/>
            </w:r>
            <w:r>
              <w:rPr>
                <w:rStyle w:val="IndexLink"/>
              </w:rPr>
              <w:t>78</w:t>
            </w:r>
          </w:hyperlink>
        </w:p>
        <w:p>
          <w:pPr>
            <w:pStyle w:val="Contents3"/>
            <w:tabs>
              <w:tab w:val="clear" w:pos="8459"/>
              <w:tab w:val="right" w:pos="9026" w:leader="dot"/>
            </w:tabs>
            <w:rPr/>
          </w:pPr>
          <w:hyperlink w:anchor="__RefHeading___Toc1588461_3650668749">
            <w:r>
              <w:rPr>
                <w:webHidden/>
                <w:rStyle w:val="IndexLink"/>
              </w:rPr>
              <w:t>14</w:t>
            </w:r>
            <w:r>
              <w:rPr>
                <w:rStyle w:val="IndexLink"/>
                <w:rtl w:val="true"/>
              </w:rPr>
              <w:t xml:space="preserve">. </w:t>
            </w:r>
            <w:r>
              <w:rPr>
                <w:rStyle w:val="IndexLink"/>
                <w:rtl w:val="true"/>
              </w:rPr>
              <w:t>شيخ عبد بن الحاج وصيف‌</w:t>
            </w:r>
            <w:r>
              <w:rPr>
                <w:rStyle w:val="IndexLink"/>
                <w:rtl w:val="true"/>
              </w:rPr>
              <w:tab/>
            </w:r>
            <w:r>
              <w:rPr>
                <w:rStyle w:val="IndexLink"/>
              </w:rPr>
              <w:t>80</w:t>
            </w:r>
          </w:hyperlink>
        </w:p>
        <w:p>
          <w:pPr>
            <w:pStyle w:val="Contents3"/>
            <w:tabs>
              <w:tab w:val="clear" w:pos="8459"/>
              <w:tab w:val="right" w:pos="9026" w:leader="dot"/>
            </w:tabs>
            <w:rPr/>
          </w:pPr>
          <w:hyperlink w:anchor="__RefHeading___Toc1588463_3650668749">
            <w:r>
              <w:rPr>
                <w:webHidden/>
                <w:rStyle w:val="IndexLink"/>
              </w:rPr>
              <w:t>15</w:t>
            </w:r>
            <w:r>
              <w:rPr>
                <w:rStyle w:val="IndexLink"/>
                <w:rtl w:val="true"/>
              </w:rPr>
              <w:t xml:space="preserve">. </w:t>
            </w:r>
            <w:r>
              <w:rPr>
                <w:rStyle w:val="IndexLink"/>
                <w:rtl w:val="true"/>
              </w:rPr>
              <w:t>جميل صدقى زهاوى، حنفى‌</w:t>
            </w:r>
            <w:r>
              <w:rPr>
                <w:rStyle w:val="IndexLink"/>
                <w:rtl w:val="true"/>
              </w:rPr>
              <w:tab/>
            </w:r>
            <w:r>
              <w:rPr>
                <w:rStyle w:val="IndexLink"/>
              </w:rPr>
              <w:t>82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06_17363"/>
      <w:bookmarkStart w:id="1" w:name="pg1706_17363"/>
      <w:bookmarkEnd w:id="1"/>
    </w:p>
    <w:p>
      <w:pPr>
        <w:pStyle w:val="Heading2"/>
        <w:numPr>
          <w:ilvl w:val="1"/>
          <w:numId w:val="1"/>
        </w:numPr>
        <w:rPr/>
      </w:pPr>
      <w:bookmarkStart w:id="2" w:name="pg1706_17363"/>
      <w:bookmarkStart w:id="3" w:name="__RefHeading___Toc1588319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رضواني، علي‌اصغر، </w:t>
      </w:r>
      <w:r>
        <w:rPr>
          <w:rFonts w:ascii="Amiri" w:hAnsi="Amiri" w:eastAsia="Amiri" w:cs="Amiri"/>
          <w:color w:val="111111"/>
          <w:sz w:val="28"/>
          <w:sz w:val="28"/>
          <w:szCs w:val="28"/>
          <w:lang w:bidi="ar-SA"/>
        </w:rPr>
        <w:t>۱۳۴۱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محمدبن‌عبدالوهاب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بنيان‌گذار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علي‌اصغر رضواني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سلسله مباحث وهابيت‌شناسي؛ </w:t>
      </w:r>
      <w:r>
        <w:rPr>
          <w:rFonts w:ascii="Amiri" w:hAnsi="Amiri" w:eastAsia="Amiri" w:cs="Amiri"/>
          <w:color w:val="111111"/>
          <w:sz w:val="28"/>
          <w:sz w:val="28"/>
          <w:szCs w:val="28"/>
          <w:lang w:bidi="ar-SA"/>
        </w:rPr>
        <w:t>۳</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۱۱۵۰۰</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عبدالوهاب، محمد، </w:t>
      </w:r>
      <w:r>
        <w:rPr>
          <w:rFonts w:ascii="IRNazanin" w:hAnsi="IRNazanin" w:eastAsia="IRNazanin"/>
          <w:color w:val="111111"/>
          <w:sz w:val="28"/>
          <w:sz w:val="28"/>
          <w:szCs w:val="28"/>
          <w:lang w:bidi="fa-IR"/>
        </w:rPr>
        <w:t>۱۱۱۵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عقايد</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۲۰۷</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۴۱۶</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۲۱۱۱۷۹۸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88321_3650668749"/>
      <w:bookmarkStart w:id="6" w:name="_Toc2"/>
      <w:bookmarkEnd w:id="5"/>
      <w:r>
        <w:rPr>
          <w:rtl w:val="true"/>
        </w:rPr>
        <w:t>اشاره</w:t>
      </w:r>
      <w:bookmarkStart w:id="7" w:name="pg1706_17370"/>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1588323_3650668749"/>
      <w:bookmarkStart w:id="9" w:name="_Toc3"/>
      <w:bookmarkEnd w:id="7"/>
      <w:bookmarkEnd w:id="8"/>
      <w:r>
        <w:rPr>
          <w:rtl w:val="true"/>
        </w:rPr>
        <w:t>ديباچه‌</w:t>
      </w:r>
      <w:bookmarkEnd w:id="9"/>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تاريخ انديشه اسلامى همراه فراز و فرودها و آكنده از تحول و دگرگونى‌ها و تنوع برداشت‌ها و نظريه‌هاست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تاريخ پرتحول، فرقه‌ها و مذاهب گوناگون و با انگيزه‌ها و مبانى مختلفى ظهور نموده و برخى از آنان پس از چندى به فراموشى سپرده شده‌اند و برخى نيز با سير تحول همچنان در جوامع اسلامى نقش‌آفرينند، اما در اين ميان، فرقه وهابيت را سير و سرّ ديگرى است؛ زيرا اين فرقه با آنكه از انديشه استوارى در ميان صاحب‌نظران اسلامى برخوردار نيست، اما به خاطر تسلط بر دو مركز مقدس مسلمانان؛ يعنى مكه و مدينه، بر آن است تا انديشه‌هاى نااستوار و متحجرانه خويش را به ساير مسلمانان تحميل نموده و خود را تنها ميدان‌دار انديشه و تفكر اسلامى بقبولاند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اين‌رو، شناخت راز و رمزها و سير تحول و انديشه‌هاى اين فرقه كارى است بايسته تحقيق كه استاد ارجمند جناب آقاى على‌اصغر رضوانى با تلاش پيگير و درخور تقدير به</w:t>
      </w:r>
      <w:bookmarkStart w:id="10" w:name="pg1706_17372"/>
    </w:p>
    <w:p>
      <w:pPr>
        <w:pStyle w:val="BookText"/>
        <w:rPr/>
      </w:pPr>
      <w:bookmarkEnd w:id="10"/>
      <w:r>
        <w:rPr>
          <w:rFonts w:ascii="IRNazanin" w:hAnsi="IRNazanin" w:eastAsia="IRNazanin"/>
          <w:color w:val="111111"/>
          <w:sz w:val="28"/>
          <w:sz w:val="28"/>
          <w:szCs w:val="28"/>
          <w:rtl w:val="true"/>
          <w:lang w:bidi="fa-IR"/>
        </w:rPr>
        <w:t>زواياى پيدا و پنهان اين تفكر پرداخته و با بهرهِ‌مندى از منابع تحقيقاتى فراوان به واكاوى انديشه‌ها و نگرش‌هاى اين فرقه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تقدير و تشكر از زحمات ايشان، اميد است اين سلسله تحقيقات موجب آشنايى بيشتر با اين فرقه انحرافى گرديده و با بهره‌گيرى از ديدگاه‌هاى انديشمندان و صاحب‌نظران در چاپ‌هاى بعدى بر ارتقاى كيفى اين مجموعه افزوده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ولى التوفيق</w:t>
      </w:r>
    </w:p>
    <w:p>
      <w:pPr>
        <w:pStyle w:val="BookText"/>
        <w:rPr/>
      </w:pPr>
      <w:r>
        <w:rPr>
          <w:rFonts w:ascii="IRNazanin" w:hAnsi="IRNazanin" w:eastAsia="IRNazanin"/>
          <w:color w:val="111111"/>
          <w:sz w:val="28"/>
          <w:sz w:val="28"/>
          <w:szCs w:val="28"/>
          <w:rtl w:val="true"/>
          <w:lang w:bidi="fa-IR"/>
        </w:rPr>
        <w:t>گروه كلام و معارف</w:t>
      </w:r>
    </w:p>
    <w:p>
      <w:pPr>
        <w:pStyle w:val="BookText"/>
        <w:rPr/>
      </w:pPr>
      <w:r>
        <w:rPr>
          <w:rFonts w:ascii="Amiri" w:hAnsi="Amiri" w:eastAsia="Amiri" w:cs="Amiri"/>
          <w:color w:val="111111"/>
          <w:sz w:val="28"/>
          <w:sz w:val="28"/>
          <w:szCs w:val="28"/>
          <w:rtl w:val="true"/>
          <w:lang w:bidi="ar-SA"/>
        </w:rPr>
        <w:t>مركز تحقيقات حج</w:t>
      </w:r>
    </w:p>
    <w:p>
      <w:pPr>
        <w:pStyle w:val="Heading2"/>
        <w:numPr>
          <w:ilvl w:val="1"/>
          <w:numId w:val="1"/>
        </w:numPr>
        <w:rPr/>
      </w:pPr>
      <w:bookmarkStart w:id="11" w:name="__RefHeading___Toc1588325_3650668749"/>
      <w:bookmarkStart w:id="12" w:name="_Toc4"/>
      <w:bookmarkEnd w:id="11"/>
      <w:r>
        <w:rPr>
          <w:rtl w:val="true"/>
        </w:rPr>
        <w:t>پيشگفتار</w:t>
      </w:r>
      <w:bookmarkEnd w:id="12"/>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1588327_3650668749"/>
      <w:bookmarkStart w:id="14" w:name="_Toc5"/>
      <w:bookmarkEnd w:id="13"/>
      <w:r>
        <w:rPr>
          <w:rtl w:val="true"/>
        </w:rPr>
        <w:t>اشاره</w:t>
      </w:r>
      <w:bookmarkEnd w:id="14"/>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فرقه‌هايى كه در مقابل اكثر مسلمين قرار گرفته، فرقه‌اى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فرقه منسوب به مؤسّس آن، محمّد بن عبدالوهاب بن سليمان نجدى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با ادّعاى احياى توحيد و سلفى‌گرى، همان عقايد و افكار ابن تيميه را در شبه جزيره عربستان پياده كرده، آل سعود نيز مجرى افكار آنها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فرقه از قرن دوازده تاكنون بر 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درباره مؤسس اين فرقه بحث كنيم</w:t>
      </w:r>
      <w:r>
        <w:rPr>
          <w:rFonts w:eastAsia="IRNazanin" w:cs="IRNazanin"/>
          <w:color w:val="111111"/>
          <w:sz w:val="28"/>
          <w:szCs w:val="28"/>
          <w:rtl w:val="true"/>
          <w:lang w:bidi="fa-IR"/>
        </w:rPr>
        <w:t>.</w:t>
      </w:r>
      <w:bookmarkStart w:id="15" w:name="pg1706_17374"/>
    </w:p>
    <w:p>
      <w:pPr>
        <w:pStyle w:val="Heading2"/>
        <w:numPr>
          <w:ilvl w:val="1"/>
          <w:numId w:val="1"/>
        </w:numPr>
        <w:rPr/>
      </w:pPr>
      <w:bookmarkStart w:id="16" w:name="__RefHeading___Toc1588329_3650668749"/>
      <w:bookmarkStart w:id="17" w:name="_Toc6"/>
      <w:bookmarkEnd w:id="15"/>
      <w:bookmarkEnd w:id="16"/>
      <w:r>
        <w:rPr>
          <w:rtl w:val="true"/>
        </w:rPr>
        <w:t>شرح حال محمّد بن عبدالوهاب‌</w:t>
      </w:r>
      <w:bookmarkEnd w:id="17"/>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1588331_3650668749"/>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 xml:space="preserve">محمّد بن عبدالوهاب در سال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متولد شد و در سال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كودكى را در شهر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حجاز و به ويژه نجد سپرى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مدتى وارد حوزه علميه حنبلى شد و نزد علماى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فراگيرى علوم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تكميل دروس خود، وارد مدينه منوّره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شروع به مسافرت به كشورهاى اسلامى نمود؛ چهار سال در بصره و پنج سال در بغداد 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ايران نيز مسافرت كرد؛ در كردستان يك سال و در همدان دو سال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سفرى به اصفهان و قم نمود و بعد از فراگيرى فلسفه و تصوّف، به كشور خود، حجاز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هشت ماه كه در خانه خود اعتكاف نموده بود، بيرون آمد و دعوت خود را آغاز نمود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پدرش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كرد، و تا وفات پدر در آنجا ماند؛ در حالى كه پدرش از او راضى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از آنجا كه محمّد بن عبدالوهاب، عقايد خرافى خود را كه بر خلاف عامه مسلمانان بود و در حقيقت همان عقايد ابن تيميه بود منتشر مى‌ساخت، بعد از فوت پدرش خواستند او را بكشند كه به شهر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قرار شد امير شهر، عثمان بن حمد بن معمر، او را يارى كند تا بتواند افكار و عقايدش را در جزيرة العرب منتشر 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براى تأكيد اين ميثاق، امير عيينه خواهرش جوهره را به نكاح محمّد بن عبدالوهاب درآورد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به جهت اختلاف بين آنان اين ميثاق و ازدواج دوام نياورد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از ترس اينكه امير او را ترور كند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مسيلمه كذاب، فرار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همان موقع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به كمك امير شهر درصدد اجراى عقايد و افكار خود برآمد و قبر زيد بن خطّاب را خراب نمود و اين امر منجرّ به فتنه و آشوب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با محمّد بن 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آل 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امير آن شهر بود، ملاقات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شد محمّد بن سعود هم او را يارى كند و در عوض، او نيز حكومتش را تأييد نمايد</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سعود نيز به جهت تأييد اين ميثاق، يكى از دختران خود را به نكاح او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كار او اين بود كه حكم به كفر و شرك و ترور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سپس آل سعود را براى حمله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آن حمله تعداد زيادى كشته، خانه‌هايشان غارت و ويران شد و به نواميس شان هم تجاوز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بود كه وهابيان حركت خود را به اسم نصرت و يارى توحيد و محاربه با بدعت و شرك و مظاهر آن شروع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عبدالوهاب همه مسلمانان را، بدون استثنا، تكفير مى‌نمود؛ به اتهام اينكه آنان متوسل به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مى‌شوند و بر قبور اولياى خود گنبد و بارگاه مى‌سازند و به قصد زيارت قبور سفر مى‌كنند و از اوليا طلب شفاعت مى‌كنند و </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پس از پيروزى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سرزمين‌هاى ديگر لشكركشى كرده و به بهانه گسترش توحيد و 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مظاهر آن، از ميان مسلمين به سرزمين نجد و اطراف آن؛ مثل يمن و حجاز و نواحى سوريه و عراق، حمله‌ور شدند، و هر شهرى كه عقايد آنان را قبول نمى‌كرد غارت كرده، افرادش را به خاك و خون مى‌كشيدند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پس از ورود به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عرضه كردن عقايد خود، مردم با آنان بيعت نكردند، در نتيجه سيصد نفر از مردان قريه را كشته، اموال و ثروت آنان را به غارت بردند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وهابيان با اين افكار خشن، باعث ايجاد اختلاف و تشتّت و درگيرى ميان مسلمين شدند و استعمار را خشنود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لورد كورزون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توصيف شريعت وهابيت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عالى‌ترين و پربهاترين دينى است كه براى مردم به ارمغان آورده شده است</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با اينكه محمّد بن عبدالوهاب از دنيا رفته است ولى مستشرقين و</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استعمارگران دائماً درصدد دفاع از افكار او هستند، تا جايى كه مستشرق</w:t>
      </w:r>
      <w:bookmarkStart w:id="20" w:name="pg1706_17378"/>
    </w:p>
    <w:p>
      <w:pPr>
        <w:pStyle w:val="BookText"/>
        <w:rPr/>
      </w:pPr>
      <w:bookmarkEnd w:id="20"/>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يهودى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جولد تسهير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پيامبر حجاز خوانده و مردم را به متابعت از افكار او تحريك مى‌نمايد</w:t>
      </w:r>
      <w:r>
        <w:rPr>
          <w:rFonts w:eastAsia="IRNazanin" w:cs="IRNazanin"/>
          <w:color w:val="111111"/>
          <w:sz w:val="28"/>
          <w:szCs w:val="28"/>
          <w:rtl w:val="true"/>
          <w:lang w:bidi="fa-IR"/>
        </w:rPr>
        <w:t xml:space="preserve">. </w:t>
      </w:r>
      <w:r>
        <w:rPr>
          <w:rStyle w:val="FootnoteAnchor"/>
          <w:rtl w:val="true"/>
        </w:rPr>
        <w:footnoteReference w:id="6"/>
      </w:r>
    </w:p>
    <w:p>
      <w:pPr>
        <w:pStyle w:val="Heading3"/>
        <w:numPr>
          <w:ilvl w:val="2"/>
          <w:numId w:val="1"/>
        </w:numPr>
        <w:rPr/>
      </w:pPr>
      <w:bookmarkStart w:id="21" w:name="__RefHeading___Toc1588333_3650668749"/>
      <w:bookmarkStart w:id="22" w:name="_Toc8"/>
      <w:bookmarkEnd w:id="21"/>
      <w:r>
        <w:rPr>
          <w:rtl w:val="true"/>
        </w:rPr>
        <w:t>مخالفت عبدالوهاب با عقايد انحرافى فرزندش محمد</w:t>
      </w:r>
      <w:bookmarkEnd w:id="22"/>
    </w:p>
    <w:p>
      <w:pPr>
        <w:pStyle w:val="BookText"/>
        <w:rPr/>
      </w:pPr>
      <w:r>
        <w:rPr>
          <w:rFonts w:ascii="Amiri" w:hAnsi="Amiri" w:eastAsia="Amiri" w:cs="Amiri"/>
          <w:color w:val="111111"/>
          <w:sz w:val="28"/>
          <w:sz w:val="28"/>
          <w:szCs w:val="28"/>
          <w:rtl w:val="true"/>
          <w:lang w:bidi="ar-SA"/>
        </w:rPr>
        <w:t xml:space="preserve">ابن بشر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المجد فى تاريخ النجد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 الشيخ محمد وصل إلي بلد حريملاء جلس عند ابيه يقرأ عليه و ينكر ما يفعل الجهال من البدع و الشرك في الأقوال و الأفعال، و كثر منه الانكار لذلك و لجميع المحظورات، حتي وقع بينه و بين ابيه كلام، و كذلك وقع بينه و بين الناس في البلد، فاقام علي ذلك سنين، حتي توفي ابوه عبدالوهاب في سنة </w:t>
      </w:r>
      <w:r>
        <w:rPr>
          <w:rFonts w:eastAsia="Amiri" w:cs="Amiri" w:ascii="Amiri" w:hAnsi="Amiri"/>
          <w:color w:val="111111"/>
          <w:sz w:val="28"/>
          <w:szCs w:val="28"/>
          <w:lang w:bidi="ar-SA"/>
        </w:rPr>
        <w:t>1153</w:t>
      </w:r>
      <w:r>
        <w:rPr>
          <w:rFonts w:ascii="Amiri" w:hAnsi="Amiri" w:eastAsia="Amiri" w:cs="Amiri"/>
          <w:color w:val="111111"/>
          <w:sz w:val="28"/>
          <w:sz w:val="28"/>
          <w:szCs w:val="28"/>
          <w:rtl w:val="true"/>
          <w:lang w:bidi="ar-SA"/>
        </w:rPr>
        <w:t>، ثم أعلن بالدعوة</w:t>
      </w:r>
      <w:r>
        <w:rPr>
          <w:rFonts w:eastAsia="Amiri" w:cs="Amiri" w:ascii="Amiri" w:hAnsi="Amiri"/>
          <w:color w:val="111111"/>
          <w:sz w:val="28"/>
          <w:szCs w:val="28"/>
          <w:rtl w:val="true"/>
          <w:lang w:bidi="ar-SA"/>
        </w:rPr>
        <w:t xml:space="preserve">. </w:t>
      </w:r>
      <w:r>
        <w:rPr>
          <w:rStyle w:val="FootnoteAnchor"/>
          <w:rtl w:val="true"/>
        </w:rPr>
        <w:footnoteReference w:id="7"/>
      </w:r>
      <w:r>
        <w:rPr>
          <w:rFonts w:ascii="IRNazanin" w:hAnsi="IRNazanin" w:eastAsia="IRNazanin"/>
          <w:color w:val="111111"/>
          <w:sz w:val="28"/>
          <w:sz w:val="28"/>
          <w:szCs w:val="28"/>
          <w:rtl w:val="true"/>
          <w:lang w:bidi="fa-IR"/>
        </w:rPr>
        <w:t>چون شيخ محمّد به شهر حريملاء رسيد نزد پدرش شروع به تحصيل نمود و آنچه را كه جاهلان از بدعت‌ها و شرك در اقوال و رفتار انجام مى‌دادند را انكار كرد، و زياد آنان را انكار مى‌نمود، تا آنكه بين او و پدرش نزاع شد، همچنين بين او و بين مردم شهر نزاع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اين امر سال‌ها بود تا پدرش عبدالوهاب در سال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 آن‌گاه دعوت خود را علنى نمود</w:t>
      </w:r>
      <w:r>
        <w:rPr>
          <w:rFonts w:eastAsia="IRNazanin" w:cs="IRNazanin"/>
          <w:color w:val="111111"/>
          <w:sz w:val="28"/>
          <w:szCs w:val="28"/>
          <w:rtl w:val="true"/>
          <w:lang w:bidi="fa-IR"/>
        </w:rPr>
        <w:t>.</w:t>
      </w:r>
    </w:p>
    <w:p>
      <w:pPr>
        <w:pStyle w:val="Heading3"/>
        <w:numPr>
          <w:ilvl w:val="2"/>
          <w:numId w:val="1"/>
        </w:numPr>
        <w:rPr/>
      </w:pPr>
      <w:bookmarkStart w:id="23" w:name="__RefHeading___Toc1588335_3650668749"/>
      <w:bookmarkStart w:id="24" w:name="_Toc9"/>
      <w:bookmarkEnd w:id="23"/>
      <w:r>
        <w:rPr>
          <w:rtl w:val="true"/>
        </w:rPr>
        <w:t>اولين پيمان محمد بن عبدالوهاب‌</w:t>
      </w:r>
      <w:bookmarkEnd w:id="24"/>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آنكه محمّد بن عبدالوهاب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طرد شد با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حمد بن معمر هم پيمان شد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w:t>
      </w:r>
      <w:bookmarkStart w:id="25" w:name="pg1706_17379"/>
    </w:p>
    <w:p>
      <w:pPr>
        <w:pStyle w:val="BookText"/>
        <w:rPr/>
      </w:pPr>
      <w:bookmarkEnd w:id="25"/>
      <w:r>
        <w:rPr>
          <w:rFonts w:ascii="Amiri" w:hAnsi="Amiri" w:eastAsia="Amiri" w:cs="Amiri"/>
          <w:color w:val="111111"/>
          <w:sz w:val="28"/>
          <w:sz w:val="28"/>
          <w:szCs w:val="28"/>
          <w:rtl w:val="true"/>
          <w:lang w:bidi="ar-SA"/>
        </w:rPr>
        <w:t xml:space="preserve">يارى 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مالك خواهى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 عيينه دخترعمويش جوهره دختر عبدالله بن معمر را به نكاح او درآورد و آن هنگام نيز محمّد بن عبدالوهاب به امير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اميدوارم كه خداوند نجد و اطراف آن را به تو بخشد</w:t>
      </w:r>
      <w:r>
        <w:rPr>
          <w:rFonts w:eastAsia="IRNazanin" w:cs="IRNazanin"/>
          <w:color w:val="111111"/>
          <w:sz w:val="28"/>
          <w:szCs w:val="28"/>
          <w:rtl w:val="true"/>
          <w:lang w:bidi="fa-IR"/>
        </w:rPr>
        <w:t xml:space="preserve">». </w:t>
      </w:r>
      <w:r>
        <w:rPr>
          <w:rStyle w:val="FootnoteAnchor"/>
          <w:rtl w:val="true"/>
        </w:rPr>
        <w:footnoteReference w:id="8"/>
      </w:r>
    </w:p>
    <w:p>
      <w:pPr>
        <w:pStyle w:val="Heading3"/>
        <w:numPr>
          <w:ilvl w:val="2"/>
          <w:numId w:val="1"/>
        </w:numPr>
        <w:rPr/>
      </w:pPr>
      <w:bookmarkStart w:id="26" w:name="__RefHeading___Toc1588337_3650668749"/>
      <w:bookmarkStart w:id="27" w:name="_Toc10"/>
      <w:bookmarkEnd w:id="26"/>
      <w:r>
        <w:rPr>
          <w:rtl w:val="true"/>
        </w:rPr>
        <w:t xml:space="preserve">تكليف به هجرت به </w:t>
      </w:r>
      <w:r>
        <w:rPr>
          <w:rtl w:val="true"/>
        </w:rPr>
        <w:t>«</w:t>
      </w:r>
      <w:r>
        <w:rPr>
          <w:rtl w:val="true"/>
        </w:rPr>
        <w:t>نجد</w:t>
      </w:r>
      <w:r>
        <w:rPr>
          <w:rtl w:val="true"/>
        </w:rPr>
        <w:t>»</w:t>
      </w:r>
      <w:bookmarkEnd w:id="27"/>
    </w:p>
    <w:p>
      <w:pPr>
        <w:pStyle w:val="BookText"/>
        <w:rPr/>
      </w:pPr>
      <w:r>
        <w:rPr>
          <w:rFonts w:ascii="IRNazanin" w:hAnsi="IRNazanin" w:eastAsia="IRNazanin"/>
          <w:color w:val="111111"/>
          <w:sz w:val="28"/>
          <w:sz w:val="28"/>
          <w:szCs w:val="28"/>
          <w:rtl w:val="true"/>
          <w:lang w:bidi="fa-IR"/>
        </w:rPr>
        <w:t xml:space="preserve">محمّد بن عبدالوهاب هر كسى را كه به مذهب او مى‌گرويد ملزم مى‌كرد تا به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كند، و اين بدعتى بود كه كسى جز نافع بن ارزق انجام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بشر كه خود وهابى نجدى است مى‌گويد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هاجر من هاجر إلي الدرعية و استوطنوها كانوا في اضيق عيش و اشدّ حاجة و ابتلوا ابتلاء شديداً، فكانوا في الليل يأخذون الأجرة و يحترفون، و في النهار يجلسون عند الشيخ في درس الحديث و المذاكرة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هاجر اليه المهاجرون يتحمّل الدَّين الكثير في ذمته لمؤونتهم و مايحتاجون اليه</w:t>
      </w:r>
      <w:r>
        <w:rPr>
          <w:rFonts w:eastAsia="Amiri" w:cs="Amiri" w:ascii="Amiri" w:hAnsi="Amiri"/>
          <w:color w:val="111111"/>
          <w:sz w:val="28"/>
          <w:szCs w:val="28"/>
          <w:rtl w:val="true"/>
          <w:lang w:bidi="ar-SA"/>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چون آنان كه قصد هجرت داشتند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و آنجا را وطن خود نمودند، در مضيقه زندگى و در شدت احتياج به سر مى‌برده و ابتلاى شديدى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شب كار مى‌كرده و</w:t>
      </w:r>
      <w:bookmarkStart w:id="28" w:name="pg1706_17380"/>
    </w:p>
    <w:p>
      <w:pPr>
        <w:pStyle w:val="BookText"/>
        <w:rPr/>
      </w:pPr>
      <w:bookmarkEnd w:id="28"/>
      <w:r>
        <w:rPr>
          <w:rFonts w:ascii="IRNazanin" w:hAnsi="IRNazanin" w:eastAsia="IRNazanin"/>
          <w:color w:val="111111"/>
          <w:sz w:val="28"/>
          <w:sz w:val="28"/>
          <w:szCs w:val="28"/>
          <w:rtl w:val="true"/>
          <w:lang w:bidi="fa-IR"/>
        </w:rPr>
        <w:t xml:space="preserve">اجرت مى‌گرفتند و در روز به مجلس درس شيخ و درس حديث و مذاكره حاضر مى‌شدند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مهاجران به سوى او هجرت كردند دين بسيارى را به ذمه خود گرفت و مخارج ضرورى آنان را تأمين مى‌كرد</w:t>
      </w:r>
      <w:r>
        <w:rPr>
          <w:rFonts w:eastAsia="IRNazanin" w:cs="IRNazanin"/>
          <w:color w:val="111111"/>
          <w:sz w:val="28"/>
          <w:szCs w:val="28"/>
          <w:rtl w:val="true"/>
          <w:lang w:bidi="fa-IR"/>
        </w:rPr>
        <w:t>.</w:t>
      </w:r>
    </w:p>
    <w:p>
      <w:pPr>
        <w:pStyle w:val="Heading3"/>
        <w:numPr>
          <w:ilvl w:val="2"/>
          <w:numId w:val="1"/>
        </w:numPr>
        <w:rPr/>
      </w:pPr>
      <w:bookmarkStart w:id="29" w:name="__RefHeading___Toc1588339_3650668749"/>
      <w:bookmarkStart w:id="30" w:name="_Toc11"/>
      <w:bookmarkEnd w:id="29"/>
      <w:r>
        <w:rPr>
          <w:rtl w:val="true"/>
        </w:rPr>
        <w:t>محمد بن عبدالوهاب و اقرار گرفتن بر كفر افراد</w:t>
      </w:r>
      <w:bookmarkEnd w:id="30"/>
    </w:p>
    <w:p>
      <w:pPr>
        <w:pStyle w:val="BookText"/>
        <w:rPr/>
      </w:pPr>
      <w:r>
        <w:rPr>
          <w:rFonts w:ascii="IRNazanin" w:hAnsi="IRNazanin" w:eastAsia="IRNazanin"/>
          <w:color w:val="111111"/>
          <w:sz w:val="28"/>
          <w:sz w:val="28"/>
          <w:szCs w:val="28"/>
          <w:rtl w:val="true"/>
          <w:lang w:bidi="fa-IR"/>
        </w:rPr>
        <w:t>احمد زينى دحلان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مى‌خواست كسى را در دينش وارد كند بعد از اقرار به شهادتين به او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علي نفسك انّك كنت كافراً، و اشهد علي والديك انّهما ماتا كافرين، و اشهد علي فلان و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يسمي له جماعة من اكابر العلماء الماضين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كانوا كفاراً؛ فان شهدوا قبلهم، و الّا امر بقتلهم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يصرح بتكفير الأمة منذ ستمائة سنة</w:t>
      </w:r>
      <w:r>
        <w:rPr>
          <w:rFonts w:eastAsia="Amiri" w:cs="Amiri" w:ascii="Amiri" w:hAnsi="Amiri"/>
          <w:color w:val="111111"/>
          <w:sz w:val="28"/>
          <w:szCs w:val="28"/>
          <w:rtl w:val="true"/>
          <w:lang w:bidi="ar-SA"/>
        </w:rPr>
        <w:t xml:space="preserve">. </w:t>
      </w:r>
      <w:r>
        <w:rPr>
          <w:rStyle w:val="FootnoteAnchor"/>
          <w:rtl w:val="true"/>
        </w:rPr>
        <w:footnoteReference w:id="10"/>
      </w:r>
      <w:r>
        <w:rPr>
          <w:rFonts w:ascii="IRNazanin" w:hAnsi="IRNazanin" w:eastAsia="IRNazanin"/>
          <w:color w:val="111111"/>
          <w:sz w:val="28"/>
          <w:sz w:val="28"/>
          <w:szCs w:val="28"/>
          <w:rtl w:val="true"/>
          <w:lang w:bidi="fa-IR"/>
        </w:rPr>
        <w:t>گواهى بده بر خودت كه تو كافر بودى، و نيز بر پدر و مادرت گواهى بده كه آن دو نيز كافر از دنيا رفته‌اند، و گواهى بده بر فلان و فلان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جماعتى از علماى پيشين را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آنان كافر بوده‌اند، اگر آنان گواهى مى‌دادند قبول مى‌كرد، وگرنه دستور به قتل آنان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تصريح به تكفير امت از ششصد سال پيش مى‌نمود</w:t>
      </w:r>
      <w:r>
        <w:rPr>
          <w:rFonts w:eastAsia="IRNazanin" w:cs="IRNazanin"/>
          <w:color w:val="111111"/>
          <w:sz w:val="28"/>
          <w:szCs w:val="28"/>
          <w:rtl w:val="true"/>
          <w:lang w:bidi="fa-IR"/>
        </w:rPr>
        <w:t>.</w:t>
      </w:r>
    </w:p>
    <w:p>
      <w:pPr>
        <w:pStyle w:val="Heading3"/>
        <w:numPr>
          <w:ilvl w:val="2"/>
          <w:numId w:val="1"/>
        </w:numPr>
        <w:rPr/>
      </w:pPr>
      <w:bookmarkStart w:id="31" w:name="__RefHeading___Toc1588341_3650668749"/>
      <w:bookmarkStart w:id="32" w:name="_Toc12"/>
      <w:bookmarkEnd w:id="31"/>
      <w:r>
        <w:rPr>
          <w:rtl w:val="true"/>
        </w:rPr>
        <w:t xml:space="preserve">موقعيت مردم </w:t>
      </w:r>
      <w:r>
        <w:rPr>
          <w:rtl w:val="true"/>
        </w:rPr>
        <w:t>«</w:t>
      </w:r>
      <w:r>
        <w:rPr>
          <w:rtl w:val="true"/>
        </w:rPr>
        <w:t>نجد</w:t>
      </w:r>
      <w:r>
        <w:rPr>
          <w:rtl w:val="true"/>
        </w:rPr>
        <w:t xml:space="preserve">» </w:t>
      </w:r>
      <w:r>
        <w:rPr>
          <w:rtl w:val="true"/>
        </w:rPr>
        <w:t>در زمان دعوت محمد بن عبدالوهاب‌</w:t>
      </w:r>
      <w:bookmarkEnd w:id="3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زمان دعوت محمد بن عبدالوهاب وضعيتى خاص بر عوام مردم حاكم بوده كه مردم را به شرك سوق مى‌داده است، ولى نمى‌توان</w:t>
      </w:r>
    </w:p>
    <w:p>
      <w:pPr>
        <w:pStyle w:val="BookText"/>
        <w:rPr/>
      </w:pPr>
      <w:r>
        <w:rPr>
          <w:rFonts w:ascii="Amiri" w:hAnsi="Amiri" w:eastAsia="Amiri" w:cs="Amiri"/>
          <w:color w:val="111111"/>
          <w:sz w:val="28"/>
          <w:sz w:val="28"/>
          <w:szCs w:val="28"/>
          <w:rtl w:val="true"/>
          <w:lang w:bidi="ar-SA"/>
        </w:rPr>
        <w:t>موقعيت در اين عصر و زمان را كه بر عموم حاكم مى‌باشد با آن زمان مقايسه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حسين بن غنّام از طرفداران وهابيان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كان في بلاد نجد من ذلك امر عظيم و هول 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يزعمون انّ في قريوة في الدرعية قبور بعض الصحابة، فعكفوا علي عبادتها و صار اهلها اعظم في صدورهم من الله خوفاً و رهبة، فتقربوا اليهم و هم يظنون انّهم اسرع إلي تلبية حوائجهم من الله؛ فكانّما عناهم تعالي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أَئِفْكاً آلِهَةً دُونَ اللهِ تُرِيدُونَ، و كانّما كان جوابهم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وَجَدْنا آباءَنا عَلى أُمَّةٍ وَ إِنَّا عَلى آثارِهِمْ مُهْتَدُونَ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النساء و الرجال يأتون بليدة الفداء، حيث يكفر ذكَر النخل المعروف بالفحّال و يفعلون عنده اقبح الأفعال و يتبركون به و يعتقدون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تأتيه المرأة اذا تأخرت عن الزواج فتضمه بيديها ترجو ان يفرّج عنها كربها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فحل الفحول اريد زوجاً قبل الحلول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طوائف من الناس تنتاب شجرة الطرفية، فيتبركون بها و يعلقون الخَرَق عليها اذا ولدت المرأة ذكراً لعلّه يسلم من الموت</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اسفل الدرعية غار كبير يزعمون انّ الله تعالي خلقه في الجبل لأمرأة تسمي بنت الأمير، اراد بعض الفسقة ان يظلمها فصاحت و دعت الله، فانفلق لها الغار باذن العلي الكبير، فاجارها من ذلك السوء، فكانوا يرسلون إلي ذلك الغار اللحم و الخبز و</w:t>
      </w:r>
    </w:p>
    <w:p>
      <w:pPr>
        <w:pStyle w:val="BookText"/>
        <w:rPr/>
      </w:pPr>
      <w:r>
        <w:rPr>
          <w:rFonts w:ascii="Amiri" w:hAnsi="Amiri" w:eastAsia="Amiri" w:cs="Amiri"/>
          <w:color w:val="111111"/>
          <w:sz w:val="28"/>
          <w:sz w:val="28"/>
          <w:szCs w:val="28"/>
          <w:rtl w:val="true"/>
          <w:lang w:bidi="ar-SA"/>
        </w:rPr>
        <w:t xml:space="preserve">يبعثون بصنوف الهدايا </w:t>
      </w:r>
      <w:r>
        <w:rPr>
          <w:rFonts w:eastAsia="Amiri" w:cs="Amiri" w:ascii="Amiri" w:hAnsi="Amiri"/>
          <w:color w:val="111111"/>
          <w:sz w:val="28"/>
          <w:szCs w:val="28"/>
          <w:rtl w:val="true"/>
          <w:lang w:bidi="ar-SA"/>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در شهرهاى نجد از اين موضوع امرى عظيم و خوفى پابرجا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گمان مى‌كردند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قبرهاى برخى از صحابه است، و لذا به پرستش آنها روى آورده و اهل آنجا در دل‌هايشان بزرگ‌تر از خدا بودند از جهت خوف و ترس، و به آنان تقرب جسته و گمان مى‌كردند كه حاجاتشان سريع‌تر برآورده مى‌شود از توجه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خداوند متعال آنان را قصد كرده به قولش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از روى تهمت خدايانى غير از خداوند را اراده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گويا پاسخ آنان دائماً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پدرانمان را بر عملى يافتيم و ما از كارهاى آنان پيروى مى‌كنيم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زنان و مردان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بليدة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مى‌آمدند كه درختان نر از خرما معروف به فحّال زياد بود، و كنار آن قبيح‌ترين كارها را انجام مى‌دادند و به آن تبرك مى‌جستند و به آن اعتقاد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زنى از ازدواجش تأخير مى‌افتاد نزد آن درخت مى‌آمد و با دو دستش آن را به خود مى‌گرفت و اميد داشت كه گرفتارى‌اش بر طرف شود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نر نرها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پايان سال از تو همسرى مى‌خواهم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طوايفى از مردم به نوبت به سراغ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مى‌آمدند و به آن تبرك مى‌جستند و پارچه‌ها به آن آويزان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زنى پسر مى‌زاييد، گويا با اين كار از مرگ نجات مى‌يافت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پايين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 بزرگى بود، گمان مى‌كردند كه خداوند</w:t>
      </w:r>
      <w:bookmarkStart w:id="33" w:name="pg1706_17383"/>
    </w:p>
    <w:p>
      <w:pPr>
        <w:pStyle w:val="BookText"/>
        <w:rPr/>
      </w:pPr>
      <w:bookmarkEnd w:id="33"/>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متعال آن را در آن كوه براى زنى خلق كرده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الامير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برخى از افراد فاسق اراده كرده بودند تا به او ظلم نمايند، او فرياد برآورده و خدا را خوانده است، در آن هنگام غار به اذن</w:t>
      </w:r>
    </w:p>
    <w:p>
      <w:pPr>
        <w:pStyle w:val="BookText"/>
        <w:rPr/>
      </w:pPr>
      <w:r>
        <w:rPr>
          <w:rFonts w:ascii="IRNazanin" w:hAnsi="IRNazanin" w:eastAsia="IRNazanin"/>
          <w:color w:val="111111"/>
          <w:sz w:val="28"/>
          <w:sz w:val="28"/>
          <w:szCs w:val="28"/>
          <w:rtl w:val="true"/>
          <w:lang w:bidi="fa-IR"/>
        </w:rPr>
        <w:t>خداى على كبير شكافته شد و زن را از آن دشوارى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به سوى آن غار گوشت و نان مى‌فرستادند و هداياى گوناگون ارسال مى‌نمودند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كلام محمد بن غنام استفاده مى‌شود كه برخى از مردم عصر محمد بن عبدالوهاب واقعاً مشرك بوده‌اند ولى اين را نمى‌توان به ديگران تعميم داد و حكم كلى به شرك تمام مردم نمود، گرچه عقيده شرك‌آلود نسبت به اوليا نداشته و ندارند</w:t>
      </w:r>
      <w:r>
        <w:rPr>
          <w:rFonts w:eastAsia="IRNazanin" w:cs="IRNazanin"/>
          <w:color w:val="111111"/>
          <w:sz w:val="28"/>
          <w:szCs w:val="28"/>
          <w:rtl w:val="true"/>
          <w:lang w:bidi="fa-IR"/>
        </w:rPr>
        <w:t>.</w:t>
      </w:r>
    </w:p>
    <w:p>
      <w:pPr>
        <w:pStyle w:val="Heading3"/>
        <w:numPr>
          <w:ilvl w:val="2"/>
          <w:numId w:val="1"/>
        </w:numPr>
        <w:rPr/>
      </w:pPr>
      <w:bookmarkStart w:id="34" w:name="__RefHeading___Toc1588343_3650668749"/>
      <w:bookmarkStart w:id="35" w:name="_Toc13"/>
      <w:bookmarkEnd w:id="34"/>
      <w:r>
        <w:rPr>
          <w:rtl w:val="true"/>
        </w:rPr>
        <w:t>تندروى محمد بن عبدالوهاب در دعوت‌</w:t>
      </w:r>
      <w:bookmarkEnd w:id="35"/>
    </w:p>
    <w:p>
      <w:pPr>
        <w:pStyle w:val="BookText"/>
        <w:rPr/>
      </w:pPr>
      <w:r>
        <w:rPr>
          <w:rFonts w:ascii="Amiri" w:hAnsi="Amiri" w:eastAsia="Amiri" w:cs="Amiri"/>
          <w:color w:val="111111"/>
          <w:sz w:val="28"/>
          <w:sz w:val="28"/>
          <w:szCs w:val="28"/>
          <w:rtl w:val="true"/>
          <w:lang w:bidi="ar-SA"/>
        </w:rPr>
        <w:t xml:space="preserve">استاد عبدالكريم خطيب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الدعوة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دعوت محمد بن عبدالوهاب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بدأت الدعوة حادة عنيفة مطبوعة بطابع التطرف و المغالات، فكان طبيعياً ان يلقاها الناس بعناد و تطرّف، و مثل هذا لايجعل للسلم مجالا بين الطرفين المتقابلين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بدأت بانكار المجتمع الاسلامي كلّه، فالمسلمون جميعاً في نظر الوهابيين قد انسلخوا عن الاسلام بما ادخلوا علي دينهم من بدع و محدثات؛ كالتوسل بغيرالله، و رفع القباب علي قبور الموتي ممّن يعتقد فيهم الصلاح، و هذا لون من الشرك بالله، و في هذا بعض الحق، و لكن فيه كثير من المبالغة و اللغو </w:t>
      </w:r>
      <w:r>
        <w:rPr>
          <w:rFonts w:eastAsia="Amiri" w:cs="Amiri" w:ascii="Amiri" w:hAnsi="Amiri"/>
          <w:color w:val="111111"/>
          <w:sz w:val="28"/>
          <w:szCs w:val="28"/>
          <w:rtl w:val="true"/>
          <w:lang w:bidi="ar-SA"/>
        </w:rPr>
        <w:t>...</w:t>
      </w:r>
      <w:bookmarkStart w:id="36" w:name="pg1706_17384"/>
    </w:p>
    <w:p>
      <w:pPr>
        <w:pStyle w:val="BookText"/>
        <w:rPr/>
      </w:pPr>
      <w:bookmarkEnd w:id="36"/>
      <w:r>
        <w:rPr>
          <w:rFonts w:ascii="Amiri" w:hAnsi="Amiri" w:eastAsia="Amiri" w:cs="Amiri"/>
          <w:color w:val="111111"/>
          <w:sz w:val="28"/>
          <w:sz w:val="28"/>
          <w:szCs w:val="28"/>
          <w:rtl w:val="true"/>
          <w:lang w:bidi="ar-SA"/>
        </w:rPr>
        <w:t>كان لابد ان يحدث هذا بعد ان وضح الوهابيون دعوتهم في هذا الإطار الذي يحصر الاسلام في دعوتهم، و يجعل كل من انحرف عنها منحرفاً عن الاسلام، داخلا في مداخل الكفر و الإلحاد، و نجد هذا واضحاً</w:t>
      </w:r>
    </w:p>
    <w:p>
      <w:pPr>
        <w:pStyle w:val="BookText"/>
        <w:rPr/>
      </w:pPr>
      <w:r>
        <w:rPr>
          <w:rFonts w:ascii="Amiri" w:hAnsi="Amiri" w:eastAsia="Amiri" w:cs="Amiri"/>
          <w:color w:val="111111"/>
          <w:sz w:val="28"/>
          <w:sz w:val="28"/>
          <w:szCs w:val="28"/>
          <w:rtl w:val="true"/>
          <w:lang w:bidi="ar-SA"/>
        </w:rPr>
        <w:t>في الكتب التي الّفها علماء الوهابيّين</w:t>
      </w:r>
      <w:r>
        <w:rPr>
          <w:rFonts w:eastAsia="Amiri" w:cs="Amiri" w:ascii="Amiri" w:hAnsi="Amiri"/>
          <w:color w:val="111111"/>
          <w:sz w:val="28"/>
          <w:szCs w:val="28"/>
          <w:rtl w:val="true"/>
          <w:lang w:bidi="ar-SA"/>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شروع دعوت او با تندى و همراه با شدت و با طبيعتى از افراطگرى و غلو بود، و طبيعى به نظر مى‌رسيد كه مردم در برابر دعوت او با عناد و شدت برخورد نمايند، و مثل اين‌گونه دعوت براى صلح مجالى را بين دو طرف متقابل نمى‌گذارد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او با انكار تمام مجتمع اسلامى شروع شد و عموم مسلمانان در نظر وهابيان از اسلام جدا شده‌اند به جهت آنكه بدعت‌ها و حوادثى را در دينشان داخل نموده‌اند؛ همانند توسل به غير خدا و بلند كردن گنبدها بر قبرهاى مردگانى كه در حق آنان اعتقاد به صلاح دارند، و اين رنگى از شرك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گفته‌ها حق و بسيارى نيز مبالغه و لغو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اين مطلب گفته مى‌شد بعد از آنكه وهابيان دعوت خود را در اين موضوع روشن كرده و اسلام را منحصر در دعوت خود دانسته، و هركس را كه از آن انحراف پيدا كرده منحرف از اسلام پنداشته و داخل در راه‌هاى كفر و الحاد نموده‌اند، و اين مطلب را ما در كتاب‌هايى كه علماى وهابى نوشته‌اند به طور وضوح و به خوبى مى‌يابيم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 w:name="__RefHeading___Toc1588345_3650668749"/>
      <w:bookmarkStart w:id="38" w:name="_Toc14"/>
      <w:bookmarkEnd w:id="37"/>
      <w:r>
        <w:rPr>
          <w:rtl w:val="true"/>
        </w:rPr>
        <w:t>شورش مسلمانان بر ضد محمد بن عبدالوهاب‌</w:t>
      </w:r>
      <w:bookmarkStart w:id="39" w:name="pg1706_17385"/>
      <w:bookmarkEnd w:id="38"/>
    </w:p>
    <w:p>
      <w:pPr>
        <w:pStyle w:val="BookText"/>
        <w:rPr/>
      </w:pPr>
      <w:bookmarkEnd w:id="39"/>
      <w:r>
        <w:rPr>
          <w:rFonts w:ascii="Amiri" w:hAnsi="Amiri" w:eastAsia="Amiri" w:cs="Amiri"/>
          <w:color w:val="111111"/>
          <w:sz w:val="28"/>
          <w:sz w:val="28"/>
          <w:szCs w:val="28"/>
          <w:rtl w:val="true"/>
          <w:lang w:bidi="ar-SA"/>
        </w:rPr>
        <w:t>استاد عبدالكريم خطيب درباره عملكرد محمد بن عبدالوهاب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بدأ هذا العمل صاحب الدعوة محمد بن عبدالوهاب، فهدم القبة المقامة علي قبر زيد بن الخطاب، ثم تلا ذلك هدم كثير من قباب الصحابة و التابعين، ثم تجاوز هذا الي قبر الرسول الكريم و إلي الكعبة الشريفة، فحاولوا بين الناس و بين التمسح بهما و التماس البركة منهما، و كان ذلك هو الذي اثار ثائرة المسلمين في كل مكان، و عدوّا من اجله الوهابيين حرباً علي الاسلام؛ لانّهم لايقدسون مقدساته و لايوقرون حرماته</w:t>
      </w:r>
      <w:r>
        <w:rPr>
          <w:rFonts w:eastAsia="Amiri" w:cs="Amiri" w:ascii="Amiri" w:hAnsi="Amiri"/>
          <w:color w:val="111111"/>
          <w:sz w:val="28"/>
          <w:szCs w:val="28"/>
          <w:rtl w:val="true"/>
          <w:lang w:bidi="ar-SA"/>
        </w:rPr>
        <w:t xml:space="preserve">. </w:t>
      </w:r>
      <w:r>
        <w:rPr>
          <w:rStyle w:val="FootnoteAnchor"/>
          <w:rtl w:val="true"/>
        </w:rPr>
        <w:footnoteReference w:id="13"/>
      </w:r>
      <w:r>
        <w:rPr>
          <w:rFonts w:ascii="IRNazanin" w:hAnsi="IRNazanin" w:eastAsia="IRNazanin"/>
          <w:color w:val="111111"/>
          <w:sz w:val="28"/>
          <w:sz w:val="28"/>
          <w:szCs w:val="28"/>
          <w:rtl w:val="true"/>
          <w:lang w:bidi="fa-IR"/>
        </w:rPr>
        <w:t>اين كار را صاحب دعوت محمد بن عبدالوهاب شروع كرد، و گنبدى كه بر روى قبر زيد بن خطاب نصب كرده بودند را تخريب نمود و به دنبال آن گنبدهاى بسيارى از صحابه و تابعين را تخريب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اين تجاوز كرده و متعرض قبر پيامبر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كعبه شريف شد و جلو مردم را گرفت تا دست به آن دو نكشيده و به آن دو تبرك نجويند، و اين كار باعث شد تا مسلمانان در هر منطقه‌اى شورش كنند و كار وهابيان را به عنوان جنگى بر ضدّ اسلام تلقى نمودند؛ چرا كه آنان مقدسات اسلام را محترم نشمارده و حرمت‌هاى آن را پاس نمى‌دارند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 w:name="__RefHeading___Toc1588347_3650668749"/>
      <w:bookmarkStart w:id="41" w:name="_Toc15"/>
      <w:bookmarkEnd w:id="40"/>
      <w:r>
        <w:rPr>
          <w:rtl w:val="true"/>
        </w:rPr>
        <w:t>محمد بن عبدالوهاب و ايجاد خلاف بين مسلمين‌</w:t>
      </w:r>
      <w:bookmarkStart w:id="42" w:name="pg1706_17386"/>
      <w:bookmarkEnd w:id="41"/>
    </w:p>
    <w:p>
      <w:pPr>
        <w:pStyle w:val="BookText"/>
        <w:rPr/>
      </w:pPr>
      <w:bookmarkEnd w:id="42"/>
      <w:r>
        <w:rPr>
          <w:rFonts w:ascii="Amiri" w:hAnsi="Amiri" w:eastAsia="Amiri" w:cs="Amiri"/>
          <w:color w:val="111111"/>
          <w:sz w:val="28"/>
          <w:sz w:val="28"/>
          <w:szCs w:val="28"/>
          <w:rtl w:val="true"/>
          <w:lang w:bidi="ar-SA"/>
        </w:rPr>
        <w:t>استاد عبدالكريم خطيب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المبالغة و هذا الغلوّ في تنقية العقيدة الاسلامية من رواسب الشرك قد وسّعت هُوَّة الخلاف بين جمهور المسلمين و الوهابيّين</w:t>
      </w:r>
      <w:r>
        <w:rPr>
          <w:rFonts w:eastAsia="Amiri" w:cs="Amiri" w:ascii="Amiri" w:hAnsi="Amiri"/>
          <w:color w:val="111111"/>
          <w:sz w:val="28"/>
          <w:szCs w:val="28"/>
          <w:rtl w:val="true"/>
          <w:lang w:bidi="ar-SA"/>
        </w:rPr>
        <w:t xml:space="preserve">. </w:t>
      </w:r>
      <w:r>
        <w:rPr>
          <w:rStyle w:val="FootnoteAnchor"/>
          <w:rtl w:val="true"/>
        </w:rPr>
        <w:footnoteReference w:id="14"/>
      </w:r>
      <w:r>
        <w:rPr>
          <w:rFonts w:ascii="IRNazanin" w:hAnsi="IRNazanin" w:eastAsia="IRNazanin"/>
          <w:color w:val="111111"/>
          <w:sz w:val="28"/>
          <w:sz w:val="28"/>
          <w:szCs w:val="28"/>
          <w:rtl w:val="true"/>
          <w:lang w:bidi="fa-IR"/>
        </w:rPr>
        <w:t>و ما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مبالغه و تندروى در پاكسازى عقيده اسلام از رسوبات شرك شكاف اختلاف بين عموم مسلمانان و وهابيان را وسعت داده است</w:t>
      </w:r>
      <w:r>
        <w:rPr>
          <w:rFonts w:eastAsia="IRNazanin" w:cs="IRNazanin"/>
          <w:color w:val="111111"/>
          <w:sz w:val="28"/>
          <w:szCs w:val="28"/>
          <w:rtl w:val="true"/>
          <w:lang w:bidi="fa-IR"/>
        </w:rPr>
        <w:t>.</w:t>
      </w:r>
    </w:p>
    <w:p>
      <w:pPr>
        <w:pStyle w:val="Heading3"/>
        <w:numPr>
          <w:ilvl w:val="2"/>
          <w:numId w:val="1"/>
        </w:numPr>
        <w:rPr/>
      </w:pPr>
      <w:bookmarkStart w:id="43" w:name="__RefHeading___Toc1588349_3650668749"/>
      <w:bookmarkStart w:id="44" w:name="_Toc16"/>
      <w:bookmarkEnd w:id="43"/>
      <w:r>
        <w:rPr>
          <w:rtl w:val="true"/>
        </w:rPr>
        <w:t>سليمان بن عبدالوهاب‌</w:t>
      </w:r>
      <w:bookmarkEnd w:id="44"/>
    </w:p>
    <w:p>
      <w:pPr>
        <w:pStyle w:val="BookText"/>
        <w:rPr/>
      </w:pPr>
      <w:r>
        <w:rPr>
          <w:rFonts w:ascii="IRNazanin" w:hAnsi="IRNazanin" w:eastAsia="IRNazanin"/>
          <w:color w:val="111111"/>
          <w:sz w:val="28"/>
          <w:sz w:val="28"/>
          <w:szCs w:val="28"/>
          <w:rtl w:val="true"/>
          <w:lang w:bidi="fa-IR"/>
        </w:rPr>
        <w:t xml:space="preserve">او كه برادر محمد بن عبدالوهاب است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متولى قضاوت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 و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جست و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عبدالعزيز محمد بن على درباره او مى‌گويد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وسعي سليمان بن عبد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شقيق الشيخ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معاداة الدعوة، و تعددت اساليب خصومته و مناوئته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الّف رسالة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 في الردّ علي محمد بن عبدالوهاب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آثارها نكوص اهل حريملاء عن اتباع الدعوة، و لم يقف الأمر عند هذا الحدّ، بل تجاوزت آثار الكتاب الي العيينية، فارتاب و شك بعض من يدعي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هذه الدعوة و صحتها</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سليمان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شيخ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دشمنى با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كوشش نمود، و از اسلوب‌هاى گوناگونى در خصومت و دشمنى با او استفاده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رساله‌اى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الخطاب در ردّ بر 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نمود كه از آثار آن خروج اهالى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پيروان دعوت محمد بن عبدالوهاب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 تا اين حد متوقف نشد بلكه آثار كتاب او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برخى از مدعيان علم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صدق و صحت اين دعوت شك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عبدالله بن عثيمين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يقتصر نشاط سليمان علي بلدته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بذل جهداً لإقناع اهل العيينة بالخروج علي الدعوة و دولتها، و كانت وسيلته في ذلك ان ارسل اليهم كتاباً ضمنه آراء تناقض آراء اخيه محمّد في مسائل العقيدة </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فعاليت‌هاى سليمان بر شهرش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محصور نبود بلكه كوشش فراوان نمود تا اهالى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قانع به خروج بر ضد اين دعوت و دولت آن كند، و وسيله او در اين كار اين بود كه كتابى را براى آنان فرستاد كه در آن آرائى نهفته بود كه با آراء برادرش محمد در مسايل اعتقادى مخالف بود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خطاب به پيروان محمد بن عبدالوهاب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ليس هذا بأعجب من استدلالكم بآيات نزلت في الذين إِذا قِيلَ لَهُمْ لا إِلهَ إِلَّا اللهُ يَسْتَكْبِرُونَ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أَ إِنَّا لَتارِكُوا آلِهَتِنا لِشاعِرٍ مَجْنُونٍ </w:t>
      </w:r>
      <w:r>
        <w:rPr>
          <w:rStyle w:val="FootnoteAnchor"/>
          <w:rtl w:val="true"/>
        </w:rPr>
        <w:footnoteReference w:id="18"/>
      </w:r>
      <w:r>
        <w:rPr>
          <w:rFonts w:ascii="Amiri" w:hAnsi="Amiri" w:eastAsia="Amiri" w:cs="Amiri"/>
          <w:color w:val="111111"/>
          <w:sz w:val="28"/>
          <w:sz w:val="28"/>
          <w:szCs w:val="28"/>
          <w:rtl w:val="true"/>
          <w:lang w:bidi="ar-SA"/>
        </w:rPr>
        <w:t>و الذين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إِنَّكُمْ لَتَشْهَدُونَ أَنَّ مَعَ اللهِ آلِهَةً أُخْرى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 الآلِهَةَ إِلهاً واحِداً </w:t>
      </w:r>
      <w:r>
        <w:rPr>
          <w:rStyle w:val="FootnoteAnchor"/>
          <w:rtl w:val="true"/>
        </w:rPr>
        <w:footnoteReference w:id="20"/>
      </w:r>
      <w:r>
        <w:rPr>
          <w:rFonts w:ascii="Amiri" w:hAnsi="Amiri" w:eastAsia="Amiri" w:cs="Amiri"/>
          <w:color w:val="111111"/>
          <w:sz w:val="28"/>
          <w:sz w:val="28"/>
          <w:szCs w:val="28"/>
          <w:rtl w:val="true"/>
          <w:lang w:bidi="ar-SA"/>
        </w:rPr>
        <w:t>، و مع هذا يستدلّون بهذه الآيات و تنزلونها علي الذين يشهدون ان لا اله الّا الله و انّ محمّداً رسول الله، و يقولون ما لله من شريك،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احد يستحق ان يعبد مع الله </w:t>
      </w:r>
      <w:r>
        <w:rPr>
          <w:rFonts w:eastAsia="Amiri" w:cs="Amiri" w:ascii="Amiri" w:hAnsi="Amiri"/>
          <w:color w:val="111111"/>
          <w:sz w:val="28"/>
          <w:szCs w:val="28"/>
          <w:rtl w:val="true"/>
          <w:lang w:bidi="ar-SA"/>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ولى اين عجيب‌تر از استدلال شما به آياتى نيست كه درباره كسانى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هرگاه به آنان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تكبّر مى‌ورزند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تركِ‌كننده خدايانمان به جهت شاعر مجنونى باشيم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كسانى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گواهى مى‌دهيد كه همانا با خداوند خدايان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خدايان را يك خدا به حساب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اين حال به اين آيات استدلال كرده و بر كسانى كه شهادت به وحدانيت خدا و رسالت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مي‌دهند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هيچ‌گونه شريكى ندارد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استحقاق پرستش با خدا را ندارد، منطبق مى‌سازند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همچنين در نقد وهابيان تكفيرى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وممّا يدلّ علي بطلان قولكم في تكفير من كفرتموه ما روي البخاري في صحيحة عن معاوية بن ابي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يرد الله به خيراً يفقهه في الدين، و انّما انا قاسم و الله يعطي، و لايزال امر هذه الأمة مستقيماً حتي تقوم الساعة او يأتي امر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الدليل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 انّ امر هذه الامة لايزال مستقيماً إلي آخر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انّ هذه الأمور التي تكفرون بها مازالت قديماً ظاهرة ملأت البلاد، فلو كانت هي الأصنام الكبري و من فعل شيئاً من تلك الأفاعيل عابد للأوثان، لم يكن امر هذه الأمة مستقيماً، بل منعكساً</w:t>
      </w:r>
      <w:r>
        <w:rPr>
          <w:rFonts w:eastAsia="Amiri" w:cs="Amiri" w:ascii="Amiri" w:hAnsi="Amiri"/>
          <w:color w:val="111111"/>
          <w:sz w:val="28"/>
          <w:szCs w:val="28"/>
          <w:rtl w:val="true"/>
          <w:lang w:bidi="ar-SA"/>
        </w:rPr>
        <w:t xml:space="preserve">. </w:t>
      </w:r>
      <w:r>
        <w:rPr>
          <w:rStyle w:val="FootnoteAnchor"/>
          <w:rtl w:val="true"/>
        </w:rPr>
        <w:footnoteReference w:id="22"/>
      </w:r>
      <w:r>
        <w:rPr>
          <w:rFonts w:ascii="IRNazanin" w:hAnsi="IRNazanin" w:eastAsia="IRNazanin"/>
          <w:color w:val="111111"/>
          <w:sz w:val="28"/>
          <w:sz w:val="28"/>
          <w:szCs w:val="28"/>
          <w:rtl w:val="true"/>
          <w:lang w:bidi="fa-IR"/>
        </w:rPr>
        <w:t>و از جمله چيزهايى كه دلالت بر بطلان گفتار شما در تكفير كسانى كه آنان را تكفير مى‌كنيد دارد حديثى است كه بخارى در صحيحش از معاوية بن ابى سفيان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كسى را كه خداوند قصد خير به او دارد او را در دين فقيه گرداند، و همانا من تقسيم‌كننده‌ام و خدا عطا مى‌نمايد، و هميشه امر اين امت مستقيم خواهد بود تا اينكه قيامت برپا شده يا امر خداوند متعال برسد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دلالت آن 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كه امر اين امت هميشه تا پايان تاريخ مستقيم خواهد بود، و معلوم است كه اين امورى را كه شما به آن مردم را تكفير مى‌كنيد از قديم الايام در شهرها پر بوده است، و اگر اينها بت‌هاى بزرگ باشد و كارهايى را كه مردم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انجام مى‌دهند در حقيقت عبادت بت‌هاست، لازم مى‌آيد كه امر اين امت مستقيم نباشد بلكه بيراهه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همچنين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يدلّ علي بطلان مذهبكم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عقبة بن عامر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المنبر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انّي لست اخشي عليكم ان تشركوا بعدي و لكن اخشي عليكم الدنيا ان تنافسوا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الدلالة منه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 بجميع مايقع علي 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اخبر به في هذا الحديث انّه أمن انّ أمته تعبد الأوثان و لم يخافه و اخبرهم بذلك </w:t>
      </w:r>
      <w:r>
        <w:rPr>
          <w:rFonts w:eastAsia="Amiri" w:cs="Amiri" w:ascii="Amiri" w:hAnsi="Amiri"/>
          <w:color w:val="111111"/>
          <w:sz w:val="28"/>
          <w:szCs w:val="28"/>
          <w:rtl w:val="true"/>
          <w:lang w:bidi="ar-SA"/>
        </w:rPr>
        <w:t xml:space="preserve">... </w:t>
      </w:r>
      <w:r>
        <w:rPr>
          <w:rStyle w:val="FootnoteAnchor"/>
          <w:rtl w:val="true"/>
        </w:rPr>
        <w:footnoteReference w:id="23"/>
      </w:r>
      <w:r>
        <w:rPr>
          <w:rFonts w:ascii="IRNazanin" w:hAnsi="IRNazanin" w:eastAsia="IRNazanin"/>
          <w:color w:val="111111"/>
          <w:sz w:val="28"/>
          <w:sz w:val="28"/>
          <w:szCs w:val="28"/>
          <w:rtl w:val="true"/>
          <w:lang w:bidi="fa-IR"/>
        </w:rPr>
        <w:t>و از جمله امورى كه دلالت بر بطلان مذهب شما دارد روايتى است كه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عقبة بن عامر نقل شده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منبر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بر شما نمى‌ترسم كه بعد از من مشرك شويد، بلكه بر شما از دنيا مى‌هراسم كه در آن نزاع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دلالت آن 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 آنچه در بين امتش واقع مى‌شود خبر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خبرهايى كه در اين حديث داده اينكه از امتش در امان است كه بت پرست شوند و از اين خوف ندارد و به آن خبر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علي بطلان مذهبكم ما روي مسلم في صحيحه عن جابر بن عبدالله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الشيطان قد أيس ان يعبده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المصلون في جزيرة العرب، و لكن في التحريش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الحاكم و صحّحه و ابويعلي و البيهقي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الشيطان قد يئس ان تعبد الأصنام بأرض العرب، و لكن رضي منهم بما دون ذلك بالمحقّرات و هي الموبقات</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الرسول اخبر انّ الشيطان قد أيس ان يعبده المصلون في جزيرة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أيس الشيطان ان تعبد الأصنام بأرض العرب، و هو بخلاف مذهبكم؛ فانّ البصرة و ما حولها و العراق من دون الدجلة الموضع الذيفيه قبر علي و قبر الحسين رضي الله عنهما، و كذلك اليمن كلّها و الحجاز، كلّ ذلك من ارض العرب، و مذهبكم انّ هذه المواضع كلّها و الحجاز، كل ذلك من ارض العرب، و مذهبكم انّ هذه المواضع كلّها عبد الشيطان فيها، و عبدت الأصنام، و كلّها 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الأحاديث ترد مذهبكم</w:t>
      </w:r>
      <w:r>
        <w:rPr>
          <w:rFonts w:eastAsia="Amiri" w:cs="Amiri" w:ascii="Amiri" w:hAnsi="Amiri"/>
          <w:color w:val="111111"/>
          <w:sz w:val="28"/>
          <w:szCs w:val="28"/>
          <w:rtl w:val="true"/>
          <w:lang w:bidi="ar-SA"/>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و از جمله امورى كه دلالت بر بطلان مذهب شما دارد روايتى است كه مسلم در صحيحش از جابر بن عبدالله نقل كرده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شيطان مأيوس شده كه نمازگزارن در جزيرة العرب او را پرستش كنند، ولى از نزاع بين آنان مأيوس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روايت كرده حاكم و آن را تصحيح نموده و نيز ابويعلى و بيهقى از ابن مسعود روايت كرده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شيطان از اينكه بت‌ها در سرزمين عرب عبادت شوند به طور قطع مأيوس شده، و از آنان به كمتر از آن يعنى به گناهان كوچك كه عقاب 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آنان ثابت است راضى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دلالت 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كه شيطان از اينكه نمازگزاران در جزيرة العرب او را پرستش كنند مأيوس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 ابن مسعود آمده است كه شيطان از اينكه بت‌ها در</w:t>
      </w:r>
    </w:p>
    <w:p>
      <w:pPr>
        <w:pStyle w:val="BookText"/>
        <w:rPr/>
      </w:pPr>
      <w:r>
        <w:rPr>
          <w:rFonts w:ascii="IRNazanin" w:hAnsi="IRNazanin" w:eastAsia="IRNazanin"/>
          <w:color w:val="111111"/>
          <w:sz w:val="28"/>
          <w:sz w:val="28"/>
          <w:szCs w:val="28"/>
          <w:rtl w:val="true"/>
          <w:lang w:bidi="fa-IR"/>
        </w:rPr>
        <w:t>سرزمين عرب عبادت شوند مأيوس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بر خلاف مذهب شماست؛ زيرا بصره و حوالى آن و عراق از پايين دجله، جايى كه در آن قبر على و قبر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نيز تمام كشور يمن و حجاز، تمام اين مكان‌ها از سرزمين عرب است، و مذهب شما آن است كه در تمام اين مواضع شيطان و بت‌ها عبادت مى‌شوند و همه آنان كافرند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احاديث ردّ بر مذهب شما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ردّ پيروان برادرش مى‌گويد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اين لكم انّ المسلم الذي يشهد ان لا اله الّا الله و انّ محمداً عبده و رسوله اذا دعا غائباً او ميتاً او نذر له او ذبح لغير الله، انّ هذا هو الشرك الأكبر الذي من فعله حبط عمله و حلّ ماله و 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اهل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من غير الله فهو مرتد، و لم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ذبح لغير الله فهو مرتد</w:t>
      </w:r>
      <w:r>
        <w:rPr>
          <w:rFonts w:eastAsia="Amiri" w:cs="Amiri" w:ascii="Amiri" w:hAnsi="Amiri"/>
          <w:color w:val="111111"/>
          <w:sz w:val="28"/>
          <w:szCs w:val="28"/>
          <w:rtl w:val="true"/>
          <w:lang w:bidi="ar-SA"/>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از كجا براى شما ثابت شده كه مسلمانى كه شهادت به وحدانيت خدا و عبوديت و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مى‌دهد اگر غائب يا مرده‌اى را صدا زند يا براى او نذر كرده يا براى غير خدا ذبح نمايد، اين شرك اكبرى است كه اگر كسى آن را انجام دهد عملش حبط شده و مال و خونش حلال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غير</w:t>
      </w:r>
      <w:bookmarkStart w:id="45" w:name="pg1706_17393"/>
    </w:p>
    <w:p>
      <w:pPr>
        <w:pStyle w:val="BookText"/>
        <w:rPr/>
      </w:pPr>
      <w:bookmarkEnd w:id="45"/>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خدا طلب كند مرتد است و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غير خدا ذبح كند مرتد مى‌شود</w:t>
      </w:r>
      <w:r>
        <w:rPr>
          <w:rFonts w:eastAsia="IRNazanin" w:cs="IRNazanin"/>
          <w:color w:val="111111"/>
          <w:sz w:val="28"/>
          <w:szCs w:val="28"/>
          <w:rtl w:val="true"/>
          <w:lang w:bidi="fa-IR"/>
        </w:rPr>
        <w:t>.</w:t>
      </w:r>
    </w:p>
    <w:p>
      <w:pPr>
        <w:pStyle w:val="Heading3"/>
        <w:numPr>
          <w:ilvl w:val="2"/>
          <w:numId w:val="1"/>
        </w:numPr>
        <w:rPr/>
      </w:pPr>
      <w:bookmarkStart w:id="46" w:name="__RefHeading___Toc1588351_3650668749"/>
      <w:bookmarkStart w:id="47" w:name="_Toc17"/>
      <w:bookmarkEnd w:id="46"/>
      <w:r>
        <w:rPr>
          <w:rtl w:val="true"/>
        </w:rPr>
        <w:t xml:space="preserve">ايراد به پيامبر </w:t>
      </w:r>
      <w:r>
        <w:rPr>
          <w:rtl w:val="true"/>
        </w:rPr>
        <w:t>(</w:t>
      </w:r>
      <w:r>
        <w:rPr>
          <w:rtl w:val="true"/>
        </w:rPr>
        <w:t>ص</w:t>
      </w:r>
      <w:r>
        <w:rPr>
          <w:rtl w:val="true"/>
        </w:rPr>
        <w:t>)</w:t>
      </w:r>
      <w:bookmarkEnd w:id="47"/>
    </w:p>
    <w:p>
      <w:pPr>
        <w:pStyle w:val="BookText"/>
        <w:rPr/>
      </w:pPr>
      <w:r>
        <w:rPr>
          <w:rFonts w:ascii="Amiri" w:hAnsi="Amiri" w:eastAsia="Amiri" w:cs="Amiri"/>
          <w:color w:val="111111"/>
          <w:sz w:val="28"/>
          <w:sz w:val="28"/>
          <w:szCs w:val="28"/>
          <w:rtl w:val="true"/>
          <w:lang w:bidi="ar-SA"/>
        </w:rPr>
        <w:t>احمدبن زينى دحلان درباره محمّد بن عبدالوهاب مى‌نويسد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ينتقص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بعبارات مختلفة و يزعم انّ قصده المحافظة علي التوحيد؛ فمنها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في لغة المشرق بمعني الشخص المرسل من قوم إلي آخرين، فمراده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 كتب؛ اي غاية امره انّه كالطارش الذي يرسله الأمير او غيره في امره لأناس ليبلغهم اياه، ثم 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انّ بعض اتباعه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عصاي هذه خير من محمّد، لانّها ينتفع بها في قتل الحية و نحوها و محمد قد مات، و لم يبق فيه نفع اصلا، و انّما هو طارش و قد مضي</w:t>
      </w:r>
      <w:r>
        <w:rPr>
          <w:rFonts w:eastAsia="Amiri" w:cs="Amiri" w:ascii="Amiri" w:hAnsi="Amiri"/>
          <w:color w:val="111111"/>
          <w:sz w:val="28"/>
          <w:szCs w:val="28"/>
          <w:rtl w:val="true"/>
          <w:lang w:bidi="ar-SA"/>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او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اوقات با عبارات گوناگون نقص وارد مى‌كرد و گمان مى‌نمود كه هدفش محافظت بر توحيد است، و از آن جمله اينكه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در لغت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شخصى است فرستاده شده از قومى به قوم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او اين است كه او حامل نامه‌هايى است، يعنى نهايت امرش اينكه او همانند پيام‌رسان امير يا ديگرى است در رساندن امرى براى مردم تا به آنان برساند 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برخى از پيروانش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عصاى من بهتر از محمّد است؛ زيرا به آن در كشتن</w:t>
      </w:r>
      <w:bookmarkStart w:id="48" w:name="pg1706_17394"/>
    </w:p>
    <w:p>
      <w:pPr>
        <w:pStyle w:val="BookText"/>
        <w:rPr/>
      </w:pPr>
      <w:bookmarkEnd w:id="48"/>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مار و مثل آن كمك گرفته مى‌شود در حالى كه محمّد مرده و در او نفعى اصلًا باقى نمانده بلكه او پيام‌رسانى است كه رفته است</w:t>
      </w:r>
      <w:r>
        <w:rPr>
          <w:rFonts w:eastAsia="IRNazanin" w:cs="IRNazanin"/>
          <w:color w:val="111111"/>
          <w:sz w:val="28"/>
          <w:szCs w:val="28"/>
          <w:rtl w:val="true"/>
          <w:lang w:bidi="fa-IR"/>
        </w:rPr>
        <w:t>.</w:t>
      </w:r>
    </w:p>
    <w:p>
      <w:pPr>
        <w:pStyle w:val="Heading3"/>
        <w:numPr>
          <w:ilvl w:val="2"/>
          <w:numId w:val="1"/>
        </w:numPr>
        <w:rPr/>
      </w:pPr>
      <w:bookmarkStart w:id="49" w:name="__RefHeading___Toc1588353_3650668749"/>
      <w:bookmarkStart w:id="50" w:name="_Toc18"/>
      <w:bookmarkEnd w:id="49"/>
      <w:r>
        <w:rPr>
          <w:rtl w:val="true"/>
        </w:rPr>
        <w:t>رشيد رضا و دفاع از جنايات وهابيان‌</w:t>
      </w:r>
      <w:bookmarkEnd w:id="50"/>
    </w:p>
    <w:p>
      <w:pPr>
        <w:pStyle w:val="BookText"/>
        <w:rPr/>
      </w:pPr>
      <w:r>
        <w:rPr>
          <w:rFonts w:ascii="IRNazanin" w:hAnsi="IRNazanin" w:eastAsia="IRNazanin"/>
          <w:color w:val="111111"/>
          <w:sz w:val="28"/>
          <w:sz w:val="28"/>
          <w:szCs w:val="28"/>
          <w:rtl w:val="true"/>
          <w:lang w:bidi="fa-IR"/>
        </w:rPr>
        <w:t>محمّد رشيد رضا درصدد دفاع از قتل و غارت وهابيان نسبت به مردم طائف برآمده و در توجيه عملكرد آنان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وقع منهم خطأ فقد وقع ممّن هم خير منهم؛ كالصحابة الذين قتلوا جماعة اسلموا بامر خالد بن الوليد</w:t>
      </w:r>
      <w:r>
        <w:rPr>
          <w:rFonts w:eastAsia="Amiri" w:cs="Amiri" w:ascii="Amiri" w:hAnsi="Amiri"/>
          <w:color w:val="111111"/>
          <w:sz w:val="28"/>
          <w:szCs w:val="28"/>
          <w:rtl w:val="true"/>
          <w:lang w:bidi="ar-SA"/>
        </w:rPr>
        <w:t xml:space="preserve">. </w:t>
      </w:r>
      <w:r>
        <w:rPr>
          <w:rStyle w:val="FootnoteAnchor"/>
          <w:rtl w:val="true"/>
        </w:rPr>
        <w:footnoteReference w:id="27"/>
      </w:r>
      <w:r>
        <w:rPr>
          <w:rFonts w:ascii="IRNazanin" w:hAnsi="IRNazanin" w:eastAsia="IRNazanin"/>
          <w:color w:val="111111"/>
          <w:sz w:val="28"/>
          <w:sz w:val="28"/>
          <w:szCs w:val="28"/>
          <w:rtl w:val="true"/>
          <w:lang w:bidi="fa-IR"/>
        </w:rPr>
        <w:t>اگر از آنان خطايى سرزند به طور حتم از كسانى خطا سرزده كه از آنان برتر بوده‌اند؛ همچون صحابه كه جماعتى را به دستور خالد بن وليد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هنگامى كه براى رشيدرضا روشن شد كه وهابيان با كمك انگلستان بود كه حجاز را از دست دولت عثمانى گرفتند درصدد انتقاد از وهابيان برآمده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انّنا نظنّ الآن انّه كان في الإمكان ان ينال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غني عنه من تموين بلاده و الاعتراف باستقلاله فيها بدون ان يقيد نفسه بما ذكر في هذه المعاهدة</w:t>
      </w:r>
      <w:r>
        <w:rPr>
          <w:rFonts w:eastAsia="Amiri" w:cs="Amiri" w:ascii="Amiri" w:hAnsi="Amiri"/>
          <w:color w:val="111111"/>
          <w:sz w:val="28"/>
          <w:szCs w:val="28"/>
          <w:rtl w:val="true"/>
          <w:lang w:bidi="ar-SA"/>
        </w:rPr>
        <w:t xml:space="preserve">. </w:t>
      </w:r>
      <w:r>
        <w:rPr>
          <w:rStyle w:val="FootnoteAnchor"/>
          <w:rtl w:val="true"/>
        </w:rPr>
        <w:footnoteReference w:id="28"/>
      </w:r>
      <w:r>
        <w:rPr>
          <w:rFonts w:ascii="IRNazanin" w:hAnsi="IRNazanin" w:eastAsia="IRNazanin"/>
          <w:color w:val="111111"/>
          <w:sz w:val="28"/>
          <w:sz w:val="28"/>
          <w:szCs w:val="28"/>
          <w:rtl w:val="true"/>
          <w:lang w:bidi="fa-IR"/>
        </w:rPr>
        <w:t>آرى، ما امروزه گمان مى‌كنيم كه او مى‌توانست صاحب نجد شود و به خواسته ضرورى خود كه همان پاكسازى شهرها و اعتراف به استقلالش در آن برسد بدون آنكه خودش را مقيد به آنچه در آن معاهده كرده بداند</w:t>
      </w:r>
      <w:r>
        <w:rPr>
          <w:rFonts w:eastAsia="IRNazanin" w:cs="IRNazanin"/>
          <w:color w:val="111111"/>
          <w:sz w:val="28"/>
          <w:szCs w:val="28"/>
          <w:rtl w:val="true"/>
          <w:lang w:bidi="fa-IR"/>
        </w:rPr>
        <w:t>.</w:t>
      </w:r>
    </w:p>
    <w:p>
      <w:pPr>
        <w:pStyle w:val="Heading2"/>
        <w:numPr>
          <w:ilvl w:val="1"/>
          <w:numId w:val="1"/>
        </w:numPr>
        <w:rPr/>
      </w:pPr>
      <w:bookmarkStart w:id="51" w:name="__RefHeading___Toc1588355_3650668749"/>
      <w:bookmarkStart w:id="52" w:name="_Toc19"/>
      <w:bookmarkEnd w:id="51"/>
      <w:r>
        <w:rPr>
          <w:rtl w:val="true"/>
        </w:rPr>
        <w:t>محمد بن عبدالوهاب و تكفير مسلمين‌</w:t>
      </w:r>
      <w:bookmarkEnd w:id="5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 w:name="__RefHeading___Toc1588357_3650668749"/>
      <w:bookmarkStart w:id="54" w:name="_Toc20"/>
      <w:bookmarkEnd w:id="53"/>
      <w:r>
        <w:rPr>
          <w:rtl w:val="true"/>
        </w:rPr>
        <w:t>اشاره</w:t>
      </w:r>
      <w:bookmarkStart w:id="55" w:name="pg1706_17395"/>
      <w:bookmarkEnd w:id="54"/>
    </w:p>
    <w:p>
      <w:pPr>
        <w:pStyle w:val="BookText"/>
        <w:rPr/>
      </w:pPr>
      <w:bookmarkEnd w:id="55"/>
      <w:r>
        <w:rPr>
          <w:rFonts w:ascii="IRNazanin" w:hAnsi="IRNazanin" w:eastAsia="IRNazanin"/>
          <w:color w:val="111111"/>
          <w:sz w:val="28"/>
          <w:sz w:val="28"/>
          <w:szCs w:val="28"/>
          <w:rtl w:val="true"/>
          <w:lang w:bidi="fa-IR"/>
        </w:rPr>
        <w:t>از جمله خصوصيات وهابيان و در رأسشان رئيس آنان محمّد بن عبدالوهاب، غلو و افراطگرى در تكفير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اثبات اين مدّعا تنها به رساله‌هاى محمّد بن عبدالوهاب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 افكار 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اين فرقه به نام او زنده است، مراجعه مى‌كنيم تا مطلب بيشتر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به كتب و رساله‌هاى شيخ مراجعه مى‌كند، به جز رساله‌اش به اهل قصيم پى مى‌برد كه او در تكفير مسلمين غلو داشته و دايره تكفير را بسيار وسيع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كتاب‌ها و رساله‌ها غالباً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السنية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عبدالرحمن بن محمّد بن قاسم حنبلى نجدى آمده است، و لذا ما نمونه‌هايى را با ذكر آدرس از آن كتاب براى خوانندگان محترم ذكر مى‌كنيم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 w:name="__RefHeading___Toc1588359_3650668749"/>
      <w:bookmarkStart w:id="57" w:name="_Toc21"/>
      <w:bookmarkEnd w:id="56"/>
      <w:r>
        <w:rPr>
          <w:rtl w:val="true"/>
        </w:rPr>
        <w:t>ادعاى محمد بن عبدالوهاب در توحيد</w:t>
      </w:r>
      <w:bookmarkStart w:id="58" w:name="pg1706_17396"/>
      <w:bookmarkEnd w:id="57"/>
    </w:p>
    <w:p>
      <w:pPr>
        <w:pStyle w:val="BookText"/>
        <w:rPr/>
      </w:pPr>
      <w:bookmarkEnd w:id="58"/>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محمّد بن عبدالوهاب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في ذلك الوقت لا أعرف معني لا إله إلّا الله، ولا أعرف دين الإسلام، قبل هذا الخير الّذي منّ الله به، وكذلك مشايخي ما منهم رجل عرف ذلك، فمن زعم من علمآء العارض أنّه عرف معني لا إله إلّا الله أو معني الاسلام قبل هذا الوقت أو زعم من مشايخه أنّ أحداً عرف ذلكم، فقد كذب وافتري ولبس علي الناس ومدح نفسه بما ليس فيه</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وقت معناى لا اله الّا الله را نمى‌دانستم و نيز دين اسلام را نمى‌فهميدم، قبل از اين خيرى كه خداوند آن را بر من منّت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بين مشايخم هيچ كس وجود نداشت كه اين معنا را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از علماى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كند كه معناى لا اله الّا الله را فهميده و يا معناى اسلام را قبل از اين وقت شناخته، يا گمان كرده كه احدى از مشايخ اين معنا را فهميده‌اند، دروغ و افترا بسته و امر را بر مردم مشتبه كرده است و خودش را به چيزى نسبت داده كه در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عبارت محمّد بن عبدالوهاب استفاده مى‌شود كه او معتقد به كفر تمام مردم قبل از خودش و دعوتش بوده است، و تنها او بوده كه توحيد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دعوت او به توحيد، هيچ كس معناى كلمه توحيد را نفهميده است</w:t>
      </w:r>
      <w:r>
        <w:rPr>
          <w:rFonts w:eastAsia="IRNazanin" w:cs="IRNazanin"/>
          <w:color w:val="111111"/>
          <w:sz w:val="28"/>
          <w:szCs w:val="28"/>
          <w:rtl w:val="true"/>
          <w:lang w:bidi="fa-IR"/>
        </w:rPr>
        <w:t>.</w:t>
      </w:r>
    </w:p>
    <w:p>
      <w:pPr>
        <w:pStyle w:val="Heading3"/>
        <w:numPr>
          <w:ilvl w:val="2"/>
          <w:numId w:val="1"/>
        </w:numPr>
        <w:rPr/>
      </w:pPr>
      <w:bookmarkStart w:id="59" w:name="__RefHeading___Toc1588361_3650668749"/>
      <w:bookmarkStart w:id="60" w:name="_Toc22"/>
      <w:bookmarkEnd w:id="59"/>
      <w:r>
        <w:rPr>
          <w:rtl w:val="true"/>
        </w:rPr>
        <w:t>معيارهاى توحيد و شرك نزد محمد بن عبدالوهاب‌</w:t>
      </w:r>
      <w:bookmarkEnd w:id="6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1" w:name="__RefHeading___Toc1588363_3650668749"/>
      <w:bookmarkStart w:id="62" w:name="_Toc23"/>
      <w:bookmarkEnd w:id="61"/>
      <w:r>
        <w:rPr>
          <w:rtl w:val="true"/>
        </w:rPr>
        <w:t>اشاره</w:t>
      </w:r>
      <w:bookmarkStart w:id="63" w:name="pg1706_17397"/>
      <w:bookmarkEnd w:id="62"/>
    </w:p>
    <w:p>
      <w:pPr>
        <w:pStyle w:val="BookText"/>
        <w:rPr/>
      </w:pPr>
      <w:bookmarkEnd w:id="63"/>
      <w:r>
        <w:rPr>
          <w:rFonts w:ascii="IRNazanin" w:hAnsi="IRNazanin" w:eastAsia="IRNazanin"/>
          <w:color w:val="111111"/>
          <w:sz w:val="28"/>
          <w:sz w:val="28"/>
          <w:szCs w:val="28"/>
          <w:rtl w:val="true"/>
          <w:lang w:bidi="fa-IR"/>
        </w:rPr>
        <w:t xml:space="preserve">از جمله كتاب‌هاى مهم براى وهابيان كه با كوچكى حجم آن مورد توجّه خاصّ مدارس و حوزه‌هاى علمى و دانشگاهى آنان قرار گرفته،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محمّد بن عبدالوهاب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كتاب معيارها و ميزان‌هايى را براى كفر و غلوّ در دين و شرك ذكر كرده و با آن معيارها، ساير مسلمين را به كفر و شرك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 دارد گذرى اجمالى به برخى از مطالب اين كتاب داشته باشيم</w:t>
      </w:r>
      <w:r>
        <w:rPr>
          <w:rFonts w:eastAsia="IRNazanin" w:cs="IRNazanin"/>
          <w:color w:val="111111"/>
          <w:sz w:val="28"/>
          <w:szCs w:val="28"/>
          <w:rtl w:val="true"/>
          <w:lang w:bidi="fa-IR"/>
        </w:rPr>
        <w:t>.</w:t>
      </w:r>
    </w:p>
    <w:p>
      <w:pPr>
        <w:pStyle w:val="Heading4"/>
        <w:numPr>
          <w:ilvl w:val="3"/>
          <w:numId w:val="1"/>
        </w:numPr>
        <w:rPr/>
      </w:pPr>
      <w:bookmarkStart w:id="64" w:name="__RefHeading___Toc1588365_3650668749"/>
      <w:bookmarkStart w:id="65" w:name="_Toc24"/>
      <w:bookmarkEnd w:id="64"/>
      <w:r>
        <w:rPr>
          <w:rtl w:val="true"/>
        </w:rPr>
        <w:t>معيار اوّل‌</w:t>
      </w:r>
      <w:bookmarkEnd w:id="65"/>
    </w:p>
    <w:p>
      <w:pPr>
        <w:pStyle w:val="Heading5"/>
        <w:numPr>
          <w:ilvl w:val="4"/>
          <w:numId w:val="1"/>
        </w:numPr>
        <w:rPr/>
      </w:pPr>
      <w:bookmarkStart w:id="66" w:name="__RefHeading___Toc1588367_3650668749"/>
      <w:bookmarkStart w:id="67" w:name="_Toc25"/>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محمّد بن عبدالوهاب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إعلم رحمك الله أنّ التوحيد هو إفراد الله بالعبادة وهو دين الرسل الّذين أرسلهم الله إلي عباده فأوّلهم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أرسله الله إلي قومه لمّا غلوا في الصالحين وداً وسواعاً ويغوث ويعوق ونسراً </w:t>
      </w:r>
      <w:r>
        <w:rPr>
          <w:rFonts w:eastAsia="Amiri" w:cs="Amiri" w:ascii="Amiri" w:hAnsi="Amiri"/>
          <w:color w:val="111111"/>
          <w:sz w:val="28"/>
          <w:szCs w:val="28"/>
          <w:rtl w:val="true"/>
          <w:lang w:bidi="ar-SA"/>
        </w:rPr>
        <w:t xml:space="preserve">... </w:t>
      </w:r>
      <w:r>
        <w:rPr>
          <w:rStyle w:val="FootnoteAnchor"/>
          <w:rtl w:val="true"/>
        </w:rPr>
        <w:footnoteReference w:id="30"/>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توحيد همان اختصاص دادن عبادت براى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دين رسولان است كه خداوند آنان را به سوى بندگانش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آنان نوح مى‌باشد كه خداوند او را به سوى قومش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آنان درباره صالحان غلو كرده و آنان را همانند ودّ و سواع و يغوث و يعوق و نسر قرار دادند </w:t>
      </w:r>
      <w:r>
        <w:rPr>
          <w:rFonts w:eastAsia="IRNazanin" w:cs="IRNazanin"/>
          <w:color w:val="111111"/>
          <w:sz w:val="28"/>
          <w:szCs w:val="28"/>
          <w:rtl w:val="true"/>
          <w:lang w:bidi="fa-IR"/>
        </w:rPr>
        <w:t>...</w:t>
      </w:r>
    </w:p>
    <w:p>
      <w:pPr>
        <w:pStyle w:val="Heading5"/>
        <w:numPr>
          <w:ilvl w:val="4"/>
          <w:numId w:val="1"/>
        </w:numPr>
        <w:rPr/>
      </w:pPr>
      <w:bookmarkStart w:id="68" w:name="__RefHeading___Toc1588369_3650668749"/>
      <w:bookmarkStart w:id="69" w:name="_Toc26"/>
      <w:bookmarkEnd w:id="68"/>
      <w:r>
        <w:rPr>
          <w:rtl w:val="true"/>
        </w:rPr>
        <w:t>پاسخ‌</w:t>
      </w:r>
      <w:bookmarkEnd w:id="6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تنها منحصر به توحيد در عبادت نيست؛ بلكه داراى</w:t>
      </w:r>
      <w:bookmarkStart w:id="70" w:name="pg1706_17398"/>
    </w:p>
    <w:p>
      <w:pPr>
        <w:pStyle w:val="BookText"/>
        <w:rPr/>
      </w:pPr>
      <w:bookmarkEnd w:id="70"/>
      <w:r>
        <w:rPr>
          <w:rFonts w:ascii="Amiri" w:hAnsi="Amiri" w:eastAsia="Amiri" w:cs="Amiri"/>
          <w:color w:val="111111"/>
          <w:sz w:val="28"/>
          <w:sz w:val="28"/>
          <w:szCs w:val="28"/>
          <w:rtl w:val="true"/>
          <w:lang w:bidi="ar-SA"/>
        </w:rPr>
        <w:t>مراحلى است از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در الوهيت، توحيد در خالقيت، توحيد در ربوبيت و توحيد در عبادت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سبحان در قرآن كريم درباره هر كدام از انواع توحيد، آياتى را ذكر كرده است و از اينجا به دست مى‌آيد كه شرك از اين اقسام در جزيرة العرب شايع بوده كه خداوند در مقابل آن اشاره به اقسام توحيد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نوح را به سوى قومش فرستاد تا آنان را به عبادت خدا و رها شدن از شرك دعوت كند؛ زيرا قوم او بت مى‌پرستيدند، نه اينكه درباره صالحان امت خود غلو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 تبرّك جستن از صالحان و توسل به آنان و استغاثه به ارواح آنها همانند پرستش بت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اعمال به نيات است و بايد به نيت افراد مراجعه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نيت چنين اشخاصى شرك و استقلال در تأثير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براى روشن شدن بيشتر به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استغاثه به ارواح اولياى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كتاب مراجعه كنيد</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1588371_3650668749"/>
      <w:bookmarkStart w:id="72" w:name="_Toc27"/>
      <w:bookmarkEnd w:id="71"/>
      <w:r>
        <w:rPr>
          <w:rtl w:val="true"/>
        </w:rPr>
        <w:t>معيار دوم‌</w:t>
      </w:r>
      <w:bookmarkEnd w:id="72"/>
    </w:p>
    <w:p>
      <w:pPr>
        <w:pStyle w:val="Heading5"/>
        <w:numPr>
          <w:ilvl w:val="4"/>
          <w:numId w:val="1"/>
        </w:numPr>
        <w:rPr/>
      </w:pPr>
      <w:bookmarkStart w:id="73" w:name="__RefHeading___Toc1588373_3650668749"/>
      <w:bookmarkStart w:id="74" w:name="_Toc28"/>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ابن عبدالوهاب مى‌گويد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 الرسل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كسر صور هؤلاء الصالحين، أرسله إلي قوم يتعبّدون ويحجّون ويتصدّقون ويذكرون الله ولكنّهم يجعلون بعض المخلوقين وسائط بينهم وبين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منهم التقرب إلي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ونريد شفاعتهم عنده؛ مثل</w:t>
      </w:r>
      <w:bookmarkStart w:id="75" w:name="pg1706_17399"/>
    </w:p>
    <w:p>
      <w:pPr>
        <w:pStyle w:val="BookText"/>
        <w:rPr/>
      </w:pPr>
      <w:bookmarkEnd w:id="75"/>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الملائكة وعيسي ومريم وأناس غيرهم من الصالحين</w:t>
      </w:r>
      <w:r>
        <w:rPr>
          <w:rFonts w:eastAsia="Amiri" w:cs="Amiri" w:ascii="Amiri" w:hAnsi="Amiri"/>
          <w:color w:val="111111"/>
          <w:sz w:val="28"/>
          <w:szCs w:val="28"/>
          <w:rtl w:val="true"/>
          <w:lang w:bidi="ar-SA"/>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و آخرين پيامبر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صورت‌هاى آن صالحان را خرد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سوى قومى فرستاد كه عبادت مى‌كرده و حج به جاى مى‌آوردند و صدقه مى‌دادند و ذكر خداى مى‌گفتند؛ ولى آنان برخى از مخلوقين را وسيله بين خود و خداى عزّوجلّ قرار مى‌دادند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آنها قصد تقرّب به سوى خداى عزّوجلّ را داريم، و از آنها تقاضاى شفاعت نزد خدا داريم؛ همانند ملائكه و عيسى و مريم و افرادى غير از اينها از صالحان</w:t>
      </w:r>
      <w:r>
        <w:rPr>
          <w:rFonts w:eastAsia="IRNazanin" w:cs="IRNazanin"/>
          <w:color w:val="111111"/>
          <w:sz w:val="28"/>
          <w:szCs w:val="28"/>
          <w:rtl w:val="true"/>
          <w:lang w:bidi="fa-IR"/>
        </w:rPr>
        <w:t>.</w:t>
      </w:r>
    </w:p>
    <w:p>
      <w:pPr>
        <w:pStyle w:val="Heading4"/>
        <w:numPr>
          <w:ilvl w:val="3"/>
          <w:numId w:val="1"/>
        </w:numPr>
        <w:rPr/>
      </w:pPr>
      <w:bookmarkStart w:id="76" w:name="__RefHeading___Toc1588375_3650668749"/>
      <w:bookmarkStart w:id="77" w:name="_Toc29"/>
      <w:bookmarkEnd w:id="76"/>
      <w:r>
        <w:rPr>
          <w:rtl w:val="true"/>
        </w:rPr>
        <w:t>معيار سوم‌</w:t>
      </w:r>
      <w:bookmarkEnd w:id="77"/>
    </w:p>
    <w:p>
      <w:pPr>
        <w:pStyle w:val="Heading5"/>
        <w:numPr>
          <w:ilvl w:val="4"/>
          <w:numId w:val="1"/>
        </w:numPr>
        <w:rPr/>
      </w:pPr>
      <w:bookmarkStart w:id="78" w:name="__RefHeading___Toc1588377_3650668749"/>
      <w:bookmarkStart w:id="79" w:name="_Toc30"/>
      <w:bookmarkEnd w:id="78"/>
      <w:r>
        <w:rPr>
          <w:rtl w:val="true"/>
        </w:rPr>
        <w:t>پاسخ‌</w:t>
      </w:r>
      <w:bookmarkEnd w:id="79"/>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صورت خوش و غير واقعى را از كفّار قريش ترسيم كرده تا مبتنى بر آن بتواند مسلمانان را تكفير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 قريش اهل عبادت، به جاى آوردن حج و صدقه و ذكر خدا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چگونه اين چنين بوده است؟ آنها كسانى بودند كه هرگاه 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قيامت و بعث و بهشت و دوزخ ايمان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كلّى به پيامبرى ايمان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را عبادت مى‌كرده و به يكديگر ظلم مى‌نمودند و همديگر را مى‌كشتند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خمر، زنا، رباخوارى، و انواع محرمات را انجام مى‌دادند، آيا مطابق حرف محمّد بن عبدالوهاب، قريش در آن زمان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تنها مشكلى كه داشت توجّه به وسائط و استغاثه به آنها بود؟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از انبيا و اولياى الهى طلب شفاعت مى‌كند، با اعتقاد به اينكه آنان بندگان صالح خدايند و كارى بدون اذن و مشيت الهى انجام نمى‌دهند، همانند درخواست شفاعت مشركان از بت‌ها است؟ مشركان اگر چنين درخواستى از بتان يا ملائكه داشتند به جهت غلوى بوده كه درباره آنها پيدا كرده بودند؛ با ديد استقلالى به آنها نگريسته وآنان را مستقل در تدبير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چه اشكالى دارد كه از شخصى كه خداوند مقامى معنوى را به او داده، تقاضاى اعمال آن را در حق او به اذن و مشيت الهى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قرآن كريم مشركان صدر اسلام را به جهت اعتقاد به شفاعت در بتان مذمّت مى‌كند، از اين جهت بوده كه آنان بت‌هاى خود را به جهت تقاضاى شفاعت و اعمال آنها عبادت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سبحان از قول آنان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نَعْبُدُهُمْ إِلَّا لِيقَرِّبُونا إِلَي اللهِ زُلْفي؛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دليلشان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را نمى‌پرستيم مگر به خاطر اينكه ما را به خدا نزديك كنند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وانگهى آنان در اين مقام با ديد استقلالى در مقابل اراده و مشيت خداوند چنين اعتقادى را در حقّ بت‌ها قائل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جهت روشن شدن بيشتر مطلب به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مسيحيان درمورد حضرت عيسى و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نمى‌توان قياس به اعتقاد مسلمين به شفاعت و درخواست آن از اوليا كرد؛ زيرا مطابق گواهى تاريخ و قرآن كريم، آنان قائل به تجسّد و الوهيت حضرت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مسيح و مريم بودند</w:t>
      </w:r>
      <w:r>
        <w:rPr>
          <w:rFonts w:eastAsia="Amiri" w:cs="Amiri" w:ascii="Amiri" w:hAnsi="Amiri"/>
          <w:color w:val="111111"/>
          <w:sz w:val="28"/>
          <w:szCs w:val="28"/>
          <w:rtl w:val="true"/>
          <w:lang w:bidi="ar-SA"/>
        </w:rPr>
        <w:t>.</w:t>
      </w:r>
      <w:bookmarkStart w:id="80" w:name="pg1706_17401"/>
    </w:p>
    <w:p>
      <w:pPr>
        <w:pStyle w:val="BookText"/>
        <w:rPr/>
      </w:pPr>
      <w:bookmarkEnd w:id="80"/>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لذا 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اللهُ يا عِيسَى ابْنَ مَرْيَمَ أَ أَنْتَ قُلْتَ لِلنَّاسِ اتَّخِذُونِي وَ أُمِّي إِلهَيْنِ مِنْ دُونِ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آن‌گاه كه خداوند به عيسى بن مريم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به مردم گفتى كه من و مادرم را به عنوان معبود غير از خدا انتخاب كنيد؟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كَفَرَ الَّذِينَ قالُوا إِنَّ اللهَ ثالِثُ ثَلاثَةٍ وَ ما مِنْ إِلهٍ إِلَّا إِلهٌ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يكى از سه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كافر شدند، معبودى جز معبود يگانه نيست </w:t>
      </w:r>
      <w:r>
        <w:rPr>
          <w:rFonts w:eastAsia="IRNazanin" w:cs="IRNazanin"/>
          <w:color w:val="111111"/>
          <w:sz w:val="28"/>
          <w:szCs w:val="28"/>
          <w:rtl w:val="true"/>
          <w:lang w:bidi="fa-IR"/>
        </w:rPr>
        <w:t>...</w:t>
      </w:r>
    </w:p>
    <w:p>
      <w:pPr>
        <w:pStyle w:val="Heading5"/>
        <w:numPr>
          <w:ilvl w:val="4"/>
          <w:numId w:val="1"/>
        </w:numPr>
        <w:rPr/>
      </w:pPr>
      <w:bookmarkStart w:id="81" w:name="__RefHeading___Toc1588379_3650668749"/>
      <w:bookmarkStart w:id="82" w:name="_Toc31"/>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ابن عبدالوهاب مى‌گويد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فبعث الله تعالي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يجدّد لهم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ويخبرهم أنّ هذا التقرب والإعتقاد محض حقّ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لايصلح منه شيي‌ء لغيره ولا لملك مقرّب ولانبي مرسل فضلا عن غيرهما</w:t>
      </w:r>
      <w:r>
        <w:rPr>
          <w:rFonts w:eastAsia="Amiri" w:cs="Amiri" w:ascii="Amiri" w:hAnsi="Amiri"/>
          <w:color w:val="111111"/>
          <w:sz w:val="28"/>
          <w:szCs w:val="28"/>
          <w:rtl w:val="true"/>
          <w:lang w:bidi="ar-SA"/>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پس خداوند متعال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 تا دين مردم را كه همان دين ابراهيم است تجديد كند، و به آنان خبر دهد كه اين تقرّب و اعتقاد تنها حق خداى متعال است، و براى هيچ كس غير از او</w:t>
      </w:r>
      <w:bookmarkStart w:id="83" w:name="pg1706_17402"/>
    </w:p>
    <w:p>
      <w:pPr>
        <w:pStyle w:val="BookText"/>
        <w:rPr/>
      </w:pPr>
      <w:bookmarkEnd w:id="83"/>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صلاحيت ندارد؛ نه براى فرشته مقرّب و نه نبى مرسل تا چه رسد به غير از اين دو</w:t>
      </w:r>
      <w:r>
        <w:rPr>
          <w:rFonts w:eastAsia="IRNazanin" w:cs="IRNazanin"/>
          <w:color w:val="111111"/>
          <w:sz w:val="28"/>
          <w:szCs w:val="28"/>
          <w:rtl w:val="true"/>
          <w:lang w:bidi="fa-IR"/>
        </w:rPr>
        <w:t>.</w:t>
      </w:r>
    </w:p>
    <w:p>
      <w:pPr>
        <w:pStyle w:val="Heading5"/>
        <w:numPr>
          <w:ilvl w:val="4"/>
          <w:numId w:val="1"/>
        </w:numPr>
        <w:rPr/>
      </w:pPr>
      <w:bookmarkStart w:id="84" w:name="__RefHeading___Toc1588381_3650668749"/>
      <w:bookmarkStart w:id="85" w:name="_Toc32"/>
      <w:bookmarkEnd w:id="84"/>
      <w:r>
        <w:rPr>
          <w:rtl w:val="true"/>
        </w:rPr>
        <w:t>پاسخ‌</w:t>
      </w:r>
      <w:bookmarkEnd w:id="85"/>
    </w:p>
    <w:p>
      <w:pPr>
        <w:pStyle w:val="BookText"/>
        <w:rPr/>
      </w:pPr>
      <w:r>
        <w:rPr>
          <w:rFonts w:ascii="IRNazanin" w:hAnsi="IRNazanin" w:eastAsia="IRNazanin"/>
          <w:color w:val="111111"/>
          <w:sz w:val="28"/>
          <w:sz w:val="28"/>
          <w:szCs w:val="28"/>
          <w:rtl w:val="true"/>
          <w:lang w:bidi="fa-IR"/>
        </w:rPr>
        <w:t>مسلمانان با تبرّك و توسّل و استغاثه و طلب شفاعت از اولياى الهى، تقرّب به غير خدا نمى‌جويند؛ بلكه از آنجا كه افراد صالح متقرّب نزد خدايند آنان را واسطه قرار داده تا به خدا نزديك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معتقديم كه تقرّب اصلى و حقيقى و در نهايت امر به سوى خدا است و تنها او است كه پناه دهنده مردم و بيچارگان است، و ما با توسّل به افراد صالح سعى مى‌كنيم كه همراه با دعاى آنان به خداى متعال بيشتر نزديك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لذاست كه خداوند متعال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ابْتَغُوا إِلَيْهِ الْوَسِيلَةَ؛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وسيله‌اى براى تقرّب به او بجوييد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لزوم واسطه قرار دادن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بخشش گناهان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اين مخالفان هنگامى كه به خود ستم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فرمان‌هاى خدا را زير پا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تو مى‌آمدند و از خدا طلب آمرزش مى‌كردند و پيامبر هم براى آنها استغفار مى‌كرد، خدا را توبه‌پذير و مهربان مى‌يافتند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قرآن هنگامى كه قصه برادران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مى‌كند و اشاره به پشيمانى آنها مى‌كند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پدر خود يعقوب آمده</w:t>
      </w:r>
      <w:bookmarkStart w:id="86" w:name="pg1706_17403"/>
    </w:p>
    <w:p>
      <w:pPr>
        <w:pStyle w:val="BookText"/>
        <w:rPr/>
      </w:pPr>
      <w:bookmarkEnd w:id="86"/>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أَبانَا اسْتَغْفِرْ لَنا ذُنُوبَنا إِنَّا كُنَّا خاطِئِينَ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آمرزش گناهان ما را بخواه كه ما خطاكار بوديم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آمدن نزد واسطه و درخواست از او كه از خداوند آمرزش بخواهد شرك است، چرا حضرت يعقوب كه از داعيان توحيد و ترك شرك و بت‌پرستى است فرزندان خود را از اين نوع تقاضا و درخواست منع نكرد؟</w:t>
      </w:r>
    </w:p>
    <w:p>
      <w:pPr>
        <w:pStyle w:val="Heading4"/>
        <w:numPr>
          <w:ilvl w:val="3"/>
          <w:numId w:val="1"/>
        </w:numPr>
        <w:rPr/>
      </w:pPr>
      <w:bookmarkStart w:id="87" w:name="__RefHeading___Toc1588383_3650668749"/>
      <w:bookmarkStart w:id="88" w:name="_Toc33"/>
      <w:bookmarkEnd w:id="87"/>
      <w:r>
        <w:rPr>
          <w:rtl w:val="true"/>
        </w:rPr>
        <w:t>معيار چهارم‌</w:t>
      </w:r>
      <w:bookmarkEnd w:id="88"/>
    </w:p>
    <w:p>
      <w:pPr>
        <w:pStyle w:val="Heading5"/>
        <w:numPr>
          <w:ilvl w:val="4"/>
          <w:numId w:val="1"/>
        </w:numPr>
        <w:rPr/>
      </w:pPr>
      <w:bookmarkStart w:id="89" w:name="__RefHeading___Toc1588385_3650668749"/>
      <w:bookmarkStart w:id="90" w:name="_Toc34"/>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او همچنين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فهولآء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كفار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يشهدون إنّ الله هو الخالق وحده، لاشريك له، وانّه لايرزق إلّا هو، ولايحيي إلّا هو ولايميت إلّا هو، ولايدبّر الأمر إلّا هو، وأنّ جميع السموات ومن فيهنّ والأرضين السبع ومن فيها كلّهم عبيده وتحت تصرّفه وقهره </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آن مشركان؛ يعنى كفار قريش گواهى مى‌دادند كه خداوند تنها خالقى است كه شريك و همتايى ندارد و تنها روزى رسان او است و نيز كسى جز او نمى‌ميراند و زنده نمى‌كند، و نيز مدبّر اين عالم تنها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آسمان‌ها و هر كس كه در آنها است و زمين‌هاى هفت‌گانه و هر آن كس كه در آنها است همگى بنده او و تحت فرمان و سلطه اويند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1" w:name="__RefHeading___Toc1588387_3650668749"/>
      <w:bookmarkStart w:id="92" w:name="_Toc35"/>
      <w:bookmarkEnd w:id="91"/>
      <w:r>
        <w:rPr>
          <w:rtl w:val="true"/>
        </w:rPr>
        <w:t>پاسخ‌</w:t>
      </w:r>
      <w:bookmarkEnd w:id="92"/>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نيست كه مشركان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در خالقيت را قبول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سبحان درباره آنان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سَأَلْتَهُمْ مَنْ خَلَقَ السَّماواتِ وَ الأَرْضَ لَيَقُولُنَّ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از آنان سؤال كنى چه كسى آسمان‌ها و زمين را خلق كرد؟ همه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 آيه اين است كه درباطن و فطرت به آن اعتقاد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برخى از آيات استفاده مى‌شود كه علت شرك قريش و ديگران آن بود كه معتقد بودند بت‌ها و وسائط ديگر به طور مستقل، مالك تصرّف در اين عالم مى‌باشند، بدون اينكه تصرفشان؛ اعم از رزق و نصرت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اراده و مشيت الهى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سبحان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تَعْبُدُونَ مِنْ دُونِ اللهِ لا يَمْلِكُونَ لَكُمْ رِزْقاً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آنهايى را كه غير از خدا پرستش مى‌كنيد، مالك هيچ رزقى براى شما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آيه استفاده مى‌شود كه مشركان معتقد بودند كه اين وسائط، مالك رزق و روزى آنان هستند و لذا آنها را عبادت 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در آيه ديگر مى‌فرمايد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الَّذِينَ زَعَمْتُمْ مِنْ دُونِ اللهِ لا يَمْلِكُونَ مِثْقالَ ذَرَّةٍ فِي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السَّماواتِ وَ لا فِي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را كه غير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مى‌پنداريد بخوانيد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هرگز گرهى از كار شما نمى‌گشايند، 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اندازه ذره‌اى در آسمان‌ها و زمين مالك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على سقّاف شافعى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العبادة شرعاً معناها الاتيان بأقصي الخضوع قلباً وقالباً، فهي إذن نوعان قلبية وقالبية، فالقلبية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إعتقاد الربوبية أو خصيصة من خصائصها كالإستقلال بالنفع أو الضرر ونفوذ المشيئة لمن اعتقد فيه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الإتيان بأنواع الخضوع الظاهرية من قيام وركوع وسجود وغيرها مع ذلك الإعتقاد القلبي، فإن أتي بواحد منها بدون ذلك الإعتقاد لم يكن ذلك الخضوع عبادة شرعاً ولوكان سجوداً </w:t>
      </w:r>
      <w:r>
        <w:rPr>
          <w:rFonts w:eastAsia="Amiri" w:cs="Amiri" w:ascii="Amiri" w:hAnsi="Amiri"/>
          <w:color w:val="111111"/>
          <w:sz w:val="28"/>
          <w:szCs w:val="28"/>
          <w:rtl w:val="true"/>
          <w:lang w:bidi="ar-SA"/>
        </w:rPr>
        <w:t xml:space="preserve">... </w:t>
      </w:r>
      <w:r>
        <w:rPr>
          <w:rStyle w:val="FootnoteAnchor"/>
          <w:rtl w:val="true"/>
        </w:rPr>
        <w:footnoteReference w:id="34"/>
      </w:r>
      <w:r>
        <w:rPr>
          <w:rFonts w:ascii="IRNazanin" w:hAnsi="IRNazanin" w:eastAsia="IRNazanin"/>
          <w:color w:val="111111"/>
          <w:sz w:val="28"/>
          <w:sz w:val="28"/>
          <w:szCs w:val="28"/>
          <w:rtl w:val="true"/>
          <w:lang w:bidi="fa-IR"/>
        </w:rPr>
        <w:t>عبادت در شرع به معناى انجام نهايت خضوع قلبى و قالبى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عبادت دو نوع است؛ قلبى و قالبى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قلبى آن، اعتقاد به ربوبيت يا خصيصه‌اى از خصائص آن است؛ مثل استقلال در نفع و ضرر</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قالبى آن، انجام انواع خضوع ظاهرى؛ اعم از قيام، ركوع، سجود و غير اين اعمال است همراه با اعتقاد قلبى به ربوبيت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هرگاه كسى اين اعمال قالبى را بدون اعتقاد قلبى به ربوبيت انجام دهد، شرعاً عبادت محسوب نمى‌شود گرچه آن عمل قالبى سجود باشد </w:t>
      </w:r>
      <w:r>
        <w:rPr>
          <w:rFonts w:eastAsia="IRNazanin" w:cs="IRNazanin"/>
          <w:color w:val="111111"/>
          <w:sz w:val="28"/>
          <w:szCs w:val="28"/>
          <w:rtl w:val="true"/>
          <w:lang w:bidi="fa-IR"/>
        </w:rPr>
        <w:t>...</w:t>
      </w:r>
      <w:bookmarkStart w:id="93" w:name="pg1706_17406"/>
    </w:p>
    <w:p>
      <w:pPr>
        <w:pStyle w:val="BookText"/>
        <w:rPr/>
      </w:pPr>
      <w:bookmarkEnd w:id="93"/>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و شاهد اين برداشت، سجده ملائكه بر آدم و سجده يعقوب و فرزندانش در برابر يوسف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بن فرحان مالكى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الإعتراف الّتي إعترف بها المشركون قد أجاب عنها بعض العلمآء، وذكروا أنّ المشركين إنّما إعترفوا بها من باب الإفحام والإنقطاع، وليس من باب الإقتناع، ولو كانوا صادقين في إعترافهم لأتوا بلوازم هذا الإعتراف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يأمر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يذكّرهم بلوازم هذا الإعتراف كما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أفلا تتقون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أفلا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الله عزّ وجلّ يوبّخهم بأنّهم كاذبون وأنّهم لايؤمنون بالله عزّ وجلّ خالقاً ورازقاً </w:t>
      </w:r>
      <w:r>
        <w:rPr>
          <w:rFonts w:eastAsia="Amiri" w:cs="Amiri" w:ascii="Amiri" w:hAnsi="Amiri"/>
          <w:color w:val="111111"/>
          <w:sz w:val="28"/>
          <w:szCs w:val="28"/>
          <w:rtl w:val="true"/>
          <w:lang w:bidi="ar-SA"/>
        </w:rPr>
        <w:t xml:space="preserve">... </w:t>
      </w:r>
      <w:r>
        <w:rPr>
          <w:rStyle w:val="FootnoteAnchor"/>
          <w:rtl w:val="true"/>
        </w:rPr>
        <w:footnoteReference w:id="35"/>
      </w:r>
      <w:r>
        <w:rPr>
          <w:rFonts w:ascii="IRNazanin" w:hAnsi="IRNazanin" w:eastAsia="IRNazanin"/>
          <w:color w:val="111111"/>
          <w:sz w:val="28"/>
          <w:sz w:val="28"/>
          <w:szCs w:val="28"/>
          <w:rtl w:val="true"/>
          <w:lang w:bidi="fa-IR"/>
        </w:rPr>
        <w:t>اين اعترافى كه مشركان به آن اقرار كرده‌اند را برخى از علما از آن اين‌گونه جواب داده‌اند كه مشركان اين اعتراف را از باب اجبار و سيه رو شدن و از روى ناچارى داشتند، نه از باب قانع شدن و رسيدن به اين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اعترافشان به اين امور صادق بودند، ملتزم به لوازم آن نيز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است كه خداوند پيامبرش را امر مى‌كند كه آنان را به لوازم اين اعتراف تذكر دهد؛ همان‌گونه كه در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 تذكّرون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گويا خداوند عزّوجلّ آنان را توبيخ مى‌كند كه در ادّعايشان دروغ مى‌گويند و هرگز به خالقيت و رازقيت خدا ايمان ندارند</w:t>
      </w:r>
      <w:r>
        <w:rPr>
          <w:rFonts w:eastAsia="IRNazanin" w:cs="IRNazanin"/>
          <w:color w:val="111111"/>
          <w:sz w:val="28"/>
          <w:szCs w:val="28"/>
          <w:rtl w:val="true"/>
          <w:lang w:bidi="fa-IR"/>
        </w:rPr>
        <w:t>.</w:t>
      </w:r>
    </w:p>
    <w:p>
      <w:pPr>
        <w:pStyle w:val="Heading3"/>
        <w:numPr>
          <w:ilvl w:val="2"/>
          <w:numId w:val="1"/>
        </w:numPr>
        <w:rPr/>
      </w:pPr>
      <w:bookmarkStart w:id="94" w:name="__RefHeading___Toc1588389_3650668749"/>
      <w:bookmarkStart w:id="95" w:name="_Toc36"/>
      <w:bookmarkEnd w:id="94"/>
      <w:r>
        <w:rPr>
          <w:rtl w:val="true"/>
        </w:rPr>
        <w:t>گستره تكفير نزد محمد بن عبدالوهاب‌</w:t>
      </w:r>
      <w:bookmarkEnd w:id="9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6" w:name="__RefHeading___Toc1588391_3650668749"/>
      <w:bookmarkStart w:id="97" w:name="_Toc37"/>
      <w:bookmarkEnd w:id="96"/>
      <w:r>
        <w:rPr>
          <w:rtl w:val="true"/>
        </w:rPr>
        <w:t>اشاره</w:t>
      </w:r>
      <w:bookmarkStart w:id="98" w:name="pg1706_17407"/>
      <w:bookmarkEnd w:id="97"/>
    </w:p>
    <w:p>
      <w:pPr>
        <w:pStyle w:val="BookText"/>
        <w:rPr/>
      </w:pPr>
      <w:bookmarkEnd w:id="98"/>
      <w:r>
        <w:rPr>
          <w:rFonts w:ascii="IRNazanin" w:hAnsi="IRNazanin" w:eastAsia="IRNazanin"/>
          <w:color w:val="111111"/>
          <w:sz w:val="28"/>
          <w:sz w:val="28"/>
          <w:szCs w:val="28"/>
          <w:rtl w:val="true"/>
          <w:lang w:bidi="fa-IR"/>
        </w:rPr>
        <w:t>محمد بن عبدالوهاب مسلمانان را با تعبيرات گوناگون تكفير مى‌كرده است و تكفيرهاى او را مى‌توان در چهار دسته خلاصه نمود</w:t>
      </w:r>
      <w:r>
        <w:rPr>
          <w:rFonts w:eastAsia="IRNazanin" w:cs="IRNazanin"/>
          <w:color w:val="111111"/>
          <w:sz w:val="28"/>
          <w:szCs w:val="28"/>
          <w:rtl w:val="true"/>
          <w:lang w:bidi="fa-IR"/>
        </w:rPr>
        <w:t>:</w:t>
      </w:r>
    </w:p>
    <w:p>
      <w:pPr>
        <w:pStyle w:val="Heading4"/>
        <w:numPr>
          <w:ilvl w:val="3"/>
          <w:numId w:val="1"/>
        </w:numPr>
        <w:rPr/>
      </w:pPr>
      <w:bookmarkStart w:id="99" w:name="__RefHeading___Toc1588393_3650668749"/>
      <w:bookmarkStart w:id="100" w:name="_Toc38"/>
      <w:bookmarkEnd w:id="99"/>
      <w:r>
        <w:rPr/>
        <w:t>1</w:t>
      </w:r>
      <w:r>
        <w:rPr>
          <w:rtl w:val="true"/>
        </w:rPr>
        <w:t xml:space="preserve">. </w:t>
      </w:r>
      <w:r>
        <w:rPr>
          <w:rtl w:val="true"/>
        </w:rPr>
        <w:t>تكفير اهالى مناطق‌</w:t>
      </w:r>
      <w:bookmarkEnd w:id="100"/>
    </w:p>
    <w:p>
      <w:pPr>
        <w:pStyle w:val="Heading5"/>
        <w:numPr>
          <w:ilvl w:val="4"/>
          <w:numId w:val="1"/>
        </w:numPr>
        <w:rPr/>
      </w:pPr>
      <w:bookmarkStart w:id="101" w:name="__RefHeading___Toc1588395_3650668749"/>
      <w:bookmarkStart w:id="102" w:name="_Toc39"/>
      <w:bookmarkEnd w:id="101"/>
      <w:r>
        <w:rPr>
          <w:rtl w:val="true"/>
        </w:rPr>
        <w:t>الف</w:t>
      </w:r>
      <w:r>
        <w:rPr>
          <w:rtl w:val="true"/>
        </w:rPr>
        <w:t xml:space="preserve">) </w:t>
      </w:r>
      <w:r>
        <w:rPr>
          <w:rtl w:val="true"/>
        </w:rPr>
        <w:t>تكفير اهالى تمام مناطق‌</w:t>
      </w:r>
      <w:bookmarkEnd w:id="102"/>
    </w:p>
    <w:p>
      <w:pPr>
        <w:pStyle w:val="BookText"/>
        <w:rPr/>
      </w:pPr>
      <w:r>
        <w:rPr>
          <w:rFonts w:ascii="IRNazanin" w:hAnsi="IRNazanin" w:eastAsia="IRNazanin"/>
          <w:color w:val="111111"/>
          <w:sz w:val="28"/>
          <w:sz w:val="28"/>
          <w:szCs w:val="28"/>
          <w:rtl w:val="true"/>
          <w:lang w:bidi="fa-IR"/>
        </w:rPr>
        <w:t>اعتقاد محمّد بن عبدالوهاب اين بود كه هر كشور و شهرى كه داخل در اطاعت و دعوت او نشود، در زمره بلاد مشركين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شهرى را در اين جهت استثنا نكرده است</w:t>
      </w:r>
      <w:r>
        <w:rPr>
          <w:rFonts w:eastAsia="IRNazanin" w:cs="IRNazanin"/>
          <w:color w:val="111111"/>
          <w:sz w:val="28"/>
          <w:szCs w:val="28"/>
          <w:rtl w:val="true"/>
          <w:lang w:bidi="fa-IR"/>
        </w:rPr>
        <w:t xml:space="preserve">. </w:t>
      </w:r>
      <w:r>
        <w:rPr>
          <w:rStyle w:val="FootnoteAnchor"/>
          <w:rtl w:val="true"/>
        </w:rPr>
        <w:footnoteReference w:id="36"/>
      </w:r>
    </w:p>
    <w:p>
      <w:pPr>
        <w:pStyle w:val="Heading5"/>
        <w:numPr>
          <w:ilvl w:val="4"/>
          <w:numId w:val="1"/>
        </w:numPr>
        <w:rPr/>
      </w:pPr>
      <w:bookmarkStart w:id="103" w:name="__RefHeading___Toc1588397_3650668749"/>
      <w:bookmarkStart w:id="104" w:name="_Toc40"/>
      <w:bookmarkEnd w:id="103"/>
      <w:r>
        <w:rPr>
          <w:rtl w:val="true"/>
        </w:rPr>
        <w:t>ب</w:t>
      </w:r>
      <w:r>
        <w:rPr>
          <w:rtl w:val="true"/>
        </w:rPr>
        <w:t xml:space="preserve">) </w:t>
      </w:r>
      <w:r>
        <w:rPr>
          <w:rtl w:val="true"/>
        </w:rPr>
        <w:t>تكفير اهالى برخى مناطق‌</w:t>
      </w:r>
      <w:bookmarkEnd w:id="104"/>
    </w:p>
    <w:p>
      <w:pPr>
        <w:pStyle w:val="BookText"/>
        <w:rPr/>
      </w:pPr>
      <w:r>
        <w:rPr>
          <w:rFonts w:ascii="Amiri" w:hAnsi="Amiri" w:eastAsia="Amiri" w:cs="Amiri"/>
          <w:color w:val="111111"/>
          <w:sz w:val="28"/>
          <w:sz w:val="28"/>
          <w:szCs w:val="28"/>
          <w:rtl w:val="true"/>
          <w:lang w:bidi="ar-SA"/>
        </w:rPr>
        <w:t>محمّد بن عبدالوهاب برخى از مناطق را به طور خصوص اسم برده و تكفير كرده است؛ از 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ى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كافرتر از يهود و نصارا هستند و به اندازه مويى از اسلام نزد آنان نيست؛ گرچه به شهادتين تكلم نمايند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تمام اهالى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علما و عوام آن را تكفير كرده است</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 تمام اهالى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نيز؛ اعم از علما و عوام، تكفير كرده است</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الأحسآء في زمانه يعبدون الأصنام</w:t>
      </w:r>
      <w:r>
        <w:rPr>
          <w:rFonts w:eastAsia="IRNazanin" w:cs="IRNazanin"/>
          <w:color w:val="111111"/>
          <w:sz w:val="28"/>
          <w:szCs w:val="28"/>
          <w:rtl w:val="true"/>
          <w:lang w:bidi="fa-IR"/>
        </w:rPr>
        <w:t xml:space="preserve">»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احساء در زمان خودش بت‌ها را مى‌پرستند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درباره اهالى اين قبيله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لايؤمنون بالبعث</w:t>
      </w:r>
      <w:r>
        <w:rPr>
          <w:rFonts w:eastAsia="IRNazanin" w:cs="IRNazanin"/>
          <w:color w:val="111111"/>
          <w:sz w:val="28"/>
          <w:szCs w:val="28"/>
          <w:rtl w:val="true"/>
          <w:lang w:bidi="fa-IR"/>
        </w:rPr>
        <w:t xml:space="preserve">» </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به قيامت ايمان نمى‌آورند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درباره آنان نيز همين تعبير را به كار برده است</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هفت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عيينه و درعيه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ابن سحيم و همه پيروانش از اهالى عيينه و درعيه را كه از معارضين او و افكارش بودند، تكفير كرده است</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تكفير اهل مكه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اهل مكه را تكفير كرده و مى‌گويد</w:t>
      </w:r>
      <w:r>
        <w:rPr>
          <w:rFonts w:eastAsia="IRNazanin" w:cs="IRNazanin"/>
          <w:color w:val="111111"/>
          <w:sz w:val="28"/>
          <w:szCs w:val="28"/>
          <w:rtl w:val="true"/>
          <w:lang w:bidi="fa-IR"/>
        </w:rPr>
        <w:t>:</w:t>
      </w:r>
      <w:bookmarkStart w:id="105" w:name="pg1706_17409"/>
    </w:p>
    <w:p>
      <w:pPr>
        <w:pStyle w:val="BookText"/>
        <w:rPr/>
      </w:pPr>
      <w:bookmarkEnd w:id="105"/>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إنّ دينهم هو الّذي بعث رسول الله بالإنذار عنه</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همانا دين اهالى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معاصرين او تا زمان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دينى است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مبعوث به ترساندن مردم از آن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بت‌پرستى به اهالى نجد</w:t>
      </w:r>
    </w:p>
    <w:p>
      <w:pPr>
        <w:pStyle w:val="BookText"/>
        <w:rPr/>
      </w:pPr>
      <w:r>
        <w:rPr>
          <w:rFonts w:ascii="IRNazanin" w:hAnsi="IRNazanin" w:eastAsia="IRNazanin"/>
          <w:color w:val="111111"/>
          <w:sz w:val="28"/>
          <w:sz w:val="28"/>
          <w:szCs w:val="28"/>
          <w:rtl w:val="true"/>
          <w:lang w:bidi="fa-IR"/>
        </w:rPr>
        <w:t>وى مدّعى است كه در هر منطقه‌اى از مناطق نجد در زمانش بتى است كه مردم به جاى خداوند آن را مى‌پرستند</w:t>
      </w:r>
      <w:r>
        <w:rPr>
          <w:rFonts w:eastAsia="IRNazanin" w:cs="IRNazanin"/>
          <w:color w:val="111111"/>
          <w:sz w:val="28"/>
          <w:szCs w:val="28"/>
          <w:rtl w:val="true"/>
          <w:lang w:bidi="fa-IR"/>
        </w:rPr>
        <w:t xml:space="preserve">. </w:t>
      </w:r>
      <w:r>
        <w:rPr>
          <w:rStyle w:val="FootnoteAnchor"/>
          <w:rtl w:val="true"/>
        </w:rPr>
        <w:footnoteReference w:id="45"/>
      </w:r>
    </w:p>
    <w:p>
      <w:pPr>
        <w:pStyle w:val="Heading4"/>
        <w:numPr>
          <w:ilvl w:val="3"/>
          <w:numId w:val="1"/>
        </w:numPr>
        <w:rPr/>
      </w:pPr>
      <w:bookmarkStart w:id="106" w:name="__RefHeading___Toc1588399_3650668749"/>
      <w:bookmarkStart w:id="107" w:name="_Toc41"/>
      <w:bookmarkEnd w:id="106"/>
      <w:r>
        <w:rPr/>
        <w:t>2</w:t>
      </w:r>
      <w:r>
        <w:rPr>
          <w:rtl w:val="true"/>
        </w:rPr>
        <w:t xml:space="preserve">. </w:t>
      </w:r>
      <w:r>
        <w:rPr>
          <w:rtl w:val="true"/>
        </w:rPr>
        <w:t>تكفير پيروان مذاهب‌</w:t>
      </w:r>
      <w:bookmarkEnd w:id="107"/>
    </w:p>
    <w:p>
      <w:pPr>
        <w:pStyle w:val="Heading5"/>
        <w:numPr>
          <w:ilvl w:val="4"/>
          <w:numId w:val="1"/>
        </w:numPr>
        <w:rPr/>
      </w:pPr>
      <w:bookmarkStart w:id="108" w:name="__RefHeading___Toc1588401_3650668749"/>
      <w:bookmarkStart w:id="109" w:name="_Toc42"/>
      <w:bookmarkEnd w:id="108"/>
      <w:r>
        <w:rPr>
          <w:rtl w:val="true"/>
        </w:rPr>
        <w:t>الف</w:t>
      </w:r>
      <w:r>
        <w:rPr>
          <w:rtl w:val="true"/>
        </w:rPr>
        <w:t xml:space="preserve">) </w:t>
      </w:r>
      <w:r>
        <w:rPr>
          <w:rtl w:val="true"/>
        </w:rPr>
        <w:t>تكفير اماميه‌</w:t>
      </w:r>
      <w:bookmarkEnd w:id="109"/>
    </w:p>
    <w:p>
      <w:pPr>
        <w:pStyle w:val="BookText"/>
        <w:rPr/>
      </w:pPr>
      <w:r>
        <w:rPr>
          <w:rFonts w:ascii="IRNazanin" w:hAnsi="IRNazanin" w:eastAsia="IRNazanin"/>
          <w:color w:val="111111"/>
          <w:sz w:val="28"/>
          <w:sz w:val="28"/>
          <w:szCs w:val="28"/>
          <w:rtl w:val="true"/>
          <w:lang w:bidi="fa-IR"/>
        </w:rPr>
        <w:t>او اماميه را تكفير كرده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شكّ في كفرهم فهو كافر</w:t>
      </w:r>
      <w:r>
        <w:rPr>
          <w:rFonts w:eastAsia="IRNazanin" w:cs="IRNazanin"/>
          <w:color w:val="111111"/>
          <w:sz w:val="28"/>
          <w:szCs w:val="28"/>
          <w:rtl w:val="true"/>
          <w:lang w:bidi="fa-IR"/>
        </w:rPr>
        <w:t xml:space="preserve">» </w:t>
      </w:r>
      <w:r>
        <w:rPr>
          <w:rStyle w:val="FootnoteAnchor"/>
          <w:rtl w:val="true"/>
        </w:rPr>
        <w:footnoteReference w:id="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 كس در كفر آنان شك كند، خودش كافر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عبدالوهاب اين مطلب را از مقدسى نقل كرده و آن را قبول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ابن تيميه به طور صريح اماميه را تنها گروه مسلمان بدعت‌گذار معرفى كرده امّا آنان را كافر ندانسته است، ولى محمّد بن عبدالوهاب نه تنها اماميه را كافر مى‌داند بلكه تمام مسلمين مخالف با عقايد خودش را؛ از قبيل اشاعره و ديگران و نيز علما و قضات از اتباع مذاهب اربعه را كافر مى‌پندارد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0" w:name="__RefHeading___Toc1588403_3650668749"/>
      <w:bookmarkStart w:id="111" w:name="_Toc43"/>
      <w:bookmarkEnd w:id="110"/>
      <w:r>
        <w:rPr>
          <w:rtl w:val="true"/>
        </w:rPr>
        <w:t>ب</w:t>
      </w:r>
      <w:r>
        <w:rPr>
          <w:rtl w:val="true"/>
        </w:rPr>
        <w:t xml:space="preserve">) </w:t>
      </w:r>
      <w:r>
        <w:rPr>
          <w:rtl w:val="true"/>
        </w:rPr>
        <w:t>نسبت شرك به علم فقه و فقها</w:t>
      </w:r>
      <w:bookmarkStart w:id="112" w:name="pg1706_17410"/>
      <w:bookmarkEnd w:id="111"/>
    </w:p>
    <w:p>
      <w:pPr>
        <w:pStyle w:val="BookText"/>
        <w:rPr/>
      </w:pPr>
      <w:bookmarkEnd w:id="112"/>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محمّد بن عبدالوهاب در نامه خود خطاب به ابن عيسى كه بر او احتجاج كرده بود كه فقها غير از آن چيزى كه او فهميده، معتقدند اين آيه را در جواب او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أَحْبارَهُمْ وَ رُهْبانَهُمْ أَرْباباً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فسّرها رسول الله والأئمّة من بعده بهذا الّذي تسمونه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سمّاه الله شركاً واتخاذهم أرباباً لا أعلم بين المفسرين خلافاً في ذلك </w:t>
      </w:r>
      <w:r>
        <w:rPr>
          <w:rFonts w:eastAsia="Amiri" w:cs="Amiri" w:ascii="Amiri" w:hAnsi="Amiri"/>
          <w:color w:val="111111"/>
          <w:sz w:val="28"/>
          <w:szCs w:val="28"/>
          <w:rtl w:val="true"/>
          <w:lang w:bidi="ar-SA"/>
        </w:rPr>
        <w:t xml:space="preserve">... </w:t>
      </w:r>
      <w:r>
        <w:rPr>
          <w:rStyle w:val="FootnoteAnchor"/>
          <w:rtl w:val="true"/>
        </w:rPr>
        <w:footnoteReference w:id="47"/>
      </w:r>
      <w:r>
        <w:rPr>
          <w:rFonts w:ascii="IRNazanin" w:hAnsi="IRNazanin" w:eastAsia="IRNazanin"/>
          <w:color w:val="111111"/>
          <w:sz w:val="28"/>
          <w:sz w:val="28"/>
          <w:szCs w:val="28"/>
          <w:rtl w:val="true"/>
          <w:lang w:bidi="fa-IR"/>
        </w:rPr>
        <w:t>اين آيه را رسول خدا و امامان بعد از او به همين چيزى كه شما اسم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گذاشته‌ايد، تفسير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فقه است كه خداوند آن را شرك ناميده و دنبال كردن آن را برگزيدن ربى غير از خدا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خلافى در اين معنا بين مفسرين نمى‌دانم </w:t>
      </w:r>
      <w:r>
        <w:rPr>
          <w:rFonts w:eastAsia="IRNazanin" w:cs="IRNazanin"/>
          <w:color w:val="111111"/>
          <w:sz w:val="28"/>
          <w:szCs w:val="28"/>
          <w:rtl w:val="true"/>
          <w:lang w:bidi="fa-IR"/>
        </w:rPr>
        <w:t>...</w:t>
      </w:r>
    </w:p>
    <w:p>
      <w:pPr>
        <w:pStyle w:val="Heading5"/>
        <w:numPr>
          <w:ilvl w:val="4"/>
          <w:numId w:val="1"/>
        </w:numPr>
        <w:rPr/>
      </w:pPr>
      <w:bookmarkStart w:id="113" w:name="__RefHeading___Toc1588405_3650668749"/>
      <w:bookmarkStart w:id="114" w:name="_Toc44"/>
      <w:bookmarkEnd w:id="113"/>
      <w:r>
        <w:rPr>
          <w:rtl w:val="true"/>
        </w:rPr>
        <w:t>ج</w:t>
      </w:r>
      <w:r>
        <w:rPr>
          <w:rtl w:val="true"/>
        </w:rPr>
        <w:t xml:space="preserve">) </w:t>
      </w:r>
      <w:r>
        <w:rPr>
          <w:rtl w:val="true"/>
        </w:rPr>
        <w:t>تكفير متكلمين‌</w:t>
      </w:r>
      <w:bookmarkEnd w:id="11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عبدالوهاب، ادّعاى اجماع بر تكفير متكلمين كرده است</w:t>
      </w:r>
      <w:r>
        <w:rPr>
          <w:rFonts w:eastAsia="Amiri" w:cs="Amiri" w:ascii="Amiri" w:hAnsi="Amiri"/>
          <w:color w:val="111111"/>
          <w:sz w:val="28"/>
          <w:szCs w:val="28"/>
          <w:rtl w:val="true"/>
          <w:lang w:bidi="ar-SA"/>
        </w:rPr>
        <w:t xml:space="preserve">. </w:t>
      </w:r>
      <w:r>
        <w:rPr>
          <w:rStyle w:val="FootnoteAnchor"/>
          <w:rtl w:val="true"/>
        </w:rPr>
        <w:footnoteReference w:id="48"/>
      </w:r>
      <w:r>
        <w:rPr>
          <w:rFonts w:ascii="IRNazanin" w:hAnsi="IRNazanin" w:eastAsia="IRNazanin"/>
          <w:color w:val="111111"/>
          <w:sz w:val="28"/>
          <w:sz w:val="28"/>
          <w:szCs w:val="28"/>
          <w:rtl w:val="true"/>
          <w:lang w:bidi="fa-IR"/>
        </w:rPr>
        <w:t>و از ظاهر كلام او همين متكلمين اسلامى استفاده مى‌شود، نه متكلمان از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ذهبى و دارقطنى و بيهقى و ديگران نسبت داده كه آنان نيز متكلمين را تكفير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اگر انسان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را مطالعه كند پى مى‌برد كه چه بسيارى از متكلمين اسلامى را كه ترجمه كرده و شرح حال آنان را ذكر كرده است، بدون آنكه به</w:t>
      </w:r>
      <w:bookmarkStart w:id="115" w:name="pg1706_17411"/>
    </w:p>
    <w:p>
      <w:pPr>
        <w:pStyle w:val="BookText"/>
        <w:rPr/>
      </w:pPr>
      <w:bookmarkEnd w:id="115"/>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كفر يكى از آنها اشاره كرده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از برخى فرقه‌هاى كلامى، خطا و لغزش‌هايى ديده شده، ولى نمى‌توان همه آنان را به كفر متّهم كرد</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1588407_3650668749"/>
      <w:bookmarkStart w:id="117" w:name="_Toc45"/>
      <w:bookmarkEnd w:id="116"/>
      <w:r>
        <w:rPr/>
        <w:t>3</w:t>
      </w:r>
      <w:r>
        <w:rPr>
          <w:rtl w:val="true"/>
        </w:rPr>
        <w:t xml:space="preserve">. </w:t>
      </w:r>
      <w:r>
        <w:rPr>
          <w:rtl w:val="true"/>
        </w:rPr>
        <w:t>تكفير علماى پيشين و معاصران خود</w:t>
      </w:r>
      <w:bookmarkEnd w:id="117"/>
    </w:p>
    <w:p>
      <w:pPr>
        <w:pStyle w:val="Heading5"/>
        <w:numPr>
          <w:ilvl w:val="4"/>
          <w:numId w:val="1"/>
        </w:numPr>
        <w:rPr/>
      </w:pPr>
      <w:bookmarkStart w:id="118" w:name="__RefHeading___Toc1588409_3650668749"/>
      <w:bookmarkStart w:id="119" w:name="_Toc46"/>
      <w:bookmarkEnd w:id="118"/>
      <w:r>
        <w:rPr>
          <w:rtl w:val="true"/>
        </w:rPr>
        <w:t>الف</w:t>
      </w:r>
      <w:r>
        <w:rPr>
          <w:rtl w:val="true"/>
        </w:rPr>
        <w:t xml:space="preserve">) </w:t>
      </w:r>
      <w:r>
        <w:rPr>
          <w:rtl w:val="true"/>
        </w:rPr>
        <w:t>نسبت شرك به علماى اسلام‌</w:t>
      </w:r>
      <w:bookmarkEnd w:id="119"/>
    </w:p>
    <w:p>
      <w:pPr>
        <w:pStyle w:val="BookText"/>
        <w:rPr/>
      </w:pPr>
      <w:r>
        <w:rPr>
          <w:rFonts w:ascii="IRNazanin" w:hAnsi="IRNazanin" w:eastAsia="IRNazanin"/>
          <w:color w:val="111111"/>
          <w:sz w:val="28"/>
          <w:sz w:val="28"/>
          <w:szCs w:val="28"/>
          <w:rtl w:val="true"/>
          <w:lang w:bidi="fa-IR"/>
        </w:rPr>
        <w:t>او در جايى ديگر علماى اسلام و مشايخ و اساتيد آنان را مورد خطاب قرار داده 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يميّزوا بين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ودين عمرو بن لحي الّذي وضعه للعرب، بل دين عمرو عندهم دين صحيح</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آنان بين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دين عمرو بن لحى كه براى عرب آن را وضع كرد، تمييز نداده‌اند؛ بلكه دين عمرو نزد آنان دين صحيحى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اينكه عمرو بن لحى كيست، به قصّه‌اى كه ابن هشام نقل مى‌كند گوش فرا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اوّلين كسى كه بت‌پرستى را به مكه و اطراف آن وارد كرد عمرو بن لحى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سفرى كه به بلقاء از اراضى شام داشت، مردمانى را ديد كه بت‌ها را عبادت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عمل سؤال نمود، در جواب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بت‌هايى است كه آنها را عبادت مى‌كنيم و هرگاه از آنان باران و نصرت مى‌خواهيم به ما باران داده و ما را يارى مى‌كنند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لحى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اين بتان به ما نمى‌دهيد تا با خود</w:t>
      </w:r>
      <w:bookmarkStart w:id="120" w:name="pg1706_17412"/>
    </w:p>
    <w:p>
      <w:pPr>
        <w:pStyle w:val="BookText"/>
        <w:rPr/>
      </w:pPr>
      <w:bookmarkEnd w:id="120"/>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به سرزمين عرب برده و آنها را عبادت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خود بت بزرگى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و به مكه آورد و آن را بر پشت بام كعبه قرار داد و مردم را نيز به عبادت آن دعوت كرد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عبارت محمّد بن عبدالوهاب دلالت بر تكفير صريح علماى مسلمين و حتى شيوخ و اساتيد خود دارد، تا چه رسد به عوام مردم؛ يعنى هر كس كه در باب توحيد خلاف آنچه را كه او فهميده بگويد و به آن معتقد باشد كافر است و بر دين عمرو بن لحى بوده نه بر دين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كفرى را كه به عموم مسلمانان و علمايشان نسبت داده به جهت اعتقاد به تبرّك و استغاثه به ارواح اولياى الهى و برخى ديگر از عقايد است</w:t>
      </w:r>
      <w:r>
        <w:rPr>
          <w:rFonts w:eastAsia="IRNazanin" w:cs="IRNazanin"/>
          <w:color w:val="111111"/>
          <w:sz w:val="28"/>
          <w:szCs w:val="28"/>
          <w:rtl w:val="true"/>
          <w:lang w:bidi="fa-IR"/>
        </w:rPr>
        <w:t>.</w:t>
      </w:r>
    </w:p>
    <w:p>
      <w:pPr>
        <w:pStyle w:val="Heading5"/>
        <w:numPr>
          <w:ilvl w:val="4"/>
          <w:numId w:val="1"/>
        </w:numPr>
        <w:rPr/>
      </w:pPr>
      <w:bookmarkStart w:id="121" w:name="__RefHeading___Toc1588411_3650668749"/>
      <w:bookmarkStart w:id="122" w:name="_Toc47"/>
      <w:bookmarkEnd w:id="121"/>
      <w:r>
        <w:rPr>
          <w:rtl w:val="true"/>
        </w:rPr>
        <w:t>ب</w:t>
      </w:r>
      <w:r>
        <w:rPr>
          <w:rtl w:val="true"/>
        </w:rPr>
        <w:t xml:space="preserve">) </w:t>
      </w:r>
      <w:r>
        <w:rPr>
          <w:rtl w:val="true"/>
        </w:rPr>
        <w:t>تكفير سليمان بن سحيم‌</w:t>
      </w:r>
      <w:bookmarkEnd w:id="122"/>
    </w:p>
    <w:p>
      <w:pPr>
        <w:pStyle w:val="BookText"/>
        <w:rPr/>
      </w:pPr>
      <w:r>
        <w:rPr>
          <w:rFonts w:ascii="IRNazanin" w:hAnsi="IRNazanin" w:eastAsia="IRNazanin"/>
          <w:color w:val="111111"/>
          <w:sz w:val="28"/>
          <w:sz w:val="28"/>
          <w:szCs w:val="28"/>
          <w:rtl w:val="true"/>
          <w:lang w:bidi="fa-IR"/>
        </w:rPr>
        <w:t>محمّد بن عبدالوهاب در نامه خود خطاب به شيخ سليمان بن سحيم كه يكى از حنابله بوده و مقلّد ابن تيميه به حساب مى‌آمده است مى‌گويد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نذكر لك انّك أنت وأباك مصرّحون بالكفر والشرك والنفاق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وأبوك مجتهدان في عداوة هذا الدين ليلا ونهاراً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رجل معاند ضالّ علي علم، مختار الكفر علي الاسلام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كتابكم فيه كفركم</w:t>
      </w:r>
      <w:r>
        <w:rPr>
          <w:rFonts w:eastAsia="Amiri" w:cs="Amiri" w:ascii="Amiri" w:hAnsi="Amiri"/>
          <w:color w:val="111111"/>
          <w:sz w:val="28"/>
          <w:szCs w:val="28"/>
          <w:rtl w:val="true"/>
          <w:lang w:bidi="ar-SA"/>
        </w:rPr>
        <w:t xml:space="preserve">!! </w:t>
      </w:r>
      <w:r>
        <w:rPr>
          <w:rStyle w:val="FootnoteAnchor"/>
          <w:rtl w:val="true"/>
        </w:rPr>
        <w:footnoteReference w:id="51"/>
      </w:r>
      <w:r>
        <w:rPr>
          <w:rFonts w:ascii="IRNazanin" w:hAnsi="IRNazanin" w:eastAsia="IRNazanin"/>
          <w:color w:val="111111"/>
          <w:sz w:val="28"/>
          <w:sz w:val="28"/>
          <w:szCs w:val="28"/>
          <w:rtl w:val="true"/>
          <w:lang w:bidi="fa-IR"/>
        </w:rPr>
        <w:t>من به تو تذكّر مى‌دهم كه به طور حتم تو و پدرت تصريح به كفر</w:t>
      </w:r>
      <w:bookmarkStart w:id="123" w:name="pg1706_17413"/>
    </w:p>
    <w:p>
      <w:pPr>
        <w:pStyle w:val="BookText"/>
        <w:rPr/>
      </w:pPr>
      <w:bookmarkEnd w:id="123"/>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و شرك و نفاق كرده‌ايد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و پدرت شبانه روز نهايت كوشش را در دشمنى اين دين داريد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تو با علمى كه دارى مردى معاند و گمراه مى‌باشى، و كفر را بر اسلام اختيار نموده‌اى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است نوشته‌ات كه كفر شما را ثابت مى‌كند</w:t>
      </w:r>
      <w:r>
        <w:rPr>
          <w:rFonts w:eastAsia="IRNazanin" w:cs="IRNazanin"/>
          <w:color w:val="111111"/>
          <w:sz w:val="28"/>
          <w:szCs w:val="28"/>
          <w:rtl w:val="true"/>
          <w:lang w:bidi="fa-IR"/>
        </w:rPr>
        <w:t>!!</w:t>
      </w:r>
    </w:p>
    <w:p>
      <w:pPr>
        <w:pStyle w:val="Heading5"/>
        <w:numPr>
          <w:ilvl w:val="4"/>
          <w:numId w:val="1"/>
        </w:numPr>
        <w:rPr/>
      </w:pPr>
      <w:bookmarkStart w:id="124" w:name="__RefHeading___Toc1588413_3650668749"/>
      <w:bookmarkStart w:id="125" w:name="_Toc48"/>
      <w:bookmarkEnd w:id="124"/>
      <w:r>
        <w:rPr>
          <w:rtl w:val="true"/>
        </w:rPr>
        <w:t>ج</w:t>
      </w:r>
      <w:r>
        <w:rPr>
          <w:rtl w:val="true"/>
        </w:rPr>
        <w:t xml:space="preserve">) </w:t>
      </w:r>
      <w:r>
        <w:rPr>
          <w:rtl w:val="true"/>
        </w:rPr>
        <w:t>تكفير احمد بن عبدالكريم‌</w:t>
      </w:r>
      <w:bookmarkEnd w:id="125"/>
    </w:p>
    <w:p>
      <w:pPr>
        <w:pStyle w:val="BookText"/>
        <w:rPr/>
      </w:pPr>
      <w:r>
        <w:rPr>
          <w:rFonts w:ascii="IRNazanin" w:hAnsi="IRNazanin" w:eastAsia="IRNazanin"/>
          <w:color w:val="111111"/>
          <w:sz w:val="28"/>
          <w:sz w:val="28"/>
          <w:szCs w:val="28"/>
          <w:rtl w:val="true"/>
          <w:lang w:bidi="fa-IR"/>
        </w:rPr>
        <w:t>چون احمد بن عبدالكريم با شيخ محمّد بن عبدالوهاب به مخالفت پرداخت، شيخ بر او نامه‌اى فرستاد و در آن چنين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طحت علي ابن غنام وغيره وتبرّأت من ملّة إبراهيم وأشهدتهم علي نفسك باتباع المشركين </w:t>
      </w:r>
      <w:r>
        <w:rPr>
          <w:rFonts w:eastAsia="Amiri" w:cs="Amiri" w:ascii="Amiri" w:hAnsi="Amiri"/>
          <w:color w:val="111111"/>
          <w:sz w:val="28"/>
          <w:szCs w:val="28"/>
          <w:rtl w:val="true"/>
          <w:lang w:bidi="ar-SA"/>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تو ابن غنام و ديگران را گمراه كردى و از ملّت ابراهيم تبرّى جستى و آنان را بر خودت شاهد گرفتى كه پيرو مشركان هستى </w:t>
      </w:r>
      <w:r>
        <w:rPr>
          <w:rFonts w:eastAsia="IRNazanin" w:cs="IRNazanin"/>
          <w:color w:val="111111"/>
          <w:sz w:val="28"/>
          <w:szCs w:val="28"/>
          <w:rtl w:val="true"/>
          <w:lang w:bidi="fa-IR"/>
        </w:rPr>
        <w:t>...</w:t>
      </w:r>
    </w:p>
    <w:p>
      <w:pPr>
        <w:pStyle w:val="Heading5"/>
        <w:numPr>
          <w:ilvl w:val="4"/>
          <w:numId w:val="1"/>
        </w:numPr>
        <w:rPr/>
      </w:pPr>
      <w:bookmarkStart w:id="126" w:name="__RefHeading___Toc1588415_3650668749"/>
      <w:bookmarkStart w:id="127" w:name="_Toc49"/>
      <w:bookmarkEnd w:id="126"/>
      <w:r>
        <w:rPr>
          <w:rtl w:val="true"/>
        </w:rPr>
        <w:t>د</w:t>
      </w:r>
      <w:r>
        <w:rPr>
          <w:rtl w:val="true"/>
        </w:rPr>
        <w:t xml:space="preserve">) </w:t>
      </w:r>
      <w:r>
        <w:rPr>
          <w:rtl w:val="true"/>
        </w:rPr>
        <w:t>تكفير ابن عربى‌</w:t>
      </w:r>
      <w:bookmarkEnd w:id="127"/>
    </w:p>
    <w:p>
      <w:pPr>
        <w:pStyle w:val="BookText"/>
        <w:rPr/>
      </w:pPr>
      <w:r>
        <w:rPr>
          <w:rFonts w:ascii="IRNazanin" w:hAnsi="IRNazanin" w:eastAsia="IRNazanin"/>
          <w:color w:val="111111"/>
          <w:sz w:val="28"/>
          <w:sz w:val="28"/>
          <w:szCs w:val="28"/>
          <w:rtl w:val="true"/>
          <w:lang w:bidi="fa-IR"/>
        </w:rPr>
        <w:t>محمّد بن عبدالوهاب، ابن عربى را تكفير كرده و او را كافرتر از فرعون معرفى كرده است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او را تكفير نكند خودش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در كفر او شك داشته باشد، كافر است</w:t>
      </w:r>
      <w:r>
        <w:rPr>
          <w:rFonts w:eastAsia="IRNazanin" w:cs="IRNazanin"/>
          <w:color w:val="111111"/>
          <w:sz w:val="28"/>
          <w:szCs w:val="28"/>
          <w:rtl w:val="true"/>
          <w:lang w:bidi="fa-IR"/>
        </w:rPr>
        <w:t xml:space="preserve">». </w:t>
      </w:r>
      <w:r>
        <w:rPr>
          <w:rStyle w:val="FootnoteAnchor"/>
          <w:rtl w:val="true"/>
        </w:rPr>
        <w:footnoteReference w:id="53"/>
      </w:r>
    </w:p>
    <w:p>
      <w:pPr>
        <w:pStyle w:val="Heading5"/>
        <w:numPr>
          <w:ilvl w:val="4"/>
          <w:numId w:val="1"/>
        </w:numPr>
        <w:rPr/>
      </w:pPr>
      <w:bookmarkStart w:id="128" w:name="__RefHeading___Toc1588417_3650668749"/>
      <w:bookmarkStart w:id="129" w:name="_Toc50"/>
      <w:bookmarkEnd w:id="128"/>
      <w:r>
        <w:rPr>
          <w:rtl w:val="true"/>
        </w:rPr>
        <w:t>ه</w:t>
      </w:r>
      <w:r>
        <w:rPr>
          <w:rtl w:val="true"/>
        </w:rPr>
        <w:t xml:space="preserve">) </w:t>
      </w:r>
      <w:r>
        <w:rPr>
          <w:rtl w:val="true"/>
        </w:rPr>
        <w:t>تكفير ضمنى فخر رازى‌</w:t>
      </w:r>
      <w:bookmarkEnd w:id="12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عبدالوهاب، فخر رازى صاحب تفسير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التفسير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تكفير كرده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الرازي هذا ألّف كتاباً يحسن فيه</w:t>
      </w:r>
      <w:bookmarkStart w:id="130" w:name="pg1706_17414"/>
    </w:p>
    <w:p>
      <w:pPr>
        <w:pStyle w:val="BookText"/>
        <w:rPr/>
      </w:pPr>
      <w:bookmarkEnd w:id="130"/>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عبادة الكواكب</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رازى كتابى را تأليف كرده و در آن عبادت ستارگانرا خوب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فخر رازى كتابى نوشته كه در آن اشاره به فوايد ستارگان و تأثير آنها بر زراعت‌ها و ديگر اشياء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محمّد بن عبدالوهاب از او چنين معناى نادرستى فهميده است</w:t>
      </w:r>
      <w:r>
        <w:rPr>
          <w:rFonts w:eastAsia="IRNazanin" w:cs="IRNazanin"/>
          <w:color w:val="111111"/>
          <w:sz w:val="28"/>
          <w:szCs w:val="28"/>
          <w:rtl w:val="true"/>
          <w:lang w:bidi="fa-IR"/>
        </w:rPr>
        <w:t>.</w:t>
      </w:r>
    </w:p>
    <w:p>
      <w:pPr>
        <w:pStyle w:val="Heading5"/>
        <w:numPr>
          <w:ilvl w:val="4"/>
          <w:numId w:val="1"/>
        </w:numPr>
        <w:rPr/>
      </w:pPr>
      <w:bookmarkStart w:id="131" w:name="__RefHeading___Toc1588419_3650668749"/>
      <w:bookmarkStart w:id="132" w:name="_Toc51"/>
      <w:bookmarkEnd w:id="131"/>
      <w:r>
        <w:rPr>
          <w:rtl w:val="true"/>
        </w:rPr>
        <w:t>د</w:t>
      </w:r>
      <w:r>
        <w:rPr>
          <w:rtl w:val="true"/>
        </w:rPr>
        <w:t xml:space="preserve">) </w:t>
      </w:r>
      <w:r>
        <w:rPr>
          <w:rtl w:val="true"/>
        </w:rPr>
        <w:t>تكفير ابن عبداللطيف، ابن عفالق و ابن مطلق‌</w:t>
      </w:r>
      <w:bookmarkEnd w:id="132"/>
    </w:p>
    <w:p>
      <w:pPr>
        <w:pStyle w:val="BookText"/>
        <w:rPr/>
      </w:pPr>
      <w:r>
        <w:rPr>
          <w:rFonts w:ascii="IRNazanin" w:hAnsi="IRNazanin" w:eastAsia="IRNazanin"/>
          <w:color w:val="111111"/>
          <w:sz w:val="28"/>
          <w:sz w:val="28"/>
          <w:szCs w:val="28"/>
          <w:rtl w:val="true"/>
          <w:lang w:bidi="fa-IR"/>
        </w:rPr>
        <w:t>محمد بن عبدالوهاب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ابن عبداللطيف وابن عفالق وابن مطلق فسبابة للتوحيد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وابن فيروز هو أقربهم إلي الإسلام</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امّا ابن عبداللطيف و ابن عفالق و ابن مطلق اينان دشنام‌دهنده توحيدند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ابن فيروز از همه آنان به اسلام نزديك‌تر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در حالى است كه خود او اعتراف كرده كه ابن‌فيروز شخصى از حنابله بوده و از پيروان ابن تيميه و ابن قيم جوزيه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جايى ديگر درباره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كافر كفراً أكبر مخرج من الملة</w:t>
      </w:r>
      <w:r>
        <w:rPr>
          <w:rFonts w:eastAsia="IRNazanin" w:cs="IRNazanin"/>
          <w:color w:val="111111"/>
          <w:sz w:val="28"/>
          <w:szCs w:val="28"/>
          <w:rtl w:val="true"/>
          <w:lang w:bidi="fa-IR"/>
        </w:rPr>
        <w:t xml:space="preserve">» </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كفر عظيمى دارد كه او را از ملت اسلام خارج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اگر وضعيت او كه از پيروان ابن تيميه و ابن قيم جوزيه است اين چنين مى‌باشد، حال و وضع علماى ديگر از شيعه و سنى نزد او چگونه است؟ خدا مى‌داند</w:t>
      </w:r>
      <w:r>
        <w:rPr>
          <w:rFonts w:eastAsia="IRNazanin" w:cs="IRNazanin"/>
          <w:color w:val="111111"/>
          <w:sz w:val="28"/>
          <w:szCs w:val="28"/>
          <w:rtl w:val="true"/>
          <w:lang w:bidi="fa-IR"/>
        </w:rPr>
        <w:t>.</w:t>
      </w:r>
    </w:p>
    <w:p>
      <w:pPr>
        <w:pStyle w:val="Heading4"/>
        <w:numPr>
          <w:ilvl w:val="3"/>
          <w:numId w:val="1"/>
        </w:numPr>
        <w:rPr/>
      </w:pPr>
      <w:bookmarkStart w:id="133" w:name="__RefHeading___Toc1588421_3650668749"/>
      <w:bookmarkStart w:id="134" w:name="_Toc52"/>
      <w:bookmarkEnd w:id="133"/>
      <w:r>
        <w:rPr/>
        <w:t>4</w:t>
      </w:r>
      <w:r>
        <w:rPr>
          <w:rtl w:val="true"/>
        </w:rPr>
        <w:t xml:space="preserve">. </w:t>
      </w:r>
      <w:r>
        <w:rPr>
          <w:rtl w:val="true"/>
        </w:rPr>
        <w:t>تكفير مسلمانان‌</w:t>
      </w:r>
      <w:bookmarkEnd w:id="13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35" w:name="__RefHeading___Toc1588423_3650668749"/>
      <w:bookmarkStart w:id="136" w:name="_Toc53"/>
      <w:bookmarkEnd w:id="135"/>
      <w:r>
        <w:rPr>
          <w:rtl w:val="true"/>
        </w:rPr>
        <w:t>الف</w:t>
      </w:r>
      <w:r>
        <w:rPr>
          <w:rtl w:val="true"/>
        </w:rPr>
        <w:t xml:space="preserve">) </w:t>
      </w:r>
      <w:r>
        <w:rPr>
          <w:rtl w:val="true"/>
        </w:rPr>
        <w:t>نسبت انكار معاد به غالب مردم‌</w:t>
      </w:r>
      <w:bookmarkStart w:id="137" w:name="pg1706_17415"/>
      <w:bookmarkEnd w:id="136"/>
    </w:p>
    <w:p>
      <w:pPr>
        <w:pStyle w:val="BookText"/>
        <w:rPr/>
      </w:pPr>
      <w:bookmarkEnd w:id="137"/>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او در جايى ديگر غالب مردم را منكر بعث و قيامت معرفى كرده است</w:t>
      </w:r>
      <w:r>
        <w:rPr>
          <w:rFonts w:eastAsia="IRNazanin" w:cs="IRNazanin"/>
          <w:color w:val="111111"/>
          <w:sz w:val="28"/>
          <w:szCs w:val="28"/>
          <w:rtl w:val="true"/>
          <w:lang w:bidi="fa-IR"/>
        </w:rPr>
        <w:t xml:space="preserve">. </w:t>
      </w:r>
      <w:r>
        <w:rPr>
          <w:rStyle w:val="FootnoteAnchor"/>
          <w:rtl w:val="true"/>
        </w:rPr>
        <w:footnoteReference w:id="57"/>
      </w:r>
    </w:p>
    <w:p>
      <w:pPr>
        <w:pStyle w:val="Heading5"/>
        <w:numPr>
          <w:ilvl w:val="4"/>
          <w:numId w:val="1"/>
        </w:numPr>
        <w:rPr/>
      </w:pPr>
      <w:bookmarkStart w:id="138" w:name="__RefHeading___Toc1588425_3650668749"/>
      <w:bookmarkStart w:id="139" w:name="_Toc54"/>
      <w:bookmarkEnd w:id="138"/>
      <w:r>
        <w:rPr>
          <w:rtl w:val="true"/>
        </w:rPr>
        <w:t>ب</w:t>
      </w:r>
      <w:r>
        <w:rPr>
          <w:rtl w:val="true"/>
        </w:rPr>
        <w:t xml:space="preserve">) </w:t>
      </w:r>
      <w:r>
        <w:rPr>
          <w:rtl w:val="true"/>
        </w:rPr>
        <w:t>تكفير اكثر مسلمانان‌</w:t>
      </w:r>
      <w:bookmarkEnd w:id="139"/>
    </w:p>
    <w:p>
      <w:pPr>
        <w:pStyle w:val="BookText"/>
        <w:rPr/>
      </w:pPr>
      <w:r>
        <w:rPr>
          <w:rFonts w:ascii="IRNazanin" w:hAnsi="IRNazanin" w:eastAsia="IRNazanin"/>
          <w:color w:val="111111"/>
          <w:sz w:val="28"/>
          <w:sz w:val="28"/>
          <w:szCs w:val="28"/>
          <w:rtl w:val="true"/>
          <w:lang w:bidi="fa-IR"/>
        </w:rPr>
        <w:t>محمّد بن عبد الوهاب، در جايى ديگر سواد اعظم؛ يعنى غالب و اكثر مسلمانان را به جهت همراهى نكردن با عقايدش و مخالفت با آن ها، تكفير كرده است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او حتى كسانى كه پيروانش را خوارج ناميده و با دشمنانش همراهى كرده‌اند را تكفير كرده؛ گرچه همگى موحّد بوده باشند، چون دعوت او را انكار مى‌كنند</w:t>
      </w:r>
      <w:r>
        <w:rPr>
          <w:rFonts w:eastAsia="IRNazanin" w:cs="IRNazanin"/>
          <w:color w:val="111111"/>
          <w:sz w:val="28"/>
          <w:szCs w:val="28"/>
          <w:rtl w:val="true"/>
          <w:lang w:bidi="fa-IR"/>
        </w:rPr>
        <w:t xml:space="preserve">. </w:t>
      </w:r>
      <w:r>
        <w:rPr>
          <w:rStyle w:val="FootnoteAnchor"/>
          <w:rtl w:val="true"/>
        </w:rPr>
        <w:footnoteReference w:id="59"/>
      </w:r>
    </w:p>
    <w:p>
      <w:pPr>
        <w:pStyle w:val="Heading5"/>
        <w:numPr>
          <w:ilvl w:val="4"/>
          <w:numId w:val="1"/>
        </w:numPr>
        <w:rPr/>
      </w:pPr>
      <w:bookmarkStart w:id="140" w:name="__RefHeading___Toc1588427_3650668749"/>
      <w:bookmarkStart w:id="141" w:name="_Toc55"/>
      <w:bookmarkEnd w:id="140"/>
      <w:r>
        <w:rPr>
          <w:rtl w:val="true"/>
        </w:rPr>
        <w:t>ج</w:t>
      </w:r>
      <w:r>
        <w:rPr>
          <w:rtl w:val="true"/>
        </w:rPr>
        <w:t xml:space="preserve">) </w:t>
      </w:r>
      <w:r>
        <w:rPr>
          <w:rtl w:val="true"/>
        </w:rPr>
        <w:t>تكفير مسلمانان معاصر خود</w:t>
      </w:r>
      <w:bookmarkEnd w:id="141"/>
    </w:p>
    <w:p>
      <w:pPr>
        <w:pStyle w:val="BookText"/>
        <w:rPr/>
      </w:pPr>
      <w:r>
        <w:rPr>
          <w:rFonts w:ascii="IRNazanin" w:hAnsi="IRNazanin" w:eastAsia="IRNazanin"/>
          <w:color w:val="111111"/>
          <w:sz w:val="28"/>
          <w:sz w:val="28"/>
          <w:szCs w:val="28"/>
          <w:rtl w:val="true"/>
          <w:lang w:bidi="fa-IR"/>
        </w:rPr>
        <w:t>محمّد بن عبدالوهاب درباره مسلمانان هم عصر خود مى‌گويد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وكثير من أهل الزمان لا يعرف من الآلهة المعبودة إلّا هبل ويغوث ويعوق ونسراً واللات والعزّي ومناة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جاد فهمه عرف أنّ المقامات المعبودة اليوم من البشر والشجر والحجر ونحوها مثل شمسان وإدريس وأبوحديدة ونحوهم منها</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و بسيارى از اهل اين زمان از خدايان پرستيده شده به جز هبل و يغوث و نسر و لات و عزّى و منات را نمى‌شناسند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فهم درستى داشتند مى‌فهميدند مقاماتى كه امروز پرستيده مى‌شود، از بشر و درخت و سنگ و نحو اينها از خورشيد و ماه و ادريس و ابوحديده و نحو اينها، از قبيل عبادت همان بت‌ها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شرك كفار قريش دون شرك كثير من الناس اليوم</w:t>
      </w:r>
      <w:r>
        <w:rPr>
          <w:rFonts w:eastAsia="IRNazanin" w:cs="IRNazanin"/>
          <w:color w:val="111111"/>
          <w:sz w:val="28"/>
          <w:szCs w:val="28"/>
          <w:rtl w:val="true"/>
          <w:lang w:bidi="fa-IR"/>
        </w:rPr>
        <w:t xml:space="preserve">» </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 شرك كفار قريش، بسيار پايين‌تر از شرك مردم امروز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علمت هذا وعلمت ما عليه أكثر الناس علمت أنّهم أعظم كفراً وشركاً من المشركين الّذين قاتلهم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هنگامى كه اين مطلب را دانستى و دانستى آنچه را كه اكثر مردم برآنند، مى‌فهمى كه كفر و شرك افراد اين زمان بيشتر از مشركينى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به قتال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جايى ديگر مى‌گويد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لانكفّر إلّا من بلغته دعوتنا للحقّ ووضحت له المحجة وقامت عليه الحجة وأصرّ مستكبراً معانداً، كغالب ما نقاتلهم اليوم يصرون علي ذلك الاشراك ويمتنعون من فعل الواجبات ويتظاهرون بأفعال الكبائر والمحرمات </w:t>
      </w:r>
      <w:r>
        <w:rPr>
          <w:rFonts w:eastAsia="Amiri" w:cs="Amiri" w:ascii="Amiri" w:hAnsi="Amiri"/>
          <w:color w:val="111111"/>
          <w:sz w:val="28"/>
          <w:szCs w:val="28"/>
          <w:rtl w:val="true"/>
          <w:lang w:bidi="ar-SA"/>
        </w:rPr>
        <w:t xml:space="preserve">... </w:t>
      </w:r>
      <w:r>
        <w:rPr>
          <w:rStyle w:val="FootnoteAnchor"/>
          <w:rtl w:val="true"/>
        </w:rPr>
        <w:footnoteReference w:id="63"/>
      </w:r>
      <w:r>
        <w:rPr>
          <w:rFonts w:ascii="IRNazanin" w:hAnsi="IRNazanin" w:eastAsia="IRNazanin"/>
          <w:color w:val="111111"/>
          <w:sz w:val="28"/>
          <w:sz w:val="28"/>
          <w:szCs w:val="28"/>
          <w:rtl w:val="true"/>
          <w:lang w:bidi="fa-IR"/>
        </w:rPr>
        <w:t>ما تكفير نمى‌كنيم مگر كسانى را كه دعوت حقّ ما به آنان رسيده</w:t>
      </w:r>
      <w:bookmarkStart w:id="142" w:name="pg1706_17417"/>
    </w:p>
    <w:p>
      <w:pPr>
        <w:pStyle w:val="BookText"/>
        <w:rPr/>
      </w:pPr>
      <w:bookmarkEnd w:id="142"/>
      <w:r>
        <w:rPr>
          <w:rFonts w:ascii="IRNazanin" w:hAnsi="IRNazanin" w:eastAsia="IRNazanin"/>
          <w:color w:val="111111"/>
          <w:sz w:val="28"/>
          <w:sz w:val="28"/>
          <w:szCs w:val="28"/>
          <w:rtl w:val="true"/>
          <w:lang w:bidi="fa-IR"/>
        </w:rPr>
        <w:t>و برهان و دليل بر آنان واضح شده و حجت بر آنان قائم شده است، ولى در عين حال از روى استكبار و عناد بر عقيده خود اصرار مى‌ورزدند؛ همانند غالب كسانى كه ما امروزه با آنان مى‌جنگيم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بر شرك ورزيدن خود اصرار دارند و از انجام واجبات امتناع كرده و به افعال محرمات كبيره تظاهر مى‌نمايند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ايشان از شرك ورزيدن، همان تبرك و استغاثه به ارواح اولياى الهى و ديگر امور است كه به خيال وى شرك به حساب مى‌آيند</w:t>
      </w:r>
      <w:r>
        <w:rPr>
          <w:rFonts w:eastAsia="IRNazanin" w:cs="IRNazanin"/>
          <w:color w:val="111111"/>
          <w:sz w:val="28"/>
          <w:szCs w:val="28"/>
          <w:rtl w:val="true"/>
          <w:lang w:bidi="fa-IR"/>
        </w:rPr>
        <w:t>.</w:t>
      </w:r>
    </w:p>
    <w:p>
      <w:pPr>
        <w:pStyle w:val="Heading2"/>
        <w:numPr>
          <w:ilvl w:val="1"/>
          <w:numId w:val="1"/>
        </w:numPr>
        <w:rPr/>
      </w:pPr>
      <w:bookmarkStart w:id="143" w:name="__RefHeading___Toc1588429_3650668749"/>
      <w:bookmarkStart w:id="144" w:name="_Toc56"/>
      <w:bookmarkEnd w:id="143"/>
      <w:r>
        <w:rPr>
          <w:rtl w:val="true"/>
        </w:rPr>
        <w:t>ديدگاه علماى اهل سنت درباره محمد بن عبدالوهاب‌</w:t>
      </w:r>
      <w:bookmarkEnd w:id="14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5" w:name="__RefHeading___Toc1588431_3650668749"/>
      <w:bookmarkStart w:id="146" w:name="_Toc57"/>
      <w:bookmarkEnd w:id="145"/>
      <w:r>
        <w:rPr>
          <w:rtl w:val="true"/>
        </w:rPr>
        <w:t>اشاره</w:t>
      </w:r>
      <w:bookmarkStart w:id="147" w:name="pg1706_17418"/>
      <w:bookmarkEnd w:id="146"/>
    </w:p>
    <w:p>
      <w:pPr>
        <w:pStyle w:val="BookText"/>
        <w:rPr/>
      </w:pPr>
      <w:bookmarkEnd w:id="147"/>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8" w:name="__RefHeading___Toc1588433_3650668749"/>
      <w:bookmarkStart w:id="149" w:name="_Toc58"/>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از زمان پيدايش وهابيت، عالمان برجسته اهل سنت پيوسته ضد عقايد انحرافى آنها موضع گرفته و افكارشان را نقد كرده‌اند؛ چنان‌كه دكتر عبدالله بن عثيمين از وهابيان معاصر مى‌گويد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تبين الرسائل الشخصية للشيخ الامام، انّ نشاط المعارضة النجدية كان مختلف الجوانب، و في مقدمة اوجه ذلك النشاط الكتابة ضّدها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المتأمل في هذه الرسائل يري كثرة تلك الكتابة </w:t>
      </w:r>
      <w:r>
        <w:rPr>
          <w:rFonts w:eastAsia="Amiri" w:cs="Amiri" w:ascii="Amiri" w:hAnsi="Amiri"/>
          <w:color w:val="111111"/>
          <w:sz w:val="28"/>
          <w:szCs w:val="28"/>
          <w:rtl w:val="true"/>
          <w:lang w:bidi="ar-SA"/>
        </w:rPr>
        <w:t xml:space="preserve">... </w:t>
      </w:r>
      <w:r>
        <w:rPr>
          <w:rStyle w:val="FootnoteAnchor"/>
          <w:rtl w:val="true"/>
        </w:rPr>
        <w:footnoteReference w:id="64"/>
      </w:r>
      <w:r>
        <w:rPr>
          <w:rFonts w:ascii="IRNazanin" w:hAnsi="IRNazanin" w:eastAsia="IRNazanin"/>
          <w:color w:val="111111"/>
          <w:sz w:val="28"/>
          <w:sz w:val="28"/>
          <w:szCs w:val="28"/>
          <w:rtl w:val="true"/>
          <w:lang w:bidi="fa-IR"/>
        </w:rPr>
        <w:t xml:space="preserve">رساله‌هاى شخصى شيخ امام محمد بن عبدالوهاب روشن مى‌كند كه فعاليت‌هاى معارضان او در سرزمين نجد گسترده و همه‌جانبه بوده است، و در مقدمه همه اين فعاليت‌ها، كتاب‌ها و نوشته‌هايى بوده كه بر ضدّ او به رشته تحرير در آمده است، و كسى كه در اين رساله‌ها تأمل كند پى به كثرت اين نوشته‌ها خواهد برد </w:t>
      </w:r>
      <w:r>
        <w:rPr>
          <w:rFonts w:eastAsia="IRNazanin" w:cs="IRNazanin"/>
          <w:color w:val="111111"/>
          <w:sz w:val="28"/>
          <w:szCs w:val="28"/>
          <w:rtl w:val="true"/>
          <w:lang w:bidi="fa-IR"/>
        </w:rPr>
        <w:t>...</w:t>
      </w:r>
      <w:bookmarkStart w:id="150" w:name="pg1706_17420"/>
    </w:p>
    <w:p>
      <w:pPr>
        <w:pStyle w:val="BookText"/>
        <w:rPr/>
      </w:pPr>
      <w:bookmarkEnd w:id="150"/>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از اين رو، به بخشى از اين موضع‌گيرى‌ها اشاره مى‌شود</w:t>
      </w:r>
      <w:r>
        <w:rPr>
          <w:rFonts w:eastAsia="IRNazanin" w:cs="IRNazanin"/>
          <w:color w:val="111111"/>
          <w:sz w:val="28"/>
          <w:szCs w:val="28"/>
          <w:rtl w:val="true"/>
          <w:lang w:bidi="fa-IR"/>
        </w:rPr>
        <w:t>:</w:t>
      </w:r>
    </w:p>
    <w:p>
      <w:pPr>
        <w:pStyle w:val="Heading3"/>
        <w:numPr>
          <w:ilvl w:val="2"/>
          <w:numId w:val="1"/>
        </w:numPr>
        <w:rPr/>
      </w:pPr>
      <w:bookmarkStart w:id="151" w:name="__RefHeading___Toc1588435_3650668749"/>
      <w:bookmarkStart w:id="152" w:name="_Toc59"/>
      <w:bookmarkEnd w:id="151"/>
      <w:r>
        <w:rPr/>
        <w:t>1</w:t>
      </w:r>
      <w:r>
        <w:rPr>
          <w:rtl w:val="true"/>
        </w:rPr>
        <w:t xml:space="preserve">. </w:t>
      </w:r>
      <w:r>
        <w:rPr>
          <w:rtl w:val="true"/>
        </w:rPr>
        <w:t>محمّد بن عبدالله بن فيروز</w:t>
      </w:r>
      <w:bookmarkEnd w:id="152"/>
    </w:p>
    <w:p>
      <w:pPr>
        <w:pStyle w:val="BookText"/>
        <w:rPr/>
      </w:pPr>
      <w:r>
        <w:rPr>
          <w:rFonts w:ascii="IRNazanin" w:hAnsi="IRNazanin" w:eastAsia="IRNazanin"/>
          <w:color w:val="111111"/>
          <w:sz w:val="28"/>
          <w:sz w:val="28"/>
          <w:szCs w:val="28"/>
          <w:rtl w:val="true"/>
          <w:lang w:bidi="fa-IR"/>
        </w:rPr>
        <w:t xml:space="preserve">او از علماى نجد است كه در احساء سال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متولد شد ولى در نجد سكنى 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داراى اساتيد و شاگردان زيادى بوده و در فنون بسيارى از علوم مهارت داشته و 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بصره وفات يافته است</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عبدالعزيز محمد بن على العبداللطيف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دعاوى المناوئين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او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فيروز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 محاربته و مناهضته لهذه الدعوة حدّاً لايوصف، لذا مدحه احد خصوم هذه الدعوة و هو الحداد</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و لكن اين دشمن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فيروز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دشمنى و قيام او بر ضدّ اين دعوت به حدّى رسيده كه قابل توصيف نيست، و لذا يكى از دشمنان اين دعوت يعنى حداد او را مدح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همچنين درباره محمّد بن عبدالله بن فيروز مى‌گويد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وناهض محمد بن فيروز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الشيخ الامام اشنع مناهضة و اشدها، و كاد لها بمختلف انواع الكيد و المكر، و من جملة كيده انّه الّف كتاباً في الردّ علي هذه الدعوة بعنوان</w:t>
      </w:r>
      <w:bookmarkStart w:id="153" w:name="pg1706_17421"/>
    </w:p>
    <w:p>
      <w:pPr>
        <w:pStyle w:val="BookText"/>
        <w:rPr/>
      </w:pPr>
      <w:bookmarkEnd w:id="153"/>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المرضية في الردّ علي الوهابية</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xml:space="preserve">محمد بن فيروز بر ردّ دعوت شيخ امام شنيع‌ترين و شديدترين قيام و نهضت را داشته و از هر طريقى در اين راه كوشش نموده است كه از جمله آنها اينكه كتابى را در ردّ اين دعوت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رساله مرضيه در رد وهابيت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كرده است</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1588437_3650668749"/>
      <w:bookmarkStart w:id="155" w:name="_Toc60"/>
      <w:bookmarkEnd w:id="154"/>
      <w:r>
        <w:rPr/>
        <w:t>2</w:t>
      </w:r>
      <w:r>
        <w:rPr>
          <w:rtl w:val="true"/>
        </w:rPr>
        <w:t xml:space="preserve">. </w:t>
      </w:r>
      <w:r>
        <w:rPr>
          <w:rtl w:val="true"/>
        </w:rPr>
        <w:t>علوى بن احمد بن حسن حداد</w:t>
      </w:r>
      <w:bookmarkEnd w:id="155"/>
    </w:p>
    <w:p>
      <w:pPr>
        <w:pStyle w:val="BookText"/>
        <w:rPr/>
      </w:pPr>
      <w:r>
        <w:rPr>
          <w:rFonts w:ascii="IRNazanin" w:hAnsi="IRNazanin" w:eastAsia="IRNazanin"/>
          <w:color w:val="111111"/>
          <w:sz w:val="28"/>
          <w:sz w:val="28"/>
          <w:szCs w:val="28"/>
          <w:rtl w:val="true"/>
          <w:lang w:bidi="fa-IR"/>
        </w:rPr>
        <w:t xml:space="preserve">او از علماى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در سال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متولد شده است، و داراى تأليفاتى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تعريفى كه از محمد بن عبدالله بن فيروز حنبلى دارد، مى‌گويد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ولله درّ الشيخ محمد بن عبدالله فيروز الحنبلي، لمّا قام مجتهداً ابتغاء مرضاة الله في اطفاء بدعة هذا الخبيث، كلّما رأي وجهاً لبعض اهل المذاهب الاربعة تبع ذلك الوجه اذا كان مخالفاً لمايعلمه او يقوله ابن عبدالوهاب البدعي</w:t>
      </w:r>
      <w:r>
        <w:rPr>
          <w:rFonts w:eastAsia="Amiri" w:cs="Amiri" w:ascii="Amiri" w:hAnsi="Amiri"/>
          <w:color w:val="111111"/>
          <w:sz w:val="28"/>
          <w:szCs w:val="28"/>
          <w:rtl w:val="true"/>
          <w:lang w:bidi="ar-SA"/>
        </w:rPr>
        <w:t xml:space="preserve">. </w:t>
      </w:r>
      <w:r>
        <w:rPr>
          <w:rStyle w:val="FootnoteAnchor"/>
          <w:rtl w:val="true"/>
        </w:rPr>
        <w:footnoteReference w:id="68"/>
      </w:r>
      <w:r>
        <w:rPr>
          <w:rFonts w:ascii="IRNazanin" w:hAnsi="IRNazanin" w:eastAsia="IRNazanin"/>
          <w:color w:val="111111"/>
          <w:sz w:val="28"/>
          <w:sz w:val="28"/>
          <w:szCs w:val="28"/>
          <w:rtl w:val="true"/>
          <w:lang w:bidi="fa-IR"/>
        </w:rPr>
        <w:t>خداوند شيخ محمد بن عبدالله بن فيروز حنبلى را جزاى خير دهد كه چگونه در خاموش كردن بدعت اين خبيث به جهت خشنودى خداوند قيام نموده و 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زمان كه شخصيتى از اهل مذاهب اربعه را مى‌ديد در صورتى كه مخالف با آراء محمد بن عبدالوهاب بدعت‌گزار بود او را دنبال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او نيز درباره محمد بن عبدالوهاب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اراد الرجل ان يدخل في دينه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علي نفسك انّك كنت كافراً، و اشهد علي والديك انّهما ماتا كافرين، و اشهد علي العالم الفلاني و الفلاني انّهم كفّار، فان شهد بذلك قبله و الّا قتله</w:t>
      </w:r>
      <w:r>
        <w:rPr>
          <w:rFonts w:eastAsia="Amiri" w:cs="Amiri" w:ascii="Amiri" w:hAnsi="Amiri"/>
          <w:color w:val="111111"/>
          <w:sz w:val="28"/>
          <w:szCs w:val="28"/>
          <w:rtl w:val="true"/>
          <w:lang w:bidi="ar-SA"/>
        </w:rPr>
        <w:t xml:space="preserve">. </w:t>
      </w:r>
      <w:r>
        <w:rPr>
          <w:rStyle w:val="FootnoteAnchor"/>
          <w:rtl w:val="true"/>
        </w:rPr>
        <w:footnoteReference w:id="69"/>
      </w:r>
      <w:r>
        <w:rPr>
          <w:rFonts w:ascii="IRNazanin" w:hAnsi="IRNazanin" w:eastAsia="IRNazanin"/>
          <w:color w:val="111111"/>
          <w:sz w:val="28"/>
          <w:sz w:val="28"/>
          <w:szCs w:val="28"/>
          <w:rtl w:val="true"/>
          <w:lang w:bidi="fa-IR"/>
        </w:rPr>
        <w:t>هرگاه كسى مى‌خواست تا وارد دين او شود به او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گواهى ده كه تو كافر بوده‌اى و نيز بر پدر و مادرت گواهى ده كه آن دو كافر از دنيا رفته‌اند و بر فلان عالم و فلان عالم گواهى ده كه كافرند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اين گواهى‌ها را مى‌داد او را قبول مى‌كرد وگرنه او را به قتل مى‌رسانيد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انتقاد از اين عملكرد محمد بن عبدالوهاب مى‌گويد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ايها النجدي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لاترضي بالأحياء ان تجعلهم مشركين حتي تعديت ايها النجدي علي اموات المسلمين من سنين عديدة تقول ضالين مضلّين، حتي عينت اناساً من اكابر العلماء المحققين و ائمة مقتدي بهم الصالحين </w:t>
      </w:r>
      <w:r>
        <w:rPr>
          <w:rFonts w:eastAsia="Amiri" w:cs="Amiri" w:ascii="Amiri" w:hAnsi="Amiri"/>
          <w:color w:val="111111"/>
          <w:sz w:val="28"/>
          <w:szCs w:val="28"/>
          <w:rtl w:val="true"/>
          <w:lang w:bidi="ar-SA"/>
        </w:rPr>
        <w:t xml:space="preserve">... </w:t>
      </w:r>
      <w:r>
        <w:rPr>
          <w:rStyle w:val="FootnoteAnchor"/>
          <w:rtl w:val="true"/>
        </w:rPr>
        <w:footnoteReference w:id="70"/>
      </w:r>
      <w:r>
        <w:rPr>
          <w:rFonts w:ascii="IRNazanin" w:hAnsi="IRNazanin" w:eastAsia="IRNazanin"/>
          <w:color w:val="111111"/>
          <w:sz w:val="28"/>
          <w:sz w:val="28"/>
          <w:szCs w:val="28"/>
          <w:rtl w:val="true"/>
          <w:lang w:bidi="fa-IR"/>
        </w:rPr>
        <w:t>اى نجدى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به زنده‌ها رضايت ندادى در اينكه آنان را مشرك دانستى تا اينكه بر اموات مسلمين ساليان متمادى گذشته نيز تجاوز كرده و مى‌گويى كه گمراه و گمراهِ‌كننده‌اند، تا به حدى كه بسيارى از بزرگان علماى محققين و امامانى كه مقتداى مردم و صالح بوده‌اند را نشانه رفته‌اى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او نيز در ردّ وهابيان در انطباق آيات مشركان بر مسلمانان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ما استدل به من الآيات الكريمة علي تكفير المسلمين كقوله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لِمَنِ الأَرْضُ وَ مَنْ فِيها إِنْ كُنْتُمْ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سَيَقُولُونَ لِلَّهِ قُلْ أَ فَلا تَذَكَّرُونَ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و مابعدها من الآيات، هي انّما نزلت في حق الكفار المنكرين للقرآن 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فأي مناسبة بين المسلم و الكافر</w:t>
      </w:r>
      <w:r>
        <w:rPr>
          <w:rFonts w:eastAsia="Amiri" w:cs="Amiri" w:ascii="Amiri" w:hAnsi="Amiri"/>
          <w:color w:val="111111"/>
          <w:sz w:val="28"/>
          <w:szCs w:val="28"/>
          <w:rtl w:val="true"/>
          <w:lang w:bidi="ar-SA"/>
        </w:rPr>
        <w:t xml:space="preserve">. </w:t>
      </w:r>
      <w:r>
        <w:rPr>
          <w:rStyle w:val="FootnoteAnchor"/>
          <w:rtl w:val="true"/>
        </w:rPr>
        <w:footnoteReference w:id="72"/>
      </w:r>
      <w:r>
        <w:rPr>
          <w:rFonts w:ascii="IRNazanin" w:hAnsi="IRNazanin" w:eastAsia="IRNazanin"/>
          <w:color w:val="111111"/>
          <w:sz w:val="28"/>
          <w:sz w:val="28"/>
          <w:szCs w:val="28"/>
          <w:rtl w:val="true"/>
          <w:lang w:bidi="fa-IR"/>
        </w:rPr>
        <w:t>و اما آنچه از آيات كريمه به آنها بر تكفير مسلمانان استدلال شده همانند 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براى كيست زمين و آنچه در آن است اگر 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متذكر نمى‌شويد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 آن از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آيات در حق كفار منكر قرآن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پس چه مناسبتى بين مسلمان و كافر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ردّ اتهام وهابيان به مسلمانان مى‌گويد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هؤلاء مهما عظّموا الأنبياء و الأولياء، فانّهم لايعتقدون فيهم مايعتقدون في جناب الحق تبارك و تعالي من الخلق الحقيقي التام، و انّما يعتقدون الوجاهة لهم عندالله في امر جزئي، و ينسبونه لهم مجازاً، و يعتقدون انّ الأصل و الفعل لله سبحانه</w:t>
      </w:r>
      <w:r>
        <w:rPr>
          <w:rFonts w:eastAsia="Amiri" w:cs="Amiri" w:ascii="Amiri" w:hAnsi="Amiri"/>
          <w:color w:val="111111"/>
          <w:sz w:val="28"/>
          <w:szCs w:val="28"/>
          <w:rtl w:val="true"/>
          <w:lang w:bidi="ar-SA"/>
        </w:rPr>
        <w:t xml:space="preserve">. </w:t>
      </w:r>
      <w:r>
        <w:rPr>
          <w:rStyle w:val="FootnoteAnchor"/>
          <w:rtl w:val="true"/>
        </w:rPr>
        <w:footnoteReference w:id="73"/>
      </w:r>
      <w:r>
        <w:rPr>
          <w:rFonts w:ascii="IRNazanin" w:hAnsi="IRNazanin" w:eastAsia="IRNazanin"/>
          <w:color w:val="111111"/>
          <w:sz w:val="28"/>
          <w:sz w:val="28"/>
          <w:szCs w:val="28"/>
          <w:rtl w:val="true"/>
          <w:lang w:bidi="fa-IR"/>
        </w:rPr>
        <w:t>مسلمانان هر چه كه پيامبران و اوليا را تعظيم كنند ولى درباره آنان آنچه را درباره جناب حق و تبارك و تعالى معتقدند از خلق حقيقى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تام، معتقد نمى‌باشند بلكه معتقد به وجاهت داشتن اينان نزد خداوند در امر جزئى هستند و آن را به اوليا از باب مجاز نسبت مى‌دهند و معتقدند كه اصل و فعل براى خداى سبحان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نيز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النصّ النجدي بمنع النذر مطلقاً للأكابر، فمن افترائه علي كتب الشريعة و جهله المركب</w:t>
      </w:r>
      <w:r>
        <w:rPr>
          <w:rFonts w:eastAsia="Amiri" w:cs="Amiri" w:ascii="Amiri" w:hAnsi="Amiri"/>
          <w:color w:val="111111"/>
          <w:sz w:val="28"/>
          <w:szCs w:val="28"/>
          <w:rtl w:val="true"/>
          <w:lang w:bidi="ar-SA"/>
        </w:rPr>
        <w:t xml:space="preserve">. </w:t>
      </w:r>
      <w:r>
        <w:rPr>
          <w:rStyle w:val="FootnoteAnchor"/>
          <w:rtl w:val="true"/>
        </w:rPr>
        <w:footnoteReference w:id="74"/>
      </w:r>
      <w:r>
        <w:rPr>
          <w:rFonts w:ascii="IRNazanin" w:hAnsi="IRNazanin" w:eastAsia="IRNazanin"/>
          <w:color w:val="111111"/>
          <w:sz w:val="28"/>
          <w:sz w:val="28"/>
          <w:szCs w:val="28"/>
          <w:rtl w:val="true"/>
          <w:lang w:bidi="fa-IR"/>
        </w:rPr>
        <w:t xml:space="preserve">اما نص نجدى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منع نذر به طور مطلق براى بزرگان، اين از اتهامات او بر كتاب‌هاى شريعت و جهل مركب او به حساب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دو كتاب در ردّ محمد بن عبدالوهاب و دعوت او تأليف كرده است، كه اولين كتاب او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 الباتر لعنق المنكر على الأكابر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Style w:val="FootnoteAnchor"/>
          <w:rtl w:val="true"/>
        </w:rPr>
        <w:footnoteReference w:id="75"/>
      </w:r>
      <w:r>
        <w:rPr>
          <w:rFonts w:ascii="IRNazanin" w:hAnsi="IRNazanin" w:eastAsia="IRNazanin"/>
          <w:color w:val="111111"/>
          <w:sz w:val="28"/>
          <w:sz w:val="28"/>
          <w:szCs w:val="28"/>
          <w:rtl w:val="true"/>
          <w:lang w:bidi="fa-IR"/>
        </w:rPr>
        <w:t xml:space="preserve">، و بعد از آن كتاب ديگرى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الأنام و جلاء الظلام فى ردّ شبه البدعى النجدى التى اضلّ بها العوام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هفده فصل تدوين شده و در هر فصلى ردّى بر دعوت محمد بن عبدالوهاب و تقرير مباحث مخالف با اوست، او در آن كتاب درصدد تقرير جواز استغاثه به ارواح اوليا و بناى بر قبور اوليا و مزارات صالحان برآمده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درباره محمد بن عبدالوهاب مى‌گويد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يضمر دعوي النبوة و تظهر عليه قرائنها بلسان الحال، لا بلسان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المقال، لئلا تنفر عنه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يشهد بذلك ماذكره العلماء من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عبدالوهاب كان في اول امره مولعاً بمطالعة اخبار من ادعي النبوة كاذباً كمسيلمة الكذّاب و سجاح و الأسود العنسي و طليحة الأسدي و اضرابهم</w:t>
      </w:r>
      <w:r>
        <w:rPr>
          <w:rFonts w:eastAsia="Amiri" w:cs="Amiri" w:ascii="Amiri" w:hAnsi="Amiri"/>
          <w:color w:val="111111"/>
          <w:sz w:val="28"/>
          <w:szCs w:val="28"/>
          <w:rtl w:val="true"/>
          <w:lang w:bidi="ar-SA"/>
        </w:rPr>
        <w:t xml:space="preserve">. </w:t>
      </w:r>
      <w:r>
        <w:rPr>
          <w:rStyle w:val="FootnoteAnchor"/>
          <w:rtl w:val="true"/>
        </w:rPr>
        <w:footnoteReference w:id="76"/>
      </w:r>
      <w:r>
        <w:rPr>
          <w:rFonts w:ascii="IRNazanin" w:hAnsi="IRNazanin" w:eastAsia="IRNazanin"/>
          <w:color w:val="111111"/>
          <w:sz w:val="28"/>
          <w:sz w:val="28"/>
          <w:szCs w:val="28"/>
          <w:rtl w:val="true"/>
          <w:lang w:bidi="fa-IR"/>
        </w:rPr>
        <w:t>او در درون خود ادعاى نبوت داشت و به زبان حال قرائن آن ظاهر مى‌گشت نه به زبان گفتار، تا اينكه مردم از او بيزار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چيزى است كه علما ذكر كرده‌اند به اينكه محمد بن عبدالوهاب در اوائل امرش شوق بسيارى به مطالعه اخبار مدعيان دروغين نبوت از قبيل مسيلمه كذّاب و سجاح و اسود عنسى و طليحه اسدى و امثال آنها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نيز درباره محمد بن عبدالوهاب مى‌گويد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ينتقص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بعبارات مختلفة، 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طارش، بمعني انّ غاية امره انّه كالطارش الذي يرسل إلي اناس في امر فيبلغهم ثم 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عصاي خير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لانّها ينتفع بها بقتل الحية و نحوها، و محمّد قد مات و لم يبق فيه نفع اصلا، و انّما هو الطارش و 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يكفر عند المذاهب الأربعة، و من ذلك انّه كان يكره الصلاة علي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يتأذّ من سماعها و ينهي عن الجهر بها علي المنابر و يؤذي من يفعله، و منع من الإتيان بها علي المنابر ليلة الجمعة، و لذلك احرق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كتب الصلاة علي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تستر بدعوي انّ ذلك بدعة</w:t>
      </w:r>
      <w:r>
        <w:rPr>
          <w:rFonts w:eastAsia="Amiri" w:cs="Amiri" w:ascii="Amiri" w:hAnsi="Amiri"/>
          <w:color w:val="111111"/>
          <w:sz w:val="28"/>
          <w:szCs w:val="28"/>
          <w:rtl w:val="true"/>
          <w:lang w:bidi="ar-SA"/>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او در بسيارى از اوقات با عبارات گوناگون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 وارد مى‌كرد، از آن جمله گفته اوست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طارش است، يعنى عاقبت كار او همانند شخص پيام‌رسان است كه به جهت كارى به سوى مردم فرستاده مى‌شود و امرش را ابلاغ مى‌نمايد و سپس منصرف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آنها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عصاى من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زيرا به وسيله آن در كشتن مار و امثال آن بهره مى‌برم، ولى محمّد به طور حتم مرده و هرگز از او كسى بهره‌مند نمى‌شود، و همانا او همانند پيام‌رسانى است كه آمده 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جهت است كه نزد عموم مذاهب اربعه تكفير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اينكه او درود فرستادن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كراهت داشت و از شنيدن آن اذيت مى‌شد و از جهر به صلوات بر منبرها نهى مى‌كرد و كسى كه اين كار را انجام مى‌داد او را اذيت مى‌نمود، و از فرستادن صلوات در شب‌هاى جمعه بالاى منبر منع مى‌كرد و بدين جهت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الخيرات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كتاب‌ها از كتاب صلوات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سوزاند، اين كار را با بهانه اينكه بدعت است انجام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همچنين درباره محمد بن عبدالوهاب مى‌گويد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الربابة في بيت الخاطئة اقل اثماً ممّن يناجي و يذكّربالصلاة علي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المنابر</w:t>
      </w:r>
      <w:r>
        <w:rPr>
          <w:rFonts w:eastAsia="Amiri" w:cs="Amiri" w:ascii="Amiri" w:hAnsi="Amiri"/>
          <w:color w:val="111111"/>
          <w:sz w:val="28"/>
          <w:szCs w:val="28"/>
          <w:rtl w:val="true"/>
          <w:lang w:bidi="ar-SA"/>
        </w:rPr>
        <w:t xml:space="preserve">. </w:t>
      </w:r>
      <w:r>
        <w:rPr>
          <w:rStyle w:val="FootnoteAnchor"/>
          <w:rtl w:val="true"/>
        </w:rPr>
        <w:footnoteReference w:id="78"/>
      </w:r>
      <w:r>
        <w:rPr>
          <w:rFonts w:ascii="IRNazanin" w:hAnsi="IRNazanin" w:eastAsia="IRNazanin"/>
          <w:color w:val="111111"/>
          <w:sz w:val="28"/>
          <w:sz w:val="28"/>
          <w:szCs w:val="28"/>
          <w:rtl w:val="true"/>
          <w:lang w:bidi="fa-IR"/>
        </w:rPr>
        <w:t>او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 زدن در خانه زن بدكاره گناهش كمتر است</w:t>
      </w:r>
      <w:bookmarkStart w:id="156" w:name="pg1706_17427"/>
    </w:p>
    <w:p>
      <w:pPr>
        <w:pStyle w:val="BookText"/>
        <w:rPr/>
      </w:pPr>
      <w:bookmarkEnd w:id="156"/>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از كسى كه نجوا كرده و ذكر صلوات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بالاى منابر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نيز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اعظم بدع النجدي عقده الدروس في التجسيم للباري، تعالي الله عن قول الجاحدين و الكافرين علواً كبيراً</w:t>
      </w:r>
      <w:r>
        <w:rPr>
          <w:rFonts w:eastAsia="Amiri" w:cs="Amiri" w:ascii="Amiri" w:hAnsi="Amiri"/>
          <w:color w:val="111111"/>
          <w:sz w:val="28"/>
          <w:szCs w:val="28"/>
          <w:rtl w:val="true"/>
          <w:lang w:bidi="ar-SA"/>
        </w:rPr>
        <w:t xml:space="preserve">. </w:t>
      </w:r>
      <w:r>
        <w:rPr>
          <w:rStyle w:val="FootnoteAnchor"/>
          <w:rtl w:val="true"/>
        </w:rPr>
        <w:footnoteReference w:id="79"/>
      </w:r>
      <w:r>
        <w:rPr>
          <w:rFonts w:ascii="IRNazanin" w:hAnsi="IRNazanin" w:eastAsia="IRNazanin"/>
          <w:color w:val="111111"/>
          <w:sz w:val="28"/>
          <w:sz w:val="28"/>
          <w:szCs w:val="28"/>
          <w:rtl w:val="true"/>
          <w:lang w:bidi="fa-IR"/>
        </w:rPr>
        <w:t xml:space="preserve">و از بزرگ‌ترين بدعت‌هاى نجدى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درس‌هايى درباره تجسيم خداوند بود، خدايى كه از گفتار منكران و كافران برترى زيادى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ومع ذلك اظهر التجسيم و الحركة و الانتقال</w:t>
      </w:r>
      <w:r>
        <w:rPr>
          <w:rFonts w:eastAsia="IRNazanin" w:cs="IRNazanin"/>
          <w:color w:val="111111"/>
          <w:sz w:val="28"/>
          <w:szCs w:val="28"/>
          <w:rtl w:val="true"/>
          <w:lang w:bidi="fa-IR"/>
        </w:rPr>
        <w:t xml:space="preserve">» </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عين حال او اظهار تجسيم خدا و حركت و انتقال او را نمود</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1588439_3650668749"/>
      <w:bookmarkStart w:id="158" w:name="_Toc61"/>
      <w:bookmarkEnd w:id="157"/>
      <w:r>
        <w:rPr/>
        <w:t>3</w:t>
      </w:r>
      <w:r>
        <w:rPr>
          <w:rtl w:val="true"/>
        </w:rPr>
        <w:t xml:space="preserve">. </w:t>
      </w:r>
      <w:r>
        <w:rPr>
          <w:rtl w:val="true"/>
        </w:rPr>
        <w:t>عبدالعزيز بن عبدالرحمن بن عدوان‌</w:t>
      </w:r>
      <w:bookmarkEnd w:id="158"/>
    </w:p>
    <w:p>
      <w:pPr>
        <w:pStyle w:val="BookText"/>
        <w:rPr/>
      </w:pPr>
      <w:r>
        <w:rPr>
          <w:rFonts w:ascii="IRNazanin" w:hAnsi="IRNazanin" w:eastAsia="IRNazanin"/>
          <w:color w:val="111111"/>
          <w:sz w:val="28"/>
          <w:sz w:val="28"/>
          <w:szCs w:val="28"/>
          <w:rtl w:val="true"/>
          <w:lang w:bidi="fa-IR"/>
        </w:rPr>
        <w:t xml:space="preserve">او در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اثيثيه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و علوم بسيارى را فراگرفت، و داراى ديوان شعر و برخى از رساله‌هاست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معاصر محمد بن عبدالوهاب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بعد از رجوعش از مدينه كنار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عبدالعزيز محمد بن على العبد اللطيف مى‌گويد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جاهر عبدالعزيز بن عبدالرحمن بن عدوان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بالعداوة للشيخ، فالّف رسالة في نحو ثمانية كراسات من القطع</w:t>
      </w:r>
      <w:bookmarkStart w:id="159" w:name="pg1706_17428"/>
    </w:p>
    <w:p>
      <w:pPr>
        <w:pStyle w:val="BookText"/>
        <w:rPr/>
      </w:pPr>
      <w:bookmarkEnd w:id="159"/>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الصغير ردّ بها الشيخ محمد بن عبدالوهاب</w:t>
      </w:r>
      <w:r>
        <w:rPr>
          <w:rFonts w:eastAsia="Amiri" w:cs="Amiri" w:ascii="Amiri" w:hAnsi="Amiri"/>
          <w:color w:val="111111"/>
          <w:sz w:val="28"/>
          <w:szCs w:val="28"/>
          <w:rtl w:val="true"/>
          <w:lang w:bidi="ar-SA"/>
        </w:rPr>
        <w:t xml:space="preserve">. </w:t>
      </w:r>
      <w:r>
        <w:rPr>
          <w:rStyle w:val="FootnoteAnchor"/>
          <w:rtl w:val="true"/>
        </w:rPr>
        <w:footnoteReference w:id="82"/>
      </w:r>
      <w:r>
        <w:rPr>
          <w:rFonts w:ascii="IRNazanin" w:hAnsi="IRNazanin" w:eastAsia="IRNazanin"/>
          <w:color w:val="111111"/>
          <w:sz w:val="28"/>
          <w:sz w:val="28"/>
          <w:szCs w:val="28"/>
          <w:rtl w:val="true"/>
          <w:lang w:bidi="fa-IR"/>
        </w:rPr>
        <w:t>عبدالعزيز بن عبدالرحمن بن عدوان با شيخ به طور علنى و آشكار به دشمنى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رساله‌اى را در هشت قسمت كوچك در ردّ شيخ محمد بن عبدالوهاب تأليف نمود</w:t>
      </w:r>
      <w:r>
        <w:rPr>
          <w:rFonts w:eastAsia="IRNazanin" w:cs="IRNazanin"/>
          <w:color w:val="111111"/>
          <w:sz w:val="28"/>
          <w:szCs w:val="28"/>
          <w:rtl w:val="true"/>
          <w:lang w:bidi="fa-IR"/>
        </w:rPr>
        <w:t>.</w:t>
      </w:r>
    </w:p>
    <w:p>
      <w:pPr>
        <w:pStyle w:val="Heading3"/>
        <w:numPr>
          <w:ilvl w:val="2"/>
          <w:numId w:val="1"/>
        </w:numPr>
        <w:rPr/>
      </w:pPr>
      <w:bookmarkStart w:id="160" w:name="__RefHeading___Toc1588441_3650668749"/>
      <w:bookmarkStart w:id="161" w:name="_Toc62"/>
      <w:bookmarkEnd w:id="160"/>
      <w:r>
        <w:rPr/>
        <w:t>4</w:t>
      </w:r>
      <w:r>
        <w:rPr>
          <w:rtl w:val="true"/>
        </w:rPr>
        <w:t xml:space="preserve">. </w:t>
      </w:r>
      <w:r>
        <w:rPr>
          <w:rtl w:val="true"/>
        </w:rPr>
        <w:t>مربد بن احمد الوهيبى تميمى‌</w:t>
      </w:r>
      <w:bookmarkEnd w:id="161"/>
    </w:p>
    <w:p>
      <w:pPr>
        <w:pStyle w:val="BookText"/>
        <w:rPr/>
      </w:pPr>
      <w:r>
        <w:rPr>
          <w:rFonts w:ascii="IRNazanin" w:hAnsi="IRNazanin" w:eastAsia="IRNazanin"/>
          <w:color w:val="111111"/>
          <w:sz w:val="28"/>
          <w:sz w:val="28"/>
          <w:szCs w:val="28"/>
          <w:rtl w:val="true"/>
          <w:lang w:bidi="fa-IR"/>
        </w:rPr>
        <w:t xml:space="preserve">وى كه معاصر ابن عبدالوهاب بود،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به جهت فراگيرى دانش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قاضى آن ديار شد، و در سال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رسيد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عبدالعزيز محمد بن على العبد اللطيف كه از مدافعان سرسخت محمد بن عبدالوهاب است درباره او مى‌گويد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مربد بن احمد الوهيبي التميمي من اهل حريملاء من اعداء الدعوة و بلغ من عداوته و تضليله ان ذهب إلي صنعاء في اليمن، فشوّة دعوة الشيخ محمد بن عبدالوهاب، ممّا جعل الصنعاني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رأي البسام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ينقض مدحه بقصيدة اخري علي وزنها</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مربد بن احمد وهيبى تميمى از اهالى حريملاء از دشمنان دعوت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 دشمنى و عداوت او به حدى رسيد كه سفرى به صنعاى يمن نمود و در آن ديار به مقابله با دعوت او</w:t>
      </w:r>
      <w:bookmarkStart w:id="162" w:name="pg1706_17429"/>
    </w:p>
    <w:p>
      <w:pPr>
        <w:pStyle w:val="BookText"/>
        <w:rPr/>
      </w:pPr>
      <w:bookmarkEnd w:id="162"/>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پرداخت تا به حدّى كه بنا بر رأى بسام باعث شد تا صنعانى قصيده‌اى را كه در مدح محمد بن عبدالوهاب سروده بوده به قصيده‌اى هم وزن آن در ردّ او مبدّل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قصيده را نوه‌اش يوسف بن ابراهيم الامير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محو الحوبة فى شرح ابيات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كرده است</w:t>
      </w:r>
      <w:r>
        <w:rPr>
          <w:rFonts w:eastAsia="Amiri" w:cs="Amiri" w:ascii="Amiri" w:hAnsi="Amiri"/>
          <w:color w:val="111111"/>
          <w:sz w:val="28"/>
          <w:szCs w:val="28"/>
          <w:rtl w:val="true"/>
          <w:lang w:bidi="ar-SA"/>
        </w:rPr>
        <w:t xml:space="preserve">. </w:t>
      </w:r>
      <w:r>
        <w:rPr>
          <w:rStyle w:val="FootnoteAnchor"/>
          <w:rtl w:val="true"/>
        </w:rPr>
        <w:footnoteReference w:id="85"/>
      </w:r>
    </w:p>
    <w:p>
      <w:pPr>
        <w:pStyle w:val="Heading3"/>
        <w:numPr>
          <w:ilvl w:val="2"/>
          <w:numId w:val="1"/>
        </w:numPr>
        <w:rPr/>
      </w:pPr>
      <w:bookmarkStart w:id="163" w:name="__RefHeading___Toc1588443_3650668749"/>
      <w:bookmarkStart w:id="164" w:name="_Toc63"/>
      <w:bookmarkEnd w:id="163"/>
      <w:r>
        <w:rPr/>
        <w:t>5</w:t>
      </w:r>
      <w:r>
        <w:rPr>
          <w:rtl w:val="true"/>
        </w:rPr>
        <w:t xml:space="preserve">. </w:t>
      </w:r>
      <w:r>
        <w:rPr>
          <w:rtl w:val="true"/>
        </w:rPr>
        <w:t>سيف بن احمد عتيقى‌</w:t>
      </w:r>
      <w:bookmarkEnd w:id="164"/>
    </w:p>
    <w:p>
      <w:pPr>
        <w:pStyle w:val="BookText"/>
        <w:rPr/>
      </w:pPr>
      <w:r>
        <w:rPr>
          <w:rFonts w:ascii="IRNazanin" w:hAnsi="IRNazanin" w:eastAsia="IRNazanin"/>
          <w:color w:val="111111"/>
          <w:sz w:val="28"/>
          <w:sz w:val="28"/>
          <w:szCs w:val="28"/>
          <w:rtl w:val="true"/>
          <w:lang w:bidi="fa-IR"/>
        </w:rPr>
        <w:t xml:space="preserve">او معاصر محمد بن عبدالوهاب و متوفاى سال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 عبدالعزيز محمد بن على درباره او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المناوئين لهذه الدعوة سيف بن احمد العتيقي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يتجلّي عدائه بانّه جمع الردود التي ردّ علي الشيخ محمد بن عبدالوهاب، فكانت سفراً ضخماً</w:t>
      </w:r>
      <w:r>
        <w:rPr>
          <w:rFonts w:eastAsia="Amiri" w:cs="Amiri" w:ascii="Amiri" w:hAnsi="Amiri"/>
          <w:color w:val="111111"/>
          <w:sz w:val="28"/>
          <w:szCs w:val="28"/>
          <w:rtl w:val="true"/>
          <w:lang w:bidi="ar-SA"/>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و از جمله دشمنان اين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بن احمد عتيقى است، و دشمنى او در اين تجلّى پيدا كرده كه تمام رديه‌هاى بر شيخ محمد بن عبدالوهاب را در يك كتاب جمع نمود كه كتاب بزرگى شد</w:t>
      </w:r>
      <w:r>
        <w:rPr>
          <w:rFonts w:eastAsia="IRNazanin" w:cs="IRNazanin"/>
          <w:color w:val="111111"/>
          <w:sz w:val="28"/>
          <w:szCs w:val="28"/>
          <w:rtl w:val="true"/>
          <w:lang w:bidi="fa-IR"/>
        </w:rPr>
        <w:t>.</w:t>
      </w:r>
    </w:p>
    <w:p>
      <w:pPr>
        <w:pStyle w:val="Heading3"/>
        <w:numPr>
          <w:ilvl w:val="2"/>
          <w:numId w:val="1"/>
        </w:numPr>
        <w:rPr/>
      </w:pPr>
      <w:bookmarkStart w:id="165" w:name="__RefHeading___Toc1588445_3650668749"/>
      <w:bookmarkStart w:id="166" w:name="_Toc64"/>
      <w:bookmarkEnd w:id="165"/>
      <w:r>
        <w:rPr/>
        <w:t>6</w:t>
      </w:r>
      <w:r>
        <w:rPr>
          <w:rtl w:val="true"/>
        </w:rPr>
        <w:t xml:space="preserve">. </w:t>
      </w:r>
      <w:r>
        <w:rPr>
          <w:rtl w:val="true"/>
        </w:rPr>
        <w:t xml:space="preserve">احمد بن زينى دحلان </w:t>
      </w:r>
      <w:r>
        <w:rPr>
          <w:rtl w:val="true"/>
        </w:rPr>
        <w:t>(</w:t>
      </w:r>
      <w:r>
        <w:rPr>
          <w:rtl w:val="true"/>
        </w:rPr>
        <w:t xml:space="preserve">ت </w:t>
      </w:r>
      <w:r>
        <w:rPr/>
        <w:t>1304</w:t>
      </w:r>
      <w:r>
        <w:rPr>
          <w:rtl w:val="true"/>
        </w:rPr>
        <w:t xml:space="preserve"> </w:t>
      </w:r>
      <w:r>
        <w:rPr>
          <w:rtl w:val="true"/>
        </w:rPr>
        <w:t>ه</w:t>
      </w:r>
      <w:r>
        <w:rPr>
          <w:rtl w:val="true"/>
        </w:rPr>
        <w:t xml:space="preserve">. </w:t>
      </w:r>
      <w:r>
        <w:rPr>
          <w:rtl w:val="true"/>
        </w:rPr>
        <w:t>ق</w:t>
      </w:r>
      <w:r>
        <w:rPr>
          <w:rtl w:val="true"/>
        </w:rPr>
        <w:t>)</w:t>
      </w:r>
      <w:bookmarkEnd w:id="16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مكه متولد شد و در آن ديار متولى امر افتاء و تدريس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مفتى شافعى‌ها در مكه بوده كتاب‌هايى را در 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وهابيان و على الخصوص محمد بن عبدالوهاب تأليف كرده كه از جمله آنها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السنية فى الردّ على الوهابية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چندين بار طبع شد و در ضمن كتاب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الكلام فى امراء البلد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كتاب ديگر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الفتوحات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منظور نعمانى درباره فعاليت‌هاى ضدّ وهابى او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صارت ارض الحجاز مركز دعاية ضدّ الشيخ محمد بن عبدالوهاب و جماعته بعد ما اقصت الوهابيين قواتُ محمد علي باشا حاكم مصر آنذاك علي ايعاز من الحكومة العثمانية </w:t>
      </w:r>
      <w:r>
        <w:rPr>
          <w:rFonts w:eastAsia="Amiri" w:cs="Amiri" w:ascii="Amiri" w:hAnsi="Amiri"/>
          <w:color w:val="111111"/>
          <w:sz w:val="28"/>
          <w:szCs w:val="28"/>
          <w:rtl w:val="true"/>
          <w:lang w:bidi="ar-SA"/>
        </w:rPr>
        <w:t xml:space="preserve">... </w:t>
      </w:r>
      <w:r>
        <w:rPr>
          <w:rStyle w:val="FootnoteAnchor"/>
          <w:rtl w:val="true"/>
        </w:rPr>
        <w:footnoteReference w:id="87"/>
      </w:r>
      <w:r>
        <w:rPr>
          <w:rFonts w:ascii="IRNazanin" w:hAnsi="IRNazanin" w:eastAsia="IRNazanin"/>
          <w:color w:val="111111"/>
          <w:sz w:val="28"/>
          <w:sz w:val="28"/>
          <w:szCs w:val="28"/>
          <w:rtl w:val="true"/>
          <w:lang w:bidi="fa-IR"/>
        </w:rPr>
        <w:t>سرزمين حجاز مركز دعوت بر ضد شيخ محمد بن عبدالوهاب و جماعت او شد بعد از آنكه قواى محمد على پاشا حاكم مصر در آن زمان با دستور دولت عثمانى وهابيان را بيرون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زينى دحلان درباره وهابيان مى‌گويد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فلايعتقدون موحداً الّا من تبعهم فيما يقولون، فصار الموحدون علي زعمهم اقل من كل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 اخوه سليمان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اركان الاسلام يا محمد بن عبدالوهاب؟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جعلتها ستة، السادس من لم يتبعك فليس بمسلم، هذا عندك ركن سادس للاسلام</w:t>
      </w:r>
      <w:r>
        <w:rPr>
          <w:rFonts w:eastAsia="Amiri" w:cs="Amiri" w:ascii="Amiri" w:hAnsi="Amiri"/>
          <w:color w:val="111111"/>
          <w:sz w:val="28"/>
          <w:szCs w:val="28"/>
          <w:rtl w:val="true"/>
          <w:lang w:bidi="ar-SA"/>
        </w:rPr>
        <w:t xml:space="preserve">. </w:t>
      </w:r>
      <w:r>
        <w:rPr>
          <w:rStyle w:val="FootnoteAnchor"/>
          <w:rtl w:val="true"/>
        </w:rPr>
        <w:footnoteReference w:id="88"/>
      </w:r>
      <w:r>
        <w:rPr>
          <w:rFonts w:ascii="IRNazanin" w:hAnsi="IRNazanin" w:eastAsia="IRNazanin"/>
          <w:color w:val="111111"/>
          <w:sz w:val="28"/>
          <w:sz w:val="28"/>
          <w:szCs w:val="28"/>
          <w:rtl w:val="true"/>
          <w:lang w:bidi="fa-IR"/>
        </w:rPr>
        <w:t>آنان كسى را موحدى نمى‌دانند جز آنكه آنان را در آنچه مى‌گويند پيروى كند، و لذا موحدان به گمان آنان از هر چيزى كمترند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او سليمان روزى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اسلام چند تاست؟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آنها را شش تا قرار داده‌اى و ششمين آن را اين مى‌دانى كه اگر كسى تو را پيروى نكرد مسلمان نيست و اين نزد تو ركن ششم براى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كه معاصر ظهور وهابيان و در مكه مفتى شافعى‌ها بوده،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وكانوا يصرحون بتكفير الأمة منذ ستمائة سنة، و اول من صرح بذلك محمد بن عبدالوهاب، فتبعوه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دخل انسان في دينه و كان قد حجّ حجة الاسلام قبل ذلك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ثانياً؛ فانّ حجتك الأولي فعلتها و انت مشرك فلاتسقط عنك الحجّ</w:t>
      </w:r>
      <w:r>
        <w:rPr>
          <w:rFonts w:eastAsia="Amiri" w:cs="Amiri" w:ascii="Amiri" w:hAnsi="Amiri"/>
          <w:color w:val="111111"/>
          <w:sz w:val="28"/>
          <w:szCs w:val="28"/>
          <w:rtl w:val="true"/>
          <w:lang w:bidi="ar-SA"/>
        </w:rPr>
        <w:t xml:space="preserve">. </w:t>
      </w:r>
      <w:r>
        <w:rPr>
          <w:rStyle w:val="FootnoteAnchor"/>
          <w:rtl w:val="true"/>
        </w:rPr>
        <w:footnoteReference w:id="89"/>
      </w:r>
      <w:r>
        <w:rPr>
          <w:rFonts w:ascii="IRNazanin" w:hAnsi="IRNazanin" w:eastAsia="IRNazanin"/>
          <w:color w:val="111111"/>
          <w:sz w:val="28"/>
          <w:sz w:val="28"/>
          <w:szCs w:val="28"/>
          <w:rtl w:val="true"/>
          <w:lang w:bidi="fa-IR"/>
        </w:rPr>
        <w:t>آنان تصريح به تكفير امت از ششصد سال پيش مى‌كنند، و اول كسى كه تصريح به اين مطلب نمود محمد بن عبدالوهاب است، و ديگران از او در اين امر متابعت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به دين او وارد مى‌شد در حالى كه قبل از آن حج به جاى آورده بود به او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حج به جاى آور؛ چرا كه حج اولى كه به جاى آورده‌اى در حال شرك بوده و از تو ساقط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نيز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ادعوكم إلي الدين، و جميع ما هو تحت السبع الطباق مشرك علي الإطلاق، و من قتل مشركاً فله الجنة، و صارت نفوسهم بهذا القول مطمئنة</w:t>
      </w:r>
      <w:r>
        <w:rPr>
          <w:rFonts w:eastAsia="Amiri" w:cs="Amiri" w:ascii="Amiri" w:hAnsi="Amiri"/>
          <w:color w:val="111111"/>
          <w:sz w:val="28"/>
          <w:szCs w:val="28"/>
          <w:rtl w:val="true"/>
          <w:lang w:bidi="ar-SA"/>
        </w:rPr>
        <w:t xml:space="preserve">. </w:t>
      </w:r>
      <w:r>
        <w:rPr>
          <w:rStyle w:val="FootnoteAnchor"/>
          <w:rtl w:val="true"/>
        </w:rPr>
        <w:footnoteReference w:id="9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عبدالوهاب به آنان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دين دعوت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مى‌كنم،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افرادى كه زير هفت طبقه آسمان هستند به طور مطلق مشرك‌اند، و هر كس مشركى را به قتل برساند بهشت بر او واجب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نفوس آنان به اين گفتار مطمئن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ردّ وهابيان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وعمدوا إلي آيات كثيرة من آيات القرآن التي نزلت في المشركين، فحملوها علي المؤمنين</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آنان متعرض آيات بسيارى از آيات قرآن شده‌اند كه درباره مشركان نازل شده و آنها را بر مؤمنان حمل نموده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وتمسّك في تكفير المسلمين بآيات نزلت في المشركين، فحملها علي الموحدين</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او در تكفير مسلمانان به آياتى تمسك كرد كه درباره مشركان نازل شده و آنان را بر موحدان حمل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زينى دحلان كه معاصر محمد بن عبدالوهاب بوده درباره او و پيروانش مى‌گويد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ويمنعون من الصلاة علي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المنابر بعد الأذان حتي انّ رجلا صالحاً كان اعمي و كان مؤذّناً و صلّي علي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الأذان بعد ان كان المنع منهم، فاتوا به إلي محمّد بن عبدالوهاب فأمر به ان يُقتل فقُتل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تتبعتُ لك ماكانوا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يفعلونه من امثال ذلك لملأت الدفاتر و الأوراق، و في هذا القدر الكفاية</w:t>
      </w:r>
      <w:r>
        <w:rPr>
          <w:rFonts w:eastAsia="Amiri" w:cs="Amiri" w:ascii="Amiri" w:hAnsi="Amiri"/>
          <w:color w:val="111111"/>
          <w:sz w:val="28"/>
          <w:szCs w:val="28"/>
          <w:rtl w:val="true"/>
          <w:lang w:bidi="ar-SA"/>
        </w:rPr>
        <w:t xml:space="preserve">. </w:t>
      </w:r>
      <w:r>
        <w:rPr>
          <w:rStyle w:val="FootnoteAnchor"/>
          <w:rtl w:val="true"/>
        </w:rPr>
        <w:footnoteReference w:id="93"/>
      </w:r>
      <w:r>
        <w:rPr>
          <w:rFonts w:ascii="IRNazanin" w:hAnsi="IRNazanin" w:eastAsia="IRNazanin"/>
          <w:color w:val="111111"/>
          <w:sz w:val="28"/>
          <w:sz w:val="28"/>
          <w:szCs w:val="28"/>
          <w:rtl w:val="true"/>
          <w:lang w:bidi="fa-IR"/>
        </w:rPr>
        <w:t xml:space="preserve">آنان مردم را از درود فرستادن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بالاى منابر بعد از اذان منع مى‌نمودند، تا به حدى كه مردى صالح كه كور و مؤذن بود بعد از منع مردم از آن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اذان درود فرستاده بود، او را نزد محمّد بن عبدالوهاب آوردند و دستور داد تا او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براى تو كارهايى را كه از اين قبيل انجام داده‌اند بازگو كنم دفترها و ورق‌ها از آنها پر خواهد شد، ولى همين مقدار براى تو كفايت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همچنين مى‌گويد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كثير من مشايخ ابن عبدالوهاب بالمدينة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سيضلّ هذا او يضلّ الله به من ابعده و اشقاه، و كان الأمر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زعم محمّد بن عبدالوهاب انّ مراده بهذا المذهب الذي ابتدعه اخلاص التوحيد و التبري من الشرك، و انّ الناس كانوا علي الشرك منذ ستمائة سنة، و انّه جدّد للناس دينهم، و حمل الآيات القرآنية التي نزلت في المشركين علي اهل التوحيد </w:t>
      </w:r>
      <w:r>
        <w:rPr>
          <w:rFonts w:eastAsia="Amiri" w:cs="Amiri" w:ascii="Amiri" w:hAnsi="Amiri"/>
          <w:color w:val="111111"/>
          <w:sz w:val="28"/>
          <w:szCs w:val="28"/>
          <w:rtl w:val="true"/>
          <w:lang w:bidi="ar-SA"/>
        </w:rPr>
        <w:t xml:space="preserve">... </w:t>
      </w:r>
      <w:r>
        <w:rPr>
          <w:rStyle w:val="FootnoteAnchor"/>
          <w:rtl w:val="true"/>
        </w:rPr>
        <w:footnoteReference w:id="94"/>
      </w:r>
      <w:r>
        <w:rPr>
          <w:rFonts w:ascii="IRNazanin" w:hAnsi="IRNazanin" w:eastAsia="IRNazanin"/>
          <w:color w:val="111111"/>
          <w:sz w:val="28"/>
          <w:sz w:val="28"/>
          <w:szCs w:val="28"/>
          <w:rtl w:val="true"/>
          <w:lang w:bidi="fa-IR"/>
        </w:rPr>
        <w:t>بسيارى از اساتيد محمّد بن عبدالوهاب در مدينه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كه اين مرد گمراه شود و خداوند به واسطه او كسانى را كه از خودش دور كرده و شقى نموده گمراه سازد، و پيش‌بينى آنها به وقوع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عبدالوهاب گمان كرده بود كه مقصودش از اين مذهبى كه</w:t>
      </w:r>
      <w:bookmarkStart w:id="167" w:name="pg1706_17434"/>
    </w:p>
    <w:p>
      <w:pPr>
        <w:pStyle w:val="BookText"/>
        <w:rPr/>
      </w:pPr>
      <w:bookmarkEnd w:id="167"/>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اختراع كرده توحيد خالص و بيزارى و دورى از شرك است و اينكه مردم از ششصد سال پيش مشرك بوده‌اند و او بوده كه دينشان را تجديد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بود كه آيات قرآن كه درباره مشركان نازل شده بود همگى را بر اهل توحيد حمل نمود </w:t>
      </w:r>
      <w:r>
        <w:rPr>
          <w:rFonts w:eastAsia="IRNazanin" w:cs="IRNazanin"/>
          <w:color w:val="111111"/>
          <w:sz w:val="28"/>
          <w:szCs w:val="28"/>
          <w:rtl w:val="true"/>
          <w:lang w:bidi="fa-IR"/>
        </w:rPr>
        <w:t>...</w:t>
      </w:r>
    </w:p>
    <w:p>
      <w:pPr>
        <w:pStyle w:val="Heading3"/>
        <w:numPr>
          <w:ilvl w:val="2"/>
          <w:numId w:val="1"/>
        </w:numPr>
        <w:rPr/>
      </w:pPr>
      <w:bookmarkStart w:id="168" w:name="__RefHeading___Toc1588447_3650668749"/>
      <w:bookmarkStart w:id="169" w:name="_Toc65"/>
      <w:bookmarkEnd w:id="168"/>
      <w:r>
        <w:rPr/>
        <w:t>7</w:t>
      </w:r>
      <w:r>
        <w:rPr>
          <w:rtl w:val="true"/>
        </w:rPr>
        <w:t xml:space="preserve">. </w:t>
      </w:r>
      <w:r>
        <w:rPr>
          <w:rtl w:val="true"/>
        </w:rPr>
        <w:t>محمد توفيق سوقيه‌</w:t>
      </w:r>
      <w:bookmarkEnd w:id="169"/>
    </w:p>
    <w:p>
      <w:pPr>
        <w:pStyle w:val="BookText"/>
        <w:rPr/>
      </w:pPr>
      <w:r>
        <w:rPr>
          <w:rFonts w:ascii="IRNazanin" w:hAnsi="IRNazanin" w:eastAsia="IRNazanin"/>
          <w:color w:val="111111"/>
          <w:sz w:val="28"/>
          <w:sz w:val="28"/>
          <w:szCs w:val="28"/>
          <w:rtl w:val="true"/>
          <w:lang w:bidi="fa-IR"/>
        </w:rPr>
        <w:t xml:space="preserve">او نيز كه از اهالى شام است كتابى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تبيين الحق و الصواب بالرد على اتباع ابن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كرده و در دمشق 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درباره وهابيان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تمذهبت به الوهابية في العقيدة اثبات اليد و الوجه و الجهة للباري و جعله جسماً يصعد و ينزل</w:t>
      </w:r>
      <w:r>
        <w:rPr>
          <w:rFonts w:eastAsia="Amiri" w:cs="Amiri" w:ascii="Amiri" w:hAnsi="Amiri"/>
          <w:color w:val="111111"/>
          <w:sz w:val="28"/>
          <w:szCs w:val="28"/>
          <w:rtl w:val="true"/>
          <w:lang w:bidi="ar-SA"/>
        </w:rPr>
        <w:t xml:space="preserve">. </w:t>
      </w:r>
      <w:r>
        <w:rPr>
          <w:rStyle w:val="FootnoteAnchor"/>
          <w:rtl w:val="true"/>
        </w:rPr>
        <w:footnoteReference w:id="95"/>
      </w:r>
      <w:r>
        <w:rPr>
          <w:rFonts w:ascii="IRNazanin" w:hAnsi="IRNazanin" w:eastAsia="IRNazanin"/>
          <w:color w:val="111111"/>
          <w:sz w:val="28"/>
          <w:sz w:val="28"/>
          <w:szCs w:val="28"/>
          <w:rtl w:val="true"/>
          <w:lang w:bidi="fa-IR"/>
        </w:rPr>
        <w:t>از جمله عقايدى كه جزء مذهب وهابيان به حساب مى‌آيد اثبات دست و صورت و جهت براى خداوند و جسمانيت اوست كه بالا رفته و پايين مى‌آيد</w:t>
      </w:r>
      <w:r>
        <w:rPr>
          <w:rFonts w:eastAsia="IRNazanin" w:cs="IRNazanin"/>
          <w:color w:val="111111"/>
          <w:sz w:val="28"/>
          <w:szCs w:val="28"/>
          <w:rtl w:val="true"/>
          <w:lang w:bidi="fa-IR"/>
        </w:rPr>
        <w:t>.</w:t>
      </w:r>
    </w:p>
    <w:p>
      <w:pPr>
        <w:pStyle w:val="Heading3"/>
        <w:numPr>
          <w:ilvl w:val="2"/>
          <w:numId w:val="1"/>
        </w:numPr>
        <w:rPr/>
      </w:pPr>
      <w:bookmarkStart w:id="170" w:name="__RefHeading___Toc1588449_3650668749"/>
      <w:bookmarkStart w:id="171" w:name="_Toc66"/>
      <w:bookmarkEnd w:id="170"/>
      <w:r>
        <w:rPr/>
        <w:t>8</w:t>
      </w:r>
      <w:r>
        <w:rPr>
          <w:rtl w:val="true"/>
        </w:rPr>
        <w:t>.</w:t>
      </w:r>
      <w:r>
        <w:rPr>
          <w:rtl w:val="true"/>
        </w:rPr>
        <w:t>شيخ محمّد بن عبدالله نجدى‌</w:t>
      </w:r>
      <w:bookmarkEnd w:id="171"/>
    </w:p>
    <w:p>
      <w:pPr>
        <w:pStyle w:val="BookText"/>
        <w:rPr/>
      </w:pPr>
      <w:r>
        <w:rPr>
          <w:rFonts w:ascii="IRNazanin" w:hAnsi="IRNazanin" w:eastAsia="IRNazanin"/>
          <w:color w:val="111111"/>
          <w:sz w:val="28"/>
          <w:sz w:val="28"/>
          <w:szCs w:val="28"/>
          <w:rtl w:val="true"/>
          <w:lang w:bidi="fa-IR"/>
        </w:rPr>
        <w:t xml:space="preserve">مفتى حنابله در مكه در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شيخ محمّد عبدالله نجدى حنبلى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السحب الوابلة على ضرائع الحنابلة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پدر محمّد بن عبدالوهاب مى‌نويسد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والد محمّد، صاحب الدعوة التي انتشر شررها في الآفاق، و لكن بينهما تباين، مع انّ محمّداً لم يتظاهر بالدعوة الّا بعد موت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73</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والده، و اخبرني بعض من لقيته، عن بعض اهل العلم، عمّن عاصر الشيخ عبدالوهاب هذا انّه كان غضبان علي ولده محمّد؛ لكونه لم يرض ان يشتغل بالفقه كأسلافه و اهل جهته، و يتفرس فيه ان يحدث منه امر، فكان يقول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 ترون من محمّد من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فقدّر الله ان صار ما 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ابنه سليمان اخو الشيخ محمّد كان منافياً له في دعوته و ردّ عليه ردّاً جيّداً بالآيات و الآثار، لكون المردود عليه لايقبل سواهما و لايلتفت إلي كلام عالم متقدّماً او متأخراً كائناً من كان، غيرالشيخ تقي الدين بن تيمية و تلميذه ابن القيم؛ فانّه يري كلامهما نصاً لايقبل التأويل، و يصول به علي الناس و ان كان كلامهما علي غير مايفهم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سمّي الشيخ سليمان ردّه علي اخيه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 في الردّ علي محمّد بن عبدالوهاب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سلّمه الله من شرّه و مكره مع تلك الصولة الهائلة التي أرعبت الأباعد، فانّه كان اذا باينه احد و ردّ عليه و لم يقدر علي قتله مجاهرة يرسل اليه من يغتاله في فراشه او في السوق ليلا، لقوله بتكفير من خالفه و استحلاله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مجنوناً كان في بلدة و من عادته ان يضرب من واجهه ولو بالسلاح، فأمر محمّد ان يعطي سيفاً و يُدخل علي اخيه الشيخ سليمان و هو في المسجد وحده، فادخل عليه، فلمّا رآه الشيخ سليمان خاف منه فرمي المجنون السيف من يده و صار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لاتخف انّك من الآمنين، و يكرّرها مراراً، و لاشك انّ هذه من الكرامات</w:t>
      </w:r>
      <w:r>
        <w:rPr>
          <w:rFonts w:eastAsia="Amiri" w:cs="Amiri" w:ascii="Amiri" w:hAnsi="Amiri"/>
          <w:color w:val="111111"/>
          <w:sz w:val="28"/>
          <w:szCs w:val="28"/>
          <w:rtl w:val="true"/>
          <w:lang w:bidi="ar-SA"/>
        </w:rPr>
        <w:t xml:space="preserve">. </w:t>
      </w:r>
      <w:r>
        <w:rPr>
          <w:rStyle w:val="FootnoteAnchor"/>
          <w:rtl w:val="true"/>
        </w:rPr>
        <w:footnoteReference w:id="96"/>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پدر محمّد صاحب دعوتى است كه شعله‌هاى شرارت آن تمام عالم را فراگرفت، ولى بين پدر و پسر ضدّيت بود، با اينكه محمّد بعد از مرگ پدرش تظاهر به دعوت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عالمان معاصر وى كه او را ديده‌اند، به من گفته‌اند شيخ عبدالوهاب پدر محمّد بوده و بر فرزندش محمّد غضبناك بود؛ زيرا راضى نبود كه او همانند پيشينيان و اقوامش مشغول به درس فقه شود، و به زيركى در مورد وى فهميده بود كه بدعت و انحرافى از او سر زند، و لذا به مردم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كه شرّى از او مشاهده كنيد، و خداوند آنچه را كه بايد بشود مقدّر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فرزندش سليمان برادر شيخ محمّد با دعوتش مخالف بود و ردّيه خوبى را كه از آيات و روايات استفاده كرده بود بر او نوشت؛ زيرا او تنها آيات و روايات را قبول مى‌كرد و به كلام متقدمين يا متأخرين هر كه باشد التفات نمى‌كرد، و تنها براى كلام تقى الدين بن تيميه و شاگردش ابن قيم ارزش قائل بود؛ زيرا كلام آن دو را نص مى‌دانست كه هرگز تأويل نمى‌پذيرد، و با كلام آن دو بر مردم حمله مىِ‌كرد، گرچه كلام آن دو برخلاف آن چيزى باشد كه فهميده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سليمان ردّيه‌اش كه بر ضدّ برادرش نوشته بود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 فى الردّ على 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 خداوند او را از شرّ و حيله برادرش با آن هيبت ترسناكى كه داشت و حتى افراد اجنبى را هم ترسانده بود، سالم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بود كه هرگاه شخصى با او به مخالفت مى‌پرداخت يا بر او ردّيه‌اى مى‌نوشت و قدرت نداشت كه به طور علنى او را به قتل برساند، كسى را</w:t>
      </w:r>
      <w:bookmarkStart w:id="172" w:name="pg1706_17437"/>
    </w:p>
    <w:p>
      <w:pPr>
        <w:pStyle w:val="BookText"/>
        <w:rPr/>
      </w:pPr>
      <w:bookmarkEnd w:id="172"/>
      <w:r>
        <w:rPr>
          <w:rFonts w:ascii="IRNazanin" w:hAnsi="IRNazanin" w:eastAsia="IRNazanin"/>
          <w:color w:val="111111"/>
          <w:sz w:val="28"/>
          <w:sz w:val="28"/>
          <w:szCs w:val="28"/>
          <w:rtl w:val="true"/>
          <w:lang w:bidi="fa-IR"/>
        </w:rPr>
        <w:t>مى‌فرستاد تا در رختخوابش او را به قتل رساند يا شبانه او را در بازار ترور كند؛ زيرا كه او مخالفانش را تكفير كرده و كشتن آنان را حلال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كه ديوانه‌اى در شهرى بود و از عادت او اين بود كه با هركه روبرو مى‌شد به صورتش مى‌كوبيد گرچه با اسلحه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روزى به دست او شمشيرى داده و دستور داد تا بر برادرش سليمان كه در مسجد تنها بود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داخل مسجد كرد، و چون شيخ سليمان آن مرد ديوانه را ديد از او ترسيد و در آن هنگام او شمشير را از دستش انداخت و شروع به سخن كرد كه اى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تو در امانى، و اين كلام را تكرار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شكى نيست كه اين كار از كرامات شيخ سليمان به حساب مى‌آيد</w:t>
      </w:r>
      <w:r>
        <w:rPr>
          <w:rFonts w:eastAsia="IRNazanin" w:cs="IRNazanin"/>
          <w:color w:val="111111"/>
          <w:sz w:val="28"/>
          <w:szCs w:val="28"/>
          <w:rtl w:val="true"/>
          <w:lang w:bidi="fa-IR"/>
        </w:rPr>
        <w:t>.</w:t>
      </w:r>
    </w:p>
    <w:p>
      <w:pPr>
        <w:pStyle w:val="Heading3"/>
        <w:numPr>
          <w:ilvl w:val="2"/>
          <w:numId w:val="1"/>
        </w:numPr>
        <w:rPr/>
      </w:pPr>
      <w:bookmarkStart w:id="173" w:name="__RefHeading___Toc1588451_3650668749"/>
      <w:bookmarkStart w:id="174" w:name="_Toc67"/>
      <w:bookmarkEnd w:id="173"/>
      <w:r>
        <w:rPr/>
        <w:t>9</w:t>
      </w:r>
      <w:r>
        <w:rPr>
          <w:rtl w:val="true"/>
        </w:rPr>
        <w:t xml:space="preserve">. </w:t>
      </w:r>
      <w:r>
        <w:rPr>
          <w:rtl w:val="true"/>
        </w:rPr>
        <w:t>ابوحامد بن مرزوق‌</w:t>
      </w:r>
      <w:bookmarkEnd w:id="174"/>
    </w:p>
    <w:p>
      <w:pPr>
        <w:pStyle w:val="BookText"/>
        <w:rPr/>
      </w:pPr>
      <w:r>
        <w:rPr>
          <w:rFonts w:ascii="IRNazanin" w:hAnsi="IRNazanin" w:eastAsia="IRNazanin"/>
          <w:color w:val="111111"/>
          <w:sz w:val="28"/>
          <w:sz w:val="28"/>
          <w:szCs w:val="28"/>
          <w:rtl w:val="true"/>
          <w:lang w:bidi="fa-IR"/>
        </w:rPr>
        <w:t>او درباره محمّد بن عبدالوهاب مى‌گويد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ردّ بعض اتباع الأئمة الأربعة عليه و علي مقلّديه بتآليف كثيرة جيّدة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ردّ عليه من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اخوه سليمان بن عبدالوهاب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حنابلة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الشطّي و الشيخ عبدالقدّومي النابلسي في رحلته، و كلّها مطبوعة في ناحيتين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التوسل به و بالصالحين من امّته،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مقلّديه من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نصّ علي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المحقق السيد محمّد امين بن عابدين في حاشيته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 المحتار في الدر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البغاة، و الشيخ الصاوي المصري في حاشيته علي الجلالين؛</w:t>
      </w:r>
      <w:bookmarkStart w:id="175" w:name="pg1706_17438"/>
    </w:p>
    <w:p>
      <w:pPr>
        <w:pStyle w:val="BookText"/>
        <w:rPr/>
      </w:pPr>
      <w:bookmarkEnd w:id="175"/>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لتكفيره اهل لا اله الّا الله، محمّد رسول الله، 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لاشك انّ التكفير سمة الخوارج و كلّ المبتدعة الذين يكفرون مخالفي رأيهم من اهل القبلة </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پيروان امامان چهارگانه بر او و مقلّدانش با تأليفات زياد و كامل ردّ نوشته‌اند كه از جمله آنها از 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سليمان بن عبدالوهاب، و از حنابله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شطّى و شيخ عبدالقدومى نابلسى در رحله‌اش مى‌باشد، و تمام آنها در دو جنبه به طبع رسيده است؛ يكى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توسل به او و صالحان از امتش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عبدالوهاب با مقلّدانش از خوارج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جمله كسانى كه بر اين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وهابيان از خوارج‌اند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كرده علّامه محقق سيد محمّد امين بن عابدين در حاشيه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المحتار فى الدر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بغات، و نيز شيخ صاوى مصرى در حاشيه‌اش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محمّد بن عبدالوهاب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و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رأيش تكفير كرده است، و شكى نيست كه تكفير ديگران كار خوارج و هر بدعت‌گذارى است كه مخالفان رأى خود از اهل قبله را تكفير مى‌كنند </w:t>
      </w:r>
      <w:r>
        <w:rPr>
          <w:rFonts w:eastAsia="IRNazanin" w:cs="IRNazanin"/>
          <w:color w:val="111111"/>
          <w:sz w:val="28"/>
          <w:szCs w:val="28"/>
          <w:rtl w:val="true"/>
          <w:lang w:bidi="fa-IR"/>
        </w:rPr>
        <w:t>...</w:t>
      </w:r>
    </w:p>
    <w:p>
      <w:pPr>
        <w:pStyle w:val="Heading3"/>
        <w:numPr>
          <w:ilvl w:val="2"/>
          <w:numId w:val="1"/>
        </w:numPr>
        <w:rPr/>
      </w:pPr>
      <w:bookmarkStart w:id="176" w:name="__RefHeading___Toc1588453_3650668749"/>
      <w:bookmarkStart w:id="177" w:name="_Toc68"/>
      <w:bookmarkEnd w:id="176"/>
      <w:r>
        <w:rPr/>
        <w:t>10</w:t>
      </w:r>
      <w:r>
        <w:rPr>
          <w:rtl w:val="true"/>
        </w:rPr>
        <w:t xml:space="preserve">. </w:t>
      </w:r>
      <w:r>
        <w:rPr>
          <w:rtl w:val="true"/>
        </w:rPr>
        <w:t>شيخ محمّد بن سليمان كردى، از اساتيد محمّد بن عبدالوهاب‌</w:t>
      </w:r>
      <w:bookmarkEnd w:id="177"/>
    </w:p>
    <w:p>
      <w:pPr>
        <w:pStyle w:val="BookText"/>
        <w:rPr/>
      </w:pPr>
      <w:r>
        <w:rPr>
          <w:rFonts w:ascii="IRNazanin" w:hAnsi="IRNazanin" w:eastAsia="IRNazanin"/>
          <w:color w:val="111111"/>
          <w:sz w:val="28"/>
          <w:sz w:val="28"/>
          <w:szCs w:val="28"/>
          <w:rtl w:val="true"/>
          <w:lang w:bidi="fa-IR"/>
        </w:rPr>
        <w:t>مفتى مكه سيد احمد بن زينى دحلان از او نقل كرده كه در ردّ محمّد بن عبدالوهاب خطاب به او مى‌گويد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يابن عبدالوهاب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 من اتبع الهدي، فانّي انصحك لله ان</w:t>
      </w:r>
      <w:bookmarkStart w:id="178" w:name="pg1706_17439"/>
    </w:p>
    <w:p>
      <w:pPr>
        <w:pStyle w:val="BookText"/>
        <w:rPr/>
      </w:pPr>
      <w:bookmarkEnd w:id="178"/>
      <w:r>
        <w:rPr>
          <w:rFonts w:ascii="Amiri" w:hAnsi="Amiri" w:eastAsia="Amiri" w:cs="Amiri"/>
          <w:color w:val="111111"/>
          <w:sz w:val="28"/>
          <w:sz w:val="28"/>
          <w:szCs w:val="28"/>
          <w:rtl w:val="true"/>
          <w:lang w:bidi="ar-SA"/>
        </w:rPr>
        <w:t xml:space="preserve">تكفّ لسانك عن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لاسبيل لك الي تكفير السواد الأعظم من المسلمين و انت شاذّ عن السواد الأعظم، فنسبة الكفر الي من شذّ عن السواد الأعظم اقرب؛ لانّه اتبع غير سبيل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يُشاقِقِ الرَّسُولَ مِنْ بَعْدِ ما تَبَيَّنَ لَهُ الْهُدى وَ يَتَّبِعْ غَيْرَ سَبِيلِ الْمُؤْمِنِينَ نُوَلِّهِ ما تَوَلَّى وَ نُصْلِهِ جَهَنَّمَ وَ ساءَتْ مَصِيراً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انّما يأكل الذنب من الغنم القاضية</w:t>
      </w:r>
      <w:r>
        <w:rPr>
          <w:rFonts w:eastAsia="Amiri" w:cs="Amiri" w:ascii="Amiri" w:hAnsi="Amiri"/>
          <w:color w:val="111111"/>
          <w:sz w:val="28"/>
          <w:szCs w:val="28"/>
          <w:rtl w:val="true"/>
          <w:lang w:bidi="ar-SA"/>
        </w:rPr>
        <w:t xml:space="preserve">. </w:t>
      </w:r>
      <w:r>
        <w:rPr>
          <w:rStyle w:val="FootnoteAnchor"/>
          <w:rtl w:val="true"/>
        </w:rPr>
        <w:footnoteReference w:id="98"/>
      </w:r>
      <w:r>
        <w:rPr>
          <w:rFonts w:ascii="IRNazanin" w:hAnsi="IRNazanin" w:eastAsia="IRNazanin"/>
          <w:color w:val="111111"/>
          <w:sz w:val="28"/>
          <w:sz w:val="28"/>
          <w:szCs w:val="28"/>
          <w:rtl w:val="true"/>
          <w:lang w:bidi="fa-IR"/>
        </w:rPr>
        <w:t>اى فرزند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هركسى كه از هدايت پيروى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خاطر خدا تو را نصيحت مى‌كنم كه زبانت را از مسلمانان بازدارى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نمى‌توانى و حق ندارى عموم مسلمين را تكفير كنى؛ زيرا تو يك فرد از اين امتى و نسبت كفر به كسى كه از عموم مسلمانان خارج شده به واقع نزديك‌تر است؛ زيرا كه او از غير راه مومنين پيروى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بعد از آشكار شدن حق از پيامبر مخالفت كند و از راهى جز راه مؤمنان پيروى نمايد ما او را به همان راهى كه مى‌رود مى‌بريم و او را به دوزخ داخل مى‌كنيم و سرانجام 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گرگ گوسفند وامانده را مى‌خورد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وامانده از امتى</w:t>
      </w:r>
      <w:r>
        <w:rPr>
          <w:rFonts w:eastAsia="IRNazanin" w:cs="IRNazanin"/>
          <w:color w:val="111111"/>
          <w:sz w:val="28"/>
          <w:szCs w:val="28"/>
          <w:rtl w:val="true"/>
          <w:lang w:bidi="fa-IR"/>
        </w:rPr>
        <w:t>).</w:t>
      </w:r>
    </w:p>
    <w:p>
      <w:pPr>
        <w:pStyle w:val="Heading3"/>
        <w:numPr>
          <w:ilvl w:val="2"/>
          <w:numId w:val="1"/>
        </w:numPr>
        <w:rPr/>
      </w:pPr>
      <w:bookmarkStart w:id="179" w:name="__RefHeading___Toc1588455_3650668749"/>
      <w:bookmarkStart w:id="180" w:name="_Toc69"/>
      <w:bookmarkEnd w:id="179"/>
      <w:r>
        <w:rPr/>
        <w:t>11</w:t>
      </w:r>
      <w:r>
        <w:rPr>
          <w:rtl w:val="true"/>
        </w:rPr>
        <w:t xml:space="preserve">. </w:t>
      </w:r>
      <w:r>
        <w:rPr>
          <w:rtl w:val="true"/>
        </w:rPr>
        <w:t>محمّد فقيه بن عبدالجبار جاوى‌</w:t>
      </w:r>
      <w:bookmarkEnd w:id="180"/>
    </w:p>
    <w:p>
      <w:pPr>
        <w:pStyle w:val="BookText"/>
        <w:rPr/>
      </w:pPr>
      <w:r>
        <w:rPr>
          <w:rFonts w:ascii="IRNazanin" w:hAnsi="IRNazanin" w:eastAsia="IRNazanin"/>
          <w:color w:val="111111"/>
          <w:sz w:val="28"/>
          <w:sz w:val="28"/>
          <w:szCs w:val="28"/>
          <w:rtl w:val="true"/>
          <w:lang w:bidi="fa-IR"/>
        </w:rPr>
        <w:t>او درباره محمّد بن عبدالوهاب مى‌گويد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اوّل امره مولعاً بمطالعة اخبار من ادعي النبوة كاذباً كمسيلمة الكذّاب و سجاح و الأسود العنسي و طليحة الأسدي و</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اضرابهم، فكان يضمر في نفسه دعوي النبوة، و لو امكنه اظهار هذه الدعوي لأظهرها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تبعه احد و كان قد حجّ حجة الاسلام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ثانياً فانّ حجّتك الأولي فعلتها و انت مشرك فلاتقبل، ولاتسقط عنك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اراد احد ان يدخل في دينه يقول له بعد الاتيان بالشهادتين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علي نفسك انّك كنت كافراً و اشهد علي والديك انّهما ماتا كافرين، و اشهد علي فلان و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يسمي له جماعة من اكابر العلماء الماضين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كانوا كفاراً، فان شهدوا قَبِلَهم و الّا امر بقتلهم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يصرّح بتكفير الأمة من منذ ستمائة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يكفّر كلّ من لايتبعه و ان كان من اتقي المتقين، فيسمّيهم مشركين و يستحلّ دماءهم و اموالهم، و يثبت الايمان لمن اتبعه و ان كان من افسق الفاسقين، و كان ينتقص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بعبارات مختلفة و يزعم انّ قصده المحافظة علي التوحيد</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ابتداى عمرش حرص فراوانى به مطالعه اخبار مدعيان دروغين نبوت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مسيلمه كذّاب، سجاح، اسود عنسى، طلحه اسدى و امثالآنها داشت، و لذا در ذهنش ادعاى نبوت را مى‌پروراند و اگر مى‌توانست كه چنين ادعايى كند آن را اظهار مى‌داشت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كسى پيرو او مى‌شد در حالى كه حجّ واجب را انجام داده بود به او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حجّ به جاى آور؛ چرا كه حجّ اول را كه انجام دادى در حال شرك بودى و لذا قبول نمى‌باشد و واجب را از گردنت ساقط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كسى مى‌خواست</w:t>
      </w:r>
      <w:bookmarkStart w:id="181" w:name="pg1706_17441"/>
    </w:p>
    <w:p>
      <w:pPr>
        <w:pStyle w:val="BookText"/>
        <w:rPr/>
      </w:pPr>
      <w:bookmarkEnd w:id="181"/>
      <w:r>
        <w:rPr>
          <w:rFonts w:ascii="IRNazanin" w:hAnsi="IRNazanin" w:eastAsia="IRNazanin"/>
          <w:color w:val="111111"/>
          <w:sz w:val="28"/>
          <w:sz w:val="28"/>
          <w:szCs w:val="28"/>
          <w:rtl w:val="true"/>
          <w:lang w:bidi="fa-IR"/>
        </w:rPr>
        <w:t>وارد دينش شود بعد از ذكر شهادتين به او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خودت گواهى بده كه قبلًا كافر بودى و نيز بر پدر و مادرت گواهى بده كه با كفر از دنيا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بر فلان شخص و فلان شخص گواهى بده كه كافر بوده‌اند، و اسم آنان كه جماعتى از بزرگان علماى پيشين بود را به زبان جارى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چنين گواهى مى‌داد او را مى‌پذيرفت وگرنه دستور مى‌داد تا او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تصريح مى‌كرد كه امت اسلام ششصد سال كافر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هر كسى را كه از او پيروى نمى‌كرد تكفير مى‌نمود گرچه از بهترين پرهيزكاران به حساب مى‌آمد و آنها را مشرك مى‌ناميد و خون‌ها و اموالشان را مباح مى‌كرد، و تنها ايمان را براى كسانى ثابت مى‌دانست كه از او پيروى كنند گرچه از بدترين افراد به حساب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بسيارى از موارد با عبارات گوناگون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وارد مى‌كرد و گمان مى‌كرد كه قصد و هدفش محافظت از توحيد است</w:t>
      </w:r>
      <w:r>
        <w:rPr>
          <w:rFonts w:eastAsia="IRNazanin" w:cs="IRNazanin"/>
          <w:color w:val="111111"/>
          <w:sz w:val="28"/>
          <w:szCs w:val="28"/>
          <w:rtl w:val="true"/>
          <w:lang w:bidi="fa-IR"/>
        </w:rPr>
        <w:t>.</w:t>
      </w:r>
    </w:p>
    <w:p>
      <w:pPr>
        <w:pStyle w:val="Heading3"/>
        <w:numPr>
          <w:ilvl w:val="2"/>
          <w:numId w:val="1"/>
        </w:numPr>
        <w:rPr/>
      </w:pPr>
      <w:bookmarkStart w:id="182" w:name="__RefHeading___Toc1588457_3650668749"/>
      <w:bookmarkStart w:id="183" w:name="_Toc70"/>
      <w:bookmarkEnd w:id="182"/>
      <w:r>
        <w:rPr/>
        <w:t>12</w:t>
      </w:r>
      <w:r>
        <w:rPr>
          <w:rtl w:val="true"/>
        </w:rPr>
        <w:t xml:space="preserve">. </w:t>
      </w:r>
      <w:r>
        <w:rPr>
          <w:rtl w:val="true"/>
        </w:rPr>
        <w:t>شيخ عبدالله هروى‌</w:t>
      </w:r>
      <w:bookmarkEnd w:id="183"/>
    </w:p>
    <w:p>
      <w:pPr>
        <w:pStyle w:val="BookText"/>
        <w:rPr/>
      </w:pPr>
      <w:r>
        <w:rPr>
          <w:rFonts w:ascii="Amiri" w:hAnsi="Amiri" w:eastAsia="Amiri" w:cs="Amiri"/>
          <w:color w:val="111111"/>
          <w:sz w:val="28"/>
          <w:sz w:val="28"/>
          <w:szCs w:val="28"/>
          <w:rtl w:val="true"/>
          <w:lang w:bidi="ar-SA"/>
        </w:rPr>
        <w:t>شيخ عبدالله هروى معروف به حَبَشى درباره محمّد بن عبدالوهاب مى‌نويسد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ظهر بدعوة ممزوجة بأفكار منه زعم انّها من الكتاب و السنة، و اخذ بدع تقي الدين احمدبن تيمية فأحياها؛ و هي تحريم التوسل بالنبي و تحريم السفر لزيارة قبر الرسول و غيره من الأنبياء و الصالحين بقصد الدعاء هناك رجاء الإجابة من الله،</w:t>
      </w:r>
      <w:bookmarkStart w:id="184" w:name="pg1706_17442"/>
    </w:p>
    <w:p>
      <w:pPr>
        <w:pStyle w:val="BookText"/>
        <w:rPr/>
      </w:pPr>
      <w:bookmarkEnd w:id="184"/>
      <w:r>
        <w:rPr>
          <w:rFonts w:ascii="Amiri" w:hAnsi="Amiri" w:eastAsia="Amiri" w:cs="Amiri"/>
          <w:color w:val="111111"/>
          <w:sz w:val="28"/>
          <w:sz w:val="28"/>
          <w:szCs w:val="28"/>
          <w:rtl w:val="true"/>
          <w:lang w:bidi="ar-SA"/>
        </w:rPr>
        <w:t>و تكفير من ينادي 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أو يا محمّد أو يا علي </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دعوتى ظهور كرد كه با افكارى مخلوط بود كه گمان مى‌كرد از قرآن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بود كه بدعت‌هاى تقى الدين احمد بن تيميه را گرفته و آنها را احيا نمود؛ از قبيل تحريم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تحريم سفر به جهت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او از انبياء و صالحان به قصد دعا در آن مكان به اميد اجابت از جانب خدا، و تكفير كسى كه اين‌گونه ندا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w:t>
      </w:r>
    </w:p>
    <w:p>
      <w:pPr>
        <w:pStyle w:val="Heading3"/>
        <w:numPr>
          <w:ilvl w:val="2"/>
          <w:numId w:val="1"/>
        </w:numPr>
        <w:rPr/>
      </w:pPr>
      <w:bookmarkStart w:id="185" w:name="__RefHeading___Toc1588459_3650668749"/>
      <w:bookmarkStart w:id="186" w:name="_Toc71"/>
      <w:bookmarkEnd w:id="185"/>
      <w:r>
        <w:rPr/>
        <w:t>13</w:t>
      </w:r>
      <w:r>
        <w:rPr>
          <w:rtl w:val="true"/>
        </w:rPr>
        <w:t xml:space="preserve">. </w:t>
      </w:r>
      <w:r>
        <w:rPr>
          <w:rtl w:val="true"/>
        </w:rPr>
        <w:t>شيخ محمّد طاهر يوسف تيجانى مالكى اشعرى‌</w:t>
      </w:r>
      <w:bookmarkEnd w:id="186"/>
    </w:p>
    <w:p>
      <w:pPr>
        <w:pStyle w:val="BookText"/>
        <w:rPr/>
      </w:pPr>
      <w:r>
        <w:rPr>
          <w:rFonts w:ascii="IRNazanin" w:hAnsi="IRNazanin" w:eastAsia="IRNazanin"/>
          <w:color w:val="111111"/>
          <w:sz w:val="28"/>
          <w:sz w:val="28"/>
          <w:szCs w:val="28"/>
          <w:rtl w:val="true"/>
          <w:lang w:bidi="fa-IR"/>
        </w:rPr>
        <w:t>او درباره معتقدات وهابيان مى‌گويد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معتقداتهم الباطلة المهلكة لهم انّهم يعتقدون بانّ كلّ من زار قبر سيدنا محمّد ليردّ عليه السلام و يتوسل به فانّهم يحكمون عليه بالكفر و الشرك؛ لاعتقادهم انّ الزيارة للقبر الشريف و ردّ السلام لساكنه و التوسل به عبادة للقبر، فويل لمن يعتقد ذلك، و لايوجد احد علي وجه الارض من المسلمين بل و من الكفّار جميعاً بان يعتقد مرتبة الألوهية او الربوبية في مخلوق قطّ ما عدا محمّد بن عبدالوهاب الذي اتخذ الهه هواه و اضلّه الله علي علم و ختم علي سمعه و قلبه و جعل علي بصره غشاوة بتغييره و تحريفه للقرآن و الحديث مع تنقيصه الأنبياء و المرسلين و</w:t>
      </w:r>
    </w:p>
    <w:p>
      <w:pPr>
        <w:pStyle w:val="BookText"/>
        <w:rPr/>
      </w:pPr>
      <w:r>
        <w:rPr>
          <w:rFonts w:ascii="Amiri" w:hAnsi="Amiri" w:eastAsia="Amiri" w:cs="Amiri"/>
          <w:color w:val="111111"/>
          <w:sz w:val="28"/>
          <w:sz w:val="28"/>
          <w:szCs w:val="28"/>
          <w:rtl w:val="true"/>
          <w:lang w:bidi="ar-SA"/>
        </w:rPr>
        <w:t xml:space="preserve">الأولياء و الصالحين، و تنقيصهم تعمّداً كفر باجماع الأئمة الأربعة، و لاسيّما تنقيص سيّدنا محمّد، و انّ محمّد بن عبدالوهاب اصله من قبيلة تميم و هي اكبر قبيلة آذت الرسول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محمّد بن عبدالوهاب كان مغضوب الوالد و المشايخ والأهل، و كان يطرد من بلد اذا بدا وعظه و ارشاده و اظهار عقيدته الفاسدة ذليلا حقيراً مهاناً، الي ان وصل إلي بلد اهلها بادية و رعاة بهائم، و لايفقهون شيئاً في الدين، و اثر فيهم بهذه العقيدة و اضلّهم و تعاونوا معه، و بهم قد تمكن من نشر دينه الجديد و كفّره علماء مكّة و منع من الحجّ </w:t>
      </w:r>
      <w:r>
        <w:rPr>
          <w:rFonts w:eastAsia="Amiri" w:cs="Amiri" w:ascii="Amiri" w:hAnsi="Amiri"/>
          <w:color w:val="111111"/>
          <w:sz w:val="28"/>
          <w:szCs w:val="28"/>
          <w:rtl w:val="true"/>
          <w:lang w:bidi="ar-SA"/>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از اعتقادات باطل و مهلك وهابيان آن است كه آنان معتقدند به اينكه هر كسى كه به زيارت قبر سيد 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تا بر او درود فرستاده و به او توسل جويد، او محكوم به كفر و شرك است؛ به جهت آنكه زيارت قبر شريف حضرت و ردّ سلام بر ساكن آن و توسل به او را عبادت قبر به شمار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واى بر كسى كه چنين اعتقادى را دارد، و هرگز كسى از مسلمانان در روى زمين چنين اعتقادى را ندارد، بلكه حتى از كفّار كسى اين عقيده را ندارد كه مرتبه الوهيت يا ربوبيت براى مخلوق است، جز محمّد بن عبدالوهاب كه خداى خود را هواى نفسش قرار داده و خداوند او را با وجود علم گمراه كرده و بر گوش و قلبش مهر كرده و بر چشمش پرده‌اى قرار داده است؛ زيرا قرآن و حديث را تغيير و تحريف داده و به انبياء مرسلين و اوليا و صالحان نقص وارد كرده</w:t>
      </w:r>
      <w:bookmarkStart w:id="187" w:name="pg1706_17444"/>
    </w:p>
    <w:p>
      <w:pPr>
        <w:pStyle w:val="BookText"/>
        <w:rPr/>
      </w:pPr>
      <w:bookmarkEnd w:id="187"/>
      <w:r>
        <w:rPr>
          <w:rFonts w:ascii="IRNazanin" w:hAnsi="IRNazanin" w:eastAsia="IRNazanin"/>
          <w:color w:val="111111"/>
          <w:sz w:val="28"/>
          <w:sz w:val="28"/>
          <w:szCs w:val="28"/>
          <w:rtl w:val="true"/>
          <w:lang w:bidi="fa-IR"/>
        </w:rPr>
        <w:t>است، و مى‌دانيم كه نقص وارد كردن به آنها از روى عمد به اجماع امامان چهارگانه كفر است، خصوصاً وارد كردن نقص به آقاى ما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مى‌دانيم كه محمّد بن عبدالوهاب اصلش از قبيله تميم است، بزرگ‌ترين قبيله‌اى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آزار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محمّد بن عبدالوهاب مورد غضب پدر و اساتيد و اهل خود بود و هنگامى كه موعظه‌ها و ارشادات و عقايد فاسدش اظهار مى‌شد او را از شهرى به شهر ديگر با ذلت و حقارت و اهانت طرد مى‌نمودند تا آنكه به شهر اهل خود رسيد كه همگى باديهِ‌نشين و حيوان چران بودند و هيچ چيز از دين نمى‌دانستند، و لذا عقيده او در آنها تأثير گذاشته و آنان را گمراه كرد، و همگى او را در آن راه كمك كردند، و لذا با كمك و مساعدت آنها توانست دين جديد خود را منتشر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حال بود كه علماى مكه او را تكفير كرده و از حج منعش نمودند </w:t>
      </w:r>
      <w:r>
        <w:rPr>
          <w:rFonts w:eastAsia="IRNazanin" w:cs="IRNazanin"/>
          <w:color w:val="111111"/>
          <w:sz w:val="28"/>
          <w:szCs w:val="28"/>
          <w:rtl w:val="true"/>
          <w:lang w:bidi="fa-IR"/>
        </w:rPr>
        <w:t>...</w:t>
      </w:r>
    </w:p>
    <w:p>
      <w:pPr>
        <w:pStyle w:val="Heading3"/>
        <w:numPr>
          <w:ilvl w:val="2"/>
          <w:numId w:val="1"/>
        </w:numPr>
        <w:rPr/>
      </w:pPr>
      <w:bookmarkStart w:id="188" w:name="__RefHeading___Toc1588461_3650668749"/>
      <w:bookmarkStart w:id="189" w:name="_Toc72"/>
      <w:bookmarkEnd w:id="188"/>
      <w:r>
        <w:rPr/>
        <w:t>14</w:t>
      </w:r>
      <w:r>
        <w:rPr>
          <w:rtl w:val="true"/>
        </w:rPr>
        <w:t xml:space="preserve">. </w:t>
      </w:r>
      <w:r>
        <w:rPr>
          <w:rtl w:val="true"/>
        </w:rPr>
        <w:t>شيخ عبد بن الحاج وصيف‌</w:t>
      </w:r>
      <w:bookmarkEnd w:id="189"/>
    </w:p>
    <w:p>
      <w:pPr>
        <w:pStyle w:val="BookText"/>
        <w:rPr/>
      </w:pPr>
      <w:r>
        <w:rPr>
          <w:rFonts w:ascii="IRNazanin" w:hAnsi="IRNazanin" w:eastAsia="IRNazanin"/>
          <w:color w:val="111111"/>
          <w:sz w:val="28"/>
          <w:sz w:val="28"/>
          <w:szCs w:val="28"/>
          <w:rtl w:val="true"/>
          <w:lang w:bidi="fa-IR"/>
        </w:rPr>
        <w:t>او كه از علماى شافعى مصر است درباره وهابيان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وقد قام الوهابيون النجديون و اشياعهم الجاهلون في زماننا هذا بنشر الفتنة في دين الاسلام في كلّ مكان و انكار ما عليه عمل الأئمة الأعلام، فقد وجب علينا بيان اصلهم و السبب الداعي الي ابتداعهم، كما شرعنا بتوفيق الله في تأليف كتاب للردّ عليهم سمّيناه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ضلالات الوهابيّين و جهالة المتوهبين</w:t>
      </w:r>
      <w:r>
        <w:rPr>
          <w:rFonts w:eastAsia="Amiri" w:cs="Amiri" w:ascii="Amiri" w:hAnsi="Amiri"/>
          <w:color w:val="111111"/>
          <w:sz w:val="28"/>
          <w:szCs w:val="28"/>
          <w:rtl w:val="true"/>
          <w:lang w:bidi="ar-SA"/>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والوهابيون قوم من اجلاف العرب و حمقاهم، اتباع محمّد بن</w:t>
      </w:r>
    </w:p>
    <w:p>
      <w:pPr>
        <w:pStyle w:val="BookText"/>
        <w:rPr/>
      </w:pPr>
      <w:r>
        <w:rPr>
          <w:rFonts w:ascii="Amiri" w:hAnsi="Amiri" w:eastAsia="Amiri" w:cs="Amiri"/>
          <w:color w:val="111111"/>
          <w:sz w:val="28"/>
          <w:sz w:val="28"/>
          <w:szCs w:val="28"/>
          <w:rtl w:val="true"/>
          <w:lang w:bidi="ar-SA"/>
        </w:rPr>
        <w:t xml:space="preserve">عبدالوهاب النجدي المشرقي المبتدع الضالّ المضلّ، اتبعه حينما نشر مبادءة السخيفة فيهم تبعيّة عمياء، و ليس عندهم يومئذ من قوّة التكفير الصحيح و لامن المرونة السياسية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نشأ بين ابوين صالحين، بل كان والده الشيخ عبدالوهاب مع صلاحه من خيرة العلماء الأجلّاء المحبين للعلم و نشره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اجل هذا انفد ولده محمد المذكور الي مدينة الرسول ليأخذ العلم عن شيوخها، فمكث فيها ذلك الولد النحس مدة غضب الله عليه فيها و نفت المدينة خبثها، فتلقي الي مكّة المكرمة يتلقي دروس العلم عن شيوخها و لازم من افاضلهم الشيخ محمّد بن سليمان الكردي و الشيخ محمّد حياة السندي الحنفي، الّا انّ شيوخه في كل زمان و مكان كانت تلهج بذمه و السخط عليه و التحذير منه؛ لما عرفوا فيه من الحاد و مروق بيّنين واضحين </w:t>
      </w:r>
      <w:r>
        <w:rPr>
          <w:rFonts w:eastAsia="Amiri" w:cs="Amiri" w:ascii="Amiri" w:hAnsi="Amiri"/>
          <w:color w:val="111111"/>
          <w:sz w:val="28"/>
          <w:szCs w:val="28"/>
          <w:rtl w:val="true"/>
          <w:lang w:bidi="ar-SA"/>
        </w:rPr>
        <w:t xml:space="preserve">... </w:t>
      </w:r>
      <w:r>
        <w:rPr>
          <w:rStyle w:val="FootnoteAnchor"/>
          <w:rtl w:val="true"/>
        </w:rPr>
        <w:footnoteReference w:id="102"/>
      </w:r>
      <w:r>
        <w:rPr>
          <w:rFonts w:ascii="IRNazanin" w:hAnsi="IRNazanin" w:eastAsia="IRNazanin"/>
          <w:color w:val="111111"/>
          <w:sz w:val="28"/>
          <w:sz w:val="28"/>
          <w:szCs w:val="28"/>
          <w:rtl w:val="true"/>
          <w:lang w:bidi="fa-IR"/>
        </w:rPr>
        <w:t>آگاه باشيد كه وهابيان نجدى و پيروان جاهل آنها در اين زمان به گسترش فتنه در دين اسلام در هر مكان قيام كرده و آنچه را كه ائمه اعلام بر آن اجماع كرده انكار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بر ما واجب است كه اصل آنها را بيان كرده و انگيزه بدعتِ‌گذارى آنها را براى مردم بازگو كنيم، همان‌گونه كه به توفيق خدا شروع به تأليف كتابى در ردّ آنها كرده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ضلالات الوهابيين و جهالة المتوهبين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ناميديم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وهابيان گروهى از عرب‌هاى بىِ‌فرهنگ و احمق‌اند كه از محمّدبن عبدالوهاب، نجدى مشرقى، بدعت‌گذار، گمراه و گمراه‌كننده پيروى</w:t>
      </w:r>
      <w:bookmarkStart w:id="190" w:name="pg1706_17446"/>
    </w:p>
    <w:p>
      <w:pPr>
        <w:pStyle w:val="BookText"/>
        <w:rPr/>
      </w:pPr>
      <w:bookmarkEnd w:id="190"/>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مى‌كنند، و هنگامى كه اصول نادرست خود را در ميان آنان منتشر كرد مردم از او كوركورانه تبعيت نمودند، و آنان در آن روز قدرت تفكّر صحيح و درك سياسى قوى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عبدالوهاب از پدر و مادر صالح به دنيا آمد، بلكه پدرش شيخ عبدالوهاب با صالح بودنش از علماى اخيار و جليل القدر و دوستدار علم و نشر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فرزندش محمّد را به مدينه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كسب علم از اساتيد آن ديار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فرزند نحس در آن ديار مدتى درنگ كرد، ولى خداوند بر او در آن شهر غضب نمود و مدينه خود را از لوث وجود خبيث او پاك كرد، و لذا به سوى مكه مكرّمه رفت و دروس علم را از اساتيد آن ديار فراگرفت و با بزرگان آن شهر امثال شيخ محمّد بن سليمان كردى و شيخ محمّد حيات سندى حنفى ملازم شد، ولى اساتيد او در هر زمان و مكان صريحاً او را مذمت و سرزنش كرده و از او به غضب مى‌آمدند و مردم را از او برحذر مى‌داشتند؛ زيرا در وجود او آثار الحاد و خروج از دين به طور آشكار و واضح مى‌يافتند </w:t>
      </w:r>
      <w:r>
        <w:rPr>
          <w:rFonts w:eastAsia="IRNazanin" w:cs="IRNazanin"/>
          <w:color w:val="111111"/>
          <w:sz w:val="28"/>
          <w:szCs w:val="28"/>
          <w:rtl w:val="true"/>
          <w:lang w:bidi="fa-IR"/>
        </w:rPr>
        <w:t>...</w:t>
      </w:r>
    </w:p>
    <w:p>
      <w:pPr>
        <w:pStyle w:val="Heading3"/>
        <w:numPr>
          <w:ilvl w:val="2"/>
          <w:numId w:val="1"/>
        </w:numPr>
        <w:rPr/>
      </w:pPr>
      <w:bookmarkStart w:id="191" w:name="__RefHeading___Toc1588463_3650668749"/>
      <w:bookmarkStart w:id="192" w:name="_Toc73"/>
      <w:bookmarkEnd w:id="191"/>
      <w:r>
        <w:rPr/>
        <w:t>15</w:t>
      </w:r>
      <w:r>
        <w:rPr>
          <w:rtl w:val="true"/>
        </w:rPr>
        <w:t xml:space="preserve">. </w:t>
      </w:r>
      <w:r>
        <w:rPr>
          <w:rtl w:val="true"/>
        </w:rPr>
        <w:t>جميل صدقى زهاوى، حنفى‌</w:t>
      </w:r>
      <w:bookmarkEnd w:id="192"/>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الوهابية فرقة منسوبة إلي محمّد بن عبدالوهاب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ابتداء ظهور محمّد هذا كان سنة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انّما اشتهر امره بعد الخمسين، فاظهر عقيدته الزائفة في نجد، و ساعده علي اظهارها محمّد بن سعود امير الدرعية بلاد مسيلمة الكذّاب، مجبراً اهلها علي متابعة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ابن عبدالوهاب هذا، فتابعوه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مازال ينخدع له في هذا الأمر حي بعد حي من احياء العرب حتي عمّت فتنته، و كبرت شهرته </w:t>
      </w:r>
      <w:r>
        <w:rPr>
          <w:rFonts w:eastAsia="Amiri" w:cs="Amiri" w:ascii="Amiri" w:hAnsi="Amiri"/>
          <w:color w:val="111111"/>
          <w:sz w:val="28"/>
          <w:szCs w:val="28"/>
          <w:rtl w:val="true"/>
          <w:lang w:bidi="ar-SA"/>
        </w:rPr>
        <w:t xml:space="preserve">... </w:t>
      </w:r>
      <w:r>
        <w:rPr>
          <w:rStyle w:val="FootnoteAnchor"/>
          <w:rtl w:val="true"/>
        </w:rPr>
        <w:footnoteReference w:id="103"/>
      </w:r>
      <w:r>
        <w:rPr>
          <w:rFonts w:ascii="IRNazanin" w:hAnsi="IRNazanin" w:eastAsia="IRNazanin"/>
          <w:color w:val="111111"/>
          <w:sz w:val="28"/>
          <w:sz w:val="28"/>
          <w:szCs w:val="28"/>
          <w:rtl w:val="true"/>
          <w:lang w:bidi="fa-IR"/>
        </w:rPr>
        <w:t xml:space="preserve">وهابيت فرقه‌اى است منسوب به محمّد بن عبدالوهاب كه ابتدا ظهور او در سال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 و امرش بعد از سال پنجاه مشهور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عقيده باطل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نمود و محمّد بن سعود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مسيلمه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آن عقايد مساعدت كرد و اهالى آن شهرها را بر پيروى ابن عبدالوهاب مجبور نمود و مردم نيز از او پيروى كردند، و همين طور قبيله‌هاى عرب يكى پس از ديگرى گول او را خوردند تا آنكه فتنه او فراگير شده و شهرتش همه جا را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همچنين مى‌گويد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اخذ عنه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سليمان الكردي و الشيخ محمّد حياة السندي، و كان الشيخان المذكوران و غيرهما من المشايخ الذين اخذ عنهم يتفرّسون فيه الغواية و الإلحاد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سيضلّ الله تعالي هذا و يظلّ به من اشقاه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الامر كذلك، و كانابوه عبدالوهاب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العلماء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يتفرّسفيه الإلحاد و يحذّر الناس منه، و كذلك اخوه الشيخ سليمان </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كسانى كه محمّد بن عبدالوهاب در مدينه از او علم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فراگرفته شيخ محمّد بن سليمان كردى و شيخ محمّد حيات سندى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استاد و ديگر كسانى كه او از آنان علم فرا گرفت همگى در او گمراهى و الحاد را به زيركى فهميدند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كه خداوند متعال او را گمراه كرده و افراد شقى از بندگانش را به سبب او گمراه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طور نيز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پدرش عبدالوهاب كه از علماى صالح بود و برادرش شيخ سليمان به زيركى در او الحاد را يافته بودند و لذا مردم را از او برحذر مى‌داشتند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مى‌گويد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قاتل الله الوهابية، انّها تتحرّي في كلّ امر تكفير المسلمين ممّا يثبت انّ همّها الأكبر هو تكفيرهم لاغير، فتراها تكفّر من يتوسّل الي الله تعالي بنبيّه و يستعين باستشفاعه الي الله تعالي علي قضاء حوائجه، و هي لاتخجل اذ تستعين بدولة الكفر علي قضاء حاجتها التي هي قهر المسلمين و حربهم و شق عصاهم</w:t>
      </w:r>
      <w:r>
        <w:rPr>
          <w:rFonts w:eastAsia="Amiri" w:cs="Amiri" w:ascii="Amiri" w:hAnsi="Amiri"/>
          <w:color w:val="111111"/>
          <w:sz w:val="28"/>
          <w:szCs w:val="28"/>
          <w:rtl w:val="true"/>
          <w:lang w:bidi="ar-SA"/>
        </w:rPr>
        <w:t xml:space="preserve">. </w:t>
      </w:r>
      <w:r>
        <w:rPr>
          <w:rStyle w:val="FootnoteAnchor"/>
          <w:rtl w:val="true"/>
        </w:rPr>
        <w:footnoteReference w:id="105"/>
      </w:r>
      <w:r>
        <w:rPr>
          <w:rFonts w:ascii="IRNazanin" w:hAnsi="IRNazanin" w:eastAsia="IRNazanin"/>
          <w:color w:val="111111"/>
          <w:sz w:val="28"/>
          <w:sz w:val="28"/>
          <w:szCs w:val="28"/>
          <w:rtl w:val="true"/>
          <w:lang w:bidi="fa-IR"/>
        </w:rPr>
        <w:t>خداوند وهابيت را بكشد كه در هركارى شروع به تكفير مسلمين مى‌كنند، گويا بزرگ‌ترين همّتشان تكفير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آنان را مى‌بينى كه افرادى را كه به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كرده و از شفاعت او در حاجاتشان نزد خداوند كمك مى‌گيرند را تكفير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خجالت نمى‌كشند كه چگونه از دولت كفر در بر آورده شدن حاجاتشان كمك مى‌خواهند، دولتى كه با مسلمانان دشمن بوده و با آنان در جنگ است و درصدد پراكنده كردن آنان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المملكة العربية السعودية، عبدالله الصالح العثيمين، رياض، مكتبة الابيكان،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نجد، عبدالله فيلبى، بيروت، المكتبة الاهلية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تبيين الحق و الصواب بالردّ على اتباع ابن عبدالوهاب، محمد توفيق سوقية الدمشقى، شام، مطبعة الفيحاء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التنديد بمن عدّد التوحيد، حسن بن على سقاف شافعى، چاپ دوم، دار الامام النووى،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التوسل بالنبى والصالحين، ابوحامد بن مرزوق، چاپ استانبول،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خلاصة الكلام فى بيان امراء البلد الحرام، طبع استانبول،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خلاصة الكلام فى بيان امراء البلدالحرام، چاپ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داعية وليس نبياً، حسن بن فرحان مالكى، دار الراضى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الدرر السنية، احمد بن زينى دحلان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الدرر السنية، عبدالرحمن بن محمد نجدى، چاپ هفتم،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دعاوى المناوئين، عبدالعزيز محمد بن على، چاپ اول، دار الوطن للنشر،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دعايات مكثفة ضد الشيخ محمد بن عبدالوهاب، هند، مكتبة الفرقان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السحب الوابلة على ضرائح الحنابلة، مجلة العرب، سال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صاروخ الغاره، شيخ محمد طاهر يوسف تيجانى مالكى اشعرى، چاپ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علماء نجد خلال ستة قرون، عبدالله بن عبدالرحمن بن صالح البسّام، مكه مكرمه، چاپ اول، مكتبة النهضة الحديثة،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عنوان المجد، ابن بشر نجدى، رياض، مكتبة الرياض الحديثه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الفجر الصادق فى الرد على الفرقه الوهابية المارقه، جميل صدقى الزهاوى، چاپ مصر،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الانام وجلاء الضلام فى ردّ شبه البدعى النجدى التى اضل بها العوام، علوى بن احمد بن حسن حداد، مصر، المطبعة العامرة،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النصوص الاسلامية فى الردّ على مذهب الوهابية، چاپ مصر،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اليقين فى مبحث الثقلين، شيخ عبد بن الحاج وصيف، چاپ مصر،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نجد، آلوسى؛ الصواعق الالهية، سليمان بن عبدالوهاب؛ فتنه الوهابية، زينى دحلان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جزيرة العرب فى القرن العشرين،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المملكة العربية السعودية،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المخطّطات الاستعمارية لمكافحة الاسلام،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المخطّطات الاستعمارية لمكافحة الاسلام،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المجد، ابن بشر،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نجد، عبدالله فيلبى،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چاپ المكتبة الاهلية، بيروت؛ عنوان المجد،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المجد،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فى بيان امراء البلد الحرام،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چاپ استانبول، سال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نجد،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چاپ دار الشروق، بيروت،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الدعوة الوهابية،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الدعوة الوهابية،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الدعوة الوهابية،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علماء نجد خلال ستة قرون، عبدالله بن عبدالرحمن بن صالح البسّام،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دعاوى المناوئين،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مجموعة مؤلفات محمد بن عبدالوهاب،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بن عبدالوهاب،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الالهية،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الإلهية،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الإلهية،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الإلهية،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الإلهية،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السنية فى الرد على الوهابية، احمد بن زينى دحلان،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الوهابيون و الحجاز، رشيد رضا،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السنية،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الشبهات،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الشبهات،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الشبهات،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الشبهات،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التنديد لمن عدّد التوحيد،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داعية و ليس نبياً، حسن بن فرحان مالكى،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السنية،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السنية،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السنية،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السنية،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السنية،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السنية،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السنية،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السنية،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دعاوى المناوئين،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علماء نجد،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دعاوى المناوئين،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الشيخ محمد بن عبدالوهب، حياته و فكره، العثيمين،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الأنام وجلاءالظلام فى ردّ شبه البدعى النجدى، علوى حداد،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الأنام،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الأنام،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 اختصار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الأنام،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الأنام،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الأنام،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الأنام،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السحب الوابلة، ص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علماء نجد،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دعاوى المناوئين،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علماء نجد،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النقاب،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دعاوى المناوئين،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دعايات مكثفة ضد الشيخ محمدبن عبدالوهاب،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چاپ مكتبة الفرقان، هند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السنية فى الردّ على الوهابية،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السنية فى الردّ على الوهابية،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السنية،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السنية،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الاسلاميه،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تبيين الحق والصواب،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السحب الوابلة على ضرائح الحنابلة،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التوسل بالنبى و بالصالحين،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چاپ استامبول،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فى بيان امراء البلد الحرام،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چاپ مصر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النصوص الاسلامية فى الردّ على مذهب الوهابية،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چاپ مصر،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السنية،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صاروخ الغارة،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چاپ سودان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نوراليقين فى مبحث التلقين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چاپ مصر،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الصادق،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چاپ مصر،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الصادق،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image" Target="media/image2.jpeg"/><Relationship Id="rId89" Type="http://schemas.openxmlformats.org/officeDocument/2006/relationships/image" Target="media/image2.jpeg"/><Relationship Id="rId90" Type="http://schemas.openxmlformats.org/officeDocument/2006/relationships/footer" Target="footer83.xml"/><Relationship Id="rId91" Type="http://schemas.openxmlformats.org/officeDocument/2006/relationships/footnotes" Target="footnotes.xml"/><Relationship Id="rId92" Type="http://schemas.openxmlformats.org/officeDocument/2006/relationships/numbering" Target="numbering.xml"/><Relationship Id="rId93" Type="http://schemas.openxmlformats.org/officeDocument/2006/relationships/fontTable" Target="fontTable.xml"/><Relationship Id="rId94" Type="http://schemas.openxmlformats.org/officeDocument/2006/relationships/settings" Target="settings.xml"/><Relationship Id="rId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87</Pages>
  <Words>16601</Words>
  <Characters>64160</Characters>
  <CharactersWithSpaces>80170</CharactersWithSpaces>
  <Paragraphs>771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2026-08-16T17:57:45Z</dcterms:created>
  <dc:creator>ghaemiyeh.com</dc:creator>
  <dc:description/>
  <dc:language>en-US</dc:language>
  <cp:lastModifiedBy/>
  <dcterms:modified xsi:type="dcterms:W3CDTF">2026-08-16T21:27:48Z</dcterms:modified>
  <cp:revision>1</cp:revision>
  <dc:subject/>
  <dc:title>محمد بن عبد الوهاب بنیانگذار وهابیت</dc:title>
</cp:coreProperties>
</file>

<file path=docProps/custom.xml><?xml version="1.0" encoding="utf-8"?>
<Properties xmlns="http://schemas.openxmlformats.org/officeDocument/2006/custom-properties" xmlns:vt="http://schemas.openxmlformats.org/officeDocument/2006/docPropsVTypes"/>
</file>