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بناء القبور و زیارتها رویه شرعیه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7547_365066874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97549_3650668749">
            <w:r>
              <w:rPr>
                <w:webHidden/>
                <w:rStyle w:val="IndexLink"/>
                <w:rtl w:val="true"/>
              </w:rPr>
              <w:t>كلمة المعهد</w:t>
            </w:r>
            <w:r>
              <w:rPr>
                <w:rStyle w:val="IndexLink"/>
                <w:rtl w:val="true"/>
              </w:rPr>
              <w:tab/>
            </w:r>
            <w:r>
              <w:rPr>
                <w:rStyle w:val="IndexLink"/>
              </w:rPr>
              <w:t>6</w:t>
            </w:r>
          </w:hyperlink>
        </w:p>
        <w:p>
          <w:pPr>
            <w:pStyle w:val="Contents2"/>
            <w:tabs>
              <w:tab w:val="clear" w:pos="8743"/>
              <w:tab w:val="right" w:pos="9026" w:leader="dot"/>
            </w:tabs>
            <w:rPr/>
          </w:pPr>
          <w:hyperlink w:anchor="__RefHeading___Toc897551_3650668749">
            <w:r>
              <w:rPr>
                <w:webHidden/>
                <w:rStyle w:val="IndexLink"/>
                <w:rtl w:val="true"/>
              </w:rPr>
              <w:t>مقدّمة المترجم</w:t>
            </w:r>
            <w:r>
              <w:rPr>
                <w:rStyle w:val="IndexLink"/>
                <w:rtl w:val="true"/>
              </w:rPr>
              <w:tab/>
            </w:r>
            <w:r>
              <w:rPr>
                <w:rStyle w:val="IndexLink"/>
              </w:rPr>
              <w:t>12</w:t>
            </w:r>
          </w:hyperlink>
        </w:p>
        <w:p>
          <w:pPr>
            <w:pStyle w:val="Contents2"/>
            <w:tabs>
              <w:tab w:val="clear" w:pos="8743"/>
              <w:tab w:val="right" w:pos="9026" w:leader="dot"/>
            </w:tabs>
            <w:rPr/>
          </w:pPr>
          <w:hyperlink w:anchor="__RefHeading___Toc897553_3650668749">
            <w:r>
              <w:rPr>
                <w:webHidden/>
                <w:rStyle w:val="IndexLink"/>
                <w:rtl w:val="true"/>
              </w:rPr>
              <w:t>مقدّمة المؤلّف</w:t>
            </w:r>
            <w:r>
              <w:rPr>
                <w:rStyle w:val="IndexLink"/>
                <w:rtl w:val="true"/>
              </w:rPr>
              <w:tab/>
            </w:r>
            <w:r>
              <w:rPr>
                <w:rStyle w:val="IndexLink"/>
              </w:rPr>
              <w:t>16</w:t>
            </w:r>
          </w:hyperlink>
        </w:p>
        <w:p>
          <w:pPr>
            <w:pStyle w:val="Contents2"/>
            <w:tabs>
              <w:tab w:val="clear" w:pos="8743"/>
              <w:tab w:val="right" w:pos="9026" w:leader="dot"/>
            </w:tabs>
            <w:rPr/>
          </w:pPr>
          <w:hyperlink w:anchor="__RefHeading___Toc897555_3650668749">
            <w:r>
              <w:rPr>
                <w:webHidden/>
                <w:rStyle w:val="IndexLink"/>
              </w:rPr>
              <w:t>١</w:t>
            </w:r>
            <w:r>
              <w:rPr>
                <w:rStyle w:val="IndexLink"/>
                <w:rtl w:val="true"/>
              </w:rPr>
              <w:t xml:space="preserve">. </w:t>
            </w:r>
            <w:r>
              <w:rPr>
                <w:rStyle w:val="IndexLink"/>
                <w:rtl w:val="true"/>
              </w:rPr>
              <w:t>زيارة القبور</w:t>
            </w:r>
            <w:r>
              <w:rPr>
                <w:rStyle w:val="IndexLink"/>
                <w:rtl w:val="true"/>
              </w:rPr>
              <w:tab/>
            </w:r>
            <w:r>
              <w:rPr>
                <w:rStyle w:val="IndexLink"/>
              </w:rPr>
              <w:t>18</w:t>
            </w:r>
          </w:hyperlink>
        </w:p>
        <w:p>
          <w:pPr>
            <w:pStyle w:val="Contents3"/>
            <w:tabs>
              <w:tab w:val="clear" w:pos="8459"/>
              <w:tab w:val="right" w:pos="9026" w:leader="dot"/>
            </w:tabs>
            <w:rPr/>
          </w:pPr>
          <w:hyperlink w:anchor="__RefHeading___Toc897557_3650668749">
            <w:r>
              <w:rPr>
                <w:webHidden/>
                <w:rStyle w:val="IndexLink"/>
                <w:rtl w:val="true"/>
              </w:rPr>
              <w:t>عرض الشبهة</w:t>
            </w:r>
            <w:r>
              <w:rPr>
                <w:rStyle w:val="IndexLink"/>
                <w:rtl w:val="true"/>
              </w:rPr>
              <w:tab/>
            </w:r>
            <w:r>
              <w:rPr>
                <w:rStyle w:val="IndexLink"/>
              </w:rPr>
              <w:t>18</w:t>
            </w:r>
          </w:hyperlink>
        </w:p>
        <w:p>
          <w:pPr>
            <w:pStyle w:val="Contents3"/>
            <w:tabs>
              <w:tab w:val="clear" w:pos="8459"/>
              <w:tab w:val="right" w:pos="9026" w:leader="dot"/>
            </w:tabs>
            <w:rPr/>
          </w:pPr>
          <w:hyperlink w:anchor="__RefHeading___Toc897559_3650668749">
            <w:r>
              <w:rPr>
                <w:webHidden/>
                <w:rStyle w:val="IndexLink"/>
                <w:rtl w:val="true"/>
              </w:rPr>
              <w:t>جواب هذه الشبهة</w:t>
            </w:r>
            <w:r>
              <w:rPr>
                <w:rStyle w:val="IndexLink"/>
                <w:rtl w:val="true"/>
              </w:rPr>
              <w:tab/>
            </w:r>
            <w:r>
              <w:rPr>
                <w:rStyle w:val="IndexLink"/>
              </w:rPr>
              <w:t>19</w:t>
            </w:r>
          </w:hyperlink>
        </w:p>
        <w:p>
          <w:pPr>
            <w:pStyle w:val="Contents4"/>
            <w:tabs>
              <w:tab w:val="clear" w:pos="8176"/>
              <w:tab w:val="right" w:pos="9026" w:leader="dot"/>
            </w:tabs>
            <w:rPr/>
          </w:pPr>
          <w:hyperlink w:anchor="__RefHeading___Toc897561_3650668749">
            <w:r>
              <w:rPr>
                <w:webHidden/>
                <w:rStyle w:val="IndexLink"/>
                <w:rtl w:val="true"/>
              </w:rPr>
              <w:t>حكم زيارة الرجال للقبور</w:t>
            </w:r>
            <w:r>
              <w:rPr>
                <w:rStyle w:val="IndexLink"/>
                <w:rtl w:val="true"/>
              </w:rPr>
              <w:tab/>
            </w:r>
            <w:r>
              <w:rPr>
                <w:rStyle w:val="IndexLink"/>
              </w:rPr>
              <w:t>19</w:t>
            </w:r>
          </w:hyperlink>
        </w:p>
        <w:p>
          <w:pPr>
            <w:pStyle w:val="Contents5"/>
            <w:tabs>
              <w:tab w:val="clear" w:pos="7892"/>
              <w:tab w:val="right" w:pos="9026" w:leader="dot"/>
            </w:tabs>
            <w:rPr/>
          </w:pPr>
          <w:hyperlink w:anchor="__RefHeading___Toc897563_3650668749">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897565_3650668749">
            <w:r>
              <w:rPr>
                <w:webHidden/>
                <w:rStyle w:val="IndexLink"/>
                <w:rtl w:val="true"/>
              </w:rPr>
              <w:t>أوّلاً</w:t>
            </w:r>
            <w:r>
              <w:rPr>
                <w:rStyle w:val="IndexLink"/>
                <w:rtl w:val="true"/>
              </w:rPr>
              <w:t xml:space="preserve">: </w:t>
            </w:r>
            <w:r>
              <w:rPr>
                <w:rStyle w:val="IndexLink"/>
                <w:rtl w:val="true"/>
              </w:rPr>
              <w:t>الروايات</w:t>
            </w:r>
            <w:r>
              <w:rPr>
                <w:rStyle w:val="IndexLink"/>
                <w:rtl w:val="true"/>
              </w:rPr>
              <w:tab/>
            </w:r>
            <w:r>
              <w:rPr>
                <w:rStyle w:val="IndexLink"/>
              </w:rPr>
              <w:t>19</w:t>
            </w:r>
          </w:hyperlink>
        </w:p>
        <w:p>
          <w:pPr>
            <w:pStyle w:val="Contents6"/>
            <w:tabs>
              <w:tab w:val="clear" w:pos="7609"/>
              <w:tab w:val="right" w:pos="9026" w:leader="dot"/>
            </w:tabs>
            <w:rPr/>
          </w:pPr>
          <w:hyperlink w:anchor="__RefHeading___Toc897567_3650668749">
            <w:r>
              <w:rPr>
                <w:webHidden/>
                <w:rStyle w:val="IndexLink"/>
                <w:rtl w:val="true"/>
              </w:rPr>
              <w:t>اشاره</w:t>
            </w:r>
            <w:r>
              <w:rPr>
                <w:rStyle w:val="IndexLink"/>
                <w:rtl w:val="true"/>
              </w:rPr>
              <w:tab/>
            </w:r>
            <w:r>
              <w:rPr>
                <w:rStyle w:val="IndexLink"/>
              </w:rPr>
              <w:t>19</w:t>
            </w:r>
          </w:hyperlink>
        </w:p>
        <w:p>
          <w:pPr>
            <w:pStyle w:val="Contents6"/>
            <w:tabs>
              <w:tab w:val="clear" w:pos="7609"/>
              <w:tab w:val="right" w:pos="9026" w:leader="dot"/>
            </w:tabs>
            <w:rPr/>
          </w:pPr>
          <w:hyperlink w:anchor="__RefHeading___Toc897569_3650668749">
            <w:r>
              <w:rPr>
                <w:webHidden/>
                <w:rStyle w:val="IndexLink"/>
                <w:rtl w:val="true"/>
              </w:rPr>
              <w:t>الطائفة الأُولى</w:t>
            </w:r>
            <w:r>
              <w:rPr>
                <w:rStyle w:val="IndexLink"/>
                <w:rtl w:val="true"/>
              </w:rPr>
              <w:tab/>
            </w:r>
            <w:r>
              <w:rPr>
                <w:rStyle w:val="IndexLink"/>
              </w:rPr>
              <w:t>20</w:t>
            </w:r>
          </w:hyperlink>
        </w:p>
        <w:p>
          <w:pPr>
            <w:pStyle w:val="Contents6"/>
            <w:tabs>
              <w:tab w:val="clear" w:pos="7609"/>
              <w:tab w:val="right" w:pos="9026" w:leader="dot"/>
            </w:tabs>
            <w:rPr/>
          </w:pPr>
          <w:hyperlink w:anchor="__RefHeading___Toc897571_3650668749">
            <w:r>
              <w:rPr>
                <w:webHidden/>
                <w:rStyle w:val="IndexLink"/>
                <w:rtl w:val="true"/>
              </w:rPr>
              <w:t>الطائفة الثانية</w:t>
            </w:r>
            <w:r>
              <w:rPr>
                <w:rStyle w:val="IndexLink"/>
                <w:rtl w:val="true"/>
              </w:rPr>
              <w:tab/>
            </w:r>
            <w:r>
              <w:rPr>
                <w:rStyle w:val="IndexLink"/>
              </w:rPr>
              <w:t>20</w:t>
            </w:r>
          </w:hyperlink>
        </w:p>
        <w:p>
          <w:pPr>
            <w:pStyle w:val="Contents6"/>
            <w:tabs>
              <w:tab w:val="clear" w:pos="7609"/>
              <w:tab w:val="right" w:pos="9026" w:leader="dot"/>
            </w:tabs>
            <w:rPr/>
          </w:pPr>
          <w:hyperlink w:anchor="__RefHeading___Toc897573_3650668749">
            <w:r>
              <w:rPr>
                <w:webHidden/>
                <w:rStyle w:val="IndexLink"/>
                <w:rtl w:val="true"/>
              </w:rPr>
              <w:t>الطائفة الثالثة</w:t>
            </w:r>
            <w:r>
              <w:rPr>
                <w:rStyle w:val="IndexLink"/>
                <w:rtl w:val="true"/>
              </w:rPr>
              <w:tab/>
            </w:r>
            <w:r>
              <w:rPr>
                <w:rStyle w:val="IndexLink"/>
              </w:rPr>
              <w:t>23</w:t>
            </w:r>
          </w:hyperlink>
        </w:p>
        <w:p>
          <w:pPr>
            <w:pStyle w:val="Contents5"/>
            <w:tabs>
              <w:tab w:val="clear" w:pos="7892"/>
              <w:tab w:val="right" w:pos="9026" w:leader="dot"/>
            </w:tabs>
            <w:rPr/>
          </w:pPr>
          <w:hyperlink w:anchor="__RefHeading___Toc897575_3650668749">
            <w:r>
              <w:rPr>
                <w:webHidden/>
                <w:rStyle w:val="IndexLink"/>
                <w:rtl w:val="true"/>
              </w:rPr>
              <w:t>ثانياً</w:t>
            </w:r>
            <w:r>
              <w:rPr>
                <w:rStyle w:val="IndexLink"/>
                <w:rtl w:val="true"/>
              </w:rPr>
              <w:t xml:space="preserve">: </w:t>
            </w:r>
            <w:r>
              <w:rPr>
                <w:rStyle w:val="IndexLink"/>
                <w:rtl w:val="true"/>
              </w:rPr>
              <w:t xml:space="preserve">سيرة النبى الأكرم </w:t>
            </w:r>
            <w:r>
              <w:rPr>
                <w:rStyle w:val="IndexLink"/>
                <w:rtl w:val="true"/>
              </w:rPr>
              <w:t>(</w:t>
            </w:r>
            <w:r>
              <w:rPr>
                <w:rStyle w:val="IndexLink"/>
                <w:rtl w:val="true"/>
              </w:rPr>
              <w:t>ص</w:t>
            </w:r>
            <w:r>
              <w:rPr>
                <w:rStyle w:val="IndexLink"/>
                <w:rtl w:val="true"/>
              </w:rPr>
              <w:t>)</w:t>
              <w:tab/>
            </w:r>
            <w:r>
              <w:rPr>
                <w:rStyle w:val="IndexLink"/>
              </w:rPr>
              <w:t>24</w:t>
            </w:r>
          </w:hyperlink>
        </w:p>
        <w:p>
          <w:pPr>
            <w:pStyle w:val="Contents5"/>
            <w:tabs>
              <w:tab w:val="clear" w:pos="7892"/>
              <w:tab w:val="right" w:pos="9026" w:leader="dot"/>
            </w:tabs>
            <w:rPr/>
          </w:pPr>
          <w:hyperlink w:anchor="__RefHeading___Toc897577_3650668749">
            <w:r>
              <w:rPr>
                <w:webHidden/>
                <w:rStyle w:val="IndexLink"/>
                <w:rtl w:val="true"/>
              </w:rPr>
              <w:t>ثالثاً</w:t>
            </w:r>
            <w:r>
              <w:rPr>
                <w:rStyle w:val="IndexLink"/>
                <w:rtl w:val="true"/>
              </w:rPr>
              <w:t xml:space="preserve">: </w:t>
            </w:r>
            <w:r>
              <w:rPr>
                <w:rStyle w:val="IndexLink"/>
                <w:rtl w:val="true"/>
              </w:rPr>
              <w:t>سيرة المتشرِّعة</w:t>
            </w:r>
            <w:r>
              <w:rPr>
                <w:rStyle w:val="IndexLink"/>
                <w:rtl w:val="true"/>
              </w:rPr>
              <w:tab/>
            </w:r>
            <w:r>
              <w:rPr>
                <w:rStyle w:val="IndexLink"/>
              </w:rPr>
              <w:t>26</w:t>
            </w:r>
          </w:hyperlink>
        </w:p>
        <w:p>
          <w:pPr>
            <w:pStyle w:val="Contents4"/>
            <w:tabs>
              <w:tab w:val="clear" w:pos="8176"/>
              <w:tab w:val="right" w:pos="9026" w:leader="dot"/>
            </w:tabs>
            <w:rPr/>
          </w:pPr>
          <w:hyperlink w:anchor="__RefHeading___Toc897579_3650668749">
            <w:r>
              <w:rPr>
                <w:webHidden/>
                <w:rStyle w:val="IndexLink"/>
                <w:rtl w:val="true"/>
              </w:rPr>
              <w:t>حكم زيارة النساء للقبور</w:t>
            </w:r>
            <w:r>
              <w:rPr>
                <w:rStyle w:val="IndexLink"/>
                <w:rtl w:val="true"/>
              </w:rPr>
              <w:tab/>
            </w:r>
            <w:r>
              <w:rPr>
                <w:rStyle w:val="IndexLink"/>
              </w:rPr>
              <w:t>26</w:t>
            </w:r>
          </w:hyperlink>
        </w:p>
        <w:p>
          <w:pPr>
            <w:pStyle w:val="Contents5"/>
            <w:tabs>
              <w:tab w:val="clear" w:pos="7892"/>
              <w:tab w:val="right" w:pos="9026" w:leader="dot"/>
            </w:tabs>
            <w:rPr/>
          </w:pPr>
          <w:hyperlink w:anchor="__RefHeading___Toc897581_3650668749">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897583_3650668749">
            <w:r>
              <w:rPr>
                <w:webHidden/>
                <w:rStyle w:val="IndexLink"/>
                <w:rtl w:val="true"/>
              </w:rPr>
              <w:t>القول الأوّل</w:t>
            </w:r>
            <w:r>
              <w:rPr>
                <w:rStyle w:val="IndexLink"/>
                <w:rtl w:val="true"/>
              </w:rPr>
              <w:t xml:space="preserve">: </w:t>
            </w:r>
            <w:r>
              <w:rPr>
                <w:rStyle w:val="IndexLink"/>
                <w:rtl w:val="true"/>
              </w:rPr>
              <w:t>تحريم زيارة النساء للقبور</w:t>
            </w:r>
            <w:r>
              <w:rPr>
                <w:rStyle w:val="IndexLink"/>
                <w:rtl w:val="true"/>
              </w:rPr>
              <w:tab/>
            </w:r>
            <w:r>
              <w:rPr>
                <w:rStyle w:val="IndexLink"/>
              </w:rPr>
              <w:t>26</w:t>
            </w:r>
          </w:hyperlink>
        </w:p>
        <w:p>
          <w:pPr>
            <w:pStyle w:val="Contents6"/>
            <w:tabs>
              <w:tab w:val="clear" w:pos="7609"/>
              <w:tab w:val="right" w:pos="9026" w:leader="dot"/>
            </w:tabs>
            <w:rPr/>
          </w:pPr>
          <w:hyperlink w:anchor="__RefHeading___Toc897585_3650668749">
            <w:r>
              <w:rPr>
                <w:webHidden/>
                <w:rStyle w:val="IndexLink"/>
                <w:rtl w:val="true"/>
              </w:rPr>
              <w:t>اشاره</w:t>
            </w:r>
            <w:r>
              <w:rPr>
                <w:rStyle w:val="IndexLink"/>
                <w:rtl w:val="true"/>
              </w:rPr>
              <w:tab/>
            </w:r>
            <w:r>
              <w:rPr>
                <w:rStyle w:val="IndexLink"/>
              </w:rPr>
              <w:t>26</w:t>
            </w:r>
          </w:hyperlink>
        </w:p>
        <w:p>
          <w:pPr>
            <w:pStyle w:val="Contents6"/>
            <w:tabs>
              <w:tab w:val="clear" w:pos="7609"/>
              <w:tab w:val="right" w:pos="9026" w:leader="dot"/>
            </w:tabs>
            <w:rPr/>
          </w:pPr>
          <w:hyperlink w:anchor="__RefHeading___Toc897587_3650668749">
            <w:r>
              <w:rPr>
                <w:webHidden/>
                <w:rStyle w:val="IndexLink"/>
                <w:rtl w:val="true"/>
              </w:rPr>
              <w:t>مناقشة استدلال ابن تيمية</w:t>
            </w:r>
            <w:r>
              <w:rPr>
                <w:rStyle w:val="IndexLink"/>
                <w:rtl w:val="true"/>
              </w:rPr>
              <w:tab/>
            </w:r>
            <w:r>
              <w:rPr>
                <w:rStyle w:val="IndexLink"/>
              </w:rPr>
              <w:t>28</w:t>
            </w:r>
          </w:hyperlink>
        </w:p>
        <w:p>
          <w:pPr>
            <w:pStyle w:val="Contents6"/>
            <w:tabs>
              <w:tab w:val="clear" w:pos="7609"/>
              <w:tab w:val="right" w:pos="9026" w:leader="dot"/>
            </w:tabs>
            <w:rPr/>
          </w:pPr>
          <w:hyperlink w:anchor="__RefHeading___Toc897589_3650668749">
            <w:r>
              <w:rPr>
                <w:webHidden/>
                <w:rStyle w:val="IndexLink"/>
                <w:rtl w:val="true"/>
              </w:rPr>
              <w:t>المناقشة الأُولى</w:t>
            </w:r>
            <w:r>
              <w:rPr>
                <w:rStyle w:val="IndexLink"/>
                <w:rtl w:val="true"/>
              </w:rPr>
              <w:tab/>
            </w:r>
            <w:r>
              <w:rPr>
                <w:rStyle w:val="IndexLink"/>
              </w:rPr>
              <w:t>28</w:t>
            </w:r>
          </w:hyperlink>
        </w:p>
        <w:p>
          <w:pPr>
            <w:pStyle w:val="Contents6"/>
            <w:tabs>
              <w:tab w:val="clear" w:pos="7609"/>
              <w:tab w:val="right" w:pos="9026" w:leader="dot"/>
            </w:tabs>
            <w:rPr/>
          </w:pPr>
          <w:hyperlink w:anchor="__RefHeading___Toc897591_3650668749">
            <w:r>
              <w:rPr>
                <w:webHidden/>
                <w:rStyle w:val="IndexLink"/>
                <w:rtl w:val="true"/>
              </w:rPr>
              <w:t>المناقشة الثانية</w:t>
            </w:r>
            <w:r>
              <w:rPr>
                <w:rStyle w:val="IndexLink"/>
                <w:rtl w:val="true"/>
              </w:rPr>
              <w:tab/>
            </w:r>
            <w:r>
              <w:rPr>
                <w:rStyle w:val="IndexLink"/>
              </w:rPr>
              <w:t>30</w:t>
            </w:r>
          </w:hyperlink>
        </w:p>
        <w:p>
          <w:pPr>
            <w:pStyle w:val="Contents6"/>
            <w:tabs>
              <w:tab w:val="clear" w:pos="7609"/>
              <w:tab w:val="right" w:pos="9026" w:leader="dot"/>
            </w:tabs>
            <w:rPr/>
          </w:pPr>
          <w:hyperlink w:anchor="__RefHeading___Toc897593_3650668749">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897595_3650668749">
            <w:r>
              <w:rPr>
                <w:webHidden/>
                <w:rStyle w:val="IndexLink"/>
                <w:rtl w:val="true"/>
              </w:rPr>
              <w:t>الاحتمال الأوّل</w:t>
            </w:r>
            <w:r>
              <w:rPr>
                <w:rStyle w:val="IndexLink"/>
                <w:rtl w:val="true"/>
              </w:rPr>
              <w:tab/>
            </w:r>
            <w:r>
              <w:rPr>
                <w:rStyle w:val="IndexLink"/>
              </w:rPr>
              <w:t>30</w:t>
            </w:r>
          </w:hyperlink>
        </w:p>
        <w:p>
          <w:pPr>
            <w:pStyle w:val="Contents6"/>
            <w:tabs>
              <w:tab w:val="clear" w:pos="7609"/>
              <w:tab w:val="right" w:pos="9026" w:leader="dot"/>
            </w:tabs>
            <w:rPr/>
          </w:pPr>
          <w:hyperlink w:anchor="__RefHeading___Toc897597_3650668749">
            <w:r>
              <w:rPr>
                <w:webHidden/>
                <w:rStyle w:val="IndexLink"/>
                <w:rtl w:val="true"/>
              </w:rPr>
              <w:t>الاحتمال الثانى</w:t>
            </w:r>
            <w:r>
              <w:rPr>
                <w:rStyle w:val="IndexLink"/>
                <w:rtl w:val="true"/>
              </w:rPr>
              <w:tab/>
            </w:r>
            <w:r>
              <w:rPr>
                <w:rStyle w:val="IndexLink"/>
              </w:rPr>
              <w:t>31</w:t>
            </w:r>
          </w:hyperlink>
        </w:p>
        <w:p>
          <w:pPr>
            <w:pStyle w:val="Contents6"/>
            <w:tabs>
              <w:tab w:val="clear" w:pos="7609"/>
              <w:tab w:val="right" w:pos="9026" w:leader="dot"/>
            </w:tabs>
            <w:rPr/>
          </w:pPr>
          <w:hyperlink w:anchor="__RefHeading___Toc897599_3650668749">
            <w:r>
              <w:rPr>
                <w:webHidden/>
                <w:rStyle w:val="IndexLink"/>
                <w:rtl w:val="true"/>
              </w:rPr>
              <w:t>المناقشة الثالثة</w:t>
            </w:r>
            <w:r>
              <w:rPr>
                <w:rStyle w:val="IndexLink"/>
                <w:rtl w:val="true"/>
              </w:rPr>
              <w:tab/>
            </w:r>
            <w:r>
              <w:rPr>
                <w:rStyle w:val="IndexLink"/>
              </w:rPr>
              <w:t>31</w:t>
            </w:r>
          </w:hyperlink>
        </w:p>
        <w:p>
          <w:pPr>
            <w:pStyle w:val="Contents6"/>
            <w:tabs>
              <w:tab w:val="clear" w:pos="7609"/>
              <w:tab w:val="right" w:pos="9026" w:leader="dot"/>
            </w:tabs>
            <w:rPr/>
          </w:pPr>
          <w:hyperlink w:anchor="__RefHeading___Toc897601_3650668749">
            <w:r>
              <w:rPr>
                <w:webHidden/>
                <w:rStyle w:val="IndexLink"/>
                <w:rtl w:val="true"/>
              </w:rPr>
              <w:t>المناقشة الرابعة</w:t>
            </w:r>
            <w:r>
              <w:rPr>
                <w:rStyle w:val="IndexLink"/>
                <w:rtl w:val="true"/>
              </w:rPr>
              <w:tab/>
            </w:r>
            <w:r>
              <w:rPr>
                <w:rStyle w:val="IndexLink"/>
              </w:rPr>
              <w:t>32</w:t>
            </w:r>
          </w:hyperlink>
        </w:p>
        <w:p>
          <w:pPr>
            <w:pStyle w:val="Contents5"/>
            <w:tabs>
              <w:tab w:val="clear" w:pos="7892"/>
              <w:tab w:val="right" w:pos="9026" w:leader="dot"/>
            </w:tabs>
            <w:rPr/>
          </w:pPr>
          <w:hyperlink w:anchor="__RefHeading___Toc897603_3650668749">
            <w:r>
              <w:rPr>
                <w:webHidden/>
                <w:rStyle w:val="IndexLink"/>
                <w:rtl w:val="true"/>
              </w:rPr>
              <w:t>القول الثانى</w:t>
            </w:r>
            <w:r>
              <w:rPr>
                <w:rStyle w:val="IndexLink"/>
                <w:rtl w:val="true"/>
              </w:rPr>
              <w:t xml:space="preserve">: </w:t>
            </w:r>
            <w:r>
              <w:rPr>
                <w:rStyle w:val="IndexLink"/>
                <w:rtl w:val="true"/>
              </w:rPr>
              <w:t>كراهة زيارة النساء للقبور</w:t>
            </w:r>
            <w:r>
              <w:rPr>
                <w:rStyle w:val="IndexLink"/>
                <w:rtl w:val="true"/>
              </w:rPr>
              <w:tab/>
            </w:r>
            <w:r>
              <w:rPr>
                <w:rStyle w:val="IndexLink"/>
              </w:rPr>
              <w:t>36</w:t>
            </w:r>
          </w:hyperlink>
        </w:p>
        <w:p>
          <w:pPr>
            <w:pStyle w:val="Contents6"/>
            <w:tabs>
              <w:tab w:val="clear" w:pos="7609"/>
              <w:tab w:val="right" w:pos="9026" w:leader="dot"/>
            </w:tabs>
            <w:rPr/>
          </w:pPr>
          <w:hyperlink w:anchor="__RefHeading___Toc897605_3650668749">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897607_3650668749">
            <w:r>
              <w:rPr>
                <w:webHidden/>
                <w:rStyle w:val="IndexLink"/>
                <w:rtl w:val="true"/>
              </w:rPr>
              <w:t>مناقشة القول الثانى</w:t>
            </w:r>
            <w:r>
              <w:rPr>
                <w:rStyle w:val="IndexLink"/>
                <w:rtl w:val="true"/>
              </w:rPr>
              <w:tab/>
            </w:r>
            <w:r>
              <w:rPr>
                <w:rStyle w:val="IndexLink"/>
              </w:rPr>
              <w:t>36</w:t>
            </w:r>
          </w:hyperlink>
        </w:p>
        <w:p>
          <w:pPr>
            <w:pStyle w:val="Contents5"/>
            <w:tabs>
              <w:tab w:val="clear" w:pos="7892"/>
              <w:tab w:val="right" w:pos="9026" w:leader="dot"/>
            </w:tabs>
            <w:rPr/>
          </w:pPr>
          <w:hyperlink w:anchor="__RefHeading___Toc897609_3650668749">
            <w:r>
              <w:rPr>
                <w:webHidden/>
                <w:rStyle w:val="IndexLink"/>
                <w:rtl w:val="true"/>
              </w:rPr>
              <w:t>القول الثالث</w:t>
            </w:r>
            <w:r>
              <w:rPr>
                <w:rStyle w:val="IndexLink"/>
                <w:rtl w:val="true"/>
              </w:rPr>
              <w:t xml:space="preserve">: </w:t>
            </w:r>
            <w:r>
              <w:rPr>
                <w:rStyle w:val="IndexLink"/>
                <w:rtl w:val="true"/>
              </w:rPr>
              <w:t>جواز زيارة القبور</w:t>
            </w:r>
            <w:r>
              <w:rPr>
                <w:rStyle w:val="IndexLink"/>
                <w:rtl w:val="true"/>
              </w:rPr>
              <w:tab/>
            </w:r>
            <w:r>
              <w:rPr>
                <w:rStyle w:val="IndexLink"/>
              </w:rPr>
              <w:t>37</w:t>
            </w:r>
          </w:hyperlink>
        </w:p>
        <w:p>
          <w:pPr>
            <w:pStyle w:val="Contents5"/>
            <w:tabs>
              <w:tab w:val="clear" w:pos="7892"/>
              <w:tab w:val="right" w:pos="9026" w:leader="dot"/>
            </w:tabs>
            <w:rPr/>
          </w:pPr>
          <w:hyperlink w:anchor="__RefHeading___Toc897611_3650668749">
            <w:r>
              <w:rPr>
                <w:webHidden/>
                <w:rStyle w:val="IndexLink"/>
                <w:rtl w:val="true"/>
              </w:rPr>
              <w:t>القول الرابع</w:t>
            </w:r>
            <w:r>
              <w:rPr>
                <w:rStyle w:val="IndexLink"/>
                <w:rtl w:val="true"/>
              </w:rPr>
              <w:t xml:space="preserve">: </w:t>
            </w:r>
            <w:r>
              <w:rPr>
                <w:rStyle w:val="IndexLink"/>
                <w:rtl w:val="true"/>
              </w:rPr>
              <w:t>استحباب زيارة القبور</w:t>
            </w:r>
            <w:r>
              <w:rPr>
                <w:rStyle w:val="IndexLink"/>
                <w:rtl w:val="true"/>
              </w:rPr>
              <w:tab/>
            </w:r>
            <w:r>
              <w:rPr>
                <w:rStyle w:val="IndexLink"/>
              </w:rPr>
              <w:t>40</w:t>
            </w:r>
          </w:hyperlink>
        </w:p>
        <w:p>
          <w:pPr>
            <w:pStyle w:val="Contents4"/>
            <w:tabs>
              <w:tab w:val="clear" w:pos="8176"/>
              <w:tab w:val="right" w:pos="9026" w:leader="dot"/>
            </w:tabs>
            <w:rPr/>
          </w:pPr>
          <w:hyperlink w:anchor="__RefHeading___Toc897613_3650668749">
            <w:r>
              <w:rPr>
                <w:webHidden/>
                <w:rStyle w:val="IndexLink"/>
                <w:rtl w:val="true"/>
              </w:rPr>
              <w:t xml:space="preserve">زيارة قبر النبى الأكرم </w:t>
            </w:r>
            <w:r>
              <w:rPr>
                <w:rStyle w:val="IndexLink"/>
                <w:rtl w:val="true"/>
              </w:rPr>
              <w:t>(</w:t>
            </w:r>
            <w:r>
              <w:rPr>
                <w:rStyle w:val="IndexLink"/>
                <w:rtl w:val="true"/>
              </w:rPr>
              <w:t>ص</w:t>
            </w:r>
            <w:r>
              <w:rPr>
                <w:rStyle w:val="IndexLink"/>
                <w:rtl w:val="true"/>
              </w:rPr>
              <w:t>)</w:t>
              <w:tab/>
            </w:r>
            <w:r>
              <w:rPr>
                <w:rStyle w:val="IndexLink"/>
              </w:rPr>
              <w:t>41</w:t>
            </w:r>
          </w:hyperlink>
        </w:p>
        <w:p>
          <w:pPr>
            <w:pStyle w:val="Contents5"/>
            <w:tabs>
              <w:tab w:val="clear" w:pos="7892"/>
              <w:tab w:val="right" w:pos="9026" w:leader="dot"/>
            </w:tabs>
            <w:rPr/>
          </w:pPr>
          <w:hyperlink w:anchor="__RefHeading___Toc897615_3650668749">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897617_3650668749">
            <w:r>
              <w:rPr>
                <w:webHidden/>
                <w:rStyle w:val="IndexLink"/>
                <w:rtl w:val="true"/>
              </w:rPr>
              <w:t>رأى ابن تيميّة فى زيارة قبور الأنبياء</w:t>
            </w:r>
            <w:r>
              <w:rPr>
                <w:rStyle w:val="IndexLink"/>
                <w:rtl w:val="true"/>
              </w:rPr>
              <w:tab/>
            </w:r>
            <w:r>
              <w:rPr>
                <w:rStyle w:val="IndexLink"/>
              </w:rPr>
              <w:t>41</w:t>
            </w:r>
          </w:hyperlink>
        </w:p>
        <w:p>
          <w:pPr>
            <w:pStyle w:val="Contents6"/>
            <w:tabs>
              <w:tab w:val="clear" w:pos="7609"/>
              <w:tab w:val="right" w:pos="9026" w:leader="dot"/>
            </w:tabs>
            <w:rPr/>
          </w:pPr>
          <w:hyperlink w:anchor="__RefHeading___Toc897619_3650668749">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897621_3650668749">
            <w:r>
              <w:rPr>
                <w:webHidden/>
                <w:rStyle w:val="IndexLink"/>
                <w:rtl w:val="true"/>
              </w:rPr>
              <w:t>مناقشة ابن تيمية</w:t>
            </w:r>
            <w:r>
              <w:rPr>
                <w:rStyle w:val="IndexLink"/>
                <w:rtl w:val="true"/>
              </w:rPr>
              <w:tab/>
            </w:r>
            <w:r>
              <w:rPr>
                <w:rStyle w:val="IndexLink"/>
              </w:rPr>
              <w:t>45</w:t>
            </w:r>
          </w:hyperlink>
        </w:p>
        <w:p>
          <w:pPr>
            <w:pStyle w:val="Contents6"/>
            <w:tabs>
              <w:tab w:val="clear" w:pos="7609"/>
              <w:tab w:val="right" w:pos="9026" w:leader="dot"/>
            </w:tabs>
            <w:rPr/>
          </w:pPr>
          <w:hyperlink w:anchor="__RefHeading___Toc897623_3650668749">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897625_3650668749">
            <w:r>
              <w:rPr>
                <w:webHidden/>
                <w:rStyle w:val="IndexLink"/>
                <w:rtl w:val="true"/>
              </w:rPr>
              <w:t>المسألة الأولى</w:t>
            </w:r>
            <w:r>
              <w:rPr>
                <w:rStyle w:val="IndexLink"/>
                <w:rtl w:val="true"/>
              </w:rPr>
              <w:t xml:space="preserve">: </w:t>
            </w:r>
            <w:r>
              <w:rPr>
                <w:rStyle w:val="IndexLink"/>
                <w:rtl w:val="true"/>
              </w:rPr>
              <w:t xml:space="preserve">حديث </w:t>
            </w:r>
            <w:r>
              <w:rPr>
                <w:rStyle w:val="IndexLink"/>
                <w:rtl w:val="true"/>
              </w:rPr>
              <w:t>«</w:t>
            </w:r>
            <w:r>
              <w:rPr>
                <w:rStyle w:val="IndexLink"/>
                <w:rtl w:val="true"/>
              </w:rPr>
              <w:t>لا تشدّ الرحال</w:t>
            </w:r>
            <w:r>
              <w:rPr>
                <w:rStyle w:val="IndexLink"/>
                <w:rtl w:val="true"/>
              </w:rPr>
              <w:t>»</w:t>
              <w:tab/>
            </w:r>
            <w:r>
              <w:rPr>
                <w:rStyle w:val="IndexLink"/>
              </w:rPr>
              <w:t>46</w:t>
            </w:r>
          </w:hyperlink>
        </w:p>
        <w:p>
          <w:pPr>
            <w:pStyle w:val="Contents6"/>
            <w:tabs>
              <w:tab w:val="clear" w:pos="7609"/>
              <w:tab w:val="right" w:pos="9026" w:leader="dot"/>
            </w:tabs>
            <w:rPr/>
          </w:pPr>
          <w:hyperlink w:anchor="__RefHeading___Toc897627_3650668749">
            <w:r>
              <w:rPr>
                <w:webHidden/>
                <w:rStyle w:val="IndexLink"/>
                <w:rtl w:val="true"/>
              </w:rPr>
              <w:t>اشاره</w:t>
            </w:r>
            <w:r>
              <w:rPr>
                <w:rStyle w:val="IndexLink"/>
                <w:rtl w:val="true"/>
              </w:rPr>
              <w:tab/>
            </w:r>
            <w:r>
              <w:rPr>
                <w:rStyle w:val="IndexLink"/>
              </w:rPr>
              <w:t>46</w:t>
            </w:r>
          </w:hyperlink>
        </w:p>
        <w:p>
          <w:pPr>
            <w:pStyle w:val="Contents6"/>
            <w:tabs>
              <w:tab w:val="clear" w:pos="7609"/>
              <w:tab w:val="right" w:pos="9026" w:leader="dot"/>
            </w:tabs>
            <w:rPr/>
          </w:pPr>
          <w:hyperlink w:anchor="__RefHeading___Toc897629_3650668749">
            <w:r>
              <w:rPr>
                <w:webHidden/>
                <w:rStyle w:val="IndexLink"/>
                <w:rtl w:val="true"/>
              </w:rPr>
              <w:t xml:space="preserve">مناقشة الاستدلال بحديث </w:t>
            </w:r>
            <w:r>
              <w:rPr>
                <w:rStyle w:val="IndexLink"/>
                <w:rtl w:val="true"/>
              </w:rPr>
              <w:t>(</w:t>
            </w:r>
            <w:r>
              <w:rPr>
                <w:rStyle w:val="IndexLink"/>
                <w:rtl w:val="true"/>
              </w:rPr>
              <w:t>لا تُشدّ الرحال</w:t>
            </w:r>
            <w:r>
              <w:rPr>
                <w:rStyle w:val="IndexLink"/>
                <w:rtl w:val="true"/>
              </w:rPr>
              <w:t>)</w:t>
              <w:tab/>
            </w:r>
            <w:r>
              <w:rPr>
                <w:rStyle w:val="IndexLink"/>
              </w:rPr>
              <w:t>47</w:t>
            </w:r>
          </w:hyperlink>
        </w:p>
        <w:p>
          <w:pPr>
            <w:pStyle w:val="Contents6"/>
            <w:tabs>
              <w:tab w:val="clear" w:pos="7609"/>
              <w:tab w:val="right" w:pos="9026" w:leader="dot"/>
            </w:tabs>
            <w:rPr/>
          </w:pPr>
          <w:hyperlink w:anchor="__RefHeading___Toc897631_3650668749">
            <w:r>
              <w:rPr>
                <w:webHidden/>
                <w:rStyle w:val="IndexLink"/>
                <w:rtl w:val="true"/>
              </w:rPr>
              <w:t>المسألة الثانية</w:t>
            </w:r>
            <w:r>
              <w:rPr>
                <w:rStyle w:val="IndexLink"/>
                <w:rtl w:val="true"/>
              </w:rPr>
              <w:t xml:space="preserve">: </w:t>
            </w:r>
            <w:r>
              <w:rPr>
                <w:rStyle w:val="IndexLink"/>
                <w:rtl w:val="true"/>
              </w:rPr>
              <w:t>استحباب السفر لغرض زيارة قبور الأنبياء والأولياء</w:t>
            </w:r>
            <w:r>
              <w:rPr>
                <w:rStyle w:val="IndexLink"/>
                <w:rtl w:val="true"/>
              </w:rPr>
              <w:tab/>
            </w:r>
            <w:r>
              <w:rPr>
                <w:rStyle w:val="IndexLink"/>
              </w:rPr>
              <w:t>55</w:t>
            </w:r>
          </w:hyperlink>
        </w:p>
        <w:p>
          <w:pPr>
            <w:pStyle w:val="Contents6"/>
            <w:tabs>
              <w:tab w:val="clear" w:pos="7609"/>
              <w:tab w:val="right" w:pos="9026" w:leader="dot"/>
            </w:tabs>
            <w:rPr/>
          </w:pPr>
          <w:hyperlink w:anchor="__RefHeading___Toc897633_3650668749">
            <w:r>
              <w:rPr>
                <w:webHidden/>
                <w:rStyle w:val="IndexLink"/>
              </w:rPr>
              <w:t>١</w:t>
            </w:r>
            <w:r>
              <w:rPr>
                <w:rStyle w:val="IndexLink"/>
                <w:rtl w:val="true"/>
              </w:rPr>
              <w:t xml:space="preserve">- </w:t>
            </w:r>
            <w:r>
              <w:rPr>
                <w:rStyle w:val="IndexLink"/>
                <w:rtl w:val="true"/>
              </w:rPr>
              <w:t xml:space="preserve">استحباب السفر لزيارة قبر النبى الكريم </w:t>
            </w:r>
            <w:r>
              <w:rPr>
                <w:rStyle w:val="IndexLink"/>
                <w:rtl w:val="true"/>
              </w:rPr>
              <w:t>(</w:t>
            </w:r>
            <w:r>
              <w:rPr>
                <w:rStyle w:val="IndexLink"/>
                <w:rtl w:val="true"/>
              </w:rPr>
              <w:t>ص</w:t>
            </w:r>
            <w:r>
              <w:rPr>
                <w:rStyle w:val="IndexLink"/>
                <w:rtl w:val="true"/>
              </w:rPr>
              <w:t>)</w:t>
              <w:tab/>
            </w:r>
            <w:r>
              <w:rPr>
                <w:rStyle w:val="IndexLink"/>
              </w:rPr>
              <w:t>55</w:t>
            </w:r>
          </w:hyperlink>
        </w:p>
        <w:p>
          <w:pPr>
            <w:pStyle w:val="Contents6"/>
            <w:tabs>
              <w:tab w:val="clear" w:pos="7609"/>
              <w:tab w:val="right" w:pos="9026" w:leader="dot"/>
            </w:tabs>
            <w:rPr/>
          </w:pPr>
          <w:hyperlink w:anchor="__RefHeading___Toc897635_3650668749">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897637_3650668749">
            <w:r>
              <w:rPr>
                <w:webHidden/>
                <w:rStyle w:val="IndexLink"/>
                <w:rtl w:val="true"/>
              </w:rPr>
              <w:t>الدليل الأوّل</w:t>
            </w:r>
            <w:r>
              <w:rPr>
                <w:rStyle w:val="IndexLink"/>
                <w:rtl w:val="true"/>
              </w:rPr>
              <w:t xml:space="preserve">: </w:t>
            </w:r>
            <w:r>
              <w:rPr>
                <w:rStyle w:val="IndexLink"/>
                <w:rtl w:val="true"/>
              </w:rPr>
              <w:t>القرآن الكريم</w:t>
            </w:r>
            <w:r>
              <w:rPr>
                <w:rStyle w:val="IndexLink"/>
                <w:rtl w:val="true"/>
              </w:rPr>
              <w:tab/>
            </w:r>
            <w:r>
              <w:rPr>
                <w:rStyle w:val="IndexLink"/>
              </w:rPr>
              <w:t>55</w:t>
            </w:r>
          </w:hyperlink>
        </w:p>
        <w:p>
          <w:pPr>
            <w:pStyle w:val="Contents6"/>
            <w:tabs>
              <w:tab w:val="clear" w:pos="7609"/>
              <w:tab w:val="right" w:pos="9026" w:leader="dot"/>
            </w:tabs>
            <w:rPr/>
          </w:pPr>
          <w:hyperlink w:anchor="__RefHeading___Toc897639_3650668749">
            <w:r>
              <w:rPr>
                <w:webHidden/>
                <w:rStyle w:val="IndexLink"/>
                <w:rtl w:val="true"/>
              </w:rPr>
              <w:t>الدليل الثانى</w:t>
            </w:r>
            <w:r>
              <w:rPr>
                <w:rStyle w:val="IndexLink"/>
                <w:rtl w:val="true"/>
              </w:rPr>
              <w:t xml:space="preserve">: </w:t>
            </w:r>
            <w:r>
              <w:rPr>
                <w:rStyle w:val="IndexLink"/>
                <w:rtl w:val="true"/>
              </w:rPr>
              <w:t>الروايات</w:t>
            </w:r>
            <w:r>
              <w:rPr>
                <w:rStyle w:val="IndexLink"/>
                <w:rtl w:val="true"/>
              </w:rPr>
              <w:tab/>
            </w:r>
            <w:r>
              <w:rPr>
                <w:rStyle w:val="IndexLink"/>
              </w:rPr>
              <w:t>56</w:t>
            </w:r>
          </w:hyperlink>
        </w:p>
        <w:p>
          <w:pPr>
            <w:pStyle w:val="Contents6"/>
            <w:tabs>
              <w:tab w:val="clear" w:pos="7609"/>
              <w:tab w:val="right" w:pos="9026" w:leader="dot"/>
            </w:tabs>
            <w:rPr/>
          </w:pPr>
          <w:hyperlink w:anchor="__RefHeading___Toc897641_3650668749">
            <w:r>
              <w:rPr>
                <w:webHidden/>
                <w:rStyle w:val="IndexLink"/>
                <w:rtl w:val="true"/>
              </w:rPr>
              <w:t>الدليل الثالث</w:t>
            </w:r>
            <w:r>
              <w:rPr>
                <w:rStyle w:val="IndexLink"/>
                <w:rtl w:val="true"/>
              </w:rPr>
              <w:t xml:space="preserve">: </w:t>
            </w:r>
            <w:r>
              <w:rPr>
                <w:rStyle w:val="IndexLink"/>
                <w:rtl w:val="true"/>
              </w:rPr>
              <w:t>عمل الصحابة والتابعين</w:t>
            </w:r>
            <w:r>
              <w:rPr>
                <w:rStyle w:val="IndexLink"/>
                <w:rtl w:val="true"/>
              </w:rPr>
              <w:tab/>
            </w:r>
            <w:r>
              <w:rPr>
                <w:rStyle w:val="IndexLink"/>
              </w:rPr>
              <w:t>61</w:t>
            </w:r>
          </w:hyperlink>
        </w:p>
        <w:p>
          <w:pPr>
            <w:pStyle w:val="Contents6"/>
            <w:tabs>
              <w:tab w:val="clear" w:pos="7609"/>
              <w:tab w:val="right" w:pos="9026" w:leader="dot"/>
            </w:tabs>
            <w:rPr/>
          </w:pPr>
          <w:hyperlink w:anchor="__RefHeading___Toc897643_3650668749">
            <w:r>
              <w:rPr>
                <w:webHidden/>
                <w:rStyle w:val="IndexLink"/>
              </w:rPr>
              <w:t>٢</w:t>
            </w:r>
            <w:r>
              <w:rPr>
                <w:rStyle w:val="IndexLink"/>
                <w:rtl w:val="true"/>
              </w:rPr>
              <w:t xml:space="preserve">. </w:t>
            </w:r>
            <w:r>
              <w:rPr>
                <w:rStyle w:val="IndexLink"/>
                <w:rtl w:val="true"/>
              </w:rPr>
              <w:t xml:space="preserve">استحباب السفر لزيارة قبور الأئمّة </w:t>
            </w:r>
            <w:r>
              <w:rPr>
                <w:rStyle w:val="IndexLink"/>
                <w:rtl w:val="true"/>
              </w:rPr>
              <w:t>(</w:t>
            </w:r>
            <w:r>
              <w:rPr>
                <w:rStyle w:val="IndexLink"/>
                <w:rtl w:val="true"/>
              </w:rPr>
              <w:t>عليهم السلام</w:t>
            </w:r>
            <w:r>
              <w:rPr>
                <w:rStyle w:val="IndexLink"/>
                <w:rtl w:val="true"/>
              </w:rPr>
              <w:t xml:space="preserve">) </w:t>
            </w:r>
            <w:r>
              <w:rPr>
                <w:rStyle w:val="IndexLink"/>
                <w:rtl w:val="true"/>
              </w:rPr>
              <w:t>والأولياء</w:t>
            </w:r>
            <w:r>
              <w:rPr>
                <w:rStyle w:val="IndexLink"/>
                <w:rtl w:val="true"/>
              </w:rPr>
              <w:tab/>
            </w:r>
            <w:r>
              <w:rPr>
                <w:rStyle w:val="IndexLink"/>
              </w:rPr>
              <w:t>62</w:t>
            </w:r>
          </w:hyperlink>
        </w:p>
        <w:p>
          <w:pPr>
            <w:pStyle w:val="Contents6"/>
            <w:tabs>
              <w:tab w:val="clear" w:pos="7609"/>
              <w:tab w:val="right" w:pos="9026" w:leader="dot"/>
            </w:tabs>
            <w:rPr/>
          </w:pPr>
          <w:hyperlink w:anchor="__RefHeading___Toc897645_3650668749">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897647_3650668749">
            <w:r>
              <w:rPr>
                <w:webHidden/>
                <w:rStyle w:val="IndexLink"/>
                <w:rtl w:val="true"/>
              </w:rPr>
              <w:t>الدليل الأول</w:t>
            </w:r>
            <w:r>
              <w:rPr>
                <w:rStyle w:val="IndexLink"/>
                <w:rtl w:val="true"/>
              </w:rPr>
              <w:tab/>
            </w:r>
            <w:r>
              <w:rPr>
                <w:rStyle w:val="IndexLink"/>
              </w:rPr>
              <w:t>62</w:t>
            </w:r>
          </w:hyperlink>
        </w:p>
        <w:p>
          <w:pPr>
            <w:pStyle w:val="Contents6"/>
            <w:tabs>
              <w:tab w:val="clear" w:pos="7609"/>
              <w:tab w:val="right" w:pos="9026" w:leader="dot"/>
            </w:tabs>
            <w:rPr/>
          </w:pPr>
          <w:hyperlink w:anchor="__RefHeading___Toc897649_3650668749">
            <w:r>
              <w:rPr>
                <w:webHidden/>
                <w:rStyle w:val="IndexLink"/>
                <w:rtl w:val="true"/>
              </w:rPr>
              <w:t>الدليل الثانى</w:t>
            </w:r>
            <w:r>
              <w:rPr>
                <w:rStyle w:val="IndexLink"/>
                <w:rtl w:val="true"/>
              </w:rPr>
              <w:tab/>
            </w:r>
            <w:r>
              <w:rPr>
                <w:rStyle w:val="IndexLink"/>
              </w:rPr>
              <w:t>63</w:t>
            </w:r>
          </w:hyperlink>
        </w:p>
        <w:p>
          <w:pPr>
            <w:pStyle w:val="Contents6"/>
            <w:tabs>
              <w:tab w:val="clear" w:pos="7609"/>
              <w:tab w:val="right" w:pos="9026" w:leader="dot"/>
            </w:tabs>
            <w:rPr/>
          </w:pPr>
          <w:hyperlink w:anchor="__RefHeading___Toc897651_3650668749">
            <w:r>
              <w:rPr>
                <w:webHidden/>
                <w:rStyle w:val="IndexLink"/>
                <w:rtl w:val="true"/>
              </w:rPr>
              <w:t>الدليل الثالث</w:t>
            </w:r>
            <w:r>
              <w:rPr>
                <w:rStyle w:val="IndexLink"/>
                <w:rtl w:val="true"/>
              </w:rPr>
              <w:tab/>
            </w:r>
            <w:r>
              <w:rPr>
                <w:rStyle w:val="IndexLink"/>
              </w:rPr>
              <w:t>64</w:t>
            </w:r>
          </w:hyperlink>
        </w:p>
        <w:p>
          <w:pPr>
            <w:pStyle w:val="Contents2"/>
            <w:tabs>
              <w:tab w:val="clear" w:pos="8743"/>
              <w:tab w:val="right" w:pos="9026" w:leader="dot"/>
            </w:tabs>
            <w:rPr/>
          </w:pPr>
          <w:hyperlink w:anchor="__RefHeading___Toc897653_3650668749">
            <w:r>
              <w:rPr>
                <w:webHidden/>
                <w:rStyle w:val="IndexLink"/>
              </w:rPr>
              <w:t>٢</w:t>
            </w:r>
            <w:r>
              <w:rPr>
                <w:rStyle w:val="IndexLink"/>
                <w:rtl w:val="true"/>
              </w:rPr>
              <w:t xml:space="preserve">. </w:t>
            </w:r>
            <w:r>
              <w:rPr>
                <w:rStyle w:val="IndexLink"/>
                <w:rtl w:val="true"/>
              </w:rPr>
              <w:t>بناء القبب والأضرحة على القبور</w:t>
            </w:r>
            <w:r>
              <w:rPr>
                <w:rStyle w:val="IndexLink"/>
                <w:rtl w:val="true"/>
              </w:rPr>
              <w:tab/>
            </w:r>
            <w:r>
              <w:rPr>
                <w:rStyle w:val="IndexLink"/>
              </w:rPr>
              <w:t>66</w:t>
            </w:r>
          </w:hyperlink>
        </w:p>
        <w:p>
          <w:pPr>
            <w:pStyle w:val="Contents3"/>
            <w:tabs>
              <w:tab w:val="clear" w:pos="8459"/>
              <w:tab w:val="right" w:pos="9026" w:leader="dot"/>
            </w:tabs>
            <w:rPr/>
          </w:pPr>
          <w:hyperlink w:anchor="__RefHeading___Toc897655_3650668749">
            <w:r>
              <w:rPr>
                <w:webHidden/>
                <w:rStyle w:val="IndexLink"/>
                <w:rtl w:val="true"/>
              </w:rPr>
              <w:t>عرض الشبهة</w:t>
            </w:r>
            <w:r>
              <w:rPr>
                <w:rStyle w:val="IndexLink"/>
                <w:rtl w:val="true"/>
              </w:rPr>
              <w:tab/>
            </w:r>
            <w:r>
              <w:rPr>
                <w:rStyle w:val="IndexLink"/>
              </w:rPr>
              <w:t>66</w:t>
            </w:r>
          </w:hyperlink>
        </w:p>
        <w:p>
          <w:pPr>
            <w:pStyle w:val="Contents4"/>
            <w:tabs>
              <w:tab w:val="clear" w:pos="8176"/>
              <w:tab w:val="right" w:pos="9026" w:leader="dot"/>
            </w:tabs>
            <w:rPr/>
          </w:pPr>
          <w:hyperlink w:anchor="__RefHeading___Toc897657_365066874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897659_3650668749">
            <w:r>
              <w:rPr>
                <w:webHidden/>
                <w:rStyle w:val="IndexLink"/>
                <w:rtl w:val="true"/>
              </w:rPr>
              <w:t>الدليل الأوّل</w:t>
            </w:r>
            <w:r>
              <w:rPr>
                <w:rStyle w:val="IndexLink"/>
                <w:rtl w:val="true"/>
              </w:rPr>
              <w:t xml:space="preserve">: </w:t>
            </w:r>
            <w:r>
              <w:rPr>
                <w:rStyle w:val="IndexLink"/>
                <w:rtl w:val="true"/>
              </w:rPr>
              <w:t>الإجماع</w:t>
            </w:r>
            <w:r>
              <w:rPr>
                <w:rStyle w:val="IndexLink"/>
                <w:rtl w:val="true"/>
              </w:rPr>
              <w:tab/>
            </w:r>
            <w:r>
              <w:rPr>
                <w:rStyle w:val="IndexLink"/>
              </w:rPr>
              <w:t>66</w:t>
            </w:r>
          </w:hyperlink>
        </w:p>
        <w:p>
          <w:pPr>
            <w:pStyle w:val="Contents4"/>
            <w:tabs>
              <w:tab w:val="clear" w:pos="8176"/>
              <w:tab w:val="right" w:pos="9026" w:leader="dot"/>
            </w:tabs>
            <w:rPr/>
          </w:pPr>
          <w:hyperlink w:anchor="__RefHeading___Toc897661_3650668749">
            <w:r>
              <w:rPr>
                <w:webHidden/>
                <w:rStyle w:val="IndexLink"/>
                <w:rtl w:val="true"/>
              </w:rPr>
              <w:t>الدليل الثانى</w:t>
            </w:r>
            <w:r>
              <w:rPr>
                <w:rStyle w:val="IndexLink"/>
                <w:rtl w:val="true"/>
              </w:rPr>
              <w:t xml:space="preserve">: </w:t>
            </w:r>
            <w:r>
              <w:rPr>
                <w:rStyle w:val="IndexLink"/>
                <w:rtl w:val="true"/>
              </w:rPr>
              <w:t>رواية أبى الهيّاج</w:t>
            </w:r>
            <w:r>
              <w:rPr>
                <w:rStyle w:val="IndexLink"/>
                <w:rtl w:val="true"/>
              </w:rPr>
              <w:tab/>
            </w:r>
            <w:r>
              <w:rPr>
                <w:rStyle w:val="IndexLink"/>
              </w:rPr>
              <w:t>67</w:t>
            </w:r>
          </w:hyperlink>
        </w:p>
        <w:p>
          <w:pPr>
            <w:pStyle w:val="Contents4"/>
            <w:tabs>
              <w:tab w:val="clear" w:pos="8176"/>
              <w:tab w:val="right" w:pos="9026" w:leader="dot"/>
            </w:tabs>
            <w:rPr/>
          </w:pPr>
          <w:hyperlink w:anchor="__RefHeading___Toc897663_3650668749">
            <w:r>
              <w:rPr>
                <w:webHidden/>
                <w:rStyle w:val="IndexLink"/>
                <w:rtl w:val="true"/>
              </w:rPr>
              <w:t>الدليل الثالث</w:t>
            </w:r>
            <w:r>
              <w:rPr>
                <w:rStyle w:val="IndexLink"/>
                <w:rtl w:val="true"/>
              </w:rPr>
              <w:t xml:space="preserve">: </w:t>
            </w:r>
            <w:r>
              <w:rPr>
                <w:rStyle w:val="IndexLink"/>
                <w:rtl w:val="true"/>
              </w:rPr>
              <w:t>روايات أخرى</w:t>
            </w:r>
            <w:r>
              <w:rPr>
                <w:rStyle w:val="IndexLink"/>
                <w:rtl w:val="true"/>
              </w:rPr>
              <w:tab/>
            </w:r>
            <w:r>
              <w:rPr>
                <w:rStyle w:val="IndexLink"/>
              </w:rPr>
              <w:t>67</w:t>
            </w:r>
          </w:hyperlink>
        </w:p>
        <w:p>
          <w:pPr>
            <w:pStyle w:val="Contents4"/>
            <w:tabs>
              <w:tab w:val="clear" w:pos="8176"/>
              <w:tab w:val="right" w:pos="9026" w:leader="dot"/>
            </w:tabs>
            <w:rPr/>
          </w:pPr>
          <w:hyperlink w:anchor="__RefHeading___Toc897665_3650668749">
            <w:r>
              <w:rPr>
                <w:webHidden/>
                <w:rStyle w:val="IndexLink"/>
                <w:rtl w:val="true"/>
              </w:rPr>
              <w:t>الدليل الرابع</w:t>
            </w:r>
            <w:r>
              <w:rPr>
                <w:rStyle w:val="IndexLink"/>
                <w:rtl w:val="true"/>
              </w:rPr>
              <w:t xml:space="preserve">: </w:t>
            </w:r>
            <w:r>
              <w:rPr>
                <w:rStyle w:val="IndexLink"/>
                <w:rtl w:val="true"/>
              </w:rPr>
              <w:t>البناء على القبور من الشرك</w:t>
            </w:r>
            <w:r>
              <w:rPr>
                <w:rStyle w:val="IndexLink"/>
                <w:rtl w:val="true"/>
              </w:rPr>
              <w:tab/>
            </w:r>
            <w:r>
              <w:rPr>
                <w:rStyle w:val="IndexLink"/>
              </w:rPr>
              <w:t>68</w:t>
            </w:r>
          </w:hyperlink>
        </w:p>
        <w:p>
          <w:pPr>
            <w:pStyle w:val="Contents3"/>
            <w:tabs>
              <w:tab w:val="clear" w:pos="8459"/>
              <w:tab w:val="right" w:pos="9026" w:leader="dot"/>
            </w:tabs>
            <w:rPr/>
          </w:pPr>
          <w:hyperlink w:anchor="__RefHeading___Toc897667_3650668749">
            <w:r>
              <w:rPr>
                <w:webHidden/>
                <w:rStyle w:val="IndexLink"/>
                <w:rtl w:val="true"/>
              </w:rPr>
              <w:t>الجواب على هذه الشبهة</w:t>
            </w:r>
            <w:r>
              <w:rPr>
                <w:rStyle w:val="IndexLink"/>
                <w:rtl w:val="true"/>
              </w:rPr>
              <w:tab/>
            </w:r>
            <w:r>
              <w:rPr>
                <w:rStyle w:val="IndexLink"/>
              </w:rPr>
              <w:t>68</w:t>
            </w:r>
          </w:hyperlink>
        </w:p>
        <w:p>
          <w:pPr>
            <w:pStyle w:val="Contents4"/>
            <w:tabs>
              <w:tab w:val="clear" w:pos="8176"/>
              <w:tab w:val="right" w:pos="9026" w:leader="dot"/>
            </w:tabs>
            <w:rPr/>
          </w:pPr>
          <w:hyperlink w:anchor="__RefHeading___Toc897669_365066874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897671_3650668749">
            <w:r>
              <w:rPr>
                <w:webHidden/>
                <w:rStyle w:val="IndexLink"/>
                <w:rtl w:val="true"/>
              </w:rPr>
              <w:t>أوّلاً</w:t>
            </w:r>
            <w:r>
              <w:rPr>
                <w:rStyle w:val="IndexLink"/>
                <w:rtl w:val="true"/>
              </w:rPr>
              <w:t xml:space="preserve">: </w:t>
            </w:r>
            <w:r>
              <w:rPr>
                <w:rStyle w:val="IndexLink"/>
                <w:rtl w:val="true"/>
              </w:rPr>
              <w:t>مناقشة الإجماع على المنع من البناء على القبور</w:t>
            </w:r>
            <w:r>
              <w:rPr>
                <w:rStyle w:val="IndexLink"/>
                <w:rtl w:val="true"/>
              </w:rPr>
              <w:tab/>
            </w:r>
            <w:r>
              <w:rPr>
                <w:rStyle w:val="IndexLink"/>
              </w:rPr>
              <w:t>69</w:t>
            </w:r>
          </w:hyperlink>
        </w:p>
        <w:p>
          <w:pPr>
            <w:pStyle w:val="Contents4"/>
            <w:tabs>
              <w:tab w:val="clear" w:pos="8176"/>
              <w:tab w:val="right" w:pos="9026" w:leader="dot"/>
            </w:tabs>
            <w:rPr/>
          </w:pPr>
          <w:hyperlink w:anchor="__RefHeading___Toc897673_3650668749">
            <w:r>
              <w:rPr>
                <w:webHidden/>
                <w:rStyle w:val="IndexLink"/>
                <w:rtl w:val="true"/>
              </w:rPr>
              <w:t>ثانياً</w:t>
            </w:r>
            <w:r>
              <w:rPr>
                <w:rStyle w:val="IndexLink"/>
                <w:rtl w:val="true"/>
              </w:rPr>
              <w:t xml:space="preserve">: </w:t>
            </w:r>
            <w:r>
              <w:rPr>
                <w:rStyle w:val="IndexLink"/>
                <w:rtl w:val="true"/>
              </w:rPr>
              <w:t>مناقشة الاستدلال برواية أبى الهيّاج</w:t>
            </w:r>
            <w:r>
              <w:rPr>
                <w:rStyle w:val="IndexLink"/>
                <w:rtl w:val="true"/>
              </w:rPr>
              <w:tab/>
            </w:r>
            <w:r>
              <w:rPr>
                <w:rStyle w:val="IndexLink"/>
              </w:rPr>
              <w:t>70</w:t>
            </w:r>
          </w:hyperlink>
        </w:p>
        <w:p>
          <w:pPr>
            <w:pStyle w:val="Contents5"/>
            <w:tabs>
              <w:tab w:val="clear" w:pos="7892"/>
              <w:tab w:val="right" w:pos="9026" w:leader="dot"/>
            </w:tabs>
            <w:rPr/>
          </w:pPr>
          <w:hyperlink w:anchor="__RefHeading___Toc897675_3650668749">
            <w:r>
              <w:rPr>
                <w:webHidden/>
                <w:rStyle w:val="IndexLink"/>
                <w:rtl w:val="true"/>
              </w:rPr>
              <w:t>أ</w:t>
            </w:r>
            <w:r>
              <w:rPr>
                <w:rStyle w:val="IndexLink"/>
                <w:rtl w:val="true"/>
              </w:rPr>
              <w:t xml:space="preserve">- </w:t>
            </w:r>
            <w:r>
              <w:rPr>
                <w:rStyle w:val="IndexLink"/>
                <w:rtl w:val="true"/>
              </w:rPr>
              <w:t>سند الرواية</w:t>
            </w:r>
            <w:r>
              <w:rPr>
                <w:rStyle w:val="IndexLink"/>
                <w:rtl w:val="true"/>
              </w:rPr>
              <w:tab/>
            </w:r>
            <w:r>
              <w:rPr>
                <w:rStyle w:val="IndexLink"/>
              </w:rPr>
              <w:t>70</w:t>
            </w:r>
          </w:hyperlink>
        </w:p>
        <w:p>
          <w:pPr>
            <w:pStyle w:val="Contents6"/>
            <w:tabs>
              <w:tab w:val="clear" w:pos="7609"/>
              <w:tab w:val="right" w:pos="9026" w:leader="dot"/>
            </w:tabs>
            <w:rPr/>
          </w:pPr>
          <w:hyperlink w:anchor="__RefHeading___Toc897677_3650668749">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897679_3650668749">
            <w:r>
              <w:rPr>
                <w:webHidden/>
                <w:rStyle w:val="IndexLink"/>
              </w:rPr>
              <w:t>١</w:t>
            </w:r>
            <w:r>
              <w:rPr>
                <w:rStyle w:val="IndexLink"/>
                <w:rtl w:val="true"/>
              </w:rPr>
              <w:t xml:space="preserve">. </w:t>
            </w:r>
            <w:r>
              <w:rPr>
                <w:rStyle w:val="IndexLink"/>
                <w:rtl w:val="true"/>
              </w:rPr>
              <w:t>وكيع</w:t>
            </w:r>
            <w:r>
              <w:rPr>
                <w:rStyle w:val="IndexLink"/>
                <w:rtl w:val="true"/>
              </w:rPr>
              <w:tab/>
            </w:r>
            <w:r>
              <w:rPr>
                <w:rStyle w:val="IndexLink"/>
              </w:rPr>
              <w:t>71</w:t>
            </w:r>
          </w:hyperlink>
        </w:p>
        <w:p>
          <w:pPr>
            <w:pStyle w:val="Contents6"/>
            <w:tabs>
              <w:tab w:val="clear" w:pos="7609"/>
              <w:tab w:val="right" w:pos="9026" w:leader="dot"/>
            </w:tabs>
            <w:rPr/>
          </w:pPr>
          <w:hyperlink w:anchor="__RefHeading___Toc897681_3650668749">
            <w:r>
              <w:rPr>
                <w:webHidden/>
                <w:rStyle w:val="IndexLink"/>
              </w:rPr>
              <w:t>٢</w:t>
            </w:r>
            <w:r>
              <w:rPr>
                <w:rStyle w:val="IndexLink"/>
                <w:rtl w:val="true"/>
              </w:rPr>
              <w:t xml:space="preserve">. </w:t>
            </w:r>
            <w:r>
              <w:rPr>
                <w:rStyle w:val="IndexLink"/>
                <w:rtl w:val="true"/>
              </w:rPr>
              <w:t>سفيان</w:t>
            </w:r>
            <w:r>
              <w:rPr>
                <w:rStyle w:val="IndexLink"/>
                <w:rtl w:val="true"/>
              </w:rPr>
              <w:tab/>
            </w:r>
            <w:r>
              <w:rPr>
                <w:rStyle w:val="IndexLink"/>
              </w:rPr>
              <w:t>71</w:t>
            </w:r>
          </w:hyperlink>
        </w:p>
        <w:p>
          <w:pPr>
            <w:pStyle w:val="Contents6"/>
            <w:tabs>
              <w:tab w:val="clear" w:pos="7609"/>
              <w:tab w:val="right" w:pos="9026" w:leader="dot"/>
            </w:tabs>
            <w:rPr/>
          </w:pPr>
          <w:hyperlink w:anchor="__RefHeading___Toc897683_3650668749">
            <w:r>
              <w:rPr>
                <w:webHidden/>
                <w:rStyle w:val="IndexLink"/>
              </w:rPr>
              <w:t>٣</w:t>
            </w:r>
            <w:r>
              <w:rPr>
                <w:rStyle w:val="IndexLink"/>
                <w:rtl w:val="true"/>
              </w:rPr>
              <w:t xml:space="preserve">. </w:t>
            </w:r>
            <w:r>
              <w:rPr>
                <w:rStyle w:val="IndexLink"/>
                <w:rtl w:val="true"/>
              </w:rPr>
              <w:t>حبيب بن أبى‌ثابت</w:t>
            </w:r>
            <w:r>
              <w:rPr>
                <w:rStyle w:val="IndexLink"/>
                <w:rtl w:val="true"/>
              </w:rPr>
              <w:tab/>
            </w:r>
            <w:r>
              <w:rPr>
                <w:rStyle w:val="IndexLink"/>
              </w:rPr>
              <w:t>71</w:t>
            </w:r>
          </w:hyperlink>
        </w:p>
        <w:p>
          <w:pPr>
            <w:pStyle w:val="Contents6"/>
            <w:tabs>
              <w:tab w:val="clear" w:pos="7609"/>
              <w:tab w:val="right" w:pos="9026" w:leader="dot"/>
            </w:tabs>
            <w:rPr/>
          </w:pPr>
          <w:hyperlink w:anchor="__RefHeading___Toc897685_3650668749">
            <w:r>
              <w:rPr>
                <w:webHidden/>
                <w:rStyle w:val="IndexLink"/>
              </w:rPr>
              <w:t>4</w:t>
            </w:r>
            <w:r>
              <w:rPr>
                <w:rStyle w:val="IndexLink"/>
                <w:rtl w:val="true"/>
              </w:rPr>
              <w:t xml:space="preserve">- </w:t>
            </w:r>
            <w:r>
              <w:rPr>
                <w:rStyle w:val="IndexLink"/>
                <w:rtl w:val="true"/>
              </w:rPr>
              <w:t>أبو وائل</w:t>
            </w:r>
            <w:r>
              <w:rPr>
                <w:rStyle w:val="IndexLink"/>
                <w:rtl w:val="true"/>
              </w:rPr>
              <w:tab/>
            </w:r>
            <w:r>
              <w:rPr>
                <w:rStyle w:val="IndexLink"/>
              </w:rPr>
              <w:t>71</w:t>
            </w:r>
          </w:hyperlink>
        </w:p>
        <w:p>
          <w:pPr>
            <w:pStyle w:val="Contents6"/>
            <w:tabs>
              <w:tab w:val="clear" w:pos="7609"/>
              <w:tab w:val="right" w:pos="9026" w:leader="dot"/>
            </w:tabs>
            <w:rPr/>
          </w:pPr>
          <w:hyperlink w:anchor="__RefHeading___Toc897687_3650668749">
            <w:r>
              <w:rPr>
                <w:webHidden/>
                <w:rStyle w:val="IndexLink"/>
              </w:rPr>
              <w:t>5</w:t>
            </w:r>
            <w:r>
              <w:rPr>
                <w:rStyle w:val="IndexLink"/>
                <w:rtl w:val="true"/>
              </w:rPr>
              <w:t>-</w:t>
            </w:r>
            <w:r>
              <w:rPr>
                <w:rStyle w:val="IndexLink"/>
                <w:rtl w:val="true"/>
              </w:rPr>
              <w:t>أبو الهيّاج</w:t>
            </w:r>
            <w:r>
              <w:rPr>
                <w:rStyle w:val="IndexLink"/>
                <w:rtl w:val="true"/>
              </w:rPr>
              <w:tab/>
            </w:r>
            <w:r>
              <w:rPr>
                <w:rStyle w:val="IndexLink"/>
              </w:rPr>
              <w:t>72</w:t>
            </w:r>
          </w:hyperlink>
        </w:p>
        <w:p>
          <w:pPr>
            <w:pStyle w:val="Contents5"/>
            <w:tabs>
              <w:tab w:val="clear" w:pos="7892"/>
              <w:tab w:val="right" w:pos="9026" w:leader="dot"/>
            </w:tabs>
            <w:rPr/>
          </w:pPr>
          <w:hyperlink w:anchor="__RefHeading___Toc897689_3650668749">
            <w:r>
              <w:rPr>
                <w:webHidden/>
                <w:rStyle w:val="IndexLink"/>
                <w:rtl w:val="true"/>
              </w:rPr>
              <w:t xml:space="preserve">ب </w:t>
            </w:r>
            <w:r>
              <w:rPr>
                <w:rStyle w:val="IndexLink"/>
                <w:rtl w:val="true"/>
              </w:rPr>
              <w:t xml:space="preserve">- </w:t>
            </w:r>
            <w:r>
              <w:rPr>
                <w:rStyle w:val="IndexLink"/>
                <w:rtl w:val="true"/>
              </w:rPr>
              <w:t>دلالة الرواية</w:t>
            </w:r>
            <w:r>
              <w:rPr>
                <w:rStyle w:val="IndexLink"/>
                <w:rtl w:val="true"/>
              </w:rPr>
              <w:tab/>
            </w:r>
            <w:r>
              <w:rPr>
                <w:rStyle w:val="IndexLink"/>
              </w:rPr>
              <w:t>72</w:t>
            </w:r>
          </w:hyperlink>
        </w:p>
        <w:p>
          <w:pPr>
            <w:pStyle w:val="Contents4"/>
            <w:tabs>
              <w:tab w:val="clear" w:pos="8176"/>
              <w:tab w:val="right" w:pos="9026" w:leader="dot"/>
            </w:tabs>
            <w:rPr/>
          </w:pPr>
          <w:hyperlink w:anchor="__RefHeading___Toc897691_3650668749">
            <w:r>
              <w:rPr>
                <w:webHidden/>
                <w:rStyle w:val="IndexLink"/>
                <w:rtl w:val="true"/>
              </w:rPr>
              <w:t>ثالثاً</w:t>
            </w:r>
            <w:r>
              <w:rPr>
                <w:rStyle w:val="IndexLink"/>
                <w:rtl w:val="true"/>
              </w:rPr>
              <w:t xml:space="preserve">: </w:t>
            </w:r>
            <w:r>
              <w:rPr>
                <w:rStyle w:val="IndexLink"/>
                <w:rtl w:val="true"/>
              </w:rPr>
              <w:t>مناقشة روايات النهى عن البناء على القبور</w:t>
            </w:r>
            <w:r>
              <w:rPr>
                <w:rStyle w:val="IndexLink"/>
                <w:rtl w:val="true"/>
              </w:rPr>
              <w:tab/>
            </w:r>
            <w:r>
              <w:rPr>
                <w:rStyle w:val="IndexLink"/>
              </w:rPr>
              <w:t>75</w:t>
            </w:r>
          </w:hyperlink>
        </w:p>
        <w:p>
          <w:pPr>
            <w:pStyle w:val="Contents5"/>
            <w:tabs>
              <w:tab w:val="clear" w:pos="7892"/>
              <w:tab w:val="right" w:pos="9026" w:leader="dot"/>
            </w:tabs>
            <w:rPr/>
          </w:pPr>
          <w:hyperlink w:anchor="__RefHeading___Toc897693_3650668749">
            <w:r>
              <w:rPr>
                <w:webHidden/>
                <w:rStyle w:val="IndexLink"/>
                <w:rtl w:val="true"/>
              </w:rPr>
              <w:t>أ</w:t>
            </w:r>
            <w:r>
              <w:rPr>
                <w:rStyle w:val="IndexLink"/>
                <w:rtl w:val="true"/>
              </w:rPr>
              <w:t xml:space="preserve">. </w:t>
            </w:r>
            <w:r>
              <w:rPr>
                <w:rStyle w:val="IndexLink"/>
                <w:rtl w:val="true"/>
              </w:rPr>
              <w:t>سند الروايات</w:t>
            </w:r>
            <w:r>
              <w:rPr>
                <w:rStyle w:val="IndexLink"/>
                <w:rtl w:val="true"/>
              </w:rPr>
              <w:tab/>
            </w:r>
            <w:r>
              <w:rPr>
                <w:rStyle w:val="IndexLink"/>
              </w:rPr>
              <w:t>75</w:t>
            </w:r>
          </w:hyperlink>
        </w:p>
        <w:p>
          <w:pPr>
            <w:pStyle w:val="Contents5"/>
            <w:tabs>
              <w:tab w:val="clear" w:pos="7892"/>
              <w:tab w:val="right" w:pos="9026" w:leader="dot"/>
            </w:tabs>
            <w:rPr/>
          </w:pPr>
          <w:hyperlink w:anchor="__RefHeading___Toc897695_3650668749">
            <w:r>
              <w:rPr>
                <w:webHidden/>
                <w:rStyle w:val="IndexLink"/>
                <w:rtl w:val="true"/>
              </w:rPr>
              <w:t>ب</w:t>
            </w:r>
            <w:r>
              <w:rPr>
                <w:rStyle w:val="IndexLink"/>
                <w:rtl w:val="true"/>
              </w:rPr>
              <w:t xml:space="preserve">. </w:t>
            </w:r>
            <w:r>
              <w:rPr>
                <w:rStyle w:val="IndexLink"/>
                <w:rtl w:val="true"/>
              </w:rPr>
              <w:t>دلالة الروايات</w:t>
            </w:r>
            <w:r>
              <w:rPr>
                <w:rStyle w:val="IndexLink"/>
                <w:rtl w:val="true"/>
              </w:rPr>
              <w:tab/>
            </w:r>
            <w:r>
              <w:rPr>
                <w:rStyle w:val="IndexLink"/>
              </w:rPr>
              <w:t>76</w:t>
            </w:r>
          </w:hyperlink>
        </w:p>
        <w:p>
          <w:pPr>
            <w:pStyle w:val="Contents4"/>
            <w:tabs>
              <w:tab w:val="clear" w:pos="8176"/>
              <w:tab w:val="right" w:pos="9026" w:leader="dot"/>
            </w:tabs>
            <w:rPr/>
          </w:pPr>
          <w:hyperlink w:anchor="__RefHeading___Toc897697_3650668749">
            <w:r>
              <w:rPr>
                <w:webHidden/>
                <w:rStyle w:val="IndexLink"/>
                <w:rtl w:val="true"/>
              </w:rPr>
              <w:t>رابعاً</w:t>
            </w:r>
            <w:r>
              <w:rPr>
                <w:rStyle w:val="IndexLink"/>
                <w:rtl w:val="true"/>
              </w:rPr>
              <w:t xml:space="preserve">: </w:t>
            </w:r>
            <w:r>
              <w:rPr>
                <w:rStyle w:val="IndexLink"/>
                <w:rtl w:val="true"/>
              </w:rPr>
              <w:t>مناقشة الدليل الرابع</w:t>
            </w:r>
            <w:r>
              <w:rPr>
                <w:rStyle w:val="IndexLink"/>
                <w:rtl w:val="true"/>
              </w:rPr>
              <w:tab/>
            </w:r>
            <w:r>
              <w:rPr>
                <w:rStyle w:val="IndexLink"/>
              </w:rPr>
              <w:t>79</w:t>
            </w:r>
          </w:hyperlink>
        </w:p>
        <w:p>
          <w:pPr>
            <w:pStyle w:val="Contents5"/>
            <w:tabs>
              <w:tab w:val="clear" w:pos="7892"/>
              <w:tab w:val="right" w:pos="9026" w:leader="dot"/>
            </w:tabs>
            <w:rPr/>
          </w:pPr>
          <w:hyperlink w:anchor="__RefHeading___Toc897699_3650668749">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897701_3650668749">
            <w:r>
              <w:rPr>
                <w:webHidden/>
                <w:rStyle w:val="IndexLink"/>
                <w:rtl w:val="true"/>
              </w:rPr>
              <w:t>مناقشة الاستدلال بروايات ارتفاع القبر</w:t>
            </w:r>
            <w:r>
              <w:rPr>
                <w:rStyle w:val="IndexLink"/>
                <w:rtl w:val="true"/>
              </w:rPr>
              <w:tab/>
            </w:r>
            <w:r>
              <w:rPr>
                <w:rStyle w:val="IndexLink"/>
              </w:rPr>
              <w:t>82</w:t>
            </w:r>
          </w:hyperlink>
        </w:p>
        <w:p>
          <w:pPr>
            <w:pStyle w:val="Contents5"/>
            <w:tabs>
              <w:tab w:val="clear" w:pos="7892"/>
              <w:tab w:val="right" w:pos="9026" w:leader="dot"/>
            </w:tabs>
            <w:rPr/>
          </w:pPr>
          <w:hyperlink w:anchor="__RefHeading___Toc897703_3650668749">
            <w:r>
              <w:rPr>
                <w:webHidden/>
                <w:rStyle w:val="IndexLink"/>
                <w:rtl w:val="true"/>
              </w:rPr>
              <w:t>نصّ الاستدلال</w:t>
            </w:r>
            <w:r>
              <w:rPr>
                <w:rStyle w:val="IndexLink"/>
                <w:rtl w:val="true"/>
              </w:rPr>
              <w:tab/>
            </w:r>
            <w:r>
              <w:rPr>
                <w:rStyle w:val="IndexLink"/>
              </w:rPr>
              <w:t>83</w:t>
            </w:r>
          </w:hyperlink>
        </w:p>
        <w:p>
          <w:pPr>
            <w:pStyle w:val="Contents5"/>
            <w:tabs>
              <w:tab w:val="clear" w:pos="7892"/>
              <w:tab w:val="right" w:pos="9026" w:leader="dot"/>
            </w:tabs>
            <w:rPr/>
          </w:pPr>
          <w:hyperlink w:anchor="__RefHeading___Toc897705_3650668749">
            <w:r>
              <w:rPr>
                <w:webHidden/>
                <w:rStyle w:val="IndexLink"/>
                <w:rtl w:val="true"/>
              </w:rPr>
              <w:t>مناقشة هذا الاستدلال</w:t>
            </w:r>
            <w:r>
              <w:rPr>
                <w:rStyle w:val="IndexLink"/>
                <w:rtl w:val="true"/>
              </w:rPr>
              <w:tab/>
            </w:r>
            <w:r>
              <w:rPr>
                <w:rStyle w:val="IndexLink"/>
              </w:rPr>
              <w:t>86</w:t>
            </w:r>
          </w:hyperlink>
        </w:p>
        <w:p>
          <w:pPr>
            <w:pStyle w:val="Contents6"/>
            <w:tabs>
              <w:tab w:val="clear" w:pos="7609"/>
              <w:tab w:val="right" w:pos="9026" w:leader="dot"/>
            </w:tabs>
            <w:rPr/>
          </w:pPr>
          <w:hyperlink w:anchor="__RefHeading___Toc897707_3650668749">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897709_3650668749">
            <w:r>
              <w:rPr>
                <w:webHidden/>
                <w:rStyle w:val="IndexLink"/>
                <w:rtl w:val="true"/>
              </w:rPr>
              <w:t>الصنف الأوّل من الروايات</w:t>
            </w:r>
            <w:r>
              <w:rPr>
                <w:rStyle w:val="IndexLink"/>
                <w:rtl w:val="true"/>
              </w:rPr>
              <w:tab/>
            </w:r>
            <w:r>
              <w:rPr>
                <w:rStyle w:val="IndexLink"/>
              </w:rPr>
              <w:t>87</w:t>
            </w:r>
          </w:hyperlink>
        </w:p>
        <w:p>
          <w:pPr>
            <w:pStyle w:val="Contents6"/>
            <w:tabs>
              <w:tab w:val="clear" w:pos="7609"/>
              <w:tab w:val="right" w:pos="9026" w:leader="dot"/>
            </w:tabs>
            <w:rPr/>
          </w:pPr>
          <w:hyperlink w:anchor="__RefHeading___Toc897711_3650668749">
            <w:r>
              <w:rPr>
                <w:webHidden/>
                <w:rStyle w:val="IndexLink"/>
                <w:rtl w:val="true"/>
              </w:rPr>
              <w:t>الصنف الثانى من الروايات</w:t>
            </w:r>
            <w:r>
              <w:rPr>
                <w:rStyle w:val="IndexLink"/>
                <w:rtl w:val="true"/>
              </w:rPr>
              <w:tab/>
            </w:r>
            <w:r>
              <w:rPr>
                <w:rStyle w:val="IndexLink"/>
              </w:rPr>
              <w:t>89</w:t>
            </w:r>
          </w:hyperlink>
        </w:p>
        <w:p>
          <w:pPr>
            <w:pStyle w:val="Contents6"/>
            <w:tabs>
              <w:tab w:val="clear" w:pos="7609"/>
              <w:tab w:val="right" w:pos="9026" w:leader="dot"/>
            </w:tabs>
            <w:rPr/>
          </w:pPr>
          <w:hyperlink w:anchor="__RefHeading___Toc897713_3650668749">
            <w:r>
              <w:rPr>
                <w:webHidden/>
                <w:rStyle w:val="IndexLink"/>
                <w:rtl w:val="true"/>
              </w:rPr>
              <w:t>اشاره</w:t>
            </w:r>
            <w:r>
              <w:rPr>
                <w:rStyle w:val="IndexLink"/>
                <w:rtl w:val="true"/>
              </w:rPr>
              <w:tab/>
            </w:r>
            <w:r>
              <w:rPr>
                <w:rStyle w:val="IndexLink"/>
              </w:rPr>
              <w:t>89</w:t>
            </w:r>
          </w:hyperlink>
        </w:p>
        <w:p>
          <w:pPr>
            <w:pStyle w:val="Contents2"/>
            <w:tabs>
              <w:tab w:val="clear" w:pos="8743"/>
              <w:tab w:val="right" w:pos="9026" w:leader="dot"/>
            </w:tabs>
            <w:rPr/>
          </w:pPr>
          <w:hyperlink w:anchor="__RefHeading___Toc897715_3650668749">
            <w:r>
              <w:rPr>
                <w:webHidden/>
                <w:rStyle w:val="IndexLink"/>
              </w:rPr>
              <w:t>3</w:t>
            </w:r>
            <w:r>
              <w:rPr>
                <w:rStyle w:val="IndexLink"/>
                <w:rtl w:val="true"/>
              </w:rPr>
              <w:t xml:space="preserve">. </w:t>
            </w:r>
            <w:r>
              <w:rPr>
                <w:rStyle w:val="IndexLink"/>
                <w:rtl w:val="true"/>
              </w:rPr>
              <w:t>تشييد المساجد على القبور</w:t>
            </w:r>
            <w:r>
              <w:rPr>
                <w:rStyle w:val="IndexLink"/>
                <w:rtl w:val="true"/>
              </w:rPr>
              <w:tab/>
            </w:r>
            <w:r>
              <w:rPr>
                <w:rStyle w:val="IndexLink"/>
              </w:rPr>
              <w:t>94</w:t>
            </w:r>
          </w:hyperlink>
        </w:p>
        <w:p>
          <w:pPr>
            <w:pStyle w:val="Contents3"/>
            <w:tabs>
              <w:tab w:val="clear" w:pos="8459"/>
              <w:tab w:val="right" w:pos="9026" w:leader="dot"/>
            </w:tabs>
            <w:rPr/>
          </w:pPr>
          <w:hyperlink w:anchor="__RefHeading___Toc897717_3650668749">
            <w:r>
              <w:rPr>
                <w:webHidden/>
                <w:rStyle w:val="IndexLink"/>
                <w:rtl w:val="true"/>
              </w:rPr>
              <w:t>عرض الشبهة</w:t>
            </w:r>
            <w:r>
              <w:rPr>
                <w:rStyle w:val="IndexLink"/>
                <w:rtl w:val="true"/>
              </w:rPr>
              <w:tab/>
            </w:r>
            <w:r>
              <w:rPr>
                <w:rStyle w:val="IndexLink"/>
              </w:rPr>
              <w:t>94</w:t>
            </w:r>
          </w:hyperlink>
        </w:p>
        <w:p>
          <w:pPr>
            <w:pStyle w:val="Contents4"/>
            <w:tabs>
              <w:tab w:val="clear" w:pos="8176"/>
              <w:tab w:val="right" w:pos="9026" w:leader="dot"/>
            </w:tabs>
            <w:rPr/>
          </w:pPr>
          <w:hyperlink w:anchor="__RefHeading___Toc897719_3650668749">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897721_3650668749">
            <w:r>
              <w:rPr>
                <w:webHidden/>
                <w:rStyle w:val="IndexLink"/>
                <w:rtl w:val="true"/>
              </w:rPr>
              <w:t>جواب الشبهة</w:t>
            </w:r>
            <w:r>
              <w:rPr>
                <w:rStyle w:val="IndexLink"/>
                <w:rtl w:val="true"/>
              </w:rPr>
              <w:tab/>
            </w:r>
            <w:r>
              <w:rPr>
                <w:rStyle w:val="IndexLink"/>
              </w:rPr>
              <w:t>96</w:t>
            </w:r>
          </w:hyperlink>
        </w:p>
        <w:p>
          <w:pPr>
            <w:pStyle w:val="Contents4"/>
            <w:tabs>
              <w:tab w:val="clear" w:pos="8176"/>
              <w:tab w:val="right" w:pos="9026" w:leader="dot"/>
            </w:tabs>
            <w:rPr/>
          </w:pPr>
          <w:hyperlink w:anchor="__RefHeading___Toc897723_3650668749">
            <w:r>
              <w:rPr>
                <w:webHidden/>
                <w:rStyle w:val="IndexLink"/>
                <w:rtl w:val="true"/>
              </w:rPr>
              <w:t>الجواب الأوّل</w:t>
            </w:r>
            <w:r>
              <w:rPr>
                <w:rStyle w:val="IndexLink"/>
                <w:rtl w:val="true"/>
              </w:rPr>
              <w:tab/>
            </w:r>
            <w:r>
              <w:rPr>
                <w:rStyle w:val="IndexLink"/>
              </w:rPr>
              <w:t>96</w:t>
            </w:r>
          </w:hyperlink>
        </w:p>
        <w:p>
          <w:pPr>
            <w:pStyle w:val="Contents5"/>
            <w:tabs>
              <w:tab w:val="clear" w:pos="7892"/>
              <w:tab w:val="right" w:pos="9026" w:leader="dot"/>
            </w:tabs>
            <w:rPr/>
          </w:pPr>
          <w:hyperlink w:anchor="__RefHeading___Toc897725_3650668749">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897727_3650668749">
            <w:r>
              <w:rPr>
                <w:webHidden/>
                <w:rStyle w:val="IndexLink"/>
                <w:rtl w:val="true"/>
              </w:rPr>
              <w:t>القرينة الأولى</w:t>
            </w:r>
            <w:r>
              <w:rPr>
                <w:rStyle w:val="IndexLink"/>
                <w:rtl w:val="true"/>
              </w:rPr>
              <w:tab/>
            </w:r>
            <w:r>
              <w:rPr>
                <w:rStyle w:val="IndexLink"/>
              </w:rPr>
              <w:t>97</w:t>
            </w:r>
          </w:hyperlink>
        </w:p>
        <w:p>
          <w:pPr>
            <w:pStyle w:val="Contents5"/>
            <w:tabs>
              <w:tab w:val="clear" w:pos="7892"/>
              <w:tab w:val="right" w:pos="9026" w:leader="dot"/>
            </w:tabs>
            <w:rPr/>
          </w:pPr>
          <w:hyperlink w:anchor="__RefHeading___Toc897729_3650668749">
            <w:r>
              <w:rPr>
                <w:webHidden/>
                <w:rStyle w:val="IndexLink"/>
                <w:rtl w:val="true"/>
              </w:rPr>
              <w:t>القرينة الثانية</w:t>
            </w:r>
            <w:r>
              <w:rPr>
                <w:rStyle w:val="IndexLink"/>
                <w:rtl w:val="true"/>
              </w:rPr>
              <w:tab/>
            </w:r>
            <w:r>
              <w:rPr>
                <w:rStyle w:val="IndexLink"/>
              </w:rPr>
              <w:t>99</w:t>
            </w:r>
          </w:hyperlink>
        </w:p>
        <w:p>
          <w:pPr>
            <w:pStyle w:val="Contents5"/>
            <w:tabs>
              <w:tab w:val="clear" w:pos="7892"/>
              <w:tab w:val="right" w:pos="9026" w:leader="dot"/>
            </w:tabs>
            <w:rPr/>
          </w:pPr>
          <w:hyperlink w:anchor="__RefHeading___Toc897731_3650668749">
            <w:r>
              <w:rPr>
                <w:webHidden/>
                <w:rStyle w:val="IndexLink"/>
                <w:rtl w:val="true"/>
              </w:rPr>
              <w:t>القرينة الثالثة</w:t>
            </w:r>
            <w:r>
              <w:rPr>
                <w:rStyle w:val="IndexLink"/>
                <w:rtl w:val="true"/>
              </w:rPr>
              <w:tab/>
            </w:r>
            <w:r>
              <w:rPr>
                <w:rStyle w:val="IndexLink"/>
              </w:rPr>
              <w:t>99</w:t>
            </w:r>
          </w:hyperlink>
        </w:p>
        <w:p>
          <w:pPr>
            <w:pStyle w:val="Contents4"/>
            <w:tabs>
              <w:tab w:val="clear" w:pos="8176"/>
              <w:tab w:val="right" w:pos="9026" w:leader="dot"/>
            </w:tabs>
            <w:rPr/>
          </w:pPr>
          <w:hyperlink w:anchor="__RefHeading___Toc897733_3650668749">
            <w:r>
              <w:rPr>
                <w:webHidden/>
                <w:rStyle w:val="IndexLink"/>
                <w:rtl w:val="true"/>
              </w:rPr>
              <w:t>الجواب الثانى</w:t>
            </w:r>
            <w:r>
              <w:rPr>
                <w:rStyle w:val="IndexLink"/>
                <w:rtl w:val="true"/>
              </w:rPr>
              <w:tab/>
            </w:r>
            <w:r>
              <w:rPr>
                <w:rStyle w:val="IndexLink"/>
              </w:rPr>
              <w:t>100</w:t>
            </w:r>
          </w:hyperlink>
        </w:p>
        <w:p>
          <w:pPr>
            <w:pStyle w:val="Contents4"/>
            <w:tabs>
              <w:tab w:val="clear" w:pos="8176"/>
              <w:tab w:val="right" w:pos="9026" w:leader="dot"/>
            </w:tabs>
            <w:rPr/>
          </w:pPr>
          <w:hyperlink w:anchor="__RefHeading___Toc897735_3650668749">
            <w:r>
              <w:rPr>
                <w:webHidden/>
                <w:rStyle w:val="IndexLink"/>
                <w:rtl w:val="true"/>
              </w:rPr>
              <w:t>الجواب الثالث</w:t>
            </w:r>
            <w:r>
              <w:rPr>
                <w:rStyle w:val="IndexLink"/>
                <w:rtl w:val="true"/>
              </w:rPr>
              <w:tab/>
            </w:r>
            <w:r>
              <w:rPr>
                <w:rStyle w:val="IndexLink"/>
              </w:rPr>
              <w:t>101</w:t>
            </w:r>
          </w:hyperlink>
        </w:p>
        <w:p>
          <w:pPr>
            <w:pStyle w:val="Contents4"/>
            <w:tabs>
              <w:tab w:val="clear" w:pos="8176"/>
              <w:tab w:val="right" w:pos="9026" w:leader="dot"/>
            </w:tabs>
            <w:rPr/>
          </w:pPr>
          <w:hyperlink w:anchor="__RefHeading___Toc897737_3650668749">
            <w:r>
              <w:rPr>
                <w:webHidden/>
                <w:rStyle w:val="IndexLink"/>
                <w:rtl w:val="true"/>
              </w:rPr>
              <w:t>الجواب الرابع</w:t>
            </w:r>
            <w:r>
              <w:rPr>
                <w:rStyle w:val="IndexLink"/>
                <w:rtl w:val="true"/>
              </w:rPr>
              <w:tab/>
            </w:r>
            <w:r>
              <w:rPr>
                <w:rStyle w:val="IndexLink"/>
              </w:rPr>
              <w:t>101</w:t>
            </w:r>
          </w:hyperlink>
        </w:p>
        <w:p>
          <w:pPr>
            <w:pStyle w:val="Contents2"/>
            <w:tabs>
              <w:tab w:val="clear" w:pos="8743"/>
              <w:tab w:val="right" w:pos="9026" w:leader="dot"/>
            </w:tabs>
            <w:rPr/>
          </w:pPr>
          <w:hyperlink w:anchor="__RefHeading___Toc897739_3650668749">
            <w:r>
              <w:rPr>
                <w:webHidden/>
                <w:rStyle w:val="IndexLink"/>
              </w:rPr>
              <w:t>4</w:t>
            </w:r>
            <w:r>
              <w:rPr>
                <w:rStyle w:val="IndexLink"/>
                <w:rtl w:val="true"/>
              </w:rPr>
              <w:t xml:space="preserve">. </w:t>
            </w:r>
            <w:r>
              <w:rPr>
                <w:rStyle w:val="IndexLink"/>
                <w:rtl w:val="true"/>
              </w:rPr>
              <w:t>الدعاء والصلاة عند القبوروالمشاهد المشرّفة</w:t>
            </w:r>
            <w:r>
              <w:rPr>
                <w:rStyle w:val="IndexLink"/>
                <w:rtl w:val="true"/>
              </w:rPr>
              <w:tab/>
            </w:r>
            <w:r>
              <w:rPr>
                <w:rStyle w:val="IndexLink"/>
              </w:rPr>
              <w:t>104</w:t>
            </w:r>
          </w:hyperlink>
        </w:p>
        <w:p>
          <w:pPr>
            <w:pStyle w:val="Contents3"/>
            <w:tabs>
              <w:tab w:val="clear" w:pos="8459"/>
              <w:tab w:val="right" w:pos="9026" w:leader="dot"/>
            </w:tabs>
            <w:rPr/>
          </w:pPr>
          <w:hyperlink w:anchor="__RefHeading___Toc897741_3650668749">
            <w:r>
              <w:rPr>
                <w:webHidden/>
                <w:rStyle w:val="IndexLink"/>
                <w:rtl w:val="true"/>
              </w:rPr>
              <w:t>طرح الشبهة</w:t>
            </w:r>
            <w:r>
              <w:rPr>
                <w:rStyle w:val="IndexLink"/>
                <w:rtl w:val="true"/>
              </w:rPr>
              <w:tab/>
            </w:r>
            <w:r>
              <w:rPr>
                <w:rStyle w:val="IndexLink"/>
              </w:rPr>
              <w:t>104</w:t>
            </w:r>
          </w:hyperlink>
        </w:p>
        <w:p>
          <w:pPr>
            <w:pStyle w:val="Contents3"/>
            <w:tabs>
              <w:tab w:val="clear" w:pos="8459"/>
              <w:tab w:val="right" w:pos="9026" w:leader="dot"/>
            </w:tabs>
            <w:rPr/>
          </w:pPr>
          <w:hyperlink w:anchor="__RefHeading___Toc897743_3650668749">
            <w:r>
              <w:rPr>
                <w:webHidden/>
                <w:rStyle w:val="IndexLink"/>
                <w:rtl w:val="true"/>
              </w:rPr>
              <w:t>تفنيد هذه الشبهة</w:t>
            </w:r>
            <w:r>
              <w:rPr>
                <w:rStyle w:val="IndexLink"/>
                <w:rtl w:val="true"/>
              </w:rPr>
              <w:tab/>
            </w:r>
            <w:r>
              <w:rPr>
                <w:rStyle w:val="IndexLink"/>
              </w:rPr>
              <w:t>106</w:t>
            </w:r>
          </w:hyperlink>
        </w:p>
        <w:p>
          <w:pPr>
            <w:pStyle w:val="Contents4"/>
            <w:tabs>
              <w:tab w:val="clear" w:pos="8176"/>
              <w:tab w:val="right" w:pos="9026" w:leader="dot"/>
            </w:tabs>
            <w:rPr/>
          </w:pPr>
          <w:hyperlink w:anchor="__RefHeading___Toc897745_3650668749">
            <w:r>
              <w:rPr>
                <w:webHidden/>
                <w:rStyle w:val="IndexLink"/>
                <w:rtl w:val="true"/>
              </w:rPr>
              <w:t>أوّلاً</w:t>
            </w:r>
            <w:r>
              <w:rPr>
                <w:rStyle w:val="IndexLink"/>
                <w:rtl w:val="true"/>
              </w:rPr>
              <w:t xml:space="preserve">: </w:t>
            </w:r>
            <w:r>
              <w:rPr>
                <w:rStyle w:val="IndexLink"/>
                <w:rtl w:val="true"/>
              </w:rPr>
              <w:t>الصلاة بجانب القبور والأضرحة المباركة</w:t>
            </w:r>
            <w:r>
              <w:rPr>
                <w:rStyle w:val="IndexLink"/>
                <w:rtl w:val="true"/>
              </w:rPr>
              <w:tab/>
            </w:r>
            <w:r>
              <w:rPr>
                <w:rStyle w:val="IndexLink"/>
              </w:rPr>
              <w:t>106</w:t>
            </w:r>
          </w:hyperlink>
        </w:p>
        <w:p>
          <w:pPr>
            <w:pStyle w:val="Contents4"/>
            <w:tabs>
              <w:tab w:val="clear" w:pos="8176"/>
              <w:tab w:val="right" w:pos="9026" w:leader="dot"/>
            </w:tabs>
            <w:rPr/>
          </w:pPr>
          <w:hyperlink w:anchor="__RefHeading___Toc897747_3650668749">
            <w:r>
              <w:rPr>
                <w:webHidden/>
                <w:rStyle w:val="IndexLink"/>
                <w:rtl w:val="true"/>
              </w:rPr>
              <w:t>ثانياً</w:t>
            </w:r>
            <w:r>
              <w:rPr>
                <w:rStyle w:val="IndexLink"/>
                <w:rtl w:val="true"/>
              </w:rPr>
              <w:t xml:space="preserve">: </w:t>
            </w:r>
            <w:r>
              <w:rPr>
                <w:rStyle w:val="IndexLink"/>
                <w:rtl w:val="true"/>
              </w:rPr>
              <w:t>الدعاء عند القبور والمراقد المشرّفة</w:t>
            </w:r>
            <w:r>
              <w:rPr>
                <w:rStyle w:val="IndexLink"/>
                <w:rtl w:val="true"/>
              </w:rPr>
              <w:tab/>
            </w:r>
            <w:r>
              <w:rPr>
                <w:rStyle w:val="IndexLink"/>
              </w:rPr>
              <w:t>115</w:t>
            </w:r>
          </w:hyperlink>
        </w:p>
        <w:p>
          <w:pPr>
            <w:pStyle w:val="Contents2"/>
            <w:tabs>
              <w:tab w:val="clear" w:pos="8743"/>
              <w:tab w:val="right" w:pos="9026" w:leader="dot"/>
            </w:tabs>
            <w:rPr/>
          </w:pPr>
          <w:hyperlink w:anchor="__RefHeading___Toc897749_3650668749">
            <w:r>
              <w:rPr>
                <w:webHidden/>
                <w:rStyle w:val="IndexLink"/>
                <w:rtl w:val="true"/>
              </w:rPr>
              <w:t>فهرس المصادر والمراجع</w:t>
            </w:r>
            <w:r>
              <w:rPr>
                <w:rStyle w:val="IndexLink"/>
                <w:rtl w:val="true"/>
              </w:rPr>
              <w:tab/>
            </w:r>
            <w:r>
              <w:rPr>
                <w:rStyle w:val="IndexLink"/>
              </w:rPr>
              <w:t>118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6_13565"/>
      <w:bookmarkStart w:id="1" w:name="pg1606_13565"/>
      <w:bookmarkEnd w:id="1"/>
    </w:p>
    <w:p>
      <w:pPr>
        <w:pStyle w:val="Heading2"/>
        <w:numPr>
          <w:ilvl w:val="1"/>
          <w:numId w:val="1"/>
        </w:numPr>
        <w:rPr/>
      </w:pPr>
      <w:bookmarkStart w:id="2" w:name="pg1606_13565"/>
      <w:bookmarkStart w:id="3" w:name="__RefHeading___Toc897547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زارعی سبزواری، عباسعلی،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در نگاه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بناء‌القبور و زیارتها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عباسعلی زارعی؛ ترجمه صادق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زایران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وهابیه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بصری، صادق،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۲۴۸۹۳۳۰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7549_3650668749"/>
      <w:bookmarkStart w:id="6" w:name="_Toc2"/>
      <w:bookmarkEnd w:id="5"/>
      <w:r>
        <w:rPr>
          <w:rtl w:val="true"/>
        </w:rPr>
        <w:t>كلمة المعهد</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الحمدلله ربّ العالمين وصلّى الله على محمّد وآله الطاهرين، الذين أذهب الله عنهم الرجس وطهّرهم تطهيراً</w:t>
      </w:r>
    </w:p>
    <w:p>
      <w:pPr>
        <w:pStyle w:val="BookText"/>
        <w:rPr/>
      </w:pPr>
      <w:r>
        <w:rPr>
          <w:rFonts w:ascii="Amiri" w:hAnsi="Amiri" w:eastAsia="Amiri" w:cs="Amiri"/>
          <w:color w:val="111111"/>
          <w:sz w:val="28"/>
          <w:sz w:val="28"/>
          <w:szCs w:val="28"/>
          <w:rtl w:val="true"/>
          <w:lang w:bidi="ar-SA"/>
        </w:rPr>
        <w:t>إنّ حقيقة الإنسان في المدرسة الإسلامية الحيّة لا تتقيّد بقيود الجسم المادي فقط، بل هي حقيقة متعالية تجري فيها روح الله، ومن هذه الجهة فإنّه لاينعدم بمجرد الموت، بل ينتقل إلى عالم آخر يُعرف بعالم البرزخ، الذي له ارتباط خاص بعالم الدنيا، ومن هنا كان المسلمون يكنّون الاحترام الخاص لنجد له في الشريعة أحكاماً به، كما كان حيّاً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العقيدة كانت سبباً لزيارة المسلمين لقبور أمواتهم، فلأجل احترامهم للصالحين منهم، قاموا ببناء القبب والأضرحة عليها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ظهر في القرن السابع ابن تيمية الحراني، من أتباع المذهب الحنبلي، وجاء بأمور مخالفة للدين وجميع المذاهب الإسلامية، فكانت منها الإفتاء بتحريم زيارة القبور، ثمّ آل أمره إلى الاضمحلال والزوال، بسبب المواجهة العنيفة والمخالفة الشديدة له من قبل علماء المسلمين كافة، إلى أن جاء بعد ذلك محمّد بن عبدالوهاب، متّبعاً في منهجه لمنهج شيخه في جميع المسائل والأحكام والأفكار، وما أن </w:t>
      </w:r>
    </w:p>
    <w:p>
      <w:pPr>
        <w:pStyle w:val="BookText"/>
        <w:rPr/>
      </w:pPr>
      <w:r>
        <w:rPr>
          <w:rFonts w:ascii="Amiri" w:hAnsi="Amiri" w:eastAsia="Amiri" w:cs="Amiri"/>
          <w:color w:val="111111"/>
          <w:sz w:val="28"/>
          <w:sz w:val="28"/>
          <w:szCs w:val="28"/>
          <w:rtl w:val="true"/>
          <w:lang w:bidi="ar-SA"/>
        </w:rPr>
        <w:t>استطاع أن تسلّط على أرض الحجاز، حتى قام بهدم أضرحة الأولياء الريانيين والصالحين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هو دليل هؤلاء على مدّعاهم؟ وما هو الجواب عليه؟ فهذا ما جاء به الأستاذ القدير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تفصيل الأسئلة والإجابة عنها بطريقة العرض والنقد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در نگاه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وترجمه الى العربية الشيخ صادق البصري، وفي الختام نشكر المؤلف والمترجم على جهودهم العلمية و آملين من الله تعالى أن يكون بذلك قد أضاء مصباح 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ولي التوفيق</w:t>
      </w:r>
    </w:p>
    <w:p>
      <w:pPr>
        <w:pStyle w:val="BookText"/>
        <w:rPr/>
      </w:pPr>
      <w:r>
        <w:rPr>
          <w:rFonts w:ascii="Amiri" w:hAnsi="Amiri" w:eastAsia="Amiri" w:cs="Amiri"/>
          <w:color w:val="111111"/>
          <w:sz w:val="28"/>
          <w:sz w:val="28"/>
          <w:szCs w:val="28"/>
          <w:rtl w:val="true"/>
          <w:lang w:bidi="ar-SA"/>
        </w:rPr>
        <w:t>معهد الحج و الزيارة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الكلام والمعارف </w:t>
      </w:r>
      <w:bookmarkStart w:id="7" w:name="pg1606_13576"/>
    </w:p>
    <w:p>
      <w:pPr>
        <w:pStyle w:val="Heading2"/>
        <w:numPr>
          <w:ilvl w:val="1"/>
          <w:numId w:val="1"/>
        </w:numPr>
        <w:rPr/>
      </w:pPr>
      <w:bookmarkStart w:id="8" w:name="__RefHeading___Toc897551_3650668749"/>
      <w:bookmarkStart w:id="9" w:name="_Toc3"/>
      <w:bookmarkEnd w:id="7"/>
      <w:bookmarkEnd w:id="8"/>
      <w:r>
        <w:rPr>
          <w:rtl w:val="true"/>
        </w:rPr>
        <w:t>مقدّمة المترجم</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المفاهيم الرئيسة في دين الإسلام، بل هو الأساس الذي ترتكز عليه الرؤية الدينية للحياة، بما له من بُعدٍ عقائدي مفهومي يغذِّي شعور الإنسان ووجدانه، وبُعدٍ سلوكي ينبغي أن يطبع أخلاقيات الجماعة البشرية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البديهي أن يقوم المفكّرون وعلماء الدين بصياغة حدود هذا المفهوم والأطر التي يسير عليها الإنسان في حياته، كي تنسجم مع هذا المعتقد، ويطبّقها في حياته، بعد أن تبرز كمعنى متجددٍ قابلٍ للفهم بحسب شروط الزمان والمكان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فعدّ بعض السلوكيات والأعمال داخلة ضمن ربقة التوحيد أم هي متنافية وخارجة عنه، عمل مهم وأساسي لا بدّ أن يضطلع به علماء الأمّة ومفكّروها إذا ما أرادوا لهذا الدين من بقاء</w:t>
      </w:r>
      <w:r>
        <w:rPr>
          <w:rFonts w:eastAsia="Amiri" w:cs="Amiri" w:ascii="Amiri" w:hAnsi="Amiri"/>
          <w:color w:val="111111"/>
          <w:sz w:val="28"/>
          <w:szCs w:val="28"/>
          <w:rtl w:val="true"/>
          <w:lang w:bidi="ar-SA"/>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الرقابة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ضرورية على أفق هذا المفهوم، كذلك من المهم أن تُحدّد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تحديداً علمياً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المعايير والأدوات والآليات التي على أساسها يتمّ تصنيف الأفعال والسلوكيات، كونها منسجمة أو غير منسجمة مع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الإله الواحد الرافض للشرك بالإله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إنّ جانب تشخيص هذه الأدوات والمنهج الذي على أساسه يقرَّر صحة العقيدة وفلسفتها وتعارض أمرٍ ما معها من عدمه، لأمرٌ تعاني فيه نتاجاتنا الفكرية الإسلامية فقراً واضحاً، وغياباً ملحوظاً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بمستوى يعيد لهذه المفاهيم مكانتها الحركية في دنيا الإسلام ورؤيتها للحياة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عين الوقت نجد تفرّداً من بعضٍ، أشخاصاً أو فئات، في تحديد معايير مفاهيم الدين، وإدخال مَن يشاؤون فيها أو إخراجه، وهذا ما يمارس بكلّ شراسة تجاه مذهب كامل ينتمي لدين التوحيد، ويستمد تعاليمه من أصدق رجالاته وأكثرهم انصهاراً في تعاليمه ومفاهيمه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اتّهام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بالشرك أو الكفر والمغالاة في الدين، نتيجة لبعض الأعمال التي يقومون بها ويعجز الآخرون عن فهمها ووضعها في سياقها الفكري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أردنا أن نحسن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 مسؤوليّتين رئيستين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 هذه التُهم، ومَن يتبنّاها، أن يراجعوا أنفسهم، وأدواتهم ومنهجم الذي يتّبعونه في إقصاء الآخر وتصنيفه؛ لكي يكونوا أكثر تمثّلاً لمفاهيم الأخوّة في الدين والدعوة لله بالقول الحسن، الذي يدّعون الدفاع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يأخذوا دورهم المناسب في عرض عقائدهم بشكل ممنهج يتواكب وطبيعة العصر الذي يعيشون فيه؛ كي يكون مفهوماً من قبل أكبر شريحة ممكنة، ويُبعد عنهم سوء الفهم أو النوايا حدّ الإمكان، ويسدّوا منافذ الفتن وأصحابها المتربّصين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يمثِّل في موضوعه التزاماً بأداء هذه المهمّة في جانبها </w:t>
      </w:r>
    </w:p>
    <w:p>
      <w:pPr>
        <w:pStyle w:val="BookText"/>
        <w:rPr/>
      </w:pPr>
      <w:r>
        <w:rPr>
          <w:rFonts w:ascii="Amiri" w:hAnsi="Amiri" w:eastAsia="Amiri" w:cs="Amiri"/>
          <w:color w:val="111111"/>
          <w:sz w:val="28"/>
          <w:sz w:val="28"/>
          <w:szCs w:val="28"/>
          <w:rtl w:val="true"/>
          <w:lang w:bidi="ar-SA"/>
        </w:rPr>
        <w:t>الأخير، متكفّلاً عرض بعض الشكوك والشبهات المطروحة، والتي تجاوزت حدّ الاعتدال في التشكيك، إلى الرمي بالكفر والشرك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ليعالجها معالجة الحجّة بالحجّة، والرأي الشرعي المستدل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يوضّح التباسها، ويرفع وجوه الوهم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يفوتنا أن نذكّر أنّنا أخذنا على عاتقنا في ترجمتنا لهذا الكتاب نقل محتواه بشكل دقيق وأمين، أسلوباً ومحتوى؛ ليعبّر بشكلٍ مباشرٍ عن رأي مؤلّفه ورسالته التي أرادها له، دون أن نتدخّل، تأييداً أو اعتراضاً، في ذلك؛ حفاظاً على مضمونه كما هو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والله ولي التوفيق</w:t>
      </w:r>
    </w:p>
    <w:p>
      <w:pPr>
        <w:pStyle w:val="BookText"/>
        <w:rPr/>
      </w:pPr>
      <w:r>
        <w:rPr>
          <w:rFonts w:ascii="Amiri" w:hAnsi="Amiri" w:eastAsia="Amiri" w:cs="Amiri"/>
          <w:color w:val="111111"/>
          <w:sz w:val="28"/>
          <w:sz w:val="28"/>
          <w:szCs w:val="28"/>
          <w:rtl w:val="true"/>
          <w:lang w:bidi="ar-SA"/>
        </w:rPr>
        <w:t>صادق البصري</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آذار </w:t>
      </w:r>
      <w:r>
        <w:rPr>
          <w:rFonts w:ascii="IRNazanin" w:hAnsi="IRNazanin" w:eastAsia="IRNazanin"/>
          <w:color w:val="111111"/>
          <w:sz w:val="28"/>
          <w:sz w:val="28"/>
          <w:szCs w:val="28"/>
          <w:lang w:bidi="fa-IR"/>
        </w:rPr>
        <w:t>٢٠١٠</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06_13584"/>
      <w:bookmarkStart w:id="11" w:name="pg1606_13584"/>
      <w:bookmarkEnd w:id="11"/>
    </w:p>
    <w:p>
      <w:pPr>
        <w:pStyle w:val="Heading2"/>
        <w:numPr>
          <w:ilvl w:val="1"/>
          <w:numId w:val="1"/>
        </w:numPr>
        <w:rPr/>
      </w:pPr>
      <w:bookmarkStart w:id="12" w:name="pg1606_13584"/>
      <w:bookmarkStart w:id="13" w:name="__RefHeading___Toc897553_3650668749"/>
      <w:bookmarkStart w:id="14" w:name="_Toc4"/>
      <w:bookmarkEnd w:id="12"/>
      <w:bookmarkEnd w:id="13"/>
      <w:r>
        <w:rPr>
          <w:rtl w:val="true"/>
        </w:rPr>
        <w:t>مقدّمة المؤلّف</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سيّد الأنبياء أبي القاسم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لا شك فيه أنّ شريعة الإسلام الخالدة هي أكمل الشرائع الإلهية المنزَّلة من الله تعالى للبشر كافّة على قلب خاتم الأنبياء، نبيّنا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لهداية البشر، وإرشادهم لطريق سعادتهم الأبدية وكمالهم الخالد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شديد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بعض الجهلة والمتعصّبين بتحريف هذه الشريعة الأخلاقية السمحاء، من خلال طرحهم بعض الشبهات المغرضة، يسعون من خلال نشر أفكارهم المتطرّفة التي لاأساس شرعي لها، ونسبتها إلى أحكام الشريعة، أن يبعدوا المسلمين عن الشريعة المحمّدية الأصيلة، مُحدثين التفرقة في أُمّة الإسلام</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وواحد من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سعى لنشر أفكاره الجوفاء وتعليمها لطلاّبه من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ومهّد الطريق لتأسيس المذهب الوهابي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وهؤلاء الذين يسعون دائماً من خلال نشر آرائهم، لمؤاخذات على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واتّهامهم بالكفر والشرك، وما نقموا منهم إلّا أخذهم عقائدهم من مصدر الشريعة المحمّدية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الطبيعي أن يقع بعضٌ في شباك جهلهم وخدعهم، فيقوموا بالدفاع عن العقائد الوهابية التي لا أساس لها أو سند، من خلال طرحهم شبهات وتساؤلات حول العقائد الشيعية، ومن أجل الانتقاص من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وتشويه سمعتهم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وواحدة من هذه المسائل التي تدور حولها جهود طرح الشبهات والاعتراضات، وتعلو فيها الصيحات منهم،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القبور والبناء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والكتاب الذي بين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جزء من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ضوء الشريعة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ويدور موضوعه حول مناقشة وردّ الشبهات التي يطرحها الوهابيون حول العقائد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ونظراً لأهمية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وضرورة الإجابة على الشبهات المطروحة في هذا الموضوع، قامت بنشره منفصلاً، لكي يصل إلى أيدي الباحثين عن الحقيقة أينما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العلمية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عبّاسعلي زارعي السبزواري </w:t>
      </w:r>
      <w:bookmarkStart w:id="15" w:name="pg1606_13588"/>
    </w:p>
    <w:p>
      <w:pPr>
        <w:pStyle w:val="Heading2"/>
        <w:numPr>
          <w:ilvl w:val="1"/>
          <w:numId w:val="1"/>
        </w:numPr>
        <w:rPr/>
      </w:pPr>
      <w:bookmarkStart w:id="16" w:name="__RefHeading___Toc897555_3650668749"/>
      <w:bookmarkStart w:id="17" w:name="_Toc5"/>
      <w:bookmarkEnd w:id="15"/>
      <w:bookmarkEnd w:id="16"/>
      <w:r>
        <w:rPr/>
        <w:t>١</w:t>
      </w:r>
      <w:r>
        <w:rPr>
          <w:rtl w:val="true"/>
        </w:rPr>
        <w:t xml:space="preserve">. </w:t>
      </w:r>
      <w:r>
        <w:rPr>
          <w:rtl w:val="true"/>
        </w:rPr>
        <w:t>زيارة القبور</w:t>
      </w:r>
      <w:bookmarkEnd w:id="17"/>
    </w:p>
    <w:p>
      <w:pPr>
        <w:pStyle w:val="Heading3"/>
        <w:numPr>
          <w:ilvl w:val="2"/>
          <w:numId w:val="1"/>
        </w:numPr>
        <w:rPr/>
      </w:pPr>
      <w:bookmarkStart w:id="18" w:name="__RefHeading___Toc897557_3650668749"/>
      <w:bookmarkStart w:id="19" w:name="_Toc6"/>
      <w:bookmarkEnd w:id="18"/>
      <w:r>
        <w:rPr>
          <w:rtl w:val="true"/>
        </w:rPr>
        <w:t>عرض الشبهة</w:t>
      </w:r>
      <w:bookmarkEnd w:id="19"/>
    </w:p>
    <w:p>
      <w:pPr>
        <w:pStyle w:val="BookText"/>
        <w:rPr/>
      </w:pPr>
      <w:r>
        <w:rPr>
          <w:rFonts w:ascii="Amiri" w:hAnsi="Amiri" w:eastAsia="Amiri" w:cs="Amiri"/>
          <w:color w:val="111111"/>
          <w:sz w:val="28"/>
          <w:sz w:val="28"/>
          <w:szCs w:val="28"/>
          <w:rtl w:val="true"/>
          <w:lang w:bidi="ar-SA"/>
        </w:rPr>
        <w:t xml:space="preserve">تعتبر زيارة القبور من المسائل الخلافية بين المذاهب الإسلامية، الشيعية والسنّية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وتحتاج إلى مزيد من البحث والتحقيق، على الرغم من أنّ رأي أهل السنّة بالنسبة لمسألة زيارة القبور يقترب كثيراً من رأي الشيعة، ولكنّ الوهابيّين، بشكلٍ خاص، قاموا بتخطئة الشيعة؛ لأنّهم يتحسّسون من هذا الموضوع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الشيعة تذهبون إلى قبور الموتى وتبكون عندها، وتعتقدون أنّ هذه الزيارة مستحبة للرجال والنساء، 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النساء من زيارة القبور،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ونُقل في رواية أخرى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زوّارات القبور</w:t>
      </w:r>
      <w:r>
        <w:rPr>
          <w:rFonts w:eastAsia="IRNazanin" w:cs="IRNazanin"/>
          <w:color w:val="111111"/>
          <w:sz w:val="28"/>
          <w:szCs w:val="28"/>
          <w:rtl w:val="true"/>
          <w:lang w:bidi="fa-IR"/>
        </w:rPr>
        <w:t xml:space="preserve">» </w:t>
      </w:r>
      <w:r>
        <w:rPr>
          <w:rStyle w:val="FootnoteAnchor"/>
          <w:rtl w:val="true"/>
        </w:rPr>
        <w:footnoteReference w:id="4"/>
      </w:r>
      <w:bookmarkStart w:id="20" w:name="pg1606_13590"/>
    </w:p>
    <w:p>
      <w:pPr>
        <w:pStyle w:val="BookText"/>
        <w:rPr/>
      </w:pPr>
      <w:bookmarkEnd w:id="20"/>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تشدّون الرحال لزيارة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والأولياء، وترون أنّ عملكم هذا مستحبٌ شرعاً، في حين نجد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يرخّص في شدّ الرحال والسفر لزيارته أو زيارة قبرِ غيره، وقد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الحرام، ومسجد الأقصى، ومسجدي</w:t>
      </w:r>
      <w:r>
        <w:rPr>
          <w:rFonts w:eastAsia="Amiri" w:cs="Amiri" w:ascii="Amiri" w:hAnsi="Amiri"/>
          <w:color w:val="111111"/>
          <w:sz w:val="28"/>
          <w:szCs w:val="28"/>
          <w:rtl w:val="true"/>
          <w:lang w:bidi="ar-SA"/>
        </w:rPr>
        <w:t>»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وكذلك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تجعلوا قبري عيداً، وصلّوا عليّ، فإنّ صلاتكم تبلغني حيثما كنتم</w:t>
      </w:r>
      <w:r>
        <w:rPr>
          <w:rFonts w:eastAsia="Amiri" w:cs="Amiri" w:ascii="Amiri" w:hAnsi="Amiri"/>
          <w:color w:val="111111"/>
          <w:sz w:val="28"/>
          <w:szCs w:val="28"/>
          <w:rtl w:val="true"/>
          <w:lang w:bidi="ar-SA"/>
        </w:rPr>
        <w:t>» .</w:t>
      </w:r>
      <w:r>
        <w:rPr>
          <w:rStyle w:val="FootnoteAnchor"/>
          <w:rtl w:val="true"/>
        </w:rPr>
        <w:footnoteReference w:id="6"/>
      </w:r>
    </w:p>
    <w:p>
      <w:pPr>
        <w:pStyle w:val="Heading3"/>
        <w:numPr>
          <w:ilvl w:val="2"/>
          <w:numId w:val="1"/>
        </w:numPr>
        <w:rPr/>
      </w:pPr>
      <w:bookmarkStart w:id="21" w:name="__RefHeading___Toc897559_3650668749"/>
      <w:bookmarkStart w:id="22" w:name="_Toc7"/>
      <w:bookmarkEnd w:id="21"/>
      <w:r>
        <w:rPr>
          <w:rtl w:val="true"/>
        </w:rPr>
        <w:t>جواب هذه الشبهة</w:t>
      </w:r>
      <w:bookmarkEnd w:id="22"/>
    </w:p>
    <w:p>
      <w:pPr>
        <w:pStyle w:val="Heading4"/>
        <w:numPr>
          <w:ilvl w:val="3"/>
          <w:numId w:val="1"/>
        </w:numPr>
        <w:rPr/>
      </w:pPr>
      <w:bookmarkStart w:id="23" w:name="__RefHeading___Toc897561_3650668749"/>
      <w:bookmarkStart w:id="24" w:name="_Toc8"/>
      <w:bookmarkEnd w:id="23"/>
      <w:r>
        <w:rPr>
          <w:rtl w:val="true"/>
        </w:rPr>
        <w:t>حكم زيارة الرجال للقبور</w:t>
      </w:r>
      <w:bookmarkEnd w:id="24"/>
    </w:p>
    <w:p>
      <w:pPr>
        <w:pStyle w:val="Heading5"/>
        <w:numPr>
          <w:ilvl w:val="4"/>
          <w:numId w:val="1"/>
        </w:numPr>
        <w:rPr/>
      </w:pPr>
      <w:bookmarkStart w:id="25" w:name="__RefHeading___Toc897563_3650668749"/>
      <w:bookmarkStart w:id="26" w:name="_Toc9"/>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إنّ زيارة أهل القبور مستحبة عند فقهاء أكثر المذاهب السنّية، على أنّ الغرض من زيارة القبور هو أخذ العبرة، وتذكّر الآخرة، وعدم التعلّق بالدنيا، والدعاء للأموات، وقراءة القرآن بالقرب من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على استحباب زيارة القبور عدّة أدلّة، نذكرها كما يلي</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897565_3650668749"/>
      <w:bookmarkStart w:id="28" w:name="_Toc10"/>
      <w:bookmarkEnd w:id="27"/>
      <w:r>
        <w:rPr>
          <w:rtl w:val="true"/>
        </w:rPr>
        <w:t>أوّلاً</w:t>
      </w:r>
      <w:r>
        <w:rPr>
          <w:rtl w:val="true"/>
        </w:rPr>
        <w:t xml:space="preserve">: </w:t>
      </w:r>
      <w:r>
        <w:rPr>
          <w:rtl w:val="true"/>
        </w:rPr>
        <w:t>الروايات</w:t>
      </w:r>
      <w:bookmarkEnd w:id="28"/>
    </w:p>
    <w:p>
      <w:pPr>
        <w:pStyle w:val="Heading6"/>
        <w:numPr>
          <w:ilvl w:val="5"/>
          <w:numId w:val="1"/>
        </w:numPr>
        <w:rPr/>
      </w:pPr>
      <w:bookmarkStart w:id="29" w:name="__RefHeading___Toc897567_3650668749"/>
      <w:bookmarkStart w:id="30" w:name="_Toc11"/>
      <w:bookmarkEnd w:id="29"/>
      <w:r>
        <w:rPr>
          <w:rtl w:val="true"/>
        </w:rPr>
        <w:t>اشاره</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متعدّدة، وبأسانيد مختلفة،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في البداية عن زيارة القبور، ثمّ رخّص فيها وحثّ عليها</w:t>
      </w:r>
      <w:r>
        <w:rPr>
          <w:rFonts w:eastAsia="Amiri" w:cs="Amiri" w:ascii="Amiri" w:hAnsi="Amiri"/>
          <w:color w:val="111111"/>
          <w:sz w:val="28"/>
          <w:szCs w:val="28"/>
          <w:rtl w:val="true"/>
          <w:lang w:bidi="ar-SA"/>
        </w:rPr>
        <w:t xml:space="preserve">. </w:t>
      </w:r>
      <w:bookmarkStart w:id="31" w:name="pg1606_13592"/>
    </w:p>
    <w:p>
      <w:pPr>
        <w:pStyle w:val="BookText"/>
        <w:rPr/>
      </w:pPr>
      <w:bookmarkEnd w:id="31"/>
      <w:r>
        <w:rPr>
          <w:rFonts w:ascii="Amiri" w:hAnsi="Amiri" w:eastAsia="Amiri" w:cs="Amiri"/>
          <w:color w:val="111111"/>
          <w:sz w:val="28"/>
          <w:sz w:val="28"/>
          <w:szCs w:val="28"/>
          <w:rtl w:val="true"/>
          <w:lang w:bidi="ar-SA"/>
        </w:rPr>
        <w:t xml:space="preserve">والروايات المنقولة في كتب الحديث عند أهل السنّة التي تتناول هذه المسألة عن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 طوائف</w:t>
      </w:r>
      <w:r>
        <w:rPr>
          <w:rFonts w:eastAsia="Amiri" w:cs="Amiri" w:ascii="Amiri" w:hAnsi="Amiri"/>
          <w:color w:val="111111"/>
          <w:sz w:val="28"/>
          <w:szCs w:val="28"/>
          <w:rtl w:val="true"/>
          <w:lang w:bidi="ar-SA"/>
        </w:rPr>
        <w:t>:</w:t>
      </w:r>
    </w:p>
    <w:p>
      <w:pPr>
        <w:pStyle w:val="Heading6"/>
        <w:numPr>
          <w:ilvl w:val="5"/>
          <w:numId w:val="1"/>
        </w:numPr>
        <w:rPr/>
      </w:pPr>
      <w:bookmarkStart w:id="32" w:name="__RefHeading___Toc897569_3650668749"/>
      <w:bookmarkStart w:id="33" w:name="_Toc12"/>
      <w:bookmarkEnd w:id="32"/>
      <w:r>
        <w:rPr>
          <w:rtl w:val="true"/>
        </w:rPr>
        <w:t>الطائفة الأُولى</w:t>
      </w:r>
      <w:bookmarkEnd w:id="33"/>
    </w:p>
    <w:p>
      <w:pPr>
        <w:pStyle w:val="BookText"/>
        <w:rPr/>
      </w:pPr>
      <w:r>
        <w:rPr>
          <w:rFonts w:ascii="Amiri" w:hAnsi="Amiri" w:eastAsia="Amiri" w:cs="Amiri"/>
          <w:color w:val="111111"/>
          <w:sz w:val="28"/>
          <w:sz w:val="28"/>
          <w:szCs w:val="28"/>
          <w:rtl w:val="true"/>
          <w:lang w:bidi="ar-SA"/>
        </w:rPr>
        <w:t xml:space="preserve">وهي مجموعة الروايات التي يستفاد منها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في زيارة القبور، ومضمون هذه الروايات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 فزوروها</w:t>
      </w:r>
      <w:r>
        <w:rPr>
          <w:rFonts w:eastAsia="Amiri" w:cs="Amiri" w:ascii="Amiri" w:hAnsi="Amiri"/>
          <w:color w:val="111111"/>
          <w:sz w:val="28"/>
          <w:szCs w:val="28"/>
          <w:rtl w:val="true"/>
          <w:lang w:bidi="ar-SA"/>
        </w:rPr>
        <w:t>»</w:t>
      </w:r>
      <w:r>
        <w:rPr>
          <w:rStyle w:val="FootnoteAnchor"/>
          <w:rtl w:val="true"/>
        </w:rPr>
        <w:footnoteReference w:id="7"/>
      </w:r>
    </w:p>
    <w:p>
      <w:pPr>
        <w:pStyle w:val="Heading6"/>
        <w:numPr>
          <w:ilvl w:val="5"/>
          <w:numId w:val="1"/>
        </w:numPr>
        <w:rPr/>
      </w:pPr>
      <w:bookmarkStart w:id="34" w:name="__RefHeading___Toc897571_3650668749"/>
      <w:bookmarkStart w:id="35" w:name="_Toc13"/>
      <w:bookmarkEnd w:id="34"/>
      <w:r>
        <w:rPr>
          <w:rtl w:val="true"/>
        </w:rPr>
        <w:t>الطائفة الثانية</w:t>
      </w:r>
      <w:bookmarkEnd w:id="35"/>
    </w:p>
    <w:p>
      <w:pPr>
        <w:pStyle w:val="BookText"/>
        <w:rPr/>
      </w:pPr>
      <w:r>
        <w:rPr>
          <w:rFonts w:ascii="Amiri" w:hAnsi="Amiri" w:eastAsia="Amiri" w:cs="Amiri"/>
          <w:color w:val="111111"/>
          <w:sz w:val="28"/>
          <w:sz w:val="28"/>
          <w:szCs w:val="28"/>
          <w:rtl w:val="true"/>
          <w:lang w:bidi="ar-SA"/>
        </w:rPr>
        <w:t xml:space="preserve">وهي الروايات التي بيّن فيها، بالإضافة إلى جواز زيارة القبور، الفوائد والآثار المترتبة على زيارة القبور، ففي هذه الروايات جاءت مجموعة من العبائر في ذيل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 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العبائر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تزهّد في الدنيا وتذكّر بالآخرة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فيها تذكرة</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تذكّركم الموت</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تذكّركم الآخرة</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فيها عِبرة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ترقّ القلب وتُدمع العين وتذكّر الآخرة، فزوروها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ولذلك يقول القرطبي في ذيل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 في التنزيل ذكر المقابر إلّا في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وزيارتها من أعظم الدواء للقلب القاسي؛ لأنّها تذكّر الموت والآخرة، وذلك يحمل على قصر الأمل، والزهد في الدنيا، وترك الرغبة فيها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ثمّ يكمل القرطبي كلامه، فيقول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أراد علاج قلبه وانقياده بسلاسل القهر إلى طاعة ربّه، أن يكثر من ذكر هادم اللذّات، ومفرّق الجماعات، وموتم البنين والبنات، ويواظب على مشاهدة المحتضرين، </w:t>
      </w:r>
    </w:p>
    <w:p>
      <w:pPr>
        <w:pStyle w:val="BookText"/>
        <w:rPr/>
      </w:pPr>
      <w:r>
        <w:rPr>
          <w:rFonts w:ascii="Amiri" w:hAnsi="Amiri" w:eastAsia="Amiri" w:cs="Amiri"/>
          <w:color w:val="111111"/>
          <w:sz w:val="28"/>
          <w:sz w:val="28"/>
          <w:szCs w:val="28"/>
          <w:rtl w:val="true"/>
          <w:lang w:bidi="ar-SA"/>
        </w:rPr>
        <w:t>وزيارة قبور أموات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ثلاثة أمور، ينبغي لمن قسا قلبه، ولزمه ذنبه، أن يستعين بها على دواء دائه، ويستصرخ بها على فتن الشيطان وأعوانه، فإن انتفع بالإكثار من ذكر الموت، وانجلت به قساوة قلبه، 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عظم عليه، ران قلبه، واستحكمت فيه دواعي الذنب، فإنّ مشاهدة المحتضرين، وزيارة قبور أموات المسلمين، تبلغ في دفع ذلك ما لا يبلغه الأوّل؛ لأنّ ذكر الموت إخبار للقلب بما إليه المصير، وقائم له مقام التخويف والتحذير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مشاهدة مَن احتضر، وزيارة قبر مَن مات من المسلمين معاينةً ومشاهدةً، فلذلك كان أبلغ من الأوّل، 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الخبر كالمعاينة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الاعتبار بحال المحتضرين، فغير ممكن في كلّ الأوقات، وقد لايتّفق لمن أراد علاج قلبه في ساعة من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زيارة القبور، فوجودها أسرع، والانتفاع بها أليق وأجدر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لمن عزم على الزيارة، أن يتأدّب بآدابها، ويحضر قلبه في إتيانها، ولا يكون حظّه منها الطواف على الأجداث فقط، فإنّ هذه حالة تشاركه فيها بهيمة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ونعوذ بالله من ذلك، بل يقصد بزيارته وجه الله تعالى، وإصلاح فساد قلبه، أو نفع الميت بما يتلو عنده من القرآن والدعاء، ويتجنّب المشي على المقابر، والجلوس عليها، ويسلّم إذا دخل المقابر، وإذا وصل إلى قبر ميّته الذي يعرفه سلّم عليه أيضاً، وأتاه من تلقاء وجههِ؛ لأنّه في زيارته كمخاطبته حيّاً، ولو خاطبه حيّاً لكان الأدب استقباله بوجهه، فكذلك ها هنا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ويمكن تلخيص كلام القرطبي بعدّة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إلى علاج قسوة القلب، والوصول إلى مرحلة التسليم أمام أوامر الله عزّ وجل يتحقّق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الموت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أشخاص يُحتضرون</w:t>
      </w:r>
      <w:r>
        <w:rPr>
          <w:rFonts w:eastAsia="Amiri" w:cs="Amiri" w:ascii="Amiri" w:hAnsi="Amiri"/>
          <w:color w:val="111111"/>
          <w:sz w:val="28"/>
          <w:szCs w:val="28"/>
          <w:rtl w:val="true"/>
          <w:lang w:bidi="ar-SA"/>
        </w:rPr>
        <w:t xml:space="preserve">. </w:t>
      </w:r>
      <w:bookmarkStart w:id="36" w:name="pg1606_13597"/>
    </w:p>
    <w:p>
      <w:pPr>
        <w:pStyle w:val="BookText"/>
        <w:rPr/>
      </w:pPr>
      <w:bookmarkEnd w:id="36"/>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زيارة القبور، من بين الطرق الثلاثة الآنفة، أفضل وسيلة لعلاج قسوة القلب والمناعة من الفتن الشيطانية؛ لأنّ ذكر الموت مع ما يوجبه من الالتفات إلى عاقبة الإنسان، ليس بمستوى رؤية الأشخاص حال الاحتضار، ولكنّ مشاهدة الأشخاص حال الاحتضار غير متيسّرة دائماً ولكلّ شخص، فتكون زيارة القبور أفضل وسيلة لذلك؛ لأنّها ممكنة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الهدف من زيارة القبور لغرض إصلاح القلوب والإنابة إلى الله تعالى وتذكّر يوم الجزاء، أو من أجل تلاوة القرآن وقراءة الفاتحة والدعاء للموتى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يعلم أنّ هدف المؤمنين الشيعة من ذهابهم إلى المقابر ليس سوى جلاء القلوب والتوجّه إلى الله تعالى، وتذكّر يوم القيامة والجزاء، وكذلك لتلاوة القرآن وقراءة الفاتحة والدعاء للموتى</w:t>
      </w:r>
      <w:r>
        <w:rPr>
          <w:rFonts w:eastAsia="Amiri" w:cs="Amiri" w:ascii="Amiri" w:hAnsi="Amiri"/>
          <w:color w:val="111111"/>
          <w:sz w:val="28"/>
          <w:szCs w:val="28"/>
          <w:rtl w:val="true"/>
          <w:lang w:bidi="ar-SA"/>
        </w:rPr>
        <w:t>.</w:t>
      </w:r>
    </w:p>
    <w:p>
      <w:pPr>
        <w:pStyle w:val="Heading6"/>
        <w:numPr>
          <w:ilvl w:val="5"/>
          <w:numId w:val="1"/>
        </w:numPr>
        <w:rPr/>
      </w:pPr>
      <w:bookmarkStart w:id="37" w:name="__RefHeading___Toc897573_3650668749"/>
      <w:bookmarkStart w:id="38" w:name="_Toc14"/>
      <w:bookmarkEnd w:id="37"/>
      <w:r>
        <w:rPr>
          <w:rtl w:val="true"/>
        </w:rPr>
        <w:t>الطائفة الثالثة</w:t>
      </w:r>
      <w:bookmarkEnd w:id="38"/>
    </w:p>
    <w:p>
      <w:pPr>
        <w:pStyle w:val="BookText"/>
        <w:rPr/>
      </w:pPr>
      <w:r>
        <w:rPr>
          <w:rFonts w:ascii="Amiri" w:hAnsi="Amiri" w:eastAsia="Amiri" w:cs="Amiri"/>
          <w:color w:val="111111"/>
          <w:sz w:val="28"/>
          <w:sz w:val="28"/>
          <w:szCs w:val="28"/>
          <w:rtl w:val="true"/>
          <w:lang w:bidi="ar-SA"/>
        </w:rPr>
        <w:t xml:space="preserve">وهي مجموعة الروايات التي جاء في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 فزوروها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عبارتين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هجراً</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واجعلوا زيارتكم لها صلاةً عليهم واستغفاراً لهم</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يستفاد من مجموع هذه الروايات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نهى سابقاً عن زيارة القبور، إلّا أنّ ذلك كان لأجل مصلحةٍ يهدفها، </w:t>
      </w:r>
      <w:bookmarkStart w:id="39" w:name="pg1606_13599"/>
    </w:p>
    <w:p>
      <w:pPr>
        <w:pStyle w:val="BookText"/>
        <w:rPr/>
      </w:pPr>
      <w:bookmarkEnd w:id="39"/>
      <w:r>
        <w:rPr>
          <w:rFonts w:ascii="Amiri" w:hAnsi="Amiri" w:eastAsia="Amiri" w:cs="Amiri"/>
          <w:color w:val="111111"/>
          <w:sz w:val="28"/>
          <w:sz w:val="28"/>
          <w:szCs w:val="28"/>
          <w:rtl w:val="true"/>
          <w:lang w:bidi="ar-SA"/>
        </w:rPr>
        <w:t>وإظهاراً لمخالفة المشركين الذين كانوا يقصدون القبور لأجل عبادتها، ويسجدون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تطوّر الفهم والوعي الديني لدى المسلمين، ومستوى معرفتهم بالله تعالى، أجاز لهم زيارة القبور، وذكر لها فوائد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غض النظر عن هذا الكلام، يمكن أن نقول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الأوّلي لزيارة القبور كان محرّماً في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 ذلك قام النبيّ بنسخ هذا الحكم، وأجاز هذا الأمر، بل ندب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يعتبر هذا المورد من موارد نسخ السنّة بالسنّة، وكثير من علماء أصول الفقه في المدرسة السنّية يعتبرونه من مصاديق نسخ السنّة بالسنّة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هذه الروايات على استحباب زيارة القبور للرجال موضع وفاق بين جميع علماء المسلمين، بل ادّعى البعض الإجماع عليه</w:t>
      </w:r>
      <w:r>
        <w:rPr>
          <w:rStyle w:val="FootnoteAnchor"/>
          <w:rtl w:val="true"/>
        </w:rPr>
        <w:footnoteReference w:id="19"/>
      </w:r>
      <w:r>
        <w:rPr>
          <w:rFonts w:ascii="Amiri" w:hAnsi="Amiri" w:eastAsia="Amiri" w:cs="Amiri"/>
          <w:color w:val="111111"/>
          <w:sz w:val="28"/>
          <w:sz w:val="28"/>
          <w:szCs w:val="28"/>
          <w:rtl w:val="true"/>
          <w:lang w:bidi="ar-SA"/>
        </w:rPr>
        <w:t>، ولكنّهم اختلفوا في دلالتها على استحباب ذلك بالنسبة للنساء، وسيأتيك تفصيل ذلك</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897575_3650668749"/>
      <w:bookmarkStart w:id="41" w:name="_Toc15"/>
      <w:bookmarkEnd w:id="40"/>
      <w:r>
        <w:rPr>
          <w:rtl w:val="true"/>
        </w:rPr>
        <w:t>ثانياً</w:t>
      </w:r>
      <w:r>
        <w:rPr>
          <w:rtl w:val="true"/>
        </w:rPr>
        <w:t xml:space="preserve">: </w:t>
      </w:r>
      <w:r>
        <w:rPr>
          <w:rtl w:val="true"/>
        </w:rPr>
        <w:t xml:space="preserve">سيرة النبى الأكرم </w:t>
      </w:r>
      <w:r>
        <w:rPr>
          <w:rtl w:val="true"/>
        </w:rPr>
        <w:t>(</w:t>
      </w:r>
      <w:r>
        <w:rPr>
          <w:rtl w:val="true"/>
        </w:rPr>
        <w:t>ص</w:t>
      </w:r>
      <w:r>
        <w:rPr>
          <w:rtl w:val="true"/>
        </w:rPr>
        <w:t>)</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ريب فيه أنّ زيارة القبور كانت واحدة من جوانب السيرة النبويّة الشريفة، حيث ينقل أهل السنّة في كتبهم الحديثيّة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يزور قبر أمّه آمنة ويبكي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عن أبي هريرة أنّه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أمّه فبكى وبكى مَن حوله،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ربّى في أن أستغفر لها، فلم يؤذن لي، واستأذنته في أن أزور قبرها، فأذن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فزوروا القبور فإنّها تذكّر الموت</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روايات كثيرة منقولة حول زيارة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 فأتى البقيع،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وكذلك نقل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كان ليلتها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آخر الليل إلى البقيع،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دار قوم مؤمنين، أتاكم ما توعدون غداً مؤجلون، وإنّا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لاحقون، اللّهم اغفر لأهل بقيع الغرقد</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وروي عن بشير بن الخصاصية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فلحقته بالبقيع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المؤمنين</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وفي رواية أخرى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 جوف الليل يدعو بالبقيع ومعه أبو رافع، فدعا بما شاء الله</w:t>
      </w:r>
      <w:r>
        <w:rPr>
          <w:rFonts w:eastAsia="Amiri" w:cs="Amiri" w:ascii="Amiri" w:hAnsi="Amiri"/>
          <w:color w:val="111111"/>
          <w:sz w:val="28"/>
          <w:szCs w:val="28"/>
          <w:rtl w:val="true"/>
          <w:lang w:bidi="ar-SA"/>
        </w:rPr>
        <w:t>. .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وعن أبي مويهبة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طرقني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مويهبة انطلق؛ فإنّي قد أُمرت أن أستغفر لأهل هذا </w:t>
      </w:r>
      <w:bookmarkStart w:id="42" w:name="pg1606_13603"/>
    </w:p>
    <w:p>
      <w:pPr>
        <w:pStyle w:val="BookText"/>
        <w:rPr/>
      </w:pPr>
      <w:bookmarkEnd w:id="42"/>
      <w:r>
        <w:rPr>
          <w:rFonts w:ascii="Amiri" w:hAnsi="Amiri" w:eastAsia="Amiri" w:cs="Amiri"/>
          <w:color w:val="111111"/>
          <w:sz w:val="28"/>
          <w:sz w:val="28"/>
          <w:szCs w:val="28"/>
          <w:rtl w:val="true"/>
          <w:lang w:bidi="ar-SA"/>
        </w:rPr>
        <w:t xml:space="preserve">البقيع، فانطلقت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توسّط البقيع، استغفر لأهل المقابر</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وينقل ابن أبي الحديد عن الواقدي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قتلى أُحد في كلّ حولٍ، وإذا لقوه بالشعب رفع صوته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بما صبرتم، فنعم عُقبى الدار</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فكلّ هذه الروايات تدلّ على أنّ زيارة القبور والدعاء عندها للموتى كان من سنّة وسيرة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Heading5"/>
        <w:numPr>
          <w:ilvl w:val="4"/>
          <w:numId w:val="1"/>
        </w:numPr>
        <w:rPr/>
      </w:pPr>
      <w:bookmarkStart w:id="43" w:name="__RefHeading___Toc897577_3650668749"/>
      <w:bookmarkStart w:id="44" w:name="_Toc16"/>
      <w:bookmarkEnd w:id="43"/>
      <w:r>
        <w:rPr>
          <w:rtl w:val="true"/>
        </w:rPr>
        <w:t>ثالثاً</w:t>
      </w:r>
      <w:r>
        <w:rPr>
          <w:rtl w:val="true"/>
        </w:rPr>
        <w:t xml:space="preserve">: </w:t>
      </w:r>
      <w:r>
        <w:rPr>
          <w:rtl w:val="true"/>
        </w:rPr>
        <w:t>سيرة المتشرِّعة</w:t>
      </w:r>
      <w:bookmarkEnd w:id="44"/>
    </w:p>
    <w:p>
      <w:pPr>
        <w:pStyle w:val="BookText"/>
        <w:rPr/>
      </w:pPr>
      <w:r>
        <w:rPr>
          <w:rFonts w:ascii="Amiri" w:hAnsi="Amiri" w:eastAsia="Amiri" w:cs="Amiri"/>
          <w:color w:val="111111"/>
          <w:sz w:val="28"/>
          <w:sz w:val="28"/>
          <w:szCs w:val="28"/>
          <w:rtl w:val="true"/>
          <w:lang w:bidi="ar-SA"/>
        </w:rPr>
        <w:t>ممّا لا شك فيه أنّ أُمّة المسلمين كانوا دائماً مواظبين على زيارة القبور، وكانوا يدعون للموتى، ولم ينههم أحد عن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أبو بكر الكاشاني، بعد أن يستدلّ على جواز زيارة القبور بقول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نهيتكم عن زيارة القبور فزوروها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ولِعمل الأمّة من لدن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w:t>
      </w:r>
      <w:r>
        <w:rPr>
          <w:rFonts w:eastAsia="Amiri" w:cs="Amiri" w:ascii="Amiri" w:hAnsi="Amiri"/>
          <w:color w:val="111111"/>
          <w:sz w:val="28"/>
          <w:szCs w:val="28"/>
          <w:rtl w:val="true"/>
          <w:lang w:bidi="ar-SA"/>
        </w:rPr>
        <w:t>»</w:t>
      </w:r>
      <w:r>
        <w:rPr>
          <w:rStyle w:val="FootnoteAnchor"/>
          <w:rtl w:val="true"/>
        </w:rPr>
        <w:footnoteReference w:id="27"/>
      </w:r>
    </w:p>
    <w:p>
      <w:pPr>
        <w:pStyle w:val="Heading4"/>
        <w:numPr>
          <w:ilvl w:val="3"/>
          <w:numId w:val="1"/>
        </w:numPr>
        <w:rPr/>
      </w:pPr>
      <w:bookmarkStart w:id="45" w:name="__RefHeading___Toc897579_3650668749"/>
      <w:bookmarkStart w:id="46" w:name="_Toc17"/>
      <w:bookmarkEnd w:id="45"/>
      <w:r>
        <w:rPr>
          <w:rtl w:val="true"/>
        </w:rPr>
        <w:t>حكم زيارة النساء للقبور</w:t>
      </w:r>
      <w:bookmarkEnd w:id="46"/>
    </w:p>
    <w:p>
      <w:pPr>
        <w:pStyle w:val="Heading5"/>
        <w:numPr>
          <w:ilvl w:val="4"/>
          <w:numId w:val="1"/>
        </w:numPr>
        <w:rPr/>
      </w:pPr>
      <w:bookmarkStart w:id="47" w:name="__RefHeading___Toc897581_3650668749"/>
      <w:bookmarkStart w:id="48" w:name="_Toc18"/>
      <w:bookmarkEnd w:id="47"/>
      <w:r>
        <w:rPr>
          <w:rtl w:val="true"/>
        </w:rPr>
        <w:t>اشاره</w:t>
      </w:r>
      <w:bookmarkEnd w:id="48"/>
    </w:p>
    <w:p>
      <w:pPr>
        <w:pStyle w:val="BookText"/>
        <w:rPr/>
      </w:pPr>
      <w:r>
        <w:rPr>
          <w:rFonts w:ascii="Amiri" w:hAnsi="Amiri" w:eastAsia="Amiri" w:cs="Amiri"/>
          <w:color w:val="111111"/>
          <w:sz w:val="28"/>
          <w:sz w:val="28"/>
          <w:szCs w:val="28"/>
          <w:rtl w:val="true"/>
          <w:lang w:bidi="ar-SA"/>
        </w:rPr>
        <w:t>توجد أربعة أقوال في مسألة زيارة النساء للقبور، وهي كالتالي</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897583_3650668749"/>
      <w:bookmarkStart w:id="50" w:name="_Toc19"/>
      <w:bookmarkEnd w:id="49"/>
      <w:r>
        <w:rPr>
          <w:rtl w:val="true"/>
        </w:rPr>
        <w:t>القول الأوّل</w:t>
      </w:r>
      <w:r>
        <w:rPr>
          <w:rtl w:val="true"/>
        </w:rPr>
        <w:t xml:space="preserve">: </w:t>
      </w:r>
      <w:r>
        <w:rPr>
          <w:rtl w:val="true"/>
        </w:rPr>
        <w:t>تحريم زيارة النساء للقبور</w:t>
      </w:r>
      <w:bookmarkEnd w:id="50"/>
    </w:p>
    <w:p>
      <w:pPr>
        <w:pStyle w:val="Heading6"/>
        <w:numPr>
          <w:ilvl w:val="5"/>
          <w:numId w:val="1"/>
        </w:numPr>
        <w:rPr/>
      </w:pPr>
      <w:bookmarkStart w:id="51" w:name="__RefHeading___Toc897585_3650668749"/>
      <w:bookmarkStart w:id="52" w:name="_Toc20"/>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 xml:space="preserve">يُعتبر ابن تيميّة أوّل شخص يحرّم زيارة النساء للقبور بشكلٍ مطلق، ودليله على حرمة ذلك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وحاصل استدلاله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هناك روايتين نقلتا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متعارضتين في ظهورهما،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 فإنّها تذكّر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ذلك في الرواية الأولى منسوخٌ بالثانية، كما قال ذلك أهل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ليس صحيحاً؛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كنت نهيتكم عن زيارة القبور، 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خطاب للرجال دون النساء، فإنّ اللفظ لفظ مذكّر، وهو مختصّ بالذكور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على فرض التسليم بأنّ اللفظ كان عامّاً ويشمل النساء أيضاً، سنكون أمام روايتين، إحداهما عامّة،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النساء في خطابها، ورواية خاصّة بالنساء تحرّم عليهنّ زيارة القبور،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هذه الحالة لايخرج الأمر عن ثلاث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بأنّ الرواية الثانية الخاصّة بالنساء صدرت بعد الرواية الأولى العامّة، وفي هذه الحالة تكون الرواية الثانية الخاصّة مخصِّصة لعموم الرواية الأولى، ومحرّمة لزيارة القبور من قِبل النساء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بأنّ الرواية العامّة صدرت بعد الرواية الخاصّة بالنساء، ولمّا كان الأصوليون يذهبون إلى عدم نسخ الخاص بالعام، تبقى حرمة زيارة النساء للقبور ثابتة</w:t>
      </w:r>
      <w:r>
        <w:rPr>
          <w:rFonts w:eastAsia="Amiri" w:cs="Amiri" w:ascii="Amiri" w:hAnsi="Amiri"/>
          <w:color w:val="111111"/>
          <w:sz w:val="28"/>
          <w:szCs w:val="28"/>
          <w:rtl w:val="true"/>
          <w:lang w:bidi="ar-SA"/>
        </w:rPr>
        <w:t xml:space="preserve">. </w:t>
      </w:r>
      <w:bookmarkStart w:id="53" w:name="pg1606_13607"/>
    </w:p>
    <w:p>
      <w:pPr>
        <w:pStyle w:val="BookText"/>
        <w:rPr/>
      </w:pPr>
      <w:bookmarkEnd w:id="53"/>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نعلم الروايةَ المتقدّمة من الروايتين، وأيٍّ منهما المتأخّرة، وهنا يقدِّم عامّة الأصوليين الخاصَّ على العام، وحينئذٍ تبقى رواية تحريم زيارة النساء للقبور على دلالتها</w:t>
      </w:r>
      <w:r>
        <w:rPr>
          <w:rStyle w:val="FootnoteAnchor"/>
          <w:rtl w:val="true"/>
        </w:rPr>
        <w:footnoteReference w:id="28"/>
      </w:r>
    </w:p>
    <w:p>
      <w:pPr>
        <w:pStyle w:val="Heading6"/>
        <w:numPr>
          <w:ilvl w:val="5"/>
          <w:numId w:val="1"/>
        </w:numPr>
        <w:rPr/>
      </w:pPr>
      <w:bookmarkStart w:id="54" w:name="__RefHeading___Toc897587_3650668749"/>
      <w:bookmarkStart w:id="55" w:name="_Toc21"/>
      <w:bookmarkEnd w:id="54"/>
      <w:r>
        <w:rPr>
          <w:rtl w:val="true"/>
        </w:rPr>
        <w:t>مناقشة استدلال ابن تيمية</w:t>
      </w:r>
      <w:bookmarkEnd w:id="55"/>
    </w:p>
    <w:p>
      <w:pPr>
        <w:pStyle w:val="Heading6"/>
        <w:numPr>
          <w:ilvl w:val="5"/>
          <w:numId w:val="1"/>
        </w:numPr>
        <w:rPr/>
      </w:pPr>
      <w:bookmarkStart w:id="56" w:name="__RefHeading___Toc897589_3650668749"/>
      <w:bookmarkStart w:id="57" w:name="_Toc22"/>
      <w:bookmarkEnd w:id="56"/>
      <w:r>
        <w:rPr>
          <w:rtl w:val="true"/>
        </w:rPr>
        <w:t>المناقشة الأُولى</w:t>
      </w:r>
      <w:bookmarkEnd w:id="57"/>
    </w:p>
    <w:p>
      <w:pPr>
        <w:pStyle w:val="BookText"/>
        <w:rPr/>
      </w:pPr>
      <w:r>
        <w:rPr>
          <w:rFonts w:ascii="Amiri" w:hAnsi="Amiri" w:eastAsia="Amiri" w:cs="Amiri"/>
          <w:color w:val="111111"/>
          <w:sz w:val="28"/>
          <w:sz w:val="28"/>
          <w:szCs w:val="28"/>
          <w:rtl w:val="true"/>
          <w:lang w:bidi="ar-SA"/>
        </w:rPr>
        <w:t>إنّ ادّعاء اختصاص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نهيتكم عن زيارة القبور، 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بالرجال، بسبب ضمائر التذكير الواردة فيها، قولٌ بلا معرفةٍ أو دليل؛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الخطابات في الآيات القرآنية والروايات جاءت بصيغة الجمع المذكّر، ولو كان مجرّد التذكير دليلاً على أنّ المراد خصوص الذكور منها، فلازم ذلك أن تكون كثير من خطابات القرآن والروايات غير شاملة للنساء،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الصِّيامُ</w:t>
      </w:r>
      <w:r>
        <w:rPr>
          <w:rStyle w:val="FootnoteAnchor"/>
          <w:rtl w:val="true"/>
        </w:rPr>
        <w:footnoteReference w:id="29"/>
      </w:r>
      <w:r>
        <w:rPr>
          <w:rFonts w:ascii="Amiri" w:hAnsi="Amiri" w:eastAsia="Amiri" w:cs="Amiri"/>
          <w:color w:val="111111"/>
          <w:sz w:val="28"/>
          <w:sz w:val="28"/>
          <w:szCs w:val="28"/>
          <w:rtl w:val="true"/>
          <w:lang w:bidi="ar-SA"/>
        </w:rPr>
        <w:t>، و أَقِيمُوا الصَّلاةَ وَ آتُوا الزَّكاةَ</w:t>
      </w:r>
      <w:r>
        <w:rPr>
          <w:rStyle w:val="FootnoteAnchor"/>
          <w:rtl w:val="true"/>
        </w:rPr>
        <w:footnoteReference w:id="30"/>
      </w:r>
      <w:r>
        <w:rPr>
          <w:rFonts w:ascii="Amiri" w:hAnsi="Amiri" w:eastAsia="Amiri" w:cs="Amiri"/>
          <w:color w:val="111111"/>
          <w:sz w:val="28"/>
          <w:sz w:val="28"/>
          <w:szCs w:val="28"/>
          <w:rtl w:val="true"/>
          <w:lang w:bidi="ar-SA"/>
        </w:rPr>
        <w:t xml:space="preserve">، و الْيَوْمَ أُحِلَّ لَكُمُ الطَّيِّباتُ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وممّا لا شكّ فيه عدم اختصاص هذه الخطابات بالرجال وحدهم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ألفاظ الرواية الثانية المذكورة ثلاثة مقاطع</w:t>
      </w:r>
      <w:r>
        <w:rPr>
          <w:rStyle w:val="FootnoteAnchor"/>
          <w:rtl w:val="true"/>
        </w:rPr>
        <w:footnoteReference w:id="32"/>
      </w:r>
      <w:r>
        <w:rPr>
          <w:rFonts w:ascii="Amiri" w:hAnsi="Amiri" w:eastAsia="Amiri" w:cs="Amiri"/>
          <w:color w:val="111111"/>
          <w:sz w:val="28"/>
          <w:sz w:val="28"/>
          <w:szCs w:val="28"/>
          <w:rtl w:val="true"/>
          <w:lang w:bidi="ar-SA"/>
        </w:rPr>
        <w:t>،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 فزوروها؛ لأنّها تذكّر الآخرة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ونهيتكم عن لحوم الأضاحي بعد ثلاث، فكلوا وأمسكوا ما شئتم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ونهيتكم عن الأشربة في الأوعية، فاشربوا في أيّ وعاء شئتم، ولاتشربوا مسكراً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ويدّعي ابن تيميّة بأنّ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مذكّر يختصّ بالذكور، وكذلك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اشتملت على واو الجماعة للمذكّر، وهي تختص بالذكور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في الرواية عام وشامل للرجال والنساء، ولكن بعد مجيء هذه الرواية الخاصّة بالنساء يكون حكم زيارة النساء للقبور قد نُسخ بها، وبقيت حرمة زيارة النساء للقبور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على ابن تيميّة أن يتابع استدلاله وفهمه للرواية في المقاطع الأخرى من الرواية على هذا النحو،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فكلوا، فأمسكوا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المقطع الثاني ألفاظ مذكّرة تختص بالرجال أيضاً، ويبقى تحريم ما بعد ثلاثة أيام على النساء قائماًً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الحال في المقطع الثالث من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كلامه، عليه أن يُبقي على حرمة شرب الأشربة المباحة بالأوعية بالنسبة للنساء بخصوصهنّ، ولا يجوز لهن الشرب إلّا بالمدبوغ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نجد أيّ فقيه من فقهاء الإسلام أفتى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الرواية الثانية التي ذكرها ابن تيميّة عبارة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تذكّركم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من فوائد زيارة القبور تذكّر الآخرة والموت، فالنبيّ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 زيارة القبور لكلّ من تذكّره بالآخرة، وهنا </w:t>
      </w:r>
      <w:bookmarkStart w:id="58" w:name="pg1606_13611"/>
    </w:p>
    <w:p>
      <w:pPr>
        <w:pStyle w:val="BookText"/>
        <w:rPr/>
      </w:pPr>
      <w:bookmarkEnd w:id="58"/>
      <w:r>
        <w:rPr>
          <w:rFonts w:ascii="Amiri" w:hAnsi="Amiri" w:eastAsia="Amiri" w:cs="Amiri"/>
          <w:color w:val="111111"/>
          <w:sz w:val="28"/>
          <w:sz w:val="28"/>
          <w:szCs w:val="28"/>
          <w:rtl w:val="true"/>
          <w:lang w:bidi="ar-SA"/>
        </w:rPr>
        <w:t>لايوجد فرق بين أن يكون رجلاً أو امرأةً، وبحسب التعبير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علّة الجواز عامّة تشمل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ذلك نستنتج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 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وتشمل النساء أيضاً</w:t>
      </w:r>
      <w:r>
        <w:rPr>
          <w:rFonts w:eastAsia="Amiri" w:cs="Amiri" w:ascii="Amiri" w:hAnsi="Amiri"/>
          <w:color w:val="111111"/>
          <w:sz w:val="28"/>
          <w:szCs w:val="28"/>
          <w:rtl w:val="true"/>
          <w:lang w:bidi="ar-SA"/>
        </w:rPr>
        <w:t>.</w:t>
      </w:r>
    </w:p>
    <w:p>
      <w:pPr>
        <w:pStyle w:val="Heading6"/>
        <w:numPr>
          <w:ilvl w:val="5"/>
          <w:numId w:val="1"/>
        </w:numPr>
        <w:rPr/>
      </w:pPr>
      <w:bookmarkStart w:id="59" w:name="__RefHeading___Toc897591_3650668749"/>
      <w:bookmarkStart w:id="60" w:name="_Toc23"/>
      <w:bookmarkEnd w:id="59"/>
      <w:r>
        <w:rPr>
          <w:rtl w:val="true"/>
        </w:rPr>
        <w:t>المناقشة الثانية</w:t>
      </w:r>
      <w:bookmarkEnd w:id="60"/>
    </w:p>
    <w:p>
      <w:pPr>
        <w:pStyle w:val="Heading6"/>
        <w:numPr>
          <w:ilvl w:val="5"/>
          <w:numId w:val="1"/>
        </w:numPr>
        <w:rPr/>
      </w:pPr>
      <w:bookmarkStart w:id="61" w:name="__RefHeading___Toc897593_3650668749"/>
      <w:bookmarkStart w:id="62" w:name="_Toc24"/>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من خلال الأخذ بعين الاعتبار المناقشة السابقة نستطيع استخلاص ثلاثة أحكام من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الرجال والنساء عن زيارة القبور في صدر الإسلام، ويستفاد هذا الحكم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النساء عن زيارة القبور، ويستفاد ذلك من عدّة روايات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الرجال والنساء، على حدٍّ سواء، بزيارة القبور، بعد نهيهم سابقاً عن ذلك، ويستفاد هذا الحكم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فزوروها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وهنا يمكن طرح احتمالين</w:t>
      </w:r>
      <w:r>
        <w:rPr>
          <w:rFonts w:eastAsia="Amiri" w:cs="Amiri" w:ascii="Amiri" w:hAnsi="Amiri"/>
          <w:color w:val="111111"/>
          <w:sz w:val="28"/>
          <w:szCs w:val="28"/>
          <w:rtl w:val="true"/>
          <w:lang w:bidi="ar-SA"/>
        </w:rPr>
        <w:t>:</w:t>
      </w:r>
    </w:p>
    <w:p>
      <w:pPr>
        <w:pStyle w:val="Heading6"/>
        <w:numPr>
          <w:ilvl w:val="5"/>
          <w:numId w:val="1"/>
        </w:numPr>
        <w:rPr/>
      </w:pPr>
      <w:bookmarkStart w:id="63" w:name="__RefHeading___Toc897595_3650668749"/>
      <w:bookmarkStart w:id="64" w:name="_Toc25"/>
      <w:bookmarkEnd w:id="63"/>
      <w:r>
        <w:rPr>
          <w:rtl w:val="true"/>
        </w:rPr>
        <w:t>الاحتمال الأوّل</w:t>
      </w:r>
      <w:bookmarkEnd w:id="6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تكون 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قبل الرواية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وحينئذٍ تكون 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مؤكّدة لحكم المنع عن زيارة القبور الصادر في صدر الإسلام، فجاءت هذه الرواية لتؤكّده بحقّ النساء، فكأنّ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على الجميع زيارة القبور، وبالخصوص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وحينئذٍ يكون لدينا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صدرالإسلام، يحرّم على الجميع زيارة القبور، وتتأكّد هذه الحرمة بالنسبة للمرأة، ثمّ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زيارة الرجال </w:t>
      </w:r>
      <w:bookmarkStart w:id="65" w:name="pg1606_13613"/>
    </w:p>
    <w:p>
      <w:pPr>
        <w:pStyle w:val="BookText"/>
        <w:rPr/>
      </w:pPr>
      <w:bookmarkEnd w:id="65"/>
      <w:r>
        <w:rPr>
          <w:rFonts w:ascii="Amiri" w:hAnsi="Amiri" w:eastAsia="Amiri" w:cs="Amiri"/>
          <w:color w:val="111111"/>
          <w:sz w:val="28"/>
          <w:sz w:val="28"/>
          <w:szCs w:val="28"/>
          <w:rtl w:val="true"/>
          <w:lang w:bidi="ar-SA"/>
        </w:rPr>
        <w:t>والنساء للقبور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 يكون الحكم الثاني ناسخاً للحكم الأوّل، كما هو متّفق عليه بين علماء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أيّده أيضاً كثير من علماء أهل السنّة، فنرى الترمذي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رأى بعضُ أهلِ العلم أنّ هذا كان قبل أن يرخّص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القبور، فلمّا رخَّص، دخل في رُخصته الرجال والنساء</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وأيّد كلّ من محمّد بن إسماعيل الكحلاني والمباركفوري، كلام الترمذي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كيفية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لقبر حمزة عدّة مرات</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وسنتكلّم عن هذين الأمرين فيما يأتي من البحث</w:t>
      </w:r>
      <w:r>
        <w:rPr>
          <w:rFonts w:eastAsia="Amiri" w:cs="Amiri" w:ascii="Amiri" w:hAnsi="Amiri"/>
          <w:color w:val="111111"/>
          <w:sz w:val="28"/>
          <w:szCs w:val="28"/>
          <w:rtl w:val="true"/>
          <w:lang w:bidi="ar-SA"/>
        </w:rPr>
        <w:t>.</w:t>
      </w:r>
    </w:p>
    <w:p>
      <w:pPr>
        <w:pStyle w:val="Heading6"/>
        <w:numPr>
          <w:ilvl w:val="5"/>
          <w:numId w:val="1"/>
        </w:numPr>
        <w:rPr/>
      </w:pPr>
      <w:bookmarkStart w:id="66" w:name="__RefHeading___Toc897597_3650668749"/>
      <w:bookmarkStart w:id="67" w:name="_Toc26"/>
      <w:bookmarkEnd w:id="66"/>
      <w:r>
        <w:rPr>
          <w:rtl w:val="true"/>
        </w:rPr>
        <w:t>الاحتمال الثانى</w:t>
      </w:r>
      <w:bookmarkEnd w:id="67"/>
    </w:p>
    <w:p>
      <w:pPr>
        <w:pStyle w:val="BookText"/>
        <w:rPr/>
      </w:pPr>
      <w:r>
        <w:rPr>
          <w:rFonts w:ascii="Amiri" w:hAnsi="Amiri" w:eastAsia="Amiri" w:cs="Amiri"/>
          <w:color w:val="111111"/>
          <w:sz w:val="28"/>
          <w:sz w:val="28"/>
          <w:szCs w:val="28"/>
          <w:rtl w:val="true"/>
          <w:lang w:bidi="ar-SA"/>
        </w:rPr>
        <w:t>أن تكون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متأخّرة في صدورها عن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ويلزم من ذلك، أن يكون الحكم العام المأمور به في صدر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زيارة القبور على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نسخ مرّتين؛ مرّة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الإباحة، وأخرى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حرمة زيارة النساء للقبور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وصدور مثل هذا الأمر غير لائقٍ بساحة المشرّع الحكيم</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897599_3650668749"/>
      <w:bookmarkStart w:id="69" w:name="_Toc27"/>
      <w:bookmarkEnd w:id="68"/>
      <w:r>
        <w:rPr>
          <w:rtl w:val="true"/>
        </w:rPr>
        <w:t>المناقشة الثالثة</w:t>
      </w:r>
      <w:bookmarkEnd w:id="6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فرض قبول التعارض بين الروايتين، الأولى والثانية، فلابدّ حينئذٍ أن يصار إلى الجمع بينهما كما فعل القرطبي، والقاري، </w:t>
      </w:r>
      <w:bookmarkStart w:id="70" w:name="pg1606_13614"/>
    </w:p>
    <w:p>
      <w:pPr>
        <w:pStyle w:val="BookText"/>
        <w:rPr/>
      </w:pPr>
      <w:bookmarkEnd w:id="70"/>
      <w:r>
        <w:rPr>
          <w:rFonts w:ascii="Amiri" w:hAnsi="Amiri" w:eastAsia="Amiri" w:cs="Amiri"/>
          <w:color w:val="111111"/>
          <w:sz w:val="28"/>
          <w:sz w:val="28"/>
          <w:szCs w:val="28"/>
          <w:rtl w:val="true"/>
          <w:lang w:bidi="ar-SA"/>
        </w:rPr>
        <w:t>والشوكاني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الشوكاني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لكلام القرطبي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 المذكور في الحديث إنّما هو للمكثرات من الزيارة؛ لما تقتضيه الصيغة من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السبب ما يفضي إليه ذلك من تضييع حقِّ الزوج والتبرّج، وما ينشأ من الصياح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أُمن جميع ذلك، فلا مانع من الإذن لهنّ؛ لأنّ تذكّر الموت يحتاج إليه الرجال والنساء</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ثمّ يعقّب على كلامه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الكلام هو الذي ينبغي اعتماده في الجمع بين أحاديث الباب المتعارضة في الظاهر</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وهكذا المباركفوري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نقله لكلام القرطبي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تقدّم قول القرطبي، أنّ اللعن في حديث الباب للمكثرات من الزيارة، وهذا هو الظاهر، والله تعالى أعلم</w:t>
      </w:r>
      <w:r>
        <w:rPr>
          <w:rFonts w:eastAsia="Amiri" w:cs="Amiri" w:ascii="Amiri" w:hAnsi="Amiri"/>
          <w:color w:val="111111"/>
          <w:sz w:val="28"/>
          <w:szCs w:val="28"/>
          <w:rtl w:val="true"/>
          <w:lang w:bidi="ar-SA"/>
        </w:rPr>
        <w:t>»</w:t>
      </w:r>
      <w:r>
        <w:rPr>
          <w:rStyle w:val="FootnoteAnchor"/>
          <w:rtl w:val="true"/>
        </w:rPr>
        <w:footnoteReference w:id="37"/>
      </w:r>
    </w:p>
    <w:p>
      <w:pPr>
        <w:pStyle w:val="Heading6"/>
        <w:numPr>
          <w:ilvl w:val="5"/>
          <w:numId w:val="1"/>
        </w:numPr>
        <w:rPr/>
      </w:pPr>
      <w:bookmarkStart w:id="71" w:name="__RefHeading___Toc897601_3650668749"/>
      <w:bookmarkStart w:id="72" w:name="_Toc28"/>
      <w:bookmarkEnd w:id="71"/>
      <w:r>
        <w:rPr>
          <w:rtl w:val="true"/>
        </w:rPr>
        <w:t>المناقشة الرابعة</w:t>
      </w:r>
      <w:bookmarkEnd w:id="72"/>
    </w:p>
    <w:p>
      <w:pPr>
        <w:pStyle w:val="BookText"/>
        <w:rPr/>
      </w:pP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رسول الله زوّارات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 بثلاثة طرق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أبوعوانة عن عمر بن أبي سلمة عن أبيه عن أبي‌هريرة</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عبد الله بن عثمان بن خثيم عن عبد الرحمن ابن بهمان عن عبد الرحمن بن حسان بن ثابت عن أبيه</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الوارث بن سعيد عن محمّد بن جحادة عن أبي صالح عن ابن عبّاس</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أمّا الطريق الأوّل، ففيه عمر بن أبي سلمة، وقد ضُعّف من قبل علماء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حجر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عمر بن أبي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الحديث وليس يحتجّ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المديني عن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يضعّف عمر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شعبة أدركه ولم يحمل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يحيى بن سعيد يختار محمّد بن عمرو عليه،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شعبة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شعبة وليس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صالح صدوق في الأصل، ليس بذاك القوي يكتب حديثه ولا يُحتجّ به، يخالف في بعض الشيء</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بحديثه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نلاحظ من خلال الكلام المتقدّم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بعدّة أوصاف وألقاب،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شعبة يضعّف عمر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أحاديثه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بذاك القوي، يكتب حديثه ولا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بقويّ 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فمع اتّصافه بمثل هذه الصفات، يكون حديثه ساقطاً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الطريق الثاني،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بهمان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عنه علي بن المديني،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هذا</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أمّا الطريق الثالث،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واسمه باذان أو باذام، ولم يوثّقه غير العجلي</w:t>
      </w:r>
      <w:r>
        <w:rPr>
          <w:rStyle w:val="FootnoteAnchor"/>
          <w:rtl w:val="true"/>
        </w:rPr>
        <w:footnoteReference w:id="43"/>
      </w:r>
      <w:r>
        <w:rPr>
          <w:rFonts w:ascii="Amiri" w:hAnsi="Amiri" w:eastAsia="Amiri" w:cs="Amiri"/>
          <w:color w:val="111111"/>
          <w:sz w:val="28"/>
          <w:sz w:val="28"/>
          <w:szCs w:val="28"/>
          <w:rtl w:val="true"/>
          <w:lang w:bidi="ar-SA"/>
        </w:rPr>
        <w:t>، أمّا الآخرون فبين مضعّفٍ له أو مهمل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عبد الرحمن بن مهدي ترك حديث أبي‌صالح باذام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ويقول ابن عدي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وباذام هذا عامّة ما يرويه تفاسير، وما أقل ما له من المسند، وهو يروي عن عليّ وابن عبّاس، وروى عنه ابن أبي‌خالد عن أبي صالح هذا تفسيراً كثيراً قد زخرف في ذلك التفسير ما لم يتابعه أهل التفسير عليه، ولم أعلم أحداً من المتقدّمين رضيه</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زكريا بن أبي زائدة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الشعبي يمرّ بأبي صالح فيأخذ بإذنه فيهزّها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تفسّر القرآن وأنت لا تحفظ القرآن؟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 حديثه ولا يحتجّ به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وقال النسائي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مغيرة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أبو صالح صاحب الكلبي يعلّم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تفسيره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الجوزقاني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متروك</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ونقل ابن الجوزي عن الأزدي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ويقول ابن حبّان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يحدّث عن ابن عبّاس ولم يسمع منه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وعلى هذا، حتّى لو سلّمنا دلالة الحديث على الحرمة، يكون السند مخدوشاً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يحرّم ابن تيميّة وحده زيارة النساء للقبور، بل ابن بازٍ أيضاً حرّمها هو الآخر على النساء، وعدّها من الكبائر،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زيارة المرأة للقبور فهي محرّمة، بل من كبائر الذنوب؛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زائرات القبور، والمتّخذين عليها المساجد والسرج</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ما قدّمناه من جواب على كلام ابن تيميّة يتّضح خواء كلام ابن باز، ومدى افتقار كلامه للدليل، ولا حاجة لتكرار الردّ عليه أيضاً، خصوصاً وأنّ ابن باز استدلّ بالرواية التي في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قابلة للاستدلال كما مرّ علينا</w:t>
      </w:r>
      <w:r>
        <w:rPr>
          <w:rFonts w:eastAsia="Amiri" w:cs="Amiri" w:ascii="Amiri" w:hAnsi="Amiri"/>
          <w:color w:val="111111"/>
          <w:sz w:val="28"/>
          <w:szCs w:val="28"/>
          <w:rtl w:val="true"/>
          <w:lang w:bidi="ar-SA"/>
        </w:rPr>
        <w:t xml:space="preserve">. </w:t>
      </w:r>
      <w:bookmarkStart w:id="73" w:name="pg1606_13623"/>
    </w:p>
    <w:p>
      <w:pPr>
        <w:pStyle w:val="Heading5"/>
        <w:numPr>
          <w:ilvl w:val="4"/>
          <w:numId w:val="1"/>
        </w:numPr>
        <w:rPr/>
      </w:pPr>
      <w:bookmarkStart w:id="74" w:name="__RefHeading___Toc897603_3650668749"/>
      <w:bookmarkStart w:id="75" w:name="_Toc29"/>
      <w:bookmarkEnd w:id="73"/>
      <w:bookmarkEnd w:id="74"/>
      <w:r>
        <w:rPr>
          <w:rtl w:val="true"/>
        </w:rPr>
        <w:t>القول الثانى</w:t>
      </w:r>
      <w:r>
        <w:rPr>
          <w:rtl w:val="true"/>
        </w:rPr>
        <w:t xml:space="preserve">: </w:t>
      </w:r>
      <w:r>
        <w:rPr>
          <w:rtl w:val="true"/>
        </w:rPr>
        <w:t>كراهة زيارة النساء للقبور</w:t>
      </w:r>
      <w:bookmarkEnd w:id="75"/>
    </w:p>
    <w:p>
      <w:pPr>
        <w:pStyle w:val="Heading6"/>
        <w:numPr>
          <w:ilvl w:val="5"/>
          <w:numId w:val="1"/>
        </w:numPr>
        <w:rPr/>
      </w:pPr>
      <w:bookmarkStart w:id="76" w:name="__RefHeading___Toc897605_3650668749"/>
      <w:bookmarkStart w:id="77" w:name="_Toc30"/>
      <w:bookmarkEnd w:id="76"/>
      <w:r>
        <w:rPr>
          <w:rtl w:val="true"/>
        </w:rPr>
        <w:t>اشاره</w:t>
      </w:r>
      <w:bookmarkEnd w:id="77"/>
    </w:p>
    <w:p>
      <w:pPr>
        <w:pStyle w:val="BookText"/>
        <w:rPr/>
      </w:pPr>
      <w:r>
        <w:rPr>
          <w:rFonts w:ascii="Amiri" w:hAnsi="Amiri" w:eastAsia="Amiri" w:cs="Amiri"/>
          <w:color w:val="111111"/>
          <w:sz w:val="28"/>
          <w:sz w:val="28"/>
          <w:szCs w:val="28"/>
          <w:rtl w:val="true"/>
          <w:lang w:bidi="ar-SA"/>
        </w:rPr>
        <w:t>ذهب كثير من فقهاء المدرسة السنّية إلى كراهة زيارة النساء للقبور</w:t>
      </w:r>
      <w:r>
        <w:rPr>
          <w:rStyle w:val="FootnoteAnchor"/>
          <w:rtl w:val="true"/>
        </w:rPr>
        <w:footnoteReference w:id="54"/>
      </w:r>
      <w:r>
        <w:rPr>
          <w:rFonts w:ascii="Amiri" w:hAnsi="Amiri" w:eastAsia="Amiri" w:cs="Amiri"/>
          <w:color w:val="111111"/>
          <w:sz w:val="28"/>
          <w:sz w:val="28"/>
          <w:szCs w:val="28"/>
          <w:rtl w:val="true"/>
          <w:lang w:bidi="ar-SA"/>
        </w:rPr>
        <w:t>، وكان اعتمادهم على أحد الدليلين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استفادوا منه الكراهة؛ لأنّ الرواية تحتمل أكثر من وجه، ودلالة الحديث دائرة بين الحرمة والجواز، فتحمل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قلّة صبر النساء وضعف قدرتهن في تحمّل المصائب، فكُره لهنّ الذهاب إلى زيارة القبور</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897607_3650668749"/>
      <w:bookmarkStart w:id="79" w:name="_Toc31"/>
      <w:bookmarkEnd w:id="78"/>
      <w:r>
        <w:rPr>
          <w:rtl w:val="true"/>
        </w:rPr>
        <w:t>مناقشة القول الثانى</w:t>
      </w:r>
      <w:bookmarkEnd w:id="79"/>
    </w:p>
    <w:p>
      <w:pPr>
        <w:pStyle w:val="BookText"/>
        <w:rPr/>
      </w:pPr>
      <w:r>
        <w:rPr>
          <w:rFonts w:ascii="Amiri" w:hAnsi="Amiri" w:eastAsia="Amiri" w:cs="Amiri"/>
          <w:color w:val="111111"/>
          <w:sz w:val="28"/>
          <w:sz w:val="28"/>
          <w:szCs w:val="28"/>
          <w:rtl w:val="true"/>
          <w:lang w:bidi="ar-SA"/>
        </w:rPr>
        <w:t>لا يمكننا قبول هذا الرأي أيضاً؛ فهو يفتقر إلى الدليل المتين، وما اعتمد عليه من دليل مردود وغير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للدليل الأوّل، الذي ذكره أصحاب هذا الرأي، فقد أجبنا عليه في جوابنا ومناقشتنا للقول الأوّل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وبالنسبة للدليل الثاني، الذي اعتمد عليه أصحاب هذا الرأي، كذلك غير دالٍّ على المدّعى؛ لأنّه أخصّ منه، فالمدّعى أنّ زيارة القبور في كلّ مكان وزمانٍ مكروهةٌ، أمّا الدليل فيتناول خصوص النساء الجزوعات القليل صبرهنّ في المصائب وعند زيارتهنّ القبور، فهذا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كراهةَ قلّة الصبر على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يدل على الكراهة حين تكون المرأة قليلة الصبر، ويكثر عويلها وجزعها عند زيارة القبور</w:t>
      </w:r>
      <w:r>
        <w:rPr>
          <w:rFonts w:eastAsia="Amiri" w:cs="Amiri" w:ascii="Amiri" w:hAnsi="Amiri"/>
          <w:color w:val="111111"/>
          <w:sz w:val="28"/>
          <w:szCs w:val="28"/>
          <w:rtl w:val="true"/>
          <w:lang w:bidi="ar-SA"/>
        </w:rPr>
        <w:t xml:space="preserve">. </w:t>
      </w:r>
      <w:bookmarkStart w:id="80" w:name="pg1606_13625"/>
    </w:p>
    <w:p>
      <w:pPr>
        <w:pStyle w:val="Heading5"/>
        <w:numPr>
          <w:ilvl w:val="4"/>
          <w:numId w:val="1"/>
        </w:numPr>
        <w:rPr/>
      </w:pPr>
      <w:bookmarkStart w:id="81" w:name="__RefHeading___Toc897609_3650668749"/>
      <w:bookmarkStart w:id="82" w:name="_Toc32"/>
      <w:bookmarkEnd w:id="80"/>
      <w:bookmarkEnd w:id="81"/>
      <w:r>
        <w:rPr>
          <w:rtl w:val="true"/>
        </w:rPr>
        <w:t>القول الثالث</w:t>
      </w:r>
      <w:r>
        <w:rPr>
          <w:rtl w:val="true"/>
        </w:rPr>
        <w:t xml:space="preserve">: </w:t>
      </w:r>
      <w:r>
        <w:rPr>
          <w:rtl w:val="true"/>
        </w:rPr>
        <w:t>جواز زيارة القبور</w:t>
      </w:r>
      <w:bookmarkEnd w:id="82"/>
    </w:p>
    <w:p>
      <w:pPr>
        <w:pStyle w:val="BookText"/>
        <w:rPr/>
      </w:pPr>
      <w:r>
        <w:rPr>
          <w:rFonts w:ascii="Amiri" w:hAnsi="Amiri" w:eastAsia="Amiri" w:cs="Amiri"/>
          <w:color w:val="111111"/>
          <w:sz w:val="28"/>
          <w:sz w:val="28"/>
          <w:szCs w:val="28"/>
          <w:rtl w:val="true"/>
          <w:lang w:bidi="ar-SA"/>
        </w:rPr>
        <w:t>استدلّ لهذا الرأي بعدّة أدلّة، وكما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دليل على حرمة أو كراهة زيارة القبور، بل قد روي عن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نهيتكم عن زيارة القبور، 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فيدل هذا الحديث على أنّ المسلمين، رجالاً ونساءً، كانوا منهيّين عن زيارة القبور في صدر الإسلام، ثمّ أُبيح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سابقة لهذه الرواية التي أجازت زيارة القبور، يقول الترمذي في هذا الصدد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رأى بعض أهل العلم أنّ هذا كان قبل أن يرخّص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القبور، فلمّا رخّص، دخل في رخصته الرجال والنساء</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ناهيك عن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زوّارات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دلالةً وسنداً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لزوجته عائشة كيفية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عنها تروي فيها ما قاله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يأمرك أن تأتي أهل البقيع، فتستغفرِي لهم، قالت،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لهم يا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المؤمنين والمسلمين، ويرحم الله المستقدمين منّا والمستأخرين، وإنّا إن شاء الله بكم لَلاحقون</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الرواية فيها دلالة واضحة على جواز زيارة النساء للقبور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عائشة لزيارة قبر أخيها عبد الرحمن بن أبي‌بكر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عبدالله بن أبي‌مليكة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عائشة أقبلت ذات يوم من المقابر،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من أين أقبلت؟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قبرِ أخي عبدالرحمن بن أبي بكر،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زيارة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نهى ثمّ أمر بزيارتها</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ويقول السيّد سابق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السنّة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رخّص مالك وبعض الأحناف وروايةٌ عن أحمد وأكثر العلماء، في زيارة النساء للقبور؛ لحديث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w:t>
      </w:r>
      <w:r>
        <w:rPr>
          <w:rFonts w:eastAsia="Amiri" w:cs="Amiri" w:ascii="Amiri" w:hAnsi="Amiri"/>
          <w:color w:val="111111"/>
          <w:sz w:val="28"/>
          <w:szCs w:val="28"/>
          <w:rtl w:val="true"/>
          <w:lang w:bidi="ar-SA"/>
        </w:rPr>
        <w:t>. .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ونقل ابن عبد البر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أحمد بن حنبل بالجواز مستشهداًً بهذه الواقعة، فجاء فيه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وسمعت أبا عبدالله، يعني أحمدبن حنبل، يُسأل عن المرأة تزور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به بأسٌ؛ عائشة زارت قبر أخيها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وكذلك اعتبر محمّد بن إسماعيل الكحلاني رواية عبد الله بن أبي مليكة دليلاً على جواز زيارة القبور</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قبر حمزة وشهداء أُحد كلّ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الرواية التي يرويها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تزور قبر عمّها حمزة كلّ جمعة، فتصلّي وتبكي عنده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واستدلّ الطحطاوي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مراقي الفلاح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زيارة القبور بهذه الرواية</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كمحمّد بن إسماعيل الكحلاني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أراد تضعيف هذه الرواية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مرسل؛ فإنّ علي بن الحسين لم‌يدرك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والعجيب أن يصدر هذا الكلام من مثله؛ وذلك لأنّ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 سند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فالرواية مرويّة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هذا ناشئ من عدم الدقّة والتريّث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وجدها تبكي عند أحد القبور عن زيارة القبور، وحثّها على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 ذلك جواز زيارة القبور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أنس بن مالك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بامرأة تبكي عند 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واصبري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فإنّك لم تُصب بمصيبتي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فأتت 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 عنده بوّابين،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الصبر عند الصدمة الأولى</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ويقول العيني تعليقاً على هذه الرواية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زيارة القبور مطلقاً، سواء كان الزائر رجلاً أو امرأة</w:t>
      </w:r>
      <w:r>
        <w:rPr>
          <w:rFonts w:eastAsia="Amiri" w:cs="Amiri" w:ascii="Amiri" w:hAnsi="Amiri"/>
          <w:color w:val="111111"/>
          <w:sz w:val="28"/>
          <w:szCs w:val="28"/>
          <w:rtl w:val="true"/>
          <w:lang w:bidi="ar-SA"/>
        </w:rPr>
        <w:t>»</w:t>
      </w:r>
      <w:r>
        <w:rPr>
          <w:rStyle w:val="FootnoteAnchor"/>
          <w:rtl w:val="true"/>
        </w:rPr>
        <w:footnoteReference w:id="65"/>
      </w:r>
      <w:bookmarkStart w:id="83" w:name="pg1606_13631"/>
    </w:p>
    <w:p>
      <w:pPr>
        <w:pStyle w:val="BookText"/>
        <w:rPr/>
      </w:pPr>
      <w:bookmarkEnd w:id="83"/>
      <w:r>
        <w:rPr>
          <w:rFonts w:ascii="Amiri" w:hAnsi="Amiri" w:eastAsia="Amiri" w:cs="Amiri"/>
          <w:color w:val="111111"/>
          <w:sz w:val="28"/>
          <w:sz w:val="28"/>
          <w:szCs w:val="28"/>
          <w:rtl w:val="true"/>
          <w:lang w:bidi="ar-SA"/>
        </w:rPr>
        <w:t>وكذلك اعتبر الألباني هذه الرواية دليلاً على جواز زيارة القبور، سواء كان الزائر رجلاً أو امرأة</w:t>
      </w:r>
      <w:r>
        <w:rPr>
          <w:rStyle w:val="FootnoteAnchor"/>
          <w:rtl w:val="true"/>
        </w:rPr>
        <w:footnoteReference w:id="66"/>
      </w:r>
    </w:p>
    <w:p>
      <w:pPr>
        <w:pStyle w:val="Heading5"/>
        <w:numPr>
          <w:ilvl w:val="4"/>
          <w:numId w:val="1"/>
        </w:numPr>
        <w:rPr/>
      </w:pPr>
      <w:bookmarkStart w:id="84" w:name="__RefHeading___Toc897611_3650668749"/>
      <w:bookmarkStart w:id="85" w:name="_Toc33"/>
      <w:bookmarkEnd w:id="84"/>
      <w:r>
        <w:rPr>
          <w:rtl w:val="true"/>
        </w:rPr>
        <w:t>القول الرابع</w:t>
      </w:r>
      <w:r>
        <w:rPr>
          <w:rtl w:val="true"/>
        </w:rPr>
        <w:t xml:space="preserve">: </w:t>
      </w:r>
      <w:r>
        <w:rPr>
          <w:rtl w:val="true"/>
        </w:rPr>
        <w:t>استحباب زيارة القبور</w:t>
      </w:r>
      <w:bookmarkEnd w:id="85"/>
    </w:p>
    <w:p>
      <w:pPr>
        <w:pStyle w:val="BookText"/>
        <w:rPr/>
      </w:pPr>
      <w:r>
        <w:rPr>
          <w:rFonts w:ascii="Amiri" w:hAnsi="Amiri" w:eastAsia="Amiri" w:cs="Amiri"/>
          <w:color w:val="111111"/>
          <w:sz w:val="28"/>
          <w:sz w:val="28"/>
          <w:szCs w:val="28"/>
          <w:rtl w:val="true"/>
          <w:lang w:bidi="ar-SA"/>
        </w:rPr>
        <w:t>القول الرابع هو القول باستحباب زيارة المرأة للقبور، فإنّنا من خلال متابعة الروايات والتدقيق في مداليلها نجدها لا توصلنا إلى جواز زيارة القبور وحسب، بل تثبت لنا استحباب ذلك؛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المذكور في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 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ولوجود قرائن متعددة، بالإضافة إلى إجماع الفقهاء على عدم وجوب الزيارة</w:t>
      </w:r>
      <w:r>
        <w:rPr>
          <w:rStyle w:val="FootnoteAnchor"/>
          <w:rtl w:val="true"/>
        </w:rPr>
        <w:footnoteReference w:id="67"/>
      </w:r>
      <w:r>
        <w:rPr>
          <w:rFonts w:ascii="Amiri" w:hAnsi="Amiri" w:eastAsia="Amiri" w:cs="Amiri"/>
          <w:color w:val="111111"/>
          <w:sz w:val="28"/>
          <w:sz w:val="28"/>
          <w:szCs w:val="28"/>
          <w:rtl w:val="true"/>
          <w:lang w:bidi="ar-SA"/>
        </w:rPr>
        <w:t>، يحمل الأمر في الرواية على الاستحباب، فتكون الرواية دالّة على استحباب زيارة القبور لكلّ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الوارد في الروايات للأمر بزيارة القبور،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تذكّركم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فيها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تزهّد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يفهم منه، ومن مجيء الأمر بالشيء بعد النهي عنه، استحباب زيارة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الأمرالوارد في رواية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يأمركِ أن تأتي أهل البقيع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أيضاً يُحمل هذا الأمر في الخطاب الإلهي بزيارة قبور البقيع على الاستحباب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 xml:space="preserve">: </w:t>
      </w:r>
      <w:bookmarkStart w:id="86" w:name="pg1606_13633"/>
    </w:p>
    <w:p>
      <w:pPr>
        <w:pStyle w:val="BookText"/>
        <w:rPr/>
      </w:pPr>
      <w:bookmarkEnd w:id="86"/>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أبويه أو أحدهما، في كلّ جمعة مرّة، غفر الله له وكُتب بَرّاً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والديه أو أحدهما، في كلّ جمعة، فقرأ عندهما يس، غفر الله له بعدد كلّ حرف منها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والديه أو أحدهما احتساباً، كان كعدل حجّة مبرورةٍ، ومن كان زوّاراً لهما، زارت الملائكة قبره</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الروايات مجتمعة، وإن واجه بعضها خدشة في السند، ولكن بمعونة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يمكننا ترقية دلالتها إلى حدّ القول باستحباب زيارة القبور، للرجال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نستنتج أنّ زيارة النساء للقبور، ليس فقط غير محرّم أو مكروهٍ، بل مستحبٌّ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صرّح به كلّ من الشرنبلاني والألباني، حيث لم يفرّقوا في استحباب زيارة القبور بين النساء والرجال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897613_3650668749"/>
      <w:bookmarkStart w:id="88" w:name="_Toc34"/>
      <w:bookmarkEnd w:id="87"/>
      <w:r>
        <w:rPr>
          <w:rtl w:val="true"/>
        </w:rPr>
        <w:t xml:space="preserve">زيارة قبر النبى الأكرم </w:t>
      </w:r>
      <w:r>
        <w:rPr>
          <w:rtl w:val="true"/>
        </w:rPr>
        <w:t>(</w:t>
      </w:r>
      <w:r>
        <w:rPr>
          <w:rtl w:val="true"/>
        </w:rPr>
        <w:t>ص</w:t>
      </w:r>
      <w:r>
        <w:rPr>
          <w:rtl w:val="true"/>
        </w:rPr>
        <w:t>)</w:t>
      </w:r>
      <w:bookmarkEnd w:id="88"/>
    </w:p>
    <w:p>
      <w:pPr>
        <w:pStyle w:val="Heading5"/>
        <w:numPr>
          <w:ilvl w:val="4"/>
          <w:numId w:val="1"/>
        </w:numPr>
        <w:rPr/>
      </w:pPr>
      <w:bookmarkStart w:id="89" w:name="__RefHeading___Toc897615_3650668749"/>
      <w:bookmarkStart w:id="90" w:name="_Toc35"/>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 xml:space="preserve">من الأفضل وقبل الدخول ببحث جواز أو استحباب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نطّلع على رأي ابن تيميّة، ونتعرّف على أدلّته في ذلك</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897617_3650668749"/>
      <w:bookmarkStart w:id="92" w:name="_Toc36"/>
      <w:bookmarkEnd w:id="91"/>
      <w:r>
        <w:rPr>
          <w:rtl w:val="true"/>
        </w:rPr>
        <w:t>رأى ابن تيميّة فى زيارة قبور الأنبياء</w:t>
      </w:r>
      <w:bookmarkEnd w:id="92"/>
    </w:p>
    <w:p>
      <w:pPr>
        <w:pStyle w:val="Heading6"/>
        <w:numPr>
          <w:ilvl w:val="5"/>
          <w:numId w:val="1"/>
        </w:numPr>
        <w:rPr/>
      </w:pPr>
      <w:bookmarkStart w:id="93" w:name="__RefHeading___Toc897619_3650668749"/>
      <w:bookmarkStart w:id="94" w:name="_Toc37"/>
      <w:bookmarkEnd w:id="93"/>
      <w:r>
        <w:rPr>
          <w:rtl w:val="true"/>
        </w:rPr>
        <w:t>اشاره</w:t>
      </w:r>
      <w:bookmarkEnd w:id="9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يحاول البعض تبرئة ابن تيميّة من فتواه بحرمة زيارة قبر النبيّ </w:t>
      </w:r>
    </w:p>
    <w:p>
      <w:pPr>
        <w:pStyle w:val="BookText"/>
        <w:rPr/>
      </w:pPr>
      <w:r>
        <w:rPr>
          <w:rFonts w:ascii="Amiri" w:hAnsi="Amiri" w:eastAsia="Amiri" w:cs="Amiri"/>
          <w:color w:val="111111"/>
          <w:sz w:val="28"/>
          <w:sz w:val="28"/>
          <w:szCs w:val="28"/>
          <w:rtl w:val="true"/>
          <w:lang w:bidi="ar-SA"/>
        </w:rPr>
        <w:t xml:space="preserve">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هنا، يكون من اللازم علينا أن نتابع كلمات ابن تيميّة في هذا الصدد، وكذلك كلمات بعض علماء أهل السنّة فيما يتعلّق باعتقاد ابن تيميّة، حول زيارة قبر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لكي تتبيّن عقائده الخاطئة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معرض الإجابة على سؤال حول زيارة قبر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الزيارة البدعية، فمن جنس زيارة اليهود والنصارى وأهل البدع الذين يتّخذون قبور الأنبياء والصالحين مساجد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فالزيارة البدعية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قبر بعض الأنبياء والصالحين للصلاة عنده، أو الدعاء عنده، أو به، أو طلب الحوائج منه، أو من الله تعالى عند قبره، أو الاستغاثة به، أو الإقسام على الله تعالى به، ونحو ذلك، هو من البدع التي لم يفعلها أحدٌ من الصحابة ولا التابعين لهم بإحسانٍ، ولاسنّ ذلك رسول الله، ولا أحد من خلفائه الراشدين، بل قد نهى عن ذلك أئمّة المسلمين الكبار</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فيصرّح ابن تيميّة في هذه العبارة أنّ قصد السفر لزيارة قبور الأنبياء والصالحين من البدعة وهو محرّم، ولذا حرّم زيارتهم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مكان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قصد قبور الأنبياء والصالحين لأجل الصلاة والدعاء عندها فقد قصد نفس المحرّم الذي سدّ الله ورسوله ذريعته</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والأحاديث المروية في زيارة قبره كلّها ضعيفة، بل كذب</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وكذلك من أقواله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نفس السفر لزيارة قبر من القبور، قبر نبيٍّ أو غيره، منهيٌّ عنه عند جمهور العلماء، حتّى أنّهم لا يجوّزون قصر الصلاة فيه، بناءً على أنّه سفر معصية؛ لقوله الثابت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 إلى ثلاثة مساجد، المسجد الحرام، والمسجد الأقصى، ومسجدي هذا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الحديث المذكور في زيارة قبر النبيّ، فهو ضعيف، وليس في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حسن ولا صحيح، ولا روى أهل السنن المعروفة كسنن أبي داود والنسائي وابن ماجة والترمذي، ولا أهل المسانيد المعروفة كمسند أحمد ونحوه، ولا أهل المصنّفات كموطأ مالك وغيره، في ذلك شيئاً، بل عامّة ما يُروى في ذلك أحاديث مكذوبة موضوعة، كما يروى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وزار أبي‌إبراهيم في عام واحدٍ ضمنت له على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موضوع كذب باتّفاق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يروى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بعد مماتي فكأنّما زارني في حياتي، ومن زارني بعد مماتي ضمنت له على الله الجنّة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لشيءٍ من ذلك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روى بعض ذلك الدارقطني والبزّار في مسنده، فمدار ذلك على عبد الله بن عمر العمري، أو من هو أضعف منه، ممّن لا يجوز أن يثبت بروايته حكم شرعي، وإنّما اعتمد الأئمّة في ذلك على ما رواه أبو داود في السنن عن أبي هريرة عن النبيّ </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يسلِّم عليَّ إلّا ردّ الله عليَّ روحي حتّى أردّ، وكما في سنن النسائي عن النبيّ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وكّل بقبري ملائكة تبلغني عن أمّتي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والسلام عليه ممّا أمر الله به ورسوله، فلهذا استحبّ ذلك العلماء</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من خلال كلمات ابن تيميّة يمكننا استخلاص أنّه يعتقد بعدّة أمور، فيما يتعلّق بزيارة قبور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السفر بقصد زيارة قبور الأنبياء بدعة ومحرّم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فيتّضح أنّ ابن تيميّة يحرّم، وبشكل صريح، السفر إلى قبور الأنبياء لخصوص زيارتهم؛ لأنّه يعتقد أنّ هذا العمل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زيارة قبور الأنبياء والصالحين لأجل الصلاة والدعاء عندهم أثناء السفر، يعتبر من قصد المحرّم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تصريح بحرمة زيارة قبور الأنبياء 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يسافر لأجل زيارة قبور الأنبياء والصالحين، يعتبر سفره سفر معصية، وعليه أن يتمّ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فيعتبر ابن تيميّة السفر لزيارة قبور الأنبياء سفر معصية، كالمسافر لغرض السرقة أو بيع الخمر وما 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تصريح منه بحرمة زيارة قبور الأنبياء 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الأحاديث المروية في خصوص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وكذب، ولا يوجد أحد من أهل العلم قد اعتمدها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الدليل على حرمة زيارة قبور الأنبياء والأئمّة، هو قول </w:t>
      </w:r>
      <w:bookmarkStart w:id="95" w:name="pg1606_13640"/>
    </w:p>
    <w:p>
      <w:pPr>
        <w:pStyle w:val="BookText"/>
        <w:rPr/>
      </w:pPr>
      <w:bookmarkEnd w:id="95"/>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تشدّ الرحال</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من الواضح أنّ هذا الكلام باطل ولا دليل عليه، بل هو كلام قبيح ويفتقر للباقة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ابن حجر العسقلاني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وهي من أبشع المسائل المنقولة عن ابن تيميّة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والعجب ممّن يحاول تبرئة ابن تيميّة من قوله هذا، ويعتبر نسبة القول بهذا له من التهم الموجّهة لابن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شيخ الإسلام رحمه الله تعالى لم يحرّم زيارة القبور على الوجه المشروع في شيء من كتبه، ولم ينه عنها ولم يكرّهها، بل استحبّها وحضّ عليها، ومصنّفاته ومناسكه طافحة بذكر استحباب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القبور</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ولا أدري كيف يدّعي هذا القائل أنّ ابن تيميّة يرى استحباب زيارة قبر النبيّ وفي نفس الوقت يحرّم السفر بقصد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قصد زيارته من القصود المحرمة التي تجعل من السفر سفر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تناقضاً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تضعيف ابن تيميّة لأحاديث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دليل على عدم قوله باستحباب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علماء أهل السنّة خالفوا ابن تيميّة في فتاواه وقوله بأنّ زيارة قبر النبيّ وسائر الأنبياء معصيةٌ</w:t>
      </w:r>
      <w:r>
        <w:rPr>
          <w:rStyle w:val="FootnoteAnchor"/>
          <w:rtl w:val="true"/>
        </w:rPr>
        <w:footnoteReference w:id="79"/>
      </w:r>
    </w:p>
    <w:p>
      <w:pPr>
        <w:pStyle w:val="Heading6"/>
        <w:numPr>
          <w:ilvl w:val="5"/>
          <w:numId w:val="1"/>
        </w:numPr>
        <w:rPr/>
      </w:pPr>
      <w:bookmarkStart w:id="96" w:name="__RefHeading___Toc897621_3650668749"/>
      <w:bookmarkStart w:id="97" w:name="_Toc38"/>
      <w:bookmarkEnd w:id="96"/>
      <w:r>
        <w:rPr>
          <w:rtl w:val="true"/>
        </w:rPr>
        <w:t>مناقشة ابن تيمية</w:t>
      </w:r>
      <w:bookmarkEnd w:id="97"/>
    </w:p>
    <w:p>
      <w:pPr>
        <w:pStyle w:val="Heading6"/>
        <w:numPr>
          <w:ilvl w:val="5"/>
          <w:numId w:val="1"/>
        </w:numPr>
        <w:rPr/>
      </w:pPr>
      <w:bookmarkStart w:id="98" w:name="__RefHeading___Toc897623_3650668749"/>
      <w:bookmarkStart w:id="99" w:name="_Toc39"/>
      <w:bookmarkEnd w:id="98"/>
      <w:r>
        <w:rPr>
          <w:rtl w:val="true"/>
        </w:rPr>
        <w:t>اشاره</w:t>
      </w:r>
      <w:bookmarkEnd w:id="9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سيتّضح لنا بطلان كلام ابن تيميّة وافتقاره إلى الدليل، حين تتبيّن مسألتين، هما</w:t>
      </w:r>
      <w:r>
        <w:rPr>
          <w:rFonts w:eastAsia="Amiri" w:cs="Amiri" w:ascii="Amiri" w:hAnsi="Amiri"/>
          <w:color w:val="111111"/>
          <w:sz w:val="28"/>
          <w:szCs w:val="28"/>
          <w:rtl w:val="true"/>
          <w:lang w:bidi="ar-SA"/>
        </w:rPr>
        <w:t xml:space="preserve">: </w:t>
      </w:r>
      <w:bookmarkStart w:id="100" w:name="pg1606_13642"/>
    </w:p>
    <w:p>
      <w:pPr>
        <w:pStyle w:val="BookText"/>
        <w:rPr/>
      </w:pPr>
      <w:bookmarkEnd w:id="100"/>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واستشهاد ابن تيميّة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استحباب زيارة قبور الأنبياء، وبالخصوص قبر نبيّنا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وسائر الأولياء، والسفر بقصد ذلك</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897625_3650668749"/>
      <w:bookmarkStart w:id="102" w:name="_Toc40"/>
      <w:bookmarkEnd w:id="101"/>
      <w:r>
        <w:rPr>
          <w:rtl w:val="true"/>
        </w:rPr>
        <w:t>المسألة الأولى</w:t>
      </w:r>
      <w:r>
        <w:rPr>
          <w:rtl w:val="true"/>
        </w:rPr>
        <w:t xml:space="preserve">: </w:t>
      </w:r>
      <w:r>
        <w:rPr>
          <w:rtl w:val="true"/>
        </w:rPr>
        <w:t xml:space="preserve">حديث </w:t>
      </w:r>
      <w:r>
        <w:rPr>
          <w:rtl w:val="true"/>
        </w:rPr>
        <w:t>«</w:t>
      </w:r>
      <w:r>
        <w:rPr>
          <w:rtl w:val="true"/>
        </w:rPr>
        <w:t>لا تشدّ الرحال</w:t>
      </w:r>
      <w:r>
        <w:rPr>
          <w:rtl w:val="true"/>
        </w:rPr>
        <w:t>»</w:t>
      </w:r>
      <w:bookmarkEnd w:id="102"/>
    </w:p>
    <w:p>
      <w:pPr>
        <w:pStyle w:val="Heading6"/>
        <w:numPr>
          <w:ilvl w:val="5"/>
          <w:numId w:val="1"/>
        </w:numPr>
        <w:rPr/>
      </w:pPr>
      <w:bookmarkStart w:id="103" w:name="__RefHeading___Toc897627_3650668749"/>
      <w:bookmarkStart w:id="104" w:name="_Toc41"/>
      <w:bookmarkEnd w:id="103"/>
      <w:r>
        <w:rPr>
          <w:rtl w:val="true"/>
        </w:rPr>
        <w:t>اشاره</w:t>
      </w:r>
      <w:bookmarkEnd w:id="104"/>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هذا الحديث في صحيح البخاري وصحيح مسلم بسندين، عن أبي سعيد الخدري، وعن أبي هريرة، وكما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عن الزهري عن سعيد عن أبي هريرة رضي الله عنه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 الرسول صلّى الله عليه وسلّم، ومسجد الأقصى</w:t>
      </w:r>
      <w:r>
        <w:rPr>
          <w:rStyle w:val="FootnoteAnchor"/>
          <w:rtl w:val="true"/>
        </w:rPr>
        <w:footnoteReference w:id="80"/>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عن عبد الملك سمعت قزعة مولى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أباسعيد الخدري رضي الله عنه يحدّث بأربع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فأعجبنني وآنقنني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الحرام، ومسجد الأقصى، ومسجدي</w:t>
      </w:r>
      <w:r>
        <w:rPr>
          <w:rStyle w:val="FootnoteAnchor"/>
          <w:rtl w:val="true"/>
        </w:rPr>
        <w:footnoteReference w:id="8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هذا الحديث في الكتب الحديثية السنّية الأخرى بأسانيد أخرى </w:t>
      </w:r>
      <w:r>
        <w:rPr>
          <w:rStyle w:val="FootnoteAnchor"/>
          <w:rtl w:val="true"/>
        </w:rPr>
        <w:footnoteReference w:id="82"/>
      </w:r>
      <w:r>
        <w:rPr>
          <w:rFonts w:ascii="Amiri" w:hAnsi="Amiri" w:eastAsia="Amiri" w:cs="Amiri"/>
          <w:color w:val="111111"/>
          <w:sz w:val="28"/>
          <w:sz w:val="28"/>
          <w:szCs w:val="28"/>
          <w:rtl w:val="true"/>
          <w:lang w:bidi="ar-SA"/>
        </w:rPr>
        <w:t xml:space="preserve">، وقد استدلّ ابن تيميّة بهذا الحديث ببيان أنّ الحديث نهى عن أيّ شَدٍّ للرحال إلّا لهذه المساجد الثلاثة، وعليه لو شُدّ الرحال لقصد </w:t>
      </w:r>
      <w:bookmarkStart w:id="105" w:name="pg1606_13644"/>
    </w:p>
    <w:p>
      <w:pPr>
        <w:pStyle w:val="BookText"/>
        <w:rPr/>
      </w:pPr>
      <w:bookmarkEnd w:id="105"/>
      <w:r>
        <w:rPr>
          <w:rFonts w:ascii="Amiri" w:hAnsi="Amiri" w:eastAsia="Amiri" w:cs="Amiri"/>
          <w:color w:val="111111"/>
          <w:sz w:val="28"/>
          <w:sz w:val="28"/>
          <w:szCs w:val="28"/>
          <w:rtl w:val="true"/>
          <w:lang w:bidi="ar-SA"/>
        </w:rPr>
        <w:t xml:space="preserve">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مخالفاً لنهي النبيّ الأكرم، ويعدّ سفر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نصّ عبارته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 الفتاوى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كان مقصوده بالحجّ من زيارة قبره أكثر من مقصوده بالحجّ، وربّما سوّى بين القصدين، وكلّ هذا ضلال عن الدين باتّفاق المسلمين، بل نفس السفر لزيارة قبر من القبور، قبر نبيٍّ أو غيره، منهي عنه عند جمهور العلماء، حتّى أنّهم لا يجوّزون قصر الصلاة فيه بناءً على أنّه سفر معصية؛ لقوله الثابت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والمسجد الأقصى، ومسجدي هذا</w:t>
      </w:r>
      <w:r>
        <w:rPr>
          <w:rFonts w:eastAsia="Amiri" w:cs="Amiri" w:ascii="Amiri" w:hAnsi="Amiri"/>
          <w:color w:val="111111"/>
          <w:sz w:val="28"/>
          <w:szCs w:val="28"/>
          <w:rtl w:val="true"/>
          <w:lang w:bidi="ar-SA"/>
        </w:rPr>
        <w:t>»</w:t>
      </w:r>
      <w:r>
        <w:rPr>
          <w:rStyle w:val="FootnoteAnchor"/>
          <w:rtl w:val="true"/>
        </w:rPr>
        <w:footnoteReference w:id="83"/>
      </w:r>
    </w:p>
    <w:p>
      <w:pPr>
        <w:pStyle w:val="Heading6"/>
        <w:numPr>
          <w:ilvl w:val="5"/>
          <w:numId w:val="1"/>
        </w:numPr>
        <w:rPr/>
      </w:pPr>
      <w:bookmarkStart w:id="106" w:name="__RefHeading___Toc897629_3650668749"/>
      <w:bookmarkStart w:id="107" w:name="_Toc42"/>
      <w:bookmarkEnd w:id="106"/>
      <w:r>
        <w:rPr>
          <w:rtl w:val="true"/>
        </w:rPr>
        <w:t xml:space="preserve">مناقشة الاستدلال بحديث </w:t>
      </w:r>
      <w:r>
        <w:rPr>
          <w:rtl w:val="true"/>
        </w:rPr>
        <w:t>(</w:t>
      </w:r>
      <w:r>
        <w:rPr>
          <w:rtl w:val="true"/>
        </w:rPr>
        <w:t>لا تُشدّ الرحال</w:t>
      </w:r>
      <w:r>
        <w:rPr>
          <w:rtl w:val="true"/>
        </w:rPr>
        <w:t>)</w:t>
      </w:r>
      <w:bookmarkEnd w:id="107"/>
    </w:p>
    <w:p>
      <w:pPr>
        <w:pStyle w:val="BookText"/>
        <w:rPr/>
      </w:pPr>
      <w:r>
        <w:rPr>
          <w:rFonts w:ascii="Amiri" w:hAnsi="Amiri" w:eastAsia="Amiri" w:cs="Amiri"/>
          <w:color w:val="111111"/>
          <w:sz w:val="28"/>
          <w:sz w:val="28"/>
          <w:szCs w:val="28"/>
          <w:rtl w:val="true"/>
          <w:lang w:bidi="ar-SA"/>
        </w:rPr>
        <w:t xml:space="preserve">نعتقد أنّ هذا الحديث لا علاقة له بمسألة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قبور الأولياء، وذلك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الاستثناء في هذا الحديث من نوع الاستثناء المفرّغ، ويحتمل فيه ثلاث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المستثنى منه كلمة تدلّ على العموم أو الشيئية،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وحينئذٍ يكون معنى الحديث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السفر وشدّ الرحال لأيّ شيءٍ إلّا المساجد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الحديث على هذا الاحتمال دالّاً على حرمة السفر لزيارة قبور الأنبياء والأئمّة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من المقطوع به أنّ هذا الاحتمال مردود، ولم يحتمله أحد من علماء الإسلام؛ لأنّ الحديث يكون دالّاً حينئذٍ على حرمة إنشاء أيّ سفر </w:t>
      </w:r>
    </w:p>
    <w:p>
      <w:pPr>
        <w:pStyle w:val="BookText"/>
        <w:rPr/>
      </w:pPr>
      <w:r>
        <w:rPr>
          <w:rFonts w:ascii="Amiri" w:hAnsi="Amiri" w:eastAsia="Amiri" w:cs="Amiri"/>
          <w:color w:val="111111"/>
          <w:sz w:val="28"/>
          <w:sz w:val="28"/>
          <w:szCs w:val="28"/>
          <w:rtl w:val="true"/>
          <w:lang w:bidi="ar-SA"/>
        </w:rPr>
        <w:t>عدا السفر لزيارة هذه المساجد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السفر للتجارة أو طلب العلم أو صلة الرحم داخلاً في هذا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نجعل كلّ هذه الموارد من المخصّصات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المعلوم أنّ السفر لطلب العلم قد يكون واجباً وقد يكون مستحبّاً، وكذلك صلة الرحم وغيرها، فيلزم حينئذٍ تخصيص الأكثر، وهو من المرجوح وغير 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أنّ هذا الاحتمال لاوجه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الثاني أن يكون التقدير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معنى الحديث كأنّ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تشدّوا الرحال إلى مكان إلّا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ويكون الحديث حينئذٍ دالّاً على حرمة السفر إلى أيّ مكان غير المساجد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الاحتمال الذي بنى عليه ابن تيميّة،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قوله لا تشدّ الرحال إلّا إلى ثلاثة مساجد يتناول المنع من السفر إلى كلّ بقعة مقصودة بخلاف السفر للتجارة وطلب العلم ونحو ذلك</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وهذا الاحتمال باطلٌ أيضاً؛ لأنّه وإن قيل بوجوب كون المقدّر في الاستثناء المفرغ أعم المفاهيم قياساً بالمستثنى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أن يكون المقدّر متّحداً معه بالنوع والصنف أيضاً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قبول 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فأيضاً يكون الحديث دالّاً على خصوص السفر بقصد زيارة الأمكنة والبقاع من غير المساجد الثلاثة المستثناة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يذهب لزيارة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والأولياء الصالحين والتسليم عليهم، لا بنيّة زيارة أماكن قبورهم وأضرحتهم، فلا يشمله الحديث حينئذٍ؛ وذلك لأنّه ممّا لا شك فيه أنّ المسلمين يأتون من بقاع </w:t>
      </w:r>
    </w:p>
    <w:p>
      <w:pPr>
        <w:pStyle w:val="BookText"/>
        <w:rPr/>
      </w:pPr>
      <w:r>
        <w:rPr>
          <w:rFonts w:ascii="Amiri" w:hAnsi="Amiri" w:eastAsia="Amiri" w:cs="Amiri"/>
          <w:color w:val="111111"/>
          <w:sz w:val="28"/>
          <w:sz w:val="28"/>
          <w:szCs w:val="28"/>
          <w:rtl w:val="true"/>
          <w:lang w:bidi="ar-SA"/>
        </w:rPr>
        <w:t xml:space="preserve">العالم البعيدة وهم معتقدون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والأئمّة أحياءٌ، وإنّما يأتون موالاةً لهم وتجديداً للعهد معهم والتسليم عليهم، ولم يأتوا لزيارة التراب والمكان المحدود الذي دفنت به الأجساد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الثالث المتصوّر في تقدير المستثنى منه هو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تقدير الحديث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مسجدٍ إلّا المساجد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الاحتمال لا يكون للحديث أيّ دلالة على منع زيارة قبور الأنبياء أو الأولياء أو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هو أقرب الاحتمالات للصحة؛ لأنّه يخلو من المحاذير التي واجهت الاحتمالات السابقة، ولوجود قرينتين يؤيّدان هذا الاحتمال،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في هذا الحديث كان في سياق بيان فضيلة هذه المساجد الثلاثة قياساً بالمساجد الأخرى، فهو كأنّه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لهذه المساجد الثلاثة من الفضيلة والأجر ما يميّزها عن بقية المساجد ممّا لاينبغي تفويته من قبل مسلم، وأنّ المسلم لحريٌ به لأجل ذلك أن لا يشدّ رحاله ويسافر لغيرها، كما يفعل ليدرك فضيلة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بقية المساجد لمّا لم يكن لها من الفضل مثل هذه المساجد فلا ينبغي شدّ الرحال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أنّ الحديث قد جاء في جميع كتب أهل السنّة، عدا مورد واحد، بصيغة النفي، وهذا يدلّ على نفي الفضيلة في شدّ الرحال لسائر المساجد، ناهيك عن بعض العبائر التي جاءت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وسنفصّل الكلام حول ذلك في القادم من البحث</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المستثنى في هذه الرواية هو مساجد ثلاثة، فيكون </w:t>
      </w:r>
    </w:p>
    <w:p>
      <w:pPr>
        <w:pStyle w:val="BookText"/>
        <w:rPr/>
      </w:pPr>
      <w:r>
        <w:rPr>
          <w:rFonts w:ascii="Amiri" w:hAnsi="Amiri" w:eastAsia="Amiri" w:cs="Amiri"/>
          <w:color w:val="111111"/>
          <w:sz w:val="28"/>
          <w:sz w:val="28"/>
          <w:szCs w:val="28"/>
          <w:rtl w:val="true"/>
          <w:lang w:bidi="ar-SA"/>
        </w:rPr>
        <w:t xml:space="preserve">تقدير المستثنى منه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أوفق بالسياق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حجر العسقلاني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أنّ المراد حكم المساجد فقط وأنّه لا تُشد الرحال إلى مسجد من المساجد للصلاة فيه غير هذه الثلاثة؛ وأمّا قصد غير المساجد لزيارة صالح أو قريب أو صاحب أو طلب علم أو تجارة أو نزهة فلا يدخل في النهي، ويؤيّده ما روى أحمد من طريق شهر ابن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وذكرت عنده الصلاة في الطور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للمصلّي أن يشدّ رحاله إلى مسجد تبتغي فيه الصلاة غير المسجد الحرام والمسجد الأقصى ومسجدي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الحديث وإن كان فيه بعض الضعف</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ويقول في تكملة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المستثنى منه محذوف، فإمّا أن يقدّر عامّاً فيصير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مكان في أيّ أمر كان إلّا إلى الثلاثة، أو أخصّ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الأوّل لإفضائه إلى سدّ باب السفر للتجارة وصلة الرحم وطلب العلم وغيرها،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يقدّر ما هو أكثر مناسبة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إلى مسجدٍ للصلاة فيه إلّا إلى الثلاثة، فيبطل بذلك قول من منع شدّ الرحال إلى زيارة القبر الشريف وغيره من قبور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صحيح البخاري </w:t>
      </w:r>
    </w:p>
    <w:p>
      <w:pPr>
        <w:pStyle w:val="BookText"/>
        <w:rPr/>
      </w:pPr>
      <w:r>
        <w:rPr>
          <w:rFonts w:ascii="Amiri" w:hAnsi="Amiri" w:eastAsia="Amiri" w:cs="Amiri"/>
          <w:color w:val="111111"/>
          <w:sz w:val="28"/>
          <w:sz w:val="28"/>
          <w:szCs w:val="28"/>
          <w:rtl w:val="true"/>
          <w:lang w:bidi="ar-SA"/>
        </w:rPr>
        <w:t xml:space="preserve">عن أبي هريرة وأبي سعيد الخدري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أمّا في صحيح مسلم روي عن أبي سعيد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أبي هريرة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تشدّ</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ويحتمل كبيراً أنّ رواية النهي في صحيح مسلم عن أبي سعيد من غلط النسّاخ؛ ويؤيّد هذا الاحتمال أنّ الحديث روي عن أبي سعيد في كلّ كتب الحديث والفقه والتفسير عند أهل السنّة بصيغة النفي</w:t>
      </w:r>
      <w:r>
        <w:rPr>
          <w:rStyle w:val="FootnoteAnchor"/>
          <w:rtl w:val="true"/>
        </w:rPr>
        <w:footnoteReference w:id="89"/>
      </w:r>
      <w:r>
        <w:rPr>
          <w:rFonts w:ascii="Amiri" w:hAnsi="Amiri" w:eastAsia="Amiri" w:cs="Amiri"/>
          <w:color w:val="111111"/>
          <w:sz w:val="28"/>
          <w:sz w:val="28"/>
          <w:szCs w:val="28"/>
          <w:rtl w:val="true"/>
          <w:lang w:bidi="ar-SA"/>
        </w:rPr>
        <w:t xml:space="preserve">ووحده ابن أبي‌شيبة روى هذا الحديث بأكثر من طريق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 عاد في مكان آخر وذكر هذا الحديث بأسانيده التي ذكرناها بصيغة النفي</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كذلك النووي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رواية أبي سعيد نقلاً عن صحيح مسلم بصيغة النهي، ولكنّه ذكرها ثانية في نفس الكتاب بصيغة النفي أيضاً</w:t>
      </w:r>
      <w:r>
        <w:rPr>
          <w:rStyle w:val="FootnoteAnchor"/>
          <w:rtl w:val="true"/>
        </w:rPr>
        <w:footnoteReference w:id="9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 صيغة النفي وحدها لا تدلّ على التحريم، وهي بحاجة إلى قرينة لتدلّ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توجد قرينة على أنّ المراد من صيغة النفي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التحريم، بل وجود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شهر بن حوشب قرينة على خلاف ذلك وأنّ الرواية </w:t>
      </w:r>
    </w:p>
    <w:p>
      <w:pPr>
        <w:pStyle w:val="BookText"/>
        <w:rPr/>
      </w:pPr>
      <w:r>
        <w:rPr>
          <w:rFonts w:ascii="Amiri" w:hAnsi="Amiri" w:eastAsia="Amiri" w:cs="Amiri"/>
          <w:color w:val="111111"/>
          <w:sz w:val="28"/>
          <w:sz w:val="28"/>
          <w:szCs w:val="28"/>
          <w:rtl w:val="true"/>
          <w:lang w:bidi="ar-SA"/>
        </w:rPr>
        <w:t>في مقام الحثّ على السفر لهذه المساجد ونفي الفضيلة عن غيرها، ولا دلالة فيها على نفي زيارة القبور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ملا علي القاري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يسافر أحدٌ للتبرّك إلى المشاهد</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وأيضاً يقول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سافر لزيارة القبور والمشاهد، فقال ابن‌عقيل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يباح له الترخّص؛ لأنّه منهيّ عن السفر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إباحته وجواز القصر فيه؛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قباء راكباً وماشياً، وكان يزور القبور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زوروها تذكّركم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نفي التفضيل لا على التحريم</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للبهوتي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سفر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كالسفر لفعل مكروه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للنهي عنه، ويترخّص إن قصد مشهداً أو قصد مسجداً ولو غير المساجد الثلاثة أو قصد قبر نبيّ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كوليّ،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 إلى ثلاثة مساجد،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يطلب ذلك، فليس نهياً عن شدّها لغيرها، خلافاً لبعضهم؛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قباء راكباً وماشياً، ويزور القبور،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زوروها؛ فإنّها تذكّركم الآخرة</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حكم السفر بقصد زيارة قبور الأنبياء والأئمّة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عند أصحابنا وهو الذي اختاره إمام الحرمين والمحقّقون أنّه لا يحرم ولا يكره،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الفضيلة التامّة إنّما هي في شدّ الرحال إلى هذه الثلاثة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وكلام النووي يدلّ بشكلٍ صريح على أنّ رأي المحقّقين من أهل السنّة ليس هو إلّا تحقّق الفضيلة التامّة في السفر إلى المساجد الثلاثة، أمّا السفر لغيرها من قبور الأنبياء والأولياء ففيها الفضيلة وإن لم‌تكن تامّة الفضيلة كتلك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روايتان تؤيّدان كلام النووي، الأولى رويت عن جابر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ما رُكبت إليه الرواحل مسجدي هذا، والبيت العتيق</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وسند هذه الرواية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عن أبي الزبير عن جابر بن عبدالله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 أفراد السند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الهيثمي في مجمع الزوائد عن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رجاله رجال صحيح</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عدّ الألباني هذا الحديث من الأحاديث الصحيحة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السلسلة الصحيحة</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الترغيب والترهيب</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وذكره أيضاً ابن حبّان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هذه الروايات تؤكّد حقيقة واحدة،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المسجد الحرام </w:t>
      </w:r>
    </w:p>
    <w:p>
      <w:pPr>
        <w:pStyle w:val="BookText"/>
        <w:rPr/>
      </w:pPr>
      <w:r>
        <w:rPr>
          <w:rFonts w:ascii="Amiri" w:hAnsi="Amiri" w:eastAsia="Amiri" w:cs="Amiri"/>
          <w:color w:val="111111"/>
          <w:sz w:val="28"/>
          <w:sz w:val="28"/>
          <w:szCs w:val="28"/>
          <w:rtl w:val="true"/>
          <w:lang w:bidi="ar-SA"/>
        </w:rPr>
        <w:t>ومسجد النبيّ أفضل الأماكن التي يجب قصدها، وليس نهياً عن قصد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فالسفر إذن لزيارة المشاهد والأضرحة ولئن لم تكن هي الأفضل درجة، لكنّها ممّا يشتمل على الفضل ويرغب في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الرواية الثانية، فهي ما يروى عن عائشة عن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الأنبياء ومسجدي خاتم مساجد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المساجد أن يزار وتشدّ إليه الرواحل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ومسجدي؛ صلاة في مسجدي أفضل من ألف صلاة فيما سواه من المساجد إلّا المسجد الحرام</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فهذه الرواية أيضاً تؤكّد على أفضلية المسجد الحرام ومسجد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بقية البقاع والمساجد في الأرض، وتحثّ على السفر إليهما لِما في ذلك من تمام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لا تنفي الفضيلة في زيارة بقع أخرى مباركة من الأرض، كقبر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أشرف بقاع الأرض تربة، وقبور الأولياء والأئمّة المعصومين، بل إنّما تؤكّد على أفضلية هذين المسجدين دون نفي شيءٍ عمّا عداهنَّ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نرى أمثال ابن تيميّة، ولأجل إثبات دعواه ورأيه، يغض الطرف عن هذه الروايات ويتّبع طريق المكر والتدليس لإيهام المتعلّمين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نظرية حرمة السفر بقصد زيارة القبور إلى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۶٧۶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تحتل آراؤه موضع اهتمام في الوسط السنّي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والصحيح عند أصحابنا وهو الذي اختاره إمام الحرمين والمحققون أنّه لا يحرم ولا يكره،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 الفضيلة </w:t>
      </w:r>
      <w:bookmarkStart w:id="108" w:name="pg1606_13661"/>
    </w:p>
    <w:p>
      <w:pPr>
        <w:pStyle w:val="BookText"/>
        <w:rPr/>
      </w:pPr>
      <w:bookmarkEnd w:id="108"/>
      <w:r>
        <w:rPr>
          <w:rFonts w:ascii="Amiri" w:hAnsi="Amiri" w:eastAsia="Amiri" w:cs="Amiri"/>
          <w:color w:val="111111"/>
          <w:sz w:val="28"/>
          <w:sz w:val="28"/>
          <w:szCs w:val="28"/>
          <w:rtl w:val="true"/>
          <w:lang w:bidi="ar-SA"/>
        </w:rPr>
        <w:t>التامّة إنّما هي في شدّ الرحال إلى هذه الثلاثة خاصّة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٧٢٨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وصف من قبل كثير من علماء السنّة بأنّه مبتدعٌ فاسق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هذا ضلال عن الدين باتّفاق المسلمين، بل نفس السفر لزيارة قبر من القبور، قبر نبي أو غيره، منهي عنه عند جمهور العلماء، حتّى أنّهم لا يجوّزون قصر الصلاة فيه بناء على أنّه سفر معصية</w:t>
      </w:r>
      <w:r>
        <w:rPr>
          <w:rFonts w:eastAsia="Amiri" w:cs="Amiri" w:ascii="Amiri" w:hAnsi="Amiri"/>
          <w:color w:val="111111"/>
          <w:sz w:val="28"/>
          <w:szCs w:val="28"/>
          <w:rtl w:val="true"/>
          <w:lang w:bidi="ar-SA"/>
        </w:rPr>
        <w:t>» ! !</w:t>
      </w:r>
    </w:p>
    <w:p>
      <w:pPr>
        <w:pStyle w:val="Heading6"/>
        <w:numPr>
          <w:ilvl w:val="5"/>
          <w:numId w:val="1"/>
        </w:numPr>
        <w:rPr/>
      </w:pPr>
      <w:bookmarkStart w:id="109" w:name="__RefHeading___Toc897631_3650668749"/>
      <w:bookmarkStart w:id="110" w:name="_Toc43"/>
      <w:bookmarkEnd w:id="109"/>
      <w:r>
        <w:rPr>
          <w:rtl w:val="true"/>
        </w:rPr>
        <w:t>المسألة الثانية</w:t>
      </w:r>
      <w:r>
        <w:rPr>
          <w:rtl w:val="true"/>
        </w:rPr>
        <w:t xml:space="preserve">: </w:t>
      </w:r>
      <w:r>
        <w:rPr>
          <w:rtl w:val="true"/>
        </w:rPr>
        <w:t>استحباب السفر لغرض زيارة قبور الأنبياء والأولياء</w:t>
      </w:r>
      <w:bookmarkEnd w:id="110"/>
    </w:p>
    <w:p>
      <w:pPr>
        <w:pStyle w:val="Heading6"/>
        <w:numPr>
          <w:ilvl w:val="5"/>
          <w:numId w:val="1"/>
        </w:numPr>
        <w:rPr/>
      </w:pPr>
      <w:bookmarkStart w:id="111" w:name="__RefHeading___Toc897633_3650668749"/>
      <w:bookmarkStart w:id="112" w:name="_Toc44"/>
      <w:bookmarkEnd w:id="111"/>
      <w:r>
        <w:rPr/>
        <w:t>١</w:t>
      </w:r>
      <w:r>
        <w:rPr>
          <w:rtl w:val="true"/>
        </w:rPr>
        <w:t xml:space="preserve">- </w:t>
      </w:r>
      <w:r>
        <w:rPr>
          <w:rtl w:val="true"/>
        </w:rPr>
        <w:t xml:space="preserve">استحباب السفر لزيارة قبر النبى الكريم </w:t>
      </w:r>
      <w:r>
        <w:rPr>
          <w:rtl w:val="true"/>
        </w:rPr>
        <w:t>(</w:t>
      </w:r>
      <w:r>
        <w:rPr>
          <w:rtl w:val="true"/>
        </w:rPr>
        <w:t>ص</w:t>
      </w:r>
      <w:r>
        <w:rPr>
          <w:rtl w:val="true"/>
        </w:rPr>
        <w:t>)</w:t>
      </w:r>
      <w:bookmarkEnd w:id="112"/>
    </w:p>
    <w:p>
      <w:pPr>
        <w:pStyle w:val="Heading6"/>
        <w:numPr>
          <w:ilvl w:val="5"/>
          <w:numId w:val="1"/>
        </w:numPr>
        <w:rPr/>
      </w:pPr>
      <w:bookmarkStart w:id="113" w:name="__RefHeading___Toc897635_3650668749"/>
      <w:bookmarkStart w:id="114" w:name="_Toc45"/>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 xml:space="preserve">توجد عدّة أدلّة على استحباب السفر بقصد زيارة قبر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897637_3650668749"/>
      <w:bookmarkStart w:id="116" w:name="_Toc46"/>
      <w:bookmarkEnd w:id="115"/>
      <w:r>
        <w:rPr>
          <w:rtl w:val="true"/>
        </w:rPr>
        <w:t>الدليل الأوّل</w:t>
      </w:r>
      <w:r>
        <w:rPr>
          <w:rtl w:val="true"/>
        </w:rPr>
        <w:t xml:space="preserve">: </w:t>
      </w:r>
      <w:r>
        <w:rPr>
          <w:rtl w:val="true"/>
        </w:rPr>
        <w:t>القرآن الكريم</w:t>
      </w:r>
      <w:bookmarkEnd w:id="116"/>
    </w:p>
    <w:p>
      <w:pPr>
        <w:pStyle w:val="BookText"/>
        <w:rPr/>
      </w:pPr>
      <w:r>
        <w:rPr>
          <w:rFonts w:ascii="Amiri" w:hAnsi="Amiri" w:eastAsia="Amiri" w:cs="Amiri"/>
          <w:color w:val="111111"/>
          <w:sz w:val="28"/>
          <w:sz w:val="28"/>
          <w:szCs w:val="28"/>
          <w:rtl w:val="true"/>
          <w:lang w:bidi="ar-SA"/>
        </w:rPr>
        <w:t>يقول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تدلّ هذه الآية على دعوة الناس للمجيء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والاستغفار عنده واستغفار النبيّ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يختلف الحال بين كون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بشخصه المادي بينهم أو بعد وفاته، خصوصاً حين نأخذ بنظر الاعتبار الأحاديث الدالّة على أنّ الأنبياء صلوات الله عليهم أحياءٌ في قبورهم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 أحياء في قبورهم</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 جملة إِذْ ظَلَمُوا فعلٌ وقع في سياق الشرط، </w:t>
      </w:r>
      <w:bookmarkStart w:id="117" w:name="pg1606_13664"/>
    </w:p>
    <w:p>
      <w:pPr>
        <w:pStyle w:val="BookText"/>
        <w:rPr/>
      </w:pPr>
      <w:bookmarkEnd w:id="117"/>
      <w:r>
        <w:rPr>
          <w:rFonts w:ascii="Amiri" w:hAnsi="Amiri" w:eastAsia="Amiri" w:cs="Amiri"/>
          <w:color w:val="111111"/>
          <w:sz w:val="28"/>
          <w:sz w:val="28"/>
          <w:szCs w:val="28"/>
          <w:rtl w:val="true"/>
          <w:lang w:bidi="ar-SA"/>
        </w:rPr>
        <w:t>فيكون بحسب أقوال علماء أصول الفقه من صيغ العموم</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الآية عامّة وشاملة لحال النبيّ على قيد الحياة أو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فهم المفسّرون ذلك من الآية، وكثير منهم نقل في ذيل تفسيره هذه الآية الحكاية المشهورة عن العتبى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 وقد جئتك مستغفراً لذنبي مستشفعاً بك إلى ربّي</w:t>
      </w:r>
      <w:r>
        <w:rPr>
          <w:rFonts w:eastAsia="Amiri" w:cs="Amiri" w:ascii="Amiri" w:hAnsi="Amiri"/>
          <w:color w:val="111111"/>
          <w:sz w:val="28"/>
          <w:szCs w:val="28"/>
          <w:rtl w:val="true"/>
          <w:lang w:bidi="ar-SA"/>
        </w:rPr>
        <w:t>. . .»</w:t>
      </w:r>
      <w:r>
        <w:rPr>
          <w:rStyle w:val="FootnoteAnchor"/>
          <w:rtl w:val="true"/>
        </w:rPr>
        <w:footnoteReference w:id="105"/>
      </w:r>
    </w:p>
    <w:p>
      <w:pPr>
        <w:pStyle w:val="Heading6"/>
        <w:numPr>
          <w:ilvl w:val="5"/>
          <w:numId w:val="1"/>
        </w:numPr>
        <w:rPr/>
      </w:pPr>
      <w:bookmarkStart w:id="118" w:name="__RefHeading___Toc897639_3650668749"/>
      <w:bookmarkStart w:id="119" w:name="_Toc47"/>
      <w:bookmarkEnd w:id="118"/>
      <w:r>
        <w:rPr>
          <w:rtl w:val="true"/>
        </w:rPr>
        <w:t>الدليل الثانى</w:t>
      </w:r>
      <w:r>
        <w:rPr>
          <w:rtl w:val="true"/>
        </w:rPr>
        <w:t xml:space="preserve">: </w:t>
      </w:r>
      <w:r>
        <w:rPr>
          <w:rtl w:val="true"/>
        </w:rPr>
        <w:t>الروايات</w:t>
      </w:r>
      <w:bookmarkEnd w:id="119"/>
    </w:p>
    <w:p>
      <w:pPr>
        <w:pStyle w:val="BookText"/>
        <w:rPr/>
      </w:pPr>
      <w:r>
        <w:rPr>
          <w:rFonts w:ascii="Amiri" w:hAnsi="Amiri" w:eastAsia="Amiri" w:cs="Amiri"/>
          <w:color w:val="111111"/>
          <w:sz w:val="28"/>
          <w:sz w:val="28"/>
          <w:szCs w:val="28"/>
          <w:rtl w:val="true"/>
          <w:lang w:bidi="ar-SA"/>
        </w:rPr>
        <w:t xml:space="preserve">فقد نقلت لنا روايات كثيرة حول زيارة قبر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نذكر هنا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زارني في مماتي كان كمن زارني في حياتي، ومن زارني حتّى ينتهي إلى قبري كنت له شهيداً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حجّ فزار قبري بعد موتي، كان كمن زارني في حياتي</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أنس بن مالك،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زارني بالمدينة محتسباً، كنت له شفيعاً وشهيداً يوم القيامة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بعد موتي فكأنّما زارني في حياتي، ومن مات بإحدى الحرمين، بعث من الآمنين يوم القيامة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كنت له شفيعاً أو شهيداً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زارني متعمّداً كان في جواري يوم القيامة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 ولم يزرني فقد جفاني</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وهذه الروايات يلاحظ فيها أمران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ممّا لا شكّ فيه دلالة هذه الروايات على استحباب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ذكرت فوائد معنوية تترتب على هذه الزيارة، ولم‌تخصّص الأمر بخصوص الساكنين في المدينة، بل شملت غيرهم، </w:t>
      </w:r>
    </w:p>
    <w:p>
      <w:pPr>
        <w:pStyle w:val="BookText"/>
        <w:rPr/>
      </w:pPr>
      <w:r>
        <w:rPr>
          <w:rFonts w:ascii="Amiri" w:hAnsi="Amiri" w:eastAsia="Amiri" w:cs="Amiri"/>
          <w:color w:val="111111"/>
          <w:sz w:val="28"/>
          <w:sz w:val="28"/>
          <w:szCs w:val="28"/>
          <w:rtl w:val="true"/>
          <w:lang w:bidi="ar-SA"/>
        </w:rPr>
        <w:t>وخصوصاً الروايات التي أشارت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هذه الروايات وإن كان يعاني من مشاكل سَنَدية، ولكن يجوز الاعتماد عليها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الأحاديث وإن لو نظر لكلّ منها بشكل منفرد لم تكن قابلة للاعتماد، ولكن النظر لها بشكل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أفضلية بعض أسانيدها 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بعضها يقوّي بعضاً فيصحّ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فبخصوص الحديث الأوّل، يقول العقيلي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يروى بغير هذا الإسناد من طريق أيضاً فيه لِين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وكذلك الذهبي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ويروى في هذا شيء أمثل من هذا</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ويقول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طرق هذا الحديث كلّها ضعيفة، لكن صحّحه من حديث ابن عمر أبوعلي بن السكن في إيراده إياه في أثناء السنن الصحاح له، وعبد الحق في الأحكام في سكوته عنه، والشيخ تقي الدين السبكي من المتأخّرين باعتبار مجموع الطرق</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ويقول عبد الحي اللكنوي، وهو من علماء القرن الثاني عشر،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موطّأ مالك</w:t>
      </w:r>
      <w:r>
        <w:rPr>
          <w:rFonts w:eastAsia="Amiri" w:cs="Amiri" w:ascii="Amiri" w:hAnsi="Amiri"/>
          <w:color w:val="111111"/>
          <w:sz w:val="28"/>
          <w:szCs w:val="28"/>
          <w:rtl w:val="true"/>
          <w:lang w:bidi="ar-SA"/>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 طرق هذه الأحاديث وإن كانت ضعيف، لكنّ بعضها سالم عن الضعف القادح، وبالمجموع يحصل القوّة كما حقّقه 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 الحبير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والتقي السبكي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الأسقام في زيارة 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أخطأ بعض معاصريه، وهو ابن تيميّة، حيث </w:t>
      </w:r>
    </w:p>
    <w:p>
      <w:pPr>
        <w:pStyle w:val="BookText"/>
        <w:rPr/>
      </w:pPr>
      <w:r>
        <w:rPr>
          <w:rFonts w:ascii="Amiri" w:hAnsi="Amiri" w:eastAsia="Amiri" w:cs="Amiri"/>
          <w:color w:val="111111"/>
          <w:sz w:val="28"/>
          <w:sz w:val="28"/>
          <w:szCs w:val="28"/>
          <w:rtl w:val="true"/>
          <w:lang w:bidi="ar-SA"/>
        </w:rPr>
        <w:t>ظنّ أنّ الأحاديث الواردة في هذا الباب كلّها ضعيفة، بل موضوعة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بهذه الأحاديث من قبل كثير من فقهاء أهل السنّة على استحباب السفر بقصد زيارة قبر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الرافعي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فتح‌العزيز</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أن يشرب من ماء زمزم، وأن يزور بعد الفراغ من الحجّ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في حياتي، ومن زار قبري فله الجنّة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ويقول 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زيارة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روى الدارقطني بإسناده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فزار قبري بعد وفاتي فكأنّما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كذلك البهوتي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فرغ من الحجّ استحب له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وقبري صاحبيه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أبي‌بكر وعمر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لحديث الدارقطني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فزار قبري بعد وفاتي فكأنّما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يكمل في تتمّة كلامه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استحباب زيارة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شدّ الرحال إليها؛ لأنّ زيارته للحاج بعد حجّه لا تمكن بدون شدّ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كالتصريح باستحباب شدّ الرحل </w:t>
      </w:r>
    </w:p>
    <w:p>
      <w:pPr>
        <w:pStyle w:val="BookText"/>
        <w:rPr/>
      </w:pPr>
      <w:r>
        <w:rPr>
          <w:rFonts w:ascii="Amiri" w:hAnsi="Amiri" w:eastAsia="Amiri" w:cs="Amiri"/>
          <w:color w:val="111111"/>
          <w:sz w:val="28"/>
          <w:sz w:val="28"/>
          <w:szCs w:val="28"/>
          <w:rtl w:val="true"/>
          <w:lang w:bidi="ar-SA"/>
        </w:rPr>
        <w:t xml:space="preserve">لزيارته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وفي مكان آخر اعتبر زيارة قبر النبيّ من المستحبّات للرجال والنساء، مستدلاً بعموم رواية ابن عمر</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ويقول ملا علي القاري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مراقي الفلاح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كانت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أفضل القرب وأحسن المستحبّات، بل تقرب من درجة ما لزم من الواجبات،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حرّض عليها وبالغ في الندب إليها،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سعة ولم يزرني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مماتي فكأنّما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ويقول محمّد بن الشربيني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خزيمة في صحيحه من حديث ابن عمر رضي الله تعالى عنهما، ومفهومه أنّها جائزة لغير زائره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وهكذا استدل بهذه الرواية آخرون كثيرون من فقهاء أهل السنّة، وهذا يدلّ على أنّ ضعفها السندي لا يقصر بها عن مقام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أن قبلنا أنّ سند هذه الأحاديث ضعيف، فإنّ قاعدة التسامح في أدلة السنن تدفع باتّجاه قبول هذه الروايات والاستدلال بها على استحباب السفر بقصد زيارة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فالنووي في مقام ذكره لبعض مستحبّات البيت الحرام استدلّ </w:t>
      </w:r>
      <w:bookmarkStart w:id="120" w:name="pg1606_13674"/>
    </w:p>
    <w:p>
      <w:pPr>
        <w:pStyle w:val="BookText"/>
        <w:rPr/>
      </w:pPr>
      <w:bookmarkEnd w:id="120"/>
      <w:r>
        <w:rPr>
          <w:rFonts w:ascii="Amiri" w:hAnsi="Amiri" w:eastAsia="Amiri" w:cs="Amiri"/>
          <w:color w:val="111111"/>
          <w:sz w:val="28"/>
          <w:sz w:val="28"/>
          <w:szCs w:val="28"/>
          <w:rtl w:val="true"/>
          <w:lang w:bidi="ar-SA"/>
        </w:rPr>
        <w:t>ببعض الروايات الضعيفة وعلّق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سبق مرّات أنّ العلماء متّفقون على التسامح في الأحاديث الضعيفة في فضائل الأعمال ونحوها ممّا ليس من الأحكام، والله أعلم</w:t>
      </w:r>
      <w:r>
        <w:rPr>
          <w:rFonts w:eastAsia="Amiri" w:cs="Amiri" w:ascii="Amiri" w:hAnsi="Amiri"/>
          <w:color w:val="111111"/>
          <w:sz w:val="28"/>
          <w:szCs w:val="28"/>
          <w:rtl w:val="true"/>
          <w:lang w:bidi="ar-SA"/>
        </w:rPr>
        <w:t>»</w:t>
      </w:r>
      <w:r>
        <w:rPr>
          <w:rStyle w:val="FootnoteAnchor"/>
          <w:rtl w:val="true"/>
        </w:rPr>
        <w:footnoteReference w:id="125"/>
      </w:r>
    </w:p>
    <w:p>
      <w:pPr>
        <w:pStyle w:val="Heading6"/>
        <w:numPr>
          <w:ilvl w:val="5"/>
          <w:numId w:val="1"/>
        </w:numPr>
        <w:rPr/>
      </w:pPr>
      <w:bookmarkStart w:id="121" w:name="__RefHeading___Toc897641_3650668749"/>
      <w:bookmarkStart w:id="122" w:name="_Toc48"/>
      <w:bookmarkEnd w:id="121"/>
      <w:r>
        <w:rPr>
          <w:rtl w:val="true"/>
        </w:rPr>
        <w:t>الدليل الثالث</w:t>
      </w:r>
      <w:r>
        <w:rPr>
          <w:rtl w:val="true"/>
        </w:rPr>
        <w:t xml:space="preserve">: </w:t>
      </w:r>
      <w:r>
        <w:rPr>
          <w:rtl w:val="true"/>
        </w:rPr>
        <w:t>عمل الصحابة والتابعين</w:t>
      </w:r>
      <w:bookmarkEnd w:id="122"/>
    </w:p>
    <w:p>
      <w:pPr>
        <w:pStyle w:val="BookText"/>
        <w:rPr/>
      </w:pPr>
      <w:r>
        <w:rPr>
          <w:rFonts w:ascii="Amiri" w:hAnsi="Amiri" w:eastAsia="Amiri" w:cs="Amiri"/>
          <w:color w:val="111111"/>
          <w:sz w:val="28"/>
          <w:sz w:val="28"/>
          <w:szCs w:val="28"/>
          <w:rtl w:val="true"/>
          <w:lang w:bidi="ar-SA"/>
        </w:rPr>
        <w:t xml:space="preserve">فإنّ من الأعمال التي قام بها الصحابة، كما ينقل لنا التاريخ، سفرهم بقصد زيارة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سافر بقصد زيارة قبر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سافر متّجهاً من الشام إلى المدينة لهذا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بلالاً رأى في منامه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هذه الجفوة يا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آن لك أن تزورني يا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فانتبه حزيناً وجلاً خائفاً، فركب راحلته وقصد المدينة فأتى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يبكي عنده ويمرّغ وجهه عليه، وأقبل الحسن والحسين فجعل يضمّهما ويقبّلهما،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نشتهي نسمع أذانك الذي كنت تؤذّنه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السَّحر، ففعل</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أمّا الشوكاني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 ينقل قصّة سفر بلال إلى زيارة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عساكر، يعلّق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رويت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الصحابة منهم بلال عند ابن عساكر بسندٍ جيّد</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ينقلها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الدمياطي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إعانةالطالبين</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 وابن 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والذهبي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w:t>
      </w:r>
      <w:bookmarkStart w:id="123" w:name="pg1606_13676"/>
    </w:p>
    <w:p>
      <w:pPr>
        <w:pStyle w:val="BookText"/>
        <w:rPr/>
      </w:pPr>
      <w:bookmarkEnd w:id="123"/>
      <w:r>
        <w:rPr>
          <w:rFonts w:ascii="IRNazanin" w:hAnsi="IRNazanin" w:eastAsia="IRNazanin"/>
          <w:color w:val="111111"/>
          <w:sz w:val="28"/>
          <w:sz w:val="28"/>
          <w:szCs w:val="28"/>
          <w:rtl w:val="true"/>
          <w:lang w:bidi="fa-IR"/>
        </w:rPr>
        <w:t>أعلام النبلاء</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ومن المعروف أيضاً عن عمر بن عبد العزيز أنّه كان دائماً يُرسل إلى المدينة رسولاً يُبلغ سلامه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وكذلك ممّا هو معروف أنّ عمر بن الخطاب قال لكعب الأحبار الذي أسلم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لك أن تسير معي إلى المدينة، وتزور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وتنتفع بزيارته؟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أفعل ذلك</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وسافر معه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نماذج ممّا سطّره وحفظه لنا التاريخ من أسفار الصحابة والتابعين بقصد زيارة قبر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Heading6"/>
        <w:numPr>
          <w:ilvl w:val="5"/>
          <w:numId w:val="1"/>
        </w:numPr>
        <w:rPr/>
      </w:pPr>
      <w:bookmarkStart w:id="124" w:name="__RefHeading___Toc897643_3650668749"/>
      <w:bookmarkStart w:id="125" w:name="_Toc49"/>
      <w:bookmarkEnd w:id="124"/>
      <w:r>
        <w:rPr/>
        <w:t>٢</w:t>
      </w:r>
      <w:r>
        <w:rPr>
          <w:rtl w:val="true"/>
        </w:rPr>
        <w:t xml:space="preserve">. </w:t>
      </w:r>
      <w:r>
        <w:rPr>
          <w:rtl w:val="true"/>
        </w:rPr>
        <w:t xml:space="preserve">استحباب السفر لزيارة قبور الأئمّة </w:t>
      </w:r>
      <w:r>
        <w:rPr>
          <w:rtl w:val="true"/>
        </w:rPr>
        <w:t>(</w:t>
      </w:r>
      <w:r>
        <w:rPr>
          <w:rtl w:val="true"/>
        </w:rPr>
        <w:t>عليهم السلام</w:t>
      </w:r>
      <w:r>
        <w:rPr>
          <w:rtl w:val="true"/>
        </w:rPr>
        <w:t xml:space="preserve">) </w:t>
      </w:r>
      <w:r>
        <w:rPr>
          <w:rtl w:val="true"/>
        </w:rPr>
        <w:t>والأولياء</w:t>
      </w:r>
      <w:bookmarkEnd w:id="125"/>
    </w:p>
    <w:p>
      <w:pPr>
        <w:pStyle w:val="Heading6"/>
        <w:numPr>
          <w:ilvl w:val="5"/>
          <w:numId w:val="1"/>
        </w:numPr>
        <w:rPr/>
      </w:pPr>
      <w:bookmarkStart w:id="126" w:name="__RefHeading___Toc897645_3650668749"/>
      <w:bookmarkStart w:id="127" w:name="_Toc50"/>
      <w:bookmarkEnd w:id="126"/>
      <w:r>
        <w:rPr>
          <w:rtl w:val="true"/>
        </w:rPr>
        <w:t>اشاره</w:t>
      </w:r>
      <w:bookmarkEnd w:id="127"/>
    </w:p>
    <w:p>
      <w:pPr>
        <w:pStyle w:val="BookText"/>
        <w:rPr/>
      </w:pPr>
      <w:r>
        <w:rPr>
          <w:rFonts w:ascii="Amiri" w:hAnsi="Amiri" w:eastAsia="Amiri" w:cs="Amiri"/>
          <w:color w:val="111111"/>
          <w:sz w:val="28"/>
          <w:sz w:val="28"/>
          <w:szCs w:val="28"/>
          <w:rtl w:val="true"/>
          <w:lang w:bidi="ar-SA"/>
        </w:rPr>
        <w:t xml:space="preserve">مع غضّ النظر عن الروايات الكثيرة المعتبرة التي وردت عن طريق الشيعة في خصوص زيارة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ما في هذه الزيارة من بركة وألطاف لمسها كثير من المسلمين، شيعة وسنة، ممّن تشرّفوا بزيارة هذه المراقد، وعلى الرغم من عدم ورود روايات خاصّة بزيارة قبور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الحديث السنّية، لكن ومع ذلك، يمكن أن نذكر عدّة أدلّة أخرى على استحباب السفر لزيارة قبور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Heading6"/>
        <w:numPr>
          <w:ilvl w:val="5"/>
          <w:numId w:val="1"/>
        </w:numPr>
        <w:rPr/>
      </w:pPr>
      <w:bookmarkStart w:id="128" w:name="__RefHeading___Toc897647_3650668749"/>
      <w:bookmarkStart w:id="129" w:name="_Toc51"/>
      <w:bookmarkEnd w:id="128"/>
      <w:r>
        <w:rPr>
          <w:rtl w:val="true"/>
        </w:rPr>
        <w:t>الدليل الأول</w:t>
      </w:r>
      <w:bookmarkEnd w:id="129"/>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زيارة القبور، 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فيه أنّ </w:t>
      </w:r>
      <w:bookmarkStart w:id="130" w:name="pg1606_13678"/>
    </w:p>
    <w:p>
      <w:pPr>
        <w:pStyle w:val="BookText"/>
        <w:rPr/>
      </w:pPr>
      <w:bookmarkEnd w:id="130"/>
      <w:r>
        <w:rPr>
          <w:rFonts w:ascii="Amiri" w:hAnsi="Amiri" w:eastAsia="Amiri" w:cs="Amiri"/>
          <w:color w:val="111111"/>
          <w:sz w:val="28"/>
          <w:sz w:val="28"/>
          <w:szCs w:val="28"/>
          <w:rtl w:val="true"/>
          <w:lang w:bidi="ar-SA"/>
        </w:rPr>
        <w:t>العلّة في الأمر بالزيارة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التذكير بالآخرة، أو بالموت، وأنّ فيها عبرة، وأنّها تزهّد بالدنيا، وأنّها تُرقّ القلب وتُدمع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لا شكّ فيه أنّ هذه الآثار المترتبة تكون آكد في زيارة قبور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لِما في زيارتهم من تذكّر لمقارعتهم الظالمين، وما لحق بهم جرّاء ذلك، وإحياءً لمظلوميّتهم ومصيبتهم، فتدمع العين لأجل ذلك، وما في ذلك من تزهيد بالدنيا وزخرفها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ذلك، يكون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دالّاً بشكل مؤكّد على استحباب زيارة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هذا الاستحباب استحباب السفر بقصد هذه الزيارة</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897649_3650668749"/>
      <w:bookmarkStart w:id="132" w:name="_Toc52"/>
      <w:bookmarkEnd w:id="131"/>
      <w:r>
        <w:rPr>
          <w:rtl w:val="true"/>
        </w:rPr>
        <w:t>الدليل الثانى</w:t>
      </w:r>
      <w:bookmarkEnd w:id="132"/>
    </w:p>
    <w:p>
      <w:pPr>
        <w:pStyle w:val="BookText"/>
        <w:rPr/>
      </w:pPr>
      <w:r>
        <w:rPr>
          <w:rFonts w:ascii="Amiri" w:hAnsi="Amiri" w:eastAsia="Amiri" w:cs="Amiri"/>
          <w:color w:val="111111"/>
          <w:sz w:val="28"/>
          <w:sz w:val="28"/>
          <w:szCs w:val="28"/>
          <w:rtl w:val="true"/>
          <w:lang w:bidi="ar-SA"/>
        </w:rPr>
        <w:t xml:space="preserve">ممّا لا شكّ فيه أنّ زيارة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والسفر إلى أضرحتهم وقبورهم المباركة بقصد الزيارة، فيه إحياءٌ لذكرهم ونهجهم الصالح، وإحياء نهجهم وفكرهم مصداق متيقّن من مصاديق إحياء شعائر الله تعالى؛ لأنّ تذكّر عليّ بن أبي طالب، إنّما هو تذكّر لقيم العدالة والمساواة والتقوى والإخلاص في سبيل الله تعالى، وإعانة الفقراء والمعدمين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الحسن والحسين تذكّر لرموز الرفض للظلم، وإحياء لشعيرة الأمر بالمعروف والنهي عن المنكر، وتثقيف للأمّة بثقافة الشهادة في سبيل المبادئ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 الإمام السجاد تذكّر لأوضح مصاديق زمانه في النسك والتقوى والزهد والعبادة المخلصة لله تعالى والخضوع له تعالى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وإحياء ذكر الأئمّة الباقر والصادق وباقي الأئمّة إنّما هو رفع لراية العلوم الإسلامية، والتحصّن ضدّ الثقافات الدخيلة على المنهج </w:t>
      </w:r>
      <w:bookmarkStart w:id="133" w:name="pg1606_13680"/>
    </w:p>
    <w:p>
      <w:pPr>
        <w:pStyle w:val="BookText"/>
        <w:rPr/>
      </w:pPr>
      <w:bookmarkEnd w:id="133"/>
      <w:r>
        <w:rPr>
          <w:rFonts w:ascii="Amiri" w:hAnsi="Amiri" w:eastAsia="Amiri" w:cs="Amiri"/>
          <w:color w:val="111111"/>
          <w:sz w:val="28"/>
          <w:sz w:val="28"/>
          <w:szCs w:val="28"/>
          <w:rtl w:val="true"/>
          <w:lang w:bidi="ar-SA"/>
        </w:rPr>
        <w:t>الإسلامي الأصيل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ينطبق عليه عنوان شعائر الله تعالى، وقد قال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مَنْ يُعَظِّمْ شَعائِرَ اللَّهِ فَإِنَّها مِنْ تَقْوَى الْقُلُوبِ</w:t>
      </w:r>
      <w:r>
        <w:rPr>
          <w:rStyle w:val="FootnoteAnchor"/>
          <w:rtl w:val="true"/>
        </w:rPr>
        <w:footnoteReference w:id="133"/>
      </w:r>
    </w:p>
    <w:p>
      <w:pPr>
        <w:pStyle w:val="Heading6"/>
        <w:numPr>
          <w:ilvl w:val="5"/>
          <w:numId w:val="1"/>
        </w:numPr>
        <w:rPr/>
      </w:pPr>
      <w:bookmarkStart w:id="134" w:name="__RefHeading___Toc897651_3650668749"/>
      <w:bookmarkStart w:id="135" w:name="_Toc53"/>
      <w:bookmarkEnd w:id="134"/>
      <w:r>
        <w:rPr>
          <w:rtl w:val="true"/>
        </w:rPr>
        <w:t>الدليل الثالث</w:t>
      </w:r>
      <w:bookmarkEnd w:id="135"/>
    </w:p>
    <w:p>
      <w:pPr>
        <w:pStyle w:val="BookText"/>
        <w:rPr/>
      </w:pPr>
      <w:r>
        <w:rPr>
          <w:rFonts w:ascii="Amiri" w:hAnsi="Amiri" w:eastAsia="Amiri" w:cs="Amiri"/>
          <w:color w:val="111111"/>
          <w:sz w:val="28"/>
          <w:sz w:val="28"/>
          <w:szCs w:val="28"/>
          <w:rtl w:val="true"/>
          <w:lang w:bidi="ar-SA"/>
        </w:rPr>
        <w:t xml:space="preserve">إنّ السيرة العملية للمسلمين قائمة على زيارة قبور الأولياء، وبالخصوص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ابن حجر العسقلاني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بكر محمّد بن المؤمّل بن الحسن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إمام أهل الحديث أبي بكر بن خزيمة وعديله أبي علي الثقفي مع جماعة من مشائخنا، وهم إذ ذاك متوافرون إلى زيارة قبر علي‌بن موسى الرضا بطوس،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من تعظيمه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ابن‌خزيمة لتلك البقعة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وتواضعه لها وتضرّعه عندها ما يحيّرنا</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حبان في كتابه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زرته مراراً كثيرة وما حلّت بي شدّة في وقت مقامي بطوس فزرت قبر علي بن موسى الرضا صلوات الله على جدّه وعليه ودعوت الله ازالتها عنّى الا استجيب لي وزالت</w:t>
      </w:r>
      <w:r>
        <w:rPr>
          <w:rStyle w:val="FootnoteAnchor"/>
          <w:rtl w:val="true"/>
        </w:rPr>
        <w:footnoteReference w:id="13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606_13684"/>
      <w:bookmarkStart w:id="137" w:name="pg1606_13684"/>
      <w:bookmarkEnd w:id="137"/>
    </w:p>
    <w:p>
      <w:pPr>
        <w:pStyle w:val="Heading2"/>
        <w:numPr>
          <w:ilvl w:val="1"/>
          <w:numId w:val="1"/>
        </w:numPr>
        <w:rPr/>
      </w:pPr>
      <w:bookmarkStart w:id="138" w:name="pg1606_13684"/>
      <w:bookmarkStart w:id="139" w:name="__RefHeading___Toc897653_3650668749"/>
      <w:bookmarkStart w:id="140" w:name="_Toc54"/>
      <w:bookmarkEnd w:id="138"/>
      <w:bookmarkEnd w:id="139"/>
      <w:r>
        <w:rPr/>
        <w:t>٢</w:t>
      </w:r>
      <w:r>
        <w:rPr>
          <w:rtl w:val="true"/>
        </w:rPr>
        <w:t xml:space="preserve">. </w:t>
      </w:r>
      <w:r>
        <w:rPr>
          <w:rtl w:val="true"/>
        </w:rPr>
        <w:t>بناء القبب والأضرحة على القبور</w:t>
      </w:r>
      <w:bookmarkEnd w:id="140"/>
    </w:p>
    <w:p>
      <w:pPr>
        <w:pStyle w:val="Heading3"/>
        <w:numPr>
          <w:ilvl w:val="2"/>
          <w:numId w:val="1"/>
        </w:numPr>
        <w:rPr/>
      </w:pPr>
      <w:bookmarkStart w:id="141" w:name="__RefHeading___Toc897655_3650668749"/>
      <w:bookmarkStart w:id="142" w:name="_Toc55"/>
      <w:bookmarkEnd w:id="141"/>
      <w:r>
        <w:rPr>
          <w:rtl w:val="true"/>
        </w:rPr>
        <w:t>عرض الشبهة</w:t>
      </w:r>
      <w:bookmarkEnd w:id="142"/>
    </w:p>
    <w:p>
      <w:pPr>
        <w:pStyle w:val="Heading4"/>
        <w:numPr>
          <w:ilvl w:val="3"/>
          <w:numId w:val="1"/>
        </w:numPr>
        <w:rPr/>
      </w:pPr>
      <w:bookmarkStart w:id="143" w:name="__RefHeading___Toc897657_3650668749"/>
      <w:bookmarkStart w:id="144" w:name="_Toc56"/>
      <w:bookmarkEnd w:id="143"/>
      <w:r>
        <w:rPr>
          <w:rtl w:val="true"/>
        </w:rPr>
        <w:t>اشاره</w:t>
      </w:r>
      <w:bookmarkEnd w:id="144"/>
    </w:p>
    <w:p>
      <w:pPr>
        <w:pStyle w:val="BookText"/>
        <w:rPr/>
      </w:pPr>
      <w:r>
        <w:rPr>
          <w:rFonts w:ascii="Amiri" w:hAnsi="Amiri" w:eastAsia="Amiri" w:cs="Amiri"/>
          <w:color w:val="111111"/>
          <w:sz w:val="28"/>
          <w:sz w:val="28"/>
          <w:szCs w:val="28"/>
          <w:rtl w:val="true"/>
          <w:lang w:bidi="ar-SA"/>
        </w:rPr>
        <w:t xml:space="preserve">من المسائل التي طرحت كإشكال من قبل الوهابيين على أتباع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مسألة بناء القبب والأضرحة والرواقات حول بعض المزارات وقبور الأنبياء والأولياء والعلماء الصالحين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يشدّدون على هذه المسألة وخصوصاً في مواسم الحجّ الشريف، ويعتبرونها من بدع الشيعة خاصّة، ويفتون بحرمتها ويوجبون هدم هذه المزارات، التي منها مزار ابن عبّاس في الطائف، وعبد المطلب وأبو طالب وخديجة في مكّة، والأئمّة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البقيع، وبقية الصحابة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عملهم هذا موافقاً للموازين الشرعية ومن الواجبات، وهم يستدلّون على فعلتهم هذه بمجموعة من الأدلّة، مثل</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897659_3650668749"/>
      <w:bookmarkStart w:id="146" w:name="_Toc57"/>
      <w:bookmarkEnd w:id="145"/>
      <w:r>
        <w:rPr>
          <w:rtl w:val="true"/>
        </w:rPr>
        <w:t>الدليل الأوّل</w:t>
      </w:r>
      <w:r>
        <w:rPr>
          <w:rtl w:val="true"/>
        </w:rPr>
        <w:t xml:space="preserve">: </w:t>
      </w:r>
      <w:r>
        <w:rPr>
          <w:rtl w:val="true"/>
        </w:rPr>
        <w:t>الإجماع</w:t>
      </w:r>
      <w:bookmarkEnd w:id="14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سؤال إلى علماء المدينة 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١٣۴۴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قول علماء المدينة، زادهم الله فهماً وعلماً، في البناء على القبور واتّخاذها </w:t>
      </w:r>
      <w:bookmarkStart w:id="147" w:name="pg1606_13686"/>
    </w:p>
    <w:p>
      <w:pPr>
        <w:pStyle w:val="BookText"/>
        <w:rPr/>
      </w:pPr>
      <w:bookmarkEnd w:id="147"/>
      <w:r>
        <w:rPr>
          <w:rFonts w:ascii="IRNazanin" w:hAnsi="IRNazanin" w:eastAsia="IRNazanin"/>
          <w:color w:val="111111"/>
          <w:sz w:val="28"/>
          <w:sz w:val="28"/>
          <w:szCs w:val="28"/>
          <w:rtl w:val="true"/>
          <w:lang w:bidi="fa-IR"/>
        </w:rPr>
        <w:t xml:space="preserve">مساجد، هل هو جائز أم لا؟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فكتب خمسة عشر نفراً من علماء المدينة هذا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البناء على القبور فهو ممنوع إجماعاً</w:t>
      </w:r>
      <w:r>
        <w:rPr>
          <w:rFonts w:eastAsia="Amiri" w:cs="Amiri" w:ascii="Amiri" w:hAnsi="Amiri"/>
          <w:color w:val="111111"/>
          <w:sz w:val="28"/>
          <w:szCs w:val="28"/>
          <w:rtl w:val="true"/>
          <w:lang w:bidi="ar-SA"/>
        </w:rPr>
        <w:t>. .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897661_3650668749"/>
      <w:bookmarkStart w:id="149" w:name="_Toc58"/>
      <w:bookmarkEnd w:id="148"/>
      <w:r>
        <w:rPr>
          <w:rtl w:val="true"/>
        </w:rPr>
        <w:t>الدليل الثانى</w:t>
      </w:r>
      <w:r>
        <w:rPr>
          <w:rtl w:val="true"/>
        </w:rPr>
        <w:t xml:space="preserve">: </w:t>
      </w:r>
      <w:r>
        <w:rPr>
          <w:rtl w:val="true"/>
        </w:rPr>
        <w:t>رواية أبى الهيّاج</w:t>
      </w:r>
      <w:bookmarkEnd w:id="149"/>
    </w:p>
    <w:p>
      <w:pPr>
        <w:pStyle w:val="BookText"/>
        <w:rPr/>
      </w:pPr>
      <w:r>
        <w:rPr>
          <w:rFonts w:ascii="Amiri" w:hAnsi="Amiri" w:eastAsia="Amiri" w:cs="Amiri"/>
          <w:color w:val="111111"/>
          <w:sz w:val="28"/>
          <w:sz w:val="28"/>
          <w:szCs w:val="28"/>
          <w:rtl w:val="true"/>
          <w:lang w:bidi="ar-SA"/>
        </w:rPr>
        <w:t>نقل في صحيح مسلم رواية أبي الهيّاج بهذا الشكل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الهيّاج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أبعثك على ما بعثني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لا تدع تمثالاً إلّا طمسته، ولا قبراً مشرفاً إلّا سوّيته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نقلت هذه الرواية في كتب أهل السنّة الأخرى باختلاف يسير في اللفظ </w:t>
      </w:r>
      <w:r>
        <w:rPr>
          <w:rStyle w:val="FootnoteAnchor"/>
          <w:rtl w:val="true"/>
        </w:rPr>
        <w:footnoteReference w:id="138"/>
      </w:r>
      <w:r>
        <w:rPr>
          <w:rFonts w:ascii="IRNazanin" w:hAnsi="IRNazanin" w:eastAsia="IRNazanin"/>
          <w:color w:val="111111"/>
          <w:sz w:val="28"/>
          <w:sz w:val="28"/>
          <w:szCs w:val="28"/>
          <w:rtl w:val="true"/>
          <w:lang w:bidi="fa-IR"/>
        </w:rPr>
        <w:t>، واستُدلّ بها على عدم جواز البناء على القبور</w:t>
      </w:r>
      <w:r>
        <w:rPr>
          <w:rFonts w:eastAsia="IRNazanin" w:cs="IRNazanin"/>
          <w:color w:val="111111"/>
          <w:sz w:val="28"/>
          <w:szCs w:val="28"/>
          <w:rtl w:val="true"/>
          <w:lang w:bidi="fa-IR"/>
        </w:rPr>
        <w:t>.</w:t>
      </w:r>
    </w:p>
    <w:p>
      <w:pPr>
        <w:pStyle w:val="Heading4"/>
        <w:numPr>
          <w:ilvl w:val="3"/>
          <w:numId w:val="1"/>
        </w:numPr>
        <w:rPr/>
      </w:pPr>
      <w:bookmarkStart w:id="150" w:name="__RefHeading___Toc897663_3650668749"/>
      <w:bookmarkStart w:id="151" w:name="_Toc59"/>
      <w:bookmarkEnd w:id="150"/>
      <w:r>
        <w:rPr>
          <w:rtl w:val="true"/>
        </w:rPr>
        <w:t>الدليل الثالث</w:t>
      </w:r>
      <w:r>
        <w:rPr>
          <w:rtl w:val="true"/>
        </w:rPr>
        <w:t xml:space="preserve">: </w:t>
      </w:r>
      <w:r>
        <w:rPr>
          <w:rtl w:val="true"/>
        </w:rPr>
        <w:t>روايات أخرى</w:t>
      </w:r>
      <w:bookmarkEnd w:id="15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روايات تدلّ على حرمة البناء على القبور، ووجوب هدم ما شيّد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كتاب صحيح مسلم عن أبي‌بكر بن أبي‌شيبة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حفص بن غياث عن ابن جريج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يجصّص القبر، وأن يقعد عليه، وأن يبنى عليه</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نقلت هذه الرواية في كثير من كتب أهل السنّة </w:t>
      </w:r>
      <w:r>
        <w:rPr>
          <w:rStyle w:val="FootnoteAnchor"/>
          <w:rtl w:val="true"/>
        </w:rPr>
        <w:footnoteReference w:id="140"/>
      </w:r>
      <w:bookmarkStart w:id="152" w:name="pg1606_13688"/>
    </w:p>
    <w:p>
      <w:pPr>
        <w:pStyle w:val="BookText"/>
        <w:rPr/>
      </w:pPr>
      <w:bookmarkEnd w:id="152"/>
      <w:r>
        <w:rPr>
          <w:rFonts w:ascii="Amiri" w:hAnsi="Amiri" w:eastAsia="Amiri" w:cs="Amiri"/>
          <w:color w:val="111111"/>
          <w:sz w:val="28"/>
          <w:sz w:val="28"/>
          <w:szCs w:val="28"/>
          <w:rtl w:val="true"/>
          <w:lang w:bidi="ar-SA"/>
        </w:rPr>
        <w:t>وكذلك روى أحمد بن حنبل عن أمّ سلمة نظير هذا الحديث، وجاء نصّ الحديث في مسند أحمد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حدّثنا حسن، حدّثنا ابن لهيعة، حدّثنا يزيد بن أبي حبيب عن ناعم مولى أمّ‌سلمة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يبنى على القبر أو يجصّص</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وكذلك نقل عن أبي سعيد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يبنى على القبر</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الروايات تدلّ بظهورها على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البناء على القبور، وهذا النهي ظاهر في حرمة هذا العمل</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897665_3650668749"/>
      <w:bookmarkStart w:id="154" w:name="_Toc60"/>
      <w:bookmarkEnd w:id="153"/>
      <w:r>
        <w:rPr>
          <w:rtl w:val="true"/>
        </w:rPr>
        <w:t>الدليل الرابع</w:t>
      </w:r>
      <w:r>
        <w:rPr>
          <w:rtl w:val="true"/>
        </w:rPr>
        <w:t xml:space="preserve">: </w:t>
      </w:r>
      <w:r>
        <w:rPr>
          <w:rtl w:val="true"/>
        </w:rPr>
        <w:t>البناء على القبور من الشرك</w:t>
      </w:r>
      <w:bookmarkEnd w:id="154"/>
    </w:p>
    <w:p>
      <w:pPr>
        <w:pStyle w:val="BookText"/>
        <w:rPr/>
      </w:pPr>
      <w:r>
        <w:rPr>
          <w:rFonts w:ascii="Amiri" w:hAnsi="Amiri" w:eastAsia="Amiri" w:cs="Amiri"/>
          <w:color w:val="111111"/>
          <w:sz w:val="28"/>
          <w:sz w:val="28"/>
          <w:szCs w:val="28"/>
          <w:rtl w:val="true"/>
          <w:lang w:bidi="ar-SA"/>
        </w:rPr>
        <w:t>اعتبر بعضٌ بناء القبور وتشييدها شبيه بإنشاء تماثيل اللات والعزى المشهورين، وهذا مستوجب للشرك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أوجب إزالة البناء عن القبور وهدمها بهذا التعليل ابن تيميّة </w:t>
      </w:r>
      <w:r>
        <w:rPr>
          <w:rStyle w:val="FootnoteAnchor"/>
          <w:rtl w:val="true"/>
        </w:rPr>
        <w:footnoteReference w:id="143"/>
      </w:r>
      <w:r>
        <w:rPr>
          <w:rFonts w:ascii="Amiri" w:hAnsi="Amiri" w:eastAsia="Amiri" w:cs="Amiri"/>
          <w:color w:val="111111"/>
          <w:sz w:val="28"/>
          <w:sz w:val="28"/>
          <w:szCs w:val="28"/>
          <w:rtl w:val="true"/>
          <w:lang w:bidi="ar-SA"/>
        </w:rPr>
        <w:t xml:space="preserve">وابن القيّم </w:t>
      </w:r>
      <w:r>
        <w:rPr>
          <w:rStyle w:val="FootnoteAnchor"/>
          <w:rtl w:val="true"/>
        </w:rPr>
        <w:footnoteReference w:id="144"/>
      </w:r>
      <w:r>
        <w:rPr>
          <w:rFonts w:ascii="Amiri" w:hAnsi="Amiri" w:eastAsia="Amiri" w:cs="Amiri"/>
          <w:color w:val="111111"/>
          <w:sz w:val="28"/>
          <w:sz w:val="28"/>
          <w:szCs w:val="28"/>
          <w:rtl w:val="true"/>
          <w:lang w:bidi="ar-SA"/>
        </w:rPr>
        <w:t>والشوكاني</w:t>
      </w:r>
      <w:r>
        <w:rPr>
          <w:rStyle w:val="FootnoteAnchor"/>
          <w:rtl w:val="true"/>
        </w:rPr>
        <w:footnoteReference w:id="145"/>
      </w:r>
      <w:r>
        <w:rPr>
          <w:rFonts w:ascii="IRNazanin" w:hAnsi="IRNazanin" w:eastAsia="IRNazanin"/>
          <w:color w:val="111111"/>
          <w:sz w:val="28"/>
          <w:sz w:val="28"/>
          <w:szCs w:val="28"/>
          <w:rtl w:val="true"/>
          <w:lang w:bidi="fa-IR"/>
        </w:rPr>
        <w:t xml:space="preserve">وابن حجر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897667_3650668749"/>
      <w:bookmarkStart w:id="156" w:name="_Toc61"/>
      <w:bookmarkEnd w:id="155"/>
      <w:r>
        <w:rPr>
          <w:rtl w:val="true"/>
        </w:rPr>
        <w:t>الجواب على هذه الشبهة</w:t>
      </w:r>
      <w:bookmarkEnd w:id="156"/>
    </w:p>
    <w:p>
      <w:pPr>
        <w:pStyle w:val="Heading4"/>
        <w:numPr>
          <w:ilvl w:val="3"/>
          <w:numId w:val="1"/>
        </w:numPr>
        <w:rPr/>
      </w:pPr>
      <w:bookmarkStart w:id="157" w:name="__RefHeading___Toc897669_3650668749"/>
      <w:bookmarkStart w:id="158" w:name="_Toc62"/>
      <w:bookmarkEnd w:id="157"/>
      <w:r>
        <w:rPr>
          <w:rtl w:val="true"/>
        </w:rPr>
        <w:t>اشاره</w:t>
      </w:r>
      <w:bookmarkEnd w:id="15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بيّنا فقد اعتمد الوهابيّون في فتواهم بحرمة البناء على القبور ووجوب هدم مزارات أعلام الدين على أربعة أدلّة، لكنّ كلّ هذه الأدلّة واهية ولا تدلّ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التفصيل</w:t>
      </w:r>
      <w:r>
        <w:rPr>
          <w:rFonts w:eastAsia="Amiri" w:cs="Amiri" w:ascii="Amiri" w:hAnsi="Amiri"/>
          <w:color w:val="111111"/>
          <w:sz w:val="28"/>
          <w:szCs w:val="28"/>
          <w:rtl w:val="true"/>
          <w:lang w:bidi="ar-SA"/>
        </w:rPr>
        <w:t xml:space="preserve">: </w:t>
      </w:r>
      <w:bookmarkStart w:id="159" w:name="pg1606_13690"/>
    </w:p>
    <w:p>
      <w:pPr>
        <w:pStyle w:val="Heading4"/>
        <w:numPr>
          <w:ilvl w:val="3"/>
          <w:numId w:val="1"/>
        </w:numPr>
        <w:rPr/>
      </w:pPr>
      <w:bookmarkStart w:id="160" w:name="__RefHeading___Toc897671_3650668749"/>
      <w:bookmarkStart w:id="161" w:name="_Toc63"/>
      <w:bookmarkEnd w:id="159"/>
      <w:bookmarkEnd w:id="160"/>
      <w:r>
        <w:rPr>
          <w:rtl w:val="true"/>
        </w:rPr>
        <w:t>أوّلاً</w:t>
      </w:r>
      <w:r>
        <w:rPr>
          <w:rtl w:val="true"/>
        </w:rPr>
        <w:t xml:space="preserve">: </w:t>
      </w:r>
      <w:r>
        <w:rPr>
          <w:rtl w:val="true"/>
        </w:rPr>
        <w:t>مناقشة الإجماع على المنع من البناء على القبور</w:t>
      </w:r>
      <w:bookmarkEnd w:id="161"/>
    </w:p>
    <w:p>
      <w:pPr>
        <w:pStyle w:val="BookText"/>
        <w:rPr/>
      </w:pPr>
      <w:r>
        <w:rPr>
          <w:rFonts w:ascii="Amiri" w:hAnsi="Amiri" w:eastAsia="Amiri" w:cs="Amiri"/>
          <w:color w:val="111111"/>
          <w:sz w:val="28"/>
          <w:sz w:val="28"/>
          <w:szCs w:val="28"/>
          <w:rtl w:val="true"/>
          <w:lang w:bidi="ar-SA"/>
        </w:rPr>
        <w:t>من المتيقّن أنّ مراد المدّعي بالإجماع، إجماع المذاهب الأربعة؛ الشافعية، والمالكية، والحنفية، والحنابلة، على حرمة بناء القبب على القبور ووجوب هدم وإزالة هذه القبب والمزارات المبنيّة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وبمحض الرجوع إلى كتب هذه المذاهب، يتبيّن كذب هذه الدعوى وفقدانها للمصداقية، وأنّها دعوى جزافية لا ترتكز على أصل؛ فقد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ابن أبي زيد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البناء على القبور وتجصيصها</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جاء في شرحها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البناء على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مطلقاً، وليس كذلك، بل فيه تفصيل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الكراهة إذا كان بأرض مواتٍ أو مملوكةٍ حيث لايأوي إليه أهل الفساد ولم يقصد به المباهاة ولم يقصد به التمييز، وإلّا حرم فيما عدا الأخير وجاز في الأخير</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يكره أن يبنى على القبر بيت أو قبّة أو مدرسة أو مسجد أو حيطان تحدق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كالحيشان </w:t>
      </w:r>
      <w:r>
        <w:rPr>
          <w:rFonts w:eastAsia="Amiri" w:cs="Amiri" w:ascii="Amiri" w:hAnsi="Amiri"/>
          <w:color w:val="111111"/>
          <w:sz w:val="28"/>
          <w:szCs w:val="28"/>
          <w:rtl w:val="true"/>
          <w:lang w:bidi="ar-SA"/>
        </w:rPr>
        <w:t>-. .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ويقول المناوي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يقعد على القبر</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وأن يقصص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بقاف وصادين مهملتين وهو بمعنى يجصّص</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وأن يبني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أو غيرها، فيكره كلّ من الثلاثة تنزيهاً، فإن كان في مَسْبَلة أو موقوفة، حرم بناؤه والبناء عليه </w:t>
      </w:r>
      <w:bookmarkStart w:id="162" w:name="pg1606_13692"/>
    </w:p>
    <w:p>
      <w:pPr>
        <w:pStyle w:val="BookText"/>
        <w:rPr/>
      </w:pPr>
      <w:bookmarkEnd w:id="162"/>
      <w:r>
        <w:rPr>
          <w:rFonts w:ascii="IRNazanin" w:hAnsi="IRNazanin" w:eastAsia="IRNazanin"/>
          <w:color w:val="111111"/>
          <w:sz w:val="28"/>
          <w:sz w:val="28"/>
          <w:szCs w:val="28"/>
          <w:rtl w:val="true"/>
          <w:lang w:bidi="fa-IR"/>
        </w:rPr>
        <w:t>ووجب هدمه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وجاء في شرح النووي لصحيح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البناء عليه فإن كان في ملك الباني فمكروه، وإن كان في مقبرة مسبلة فحرام، نصّ عليه الشافعي والأصحاب</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وذكر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العديد من العلماء الذين أفتوا بجواز البناء على القبر بقصد تشخيصه</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وعلى هذا يتبيّن أنّ كثيراً من علماء أهل السنّة يرون حرمة البناء على القبور في حالتين،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القبر في مقبرة موقوفة، ولعلّ السبب أنّ المقبرة مخصّصة لدفن الموتى والبناء يكون زائداً عمّا وُقفت لأجله؛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فيجوز التصرّف فيها بحسب ما اشترطوا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يكون البناء على القبر لغرض التفاخر والمباهاة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 هاتين الصورتين كان الحكم منهم إمّا بالكراهة أو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نسأل مدّعي الإجماع الموهوم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صحّ لك أن تقول بالإجماع على تحريم البناء على القبور، ووجوب هدمها، مع مخالفة الكثير من فقهاء الإسلام لذلك؟ </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897673_3650668749"/>
      <w:bookmarkStart w:id="164" w:name="_Toc64"/>
      <w:bookmarkEnd w:id="163"/>
      <w:r>
        <w:rPr>
          <w:rtl w:val="true"/>
        </w:rPr>
        <w:t>ثانياً</w:t>
      </w:r>
      <w:r>
        <w:rPr>
          <w:rtl w:val="true"/>
        </w:rPr>
        <w:t xml:space="preserve">: </w:t>
      </w:r>
      <w:r>
        <w:rPr>
          <w:rtl w:val="true"/>
        </w:rPr>
        <w:t>مناقشة الاستدلال برواية أبى الهيّاج</w:t>
      </w:r>
      <w:bookmarkEnd w:id="164"/>
    </w:p>
    <w:p>
      <w:pPr>
        <w:pStyle w:val="Heading5"/>
        <w:numPr>
          <w:ilvl w:val="4"/>
          <w:numId w:val="1"/>
        </w:numPr>
        <w:rPr/>
      </w:pPr>
      <w:bookmarkStart w:id="165" w:name="__RefHeading___Toc897675_3650668749"/>
      <w:bookmarkStart w:id="166" w:name="_Toc65"/>
      <w:bookmarkEnd w:id="165"/>
      <w:r>
        <w:rPr>
          <w:rtl w:val="true"/>
        </w:rPr>
        <w:t>أ</w:t>
      </w:r>
      <w:r>
        <w:rPr>
          <w:rtl w:val="true"/>
        </w:rPr>
        <w:t xml:space="preserve">- </w:t>
      </w:r>
      <w:r>
        <w:rPr>
          <w:rtl w:val="true"/>
        </w:rPr>
        <w:t>سند الرواية</w:t>
      </w:r>
      <w:bookmarkEnd w:id="166"/>
    </w:p>
    <w:p>
      <w:pPr>
        <w:pStyle w:val="Heading6"/>
        <w:numPr>
          <w:ilvl w:val="5"/>
          <w:numId w:val="1"/>
        </w:numPr>
        <w:rPr/>
      </w:pPr>
      <w:bookmarkStart w:id="167" w:name="__RefHeading___Toc897677_3650668749"/>
      <w:bookmarkStart w:id="168" w:name="_Toc66"/>
      <w:bookmarkEnd w:id="167"/>
      <w:r>
        <w:rPr>
          <w:rtl w:val="true"/>
        </w:rPr>
        <w:t>اشاره</w:t>
      </w:r>
      <w:bookmarkEnd w:id="16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يوجد في سند هذه الرواية خمس رواة، وهم مذمومون في كتب الحديث والرجال</w:t>
      </w:r>
      <w:r>
        <w:rPr>
          <w:rFonts w:eastAsia="Amiri" w:cs="Amiri" w:ascii="Amiri" w:hAnsi="Amiri"/>
          <w:color w:val="111111"/>
          <w:sz w:val="28"/>
          <w:szCs w:val="28"/>
          <w:rtl w:val="true"/>
          <w:lang w:bidi="ar-SA"/>
        </w:rPr>
        <w:t xml:space="preserve">: </w:t>
      </w:r>
      <w:bookmarkStart w:id="169" w:name="pg1606_13694"/>
    </w:p>
    <w:p>
      <w:pPr>
        <w:pStyle w:val="Heading6"/>
        <w:numPr>
          <w:ilvl w:val="5"/>
          <w:numId w:val="1"/>
        </w:numPr>
        <w:rPr/>
      </w:pPr>
      <w:bookmarkStart w:id="170" w:name="__RefHeading___Toc897679_3650668749"/>
      <w:bookmarkStart w:id="171" w:name="_Toc67"/>
      <w:bookmarkEnd w:id="169"/>
      <w:bookmarkEnd w:id="170"/>
      <w:r>
        <w:rPr/>
        <w:t>١</w:t>
      </w:r>
      <w:r>
        <w:rPr>
          <w:rtl w:val="true"/>
        </w:rPr>
        <w:t xml:space="preserve">. </w:t>
      </w:r>
      <w:r>
        <w:rPr>
          <w:rtl w:val="true"/>
        </w:rPr>
        <w:t>وكيع</w:t>
      </w:r>
      <w:bookmarkEnd w:id="171"/>
    </w:p>
    <w:p>
      <w:pPr>
        <w:pStyle w:val="BookText"/>
        <w:rPr/>
      </w:pPr>
      <w:r>
        <w:rPr>
          <w:rFonts w:ascii="Amiri" w:hAnsi="Amiri" w:eastAsia="Amiri" w:cs="Amiri"/>
          <w:color w:val="111111"/>
          <w:sz w:val="28"/>
          <w:sz w:val="28"/>
          <w:szCs w:val="28"/>
          <w:rtl w:val="true"/>
          <w:lang w:bidi="ar-SA"/>
        </w:rPr>
        <w:t>مع أنّ وكيع بن الجرّاح كان يُمدح في كتب أهل السنّة لشدّة حفظه، لكن قال في حقّه عبد الله بن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وكيع بن الجرّاح في خمسمائة حديث</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محمّد بن نصر المروزي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يحدّث بآخره من حفظه، فيغيّر ألفاظ الحديث، كأنّه كان يحدّث بالمعنى، ولم يكن من أهل اللسان</w:t>
      </w:r>
      <w:r>
        <w:rPr>
          <w:rFonts w:eastAsia="Amiri" w:cs="Amiri" w:ascii="Amiri" w:hAnsi="Amiri"/>
          <w:color w:val="111111"/>
          <w:sz w:val="28"/>
          <w:szCs w:val="28"/>
          <w:rtl w:val="true"/>
          <w:lang w:bidi="ar-SA"/>
        </w:rPr>
        <w:t>»</w:t>
      </w:r>
      <w:r>
        <w:rPr>
          <w:rStyle w:val="FootnoteAnchor"/>
          <w:rtl w:val="true"/>
        </w:rPr>
        <w:footnoteReference w:id="154"/>
      </w:r>
    </w:p>
    <w:p>
      <w:pPr>
        <w:pStyle w:val="Heading6"/>
        <w:numPr>
          <w:ilvl w:val="5"/>
          <w:numId w:val="1"/>
        </w:numPr>
        <w:rPr/>
      </w:pPr>
      <w:bookmarkStart w:id="172" w:name="__RefHeading___Toc897681_3650668749"/>
      <w:bookmarkStart w:id="173" w:name="_Toc68"/>
      <w:bookmarkEnd w:id="172"/>
      <w:r>
        <w:rPr/>
        <w:t>٢</w:t>
      </w:r>
      <w:r>
        <w:rPr>
          <w:rtl w:val="true"/>
        </w:rPr>
        <w:t xml:space="preserve">. </w:t>
      </w:r>
      <w:r>
        <w:rPr>
          <w:rtl w:val="true"/>
        </w:rPr>
        <w:t>سفيان</w:t>
      </w:r>
      <w:bookmarkEnd w:id="173"/>
    </w:p>
    <w:p>
      <w:pPr>
        <w:pStyle w:val="BookText"/>
        <w:rPr/>
      </w:pPr>
      <w:r>
        <w:rPr>
          <w:rFonts w:ascii="Amiri" w:hAnsi="Amiri" w:eastAsia="Amiri" w:cs="Amiri"/>
          <w:color w:val="111111"/>
          <w:sz w:val="28"/>
          <w:sz w:val="28"/>
          <w:szCs w:val="28"/>
          <w:rtl w:val="true"/>
          <w:lang w:bidi="ar-SA"/>
        </w:rPr>
        <w:t xml:space="preserve">أمّا فيما يتعلّق بسفيان الثوري، فقد نقل أنّه يدلّس في الحديث </w:t>
      </w:r>
      <w:r>
        <w:rPr>
          <w:rStyle w:val="FootnoteAnchor"/>
          <w:rtl w:val="true"/>
        </w:rPr>
        <w:footnoteReference w:id="155"/>
      </w:r>
    </w:p>
    <w:p>
      <w:pPr>
        <w:pStyle w:val="Heading6"/>
        <w:numPr>
          <w:ilvl w:val="5"/>
          <w:numId w:val="1"/>
        </w:numPr>
        <w:rPr/>
      </w:pPr>
      <w:bookmarkStart w:id="174" w:name="__RefHeading___Toc897683_3650668749"/>
      <w:bookmarkStart w:id="175" w:name="_Toc69"/>
      <w:bookmarkEnd w:id="174"/>
      <w:r>
        <w:rPr/>
        <w:t>٣</w:t>
      </w:r>
      <w:r>
        <w:rPr>
          <w:rtl w:val="true"/>
        </w:rPr>
        <w:t xml:space="preserve">. </w:t>
      </w:r>
      <w:r>
        <w:rPr>
          <w:rtl w:val="true"/>
        </w:rPr>
        <w:t>حبيب بن أبى‌ثابت</w:t>
      </w:r>
      <w:bookmarkEnd w:id="175"/>
    </w:p>
    <w:p>
      <w:pPr>
        <w:pStyle w:val="BookText"/>
        <w:rPr/>
      </w:pPr>
      <w:r>
        <w:rPr>
          <w:rFonts w:ascii="Amiri" w:hAnsi="Amiri" w:eastAsia="Amiri" w:cs="Amiri"/>
          <w:color w:val="111111"/>
          <w:sz w:val="28"/>
          <w:sz w:val="28"/>
          <w:szCs w:val="28"/>
          <w:rtl w:val="true"/>
          <w:lang w:bidi="ar-SA"/>
        </w:rPr>
        <w:t>فقد قيل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يدلّس في الأحاديث</w:t>
      </w:r>
      <w:r>
        <w:rPr>
          <w:rStyle w:val="FootnoteAnchor"/>
          <w:rtl w:val="true"/>
        </w:rPr>
        <w:footnoteReference w:id="156"/>
      </w:r>
    </w:p>
    <w:p>
      <w:pPr>
        <w:pStyle w:val="Heading6"/>
        <w:numPr>
          <w:ilvl w:val="5"/>
          <w:numId w:val="1"/>
        </w:numPr>
        <w:rPr/>
      </w:pPr>
      <w:bookmarkStart w:id="176" w:name="__RefHeading___Toc897685_3650668749"/>
      <w:bookmarkStart w:id="177" w:name="_Toc70"/>
      <w:bookmarkEnd w:id="176"/>
      <w:r>
        <w:rPr/>
        <w:t>4</w:t>
      </w:r>
      <w:r>
        <w:rPr>
          <w:rtl w:val="true"/>
        </w:rPr>
        <w:t xml:space="preserve">- </w:t>
      </w:r>
      <w:r>
        <w:rPr>
          <w:rtl w:val="true"/>
        </w:rPr>
        <w:t>أبو وائل</w:t>
      </w:r>
      <w:bookmarkEnd w:id="17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شقيق بن سلمة أبو وائل الأسدي، فقد وثّق في كثير من كتب رجال أهل السنّة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عرّف في بعضها الآخر بأنّه أحد المنحرفين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58"/>
      </w:r>
      <w:bookmarkStart w:id="178" w:name="pg1606_13696"/>
    </w:p>
    <w:p>
      <w:pPr>
        <w:pStyle w:val="Heading6"/>
        <w:numPr>
          <w:ilvl w:val="5"/>
          <w:numId w:val="1"/>
        </w:numPr>
        <w:rPr/>
      </w:pPr>
      <w:bookmarkStart w:id="179" w:name="__RefHeading___Toc897687_3650668749"/>
      <w:bookmarkStart w:id="180" w:name="_Toc71"/>
      <w:bookmarkEnd w:id="178"/>
      <w:bookmarkEnd w:id="179"/>
      <w:r>
        <w:rPr/>
        <w:t>5</w:t>
      </w:r>
      <w:r>
        <w:rPr>
          <w:rtl w:val="true"/>
        </w:rPr>
        <w:t>-</w:t>
      </w:r>
      <w:r>
        <w:rPr>
          <w:rtl w:val="true"/>
        </w:rPr>
        <w:t>أبو الهيّاج</w:t>
      </w:r>
      <w:bookmarkEnd w:id="180"/>
    </w:p>
    <w:p>
      <w:pPr>
        <w:pStyle w:val="BookText"/>
        <w:rPr/>
      </w:pPr>
      <w:r>
        <w:rPr>
          <w:rFonts w:ascii="Amiri" w:hAnsi="Amiri" w:eastAsia="Amiri" w:cs="Amiri"/>
          <w:color w:val="111111"/>
          <w:sz w:val="28"/>
          <w:sz w:val="28"/>
          <w:szCs w:val="28"/>
          <w:rtl w:val="true"/>
          <w:lang w:bidi="ar-SA"/>
        </w:rPr>
        <w:t xml:space="preserve">وهو حيّان بن حصين أبو الهيّاج الأسدي، فقد وثّق كذلك وعرّف بأنّه من أصحاب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تتبّعنا كتب الحديث لا نرى له رواية تروى عنه غير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أكّده السيوطي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في الكتب إلّا هذا الحديث الواحد</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ما بينّاه من حال الرواة لا يمكن للفقيه المحقّق الاعتماد على مثل هكذا حديث قد وقع جرح في رواته بهذا الشكل</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897689_3650668749"/>
      <w:bookmarkStart w:id="182" w:name="_Toc72"/>
      <w:bookmarkEnd w:id="181"/>
      <w:r>
        <w:rPr>
          <w:rtl w:val="true"/>
        </w:rPr>
        <w:t xml:space="preserve">ب </w:t>
      </w:r>
      <w:r>
        <w:rPr>
          <w:rtl w:val="true"/>
        </w:rPr>
        <w:t xml:space="preserve">- </w:t>
      </w:r>
      <w:r>
        <w:rPr>
          <w:rtl w:val="true"/>
        </w:rPr>
        <w:t>دلالة الرواية</w:t>
      </w:r>
      <w:bookmarkEnd w:id="182"/>
    </w:p>
    <w:p>
      <w:pPr>
        <w:pStyle w:val="BookText"/>
        <w:rPr/>
      </w:pPr>
      <w:r>
        <w:rPr>
          <w:rFonts w:ascii="Amiri" w:hAnsi="Amiri" w:eastAsia="Amiri" w:cs="Amiri"/>
          <w:color w:val="111111"/>
          <w:sz w:val="28"/>
          <w:sz w:val="28"/>
          <w:szCs w:val="28"/>
          <w:rtl w:val="true"/>
          <w:lang w:bidi="ar-SA"/>
        </w:rPr>
        <w:t>فهذه الرواية قابلة للنقاش في دلالتها أيضاً، حيث إنّها لا تثبت مدّعى الوهابيين؛ فهم يدّعون أنّ البناء حول القبر محرّم، وأنّ هدم القبور والقبب المبنية عليها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الرواية لا تثبت من مدّعاهم شيئاً، وذلك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الرواية إشارة لتخريب القبور وهدم ما بني عليها، بل الرواية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قبراً مشرفاً إلّا سوّيته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والوقوف على معنى هذه العبارة يحتاج لمعرفة معنى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سوّيته</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الشَّرَف، 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 والمكان العالي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الشرف كلّ نشزٍ من الأرض قد أشرف على ما حوله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في القاموس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وسوّاه تسويةً وأسواه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سويّاً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ومع الأخذ بنظر الاعتبار معنى الكلمتين السابقتين في اللغة، يكون من الواضح أنّ المراد بالقبر المشرِف في الرواية، والمأمور بتسويته، القبرُ المرتفع كثيراً وبعض جوانبه غير متساوية مع جوانبه الأخرى، ويشبه سنام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تسوية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تسطيحه وجعله مستوياً بخلاف ما كان عليه من التعرّج والتحدّب وعدم الانتظام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فتكون رواية أبي‌الهيّاج غير دالّة على حرمة البناء على القبور أو وجوب هدم ما بني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 الاتّفاق بين فقهاء المسلمين على استحباب ارتفاع القبر بمقدار أربع أصابع أو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فالشيعة</w:t>
      </w:r>
      <w:r>
        <w:rPr>
          <w:rStyle w:val="FootnoteAnchor"/>
          <w:rtl w:val="true"/>
        </w:rPr>
        <w:footnoteReference w:id="164"/>
      </w:r>
      <w:r>
        <w:rPr>
          <w:rFonts w:ascii="Amiri" w:hAnsi="Amiri" w:eastAsia="Amiri" w:cs="Amiri"/>
          <w:color w:val="111111"/>
          <w:sz w:val="28"/>
          <w:sz w:val="28"/>
          <w:szCs w:val="28"/>
          <w:rtl w:val="true"/>
          <w:lang w:bidi="ar-SA"/>
        </w:rPr>
        <w:t>والشافعية</w:t>
      </w:r>
      <w:r>
        <w:rPr>
          <w:rStyle w:val="FootnoteAnchor"/>
          <w:rtl w:val="true"/>
        </w:rPr>
        <w:footnoteReference w:id="165"/>
      </w:r>
      <w:r>
        <w:rPr>
          <w:rFonts w:ascii="Amiri" w:hAnsi="Amiri" w:eastAsia="Amiri" w:cs="Amiri"/>
          <w:color w:val="111111"/>
          <w:sz w:val="28"/>
          <w:sz w:val="28"/>
          <w:szCs w:val="28"/>
          <w:rtl w:val="true"/>
          <w:lang w:bidi="ar-SA"/>
        </w:rPr>
        <w:t>أفتوا باستحباب تسطيح القبر،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مسطّحاًً، والحنابلة والحنفية والمالكية</w:t>
      </w:r>
      <w:r>
        <w:rPr>
          <w:rStyle w:val="FootnoteAnchor"/>
          <w:rtl w:val="true"/>
        </w:rPr>
        <w:footnoteReference w:id="166"/>
      </w:r>
      <w:r>
        <w:rPr>
          <w:rFonts w:ascii="Amiri" w:hAnsi="Amiri" w:eastAsia="Amiri" w:cs="Amiri"/>
          <w:color w:val="111111"/>
          <w:sz w:val="28"/>
          <w:sz w:val="28"/>
          <w:szCs w:val="28"/>
          <w:rtl w:val="true"/>
          <w:lang w:bidi="ar-SA"/>
        </w:rPr>
        <w:t>أفتوا باستحباب تسنيم القبر وجعل سطحه كالسنام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واستند الفقهاء في فتواهم باستحباب تسطيح القبر بالإضافة إلى رواية أبي الهيّاج، على رواية أبي داود عن 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استند على الأخيرة كلّ من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 وابن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 الحبير</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 والنووي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وابن‌قدامة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ونصّ الرواية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داود بإسنادٍ صحيح أنّ القاسم بن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اكشفي لي عن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وصاحبيه، فكشفت عن ثلاثة قبور لا مشرفة ولالاطئة، مبطوحة ببطحاء العرصة الحمراء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فالشيعة يعتقدون أنّ تسطيح القبور من السنّة، وأنّ تسنيمها كما يفعل أهل السنّة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محي الدين النووي بذلك، وهو من كبار فقهاء السنّة،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تسطيح القبر وتسنيمه، وأيّهما أفضل؟ فيه وجهان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التسطيح أفضل، وهو نصّ الشافعي في الأم ومختصر المزني، وبه قطع جمهور أصحابنا المتقدّمين وجماعات من المتأخّرين منهم الماوردي والفوراني والبغوي وخلائق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جمهور الباقين، كما صحّحه المصنّف، وصرّحوا بتضعيف التسنيم كما صرّح به المصنّف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وادّعى القاضي حسين اتّفاق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أفضلية التسطيح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كما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وردّ الجمهور على ابن أبي هريرة في دعواه أنّ التسنيم أفضل لكون التسطيح شعار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موافقة الرافضي لنا في ذلك</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في مكان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السنّة أنّ القبر لا يرفع على الأرض رفعاً كثيراً ولا يسنّم، بل يرفع نحو شبر ويسطّح</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ما أوضحناه من نقاش حول رواية أبي الهيّاج من ناحية </w:t>
      </w:r>
      <w:bookmarkStart w:id="183" w:name="pg1606_13702"/>
    </w:p>
    <w:p>
      <w:pPr>
        <w:pStyle w:val="BookText"/>
        <w:rPr/>
      </w:pPr>
      <w:bookmarkEnd w:id="183"/>
      <w:r>
        <w:rPr>
          <w:rFonts w:ascii="Amiri" w:hAnsi="Amiri" w:eastAsia="Amiri" w:cs="Amiri"/>
          <w:color w:val="111111"/>
          <w:sz w:val="28"/>
          <w:sz w:val="28"/>
          <w:szCs w:val="28"/>
          <w:rtl w:val="true"/>
          <w:lang w:bidi="ar-SA"/>
        </w:rPr>
        <w:t>السند والدلالة، تبيّن أنّ هذه الرواية لا يوجد فيها أيّ إثبات لمدّعى الوهابية في تحريم البناء على القبور أو وجوب هدمها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 المراد من التسوية هو هدمها وتسويتها بالأرض، ولكن يحتمل أنّ المراد خصوص قبور المشركين؛ وذلك بقرينة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ولاتمثالاً إلّا طمسته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المشركين كانوا يضعون تماثيلاً على قبور موتاهم، ويعبدونها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نبيّ الإسلام المكرّم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آثار الشرك والوثنية، فأمر بنبش هذه القبور؛ لأنّها تمثّل آثاراً وجذوراً للشرك وعبادة الوثن دون عبادة الواحد الأحد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احتمل المارديني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الجوهرالنقي</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هذا الاحتمال وقبله</w:t>
      </w:r>
      <w:r>
        <w:rPr>
          <w:rFonts w:eastAsia="IRNazanin" w:cs="IRNazanin"/>
          <w:color w:val="111111"/>
          <w:sz w:val="28"/>
          <w:szCs w:val="28"/>
          <w:rtl w:val="true"/>
          <w:lang w:bidi="fa-IR"/>
        </w:rPr>
        <w:t>.</w:t>
      </w:r>
    </w:p>
    <w:p>
      <w:pPr>
        <w:pStyle w:val="Heading4"/>
        <w:numPr>
          <w:ilvl w:val="3"/>
          <w:numId w:val="1"/>
        </w:numPr>
        <w:rPr/>
      </w:pPr>
      <w:bookmarkStart w:id="184" w:name="__RefHeading___Toc897691_3650668749"/>
      <w:bookmarkStart w:id="185" w:name="_Toc73"/>
      <w:bookmarkEnd w:id="184"/>
      <w:r>
        <w:rPr>
          <w:rtl w:val="true"/>
        </w:rPr>
        <w:t>ثالثاً</w:t>
      </w:r>
      <w:r>
        <w:rPr>
          <w:rtl w:val="true"/>
        </w:rPr>
        <w:t xml:space="preserve">: </w:t>
      </w:r>
      <w:r>
        <w:rPr>
          <w:rtl w:val="true"/>
        </w:rPr>
        <w:t>مناقشة روايات النهى عن البناء على القبور</w:t>
      </w:r>
      <w:bookmarkEnd w:id="185"/>
    </w:p>
    <w:p>
      <w:pPr>
        <w:pStyle w:val="Heading5"/>
        <w:numPr>
          <w:ilvl w:val="4"/>
          <w:numId w:val="1"/>
        </w:numPr>
        <w:rPr/>
      </w:pPr>
      <w:bookmarkStart w:id="186" w:name="__RefHeading___Toc897693_3650668749"/>
      <w:bookmarkStart w:id="187" w:name="_Toc74"/>
      <w:bookmarkEnd w:id="186"/>
      <w:r>
        <w:rPr>
          <w:rtl w:val="true"/>
        </w:rPr>
        <w:t>أ</w:t>
      </w:r>
      <w:r>
        <w:rPr>
          <w:rtl w:val="true"/>
        </w:rPr>
        <w:t xml:space="preserve">. </w:t>
      </w:r>
      <w:r>
        <w:rPr>
          <w:rtl w:val="true"/>
        </w:rPr>
        <w:t>سند الروايات</w:t>
      </w:r>
      <w:bookmarkEnd w:id="187"/>
    </w:p>
    <w:p>
      <w:pPr>
        <w:pStyle w:val="BookText"/>
        <w:rPr/>
      </w:pPr>
      <w:r>
        <w:rPr>
          <w:rFonts w:ascii="Amiri" w:hAnsi="Amiri" w:eastAsia="Amiri" w:cs="Amiri"/>
          <w:color w:val="111111"/>
          <w:sz w:val="28"/>
          <w:sz w:val="28"/>
          <w:szCs w:val="28"/>
          <w:rtl w:val="true"/>
          <w:lang w:bidi="ar-SA"/>
        </w:rPr>
        <w:t>أمّا رواية جابر فهي ضعيفة سنداً، لوجود ابن جريح و أبي الزبير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ففيما يخصّ ابن جريح،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عبد العزيز بن جريح، فقد تضاربت فيه الأقوال، وثّقه وجعله موضع اطمئنان كلّ من العجلي، وابن حبّان، وابن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وآخرون كثيرون، كيحيى بن سعيد، أحمد بن حنبل، مالك بن أنس، والدارقطني، اعتبروه ضعيفاً ومدلّساً وغير دقيق</w:t>
      </w:r>
      <w:r>
        <w:rPr>
          <w:rStyle w:val="FootnoteAnchor"/>
          <w:rtl w:val="true"/>
        </w:rPr>
        <w:footnoteReference w:id="17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عن أحمد بن حنبل أنّه قال عن أبي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188" w:name="pg1606_13704"/>
    </w:p>
    <w:p>
      <w:pPr>
        <w:pStyle w:val="BookText"/>
        <w:rPr/>
      </w:pPr>
      <w:bookmarkEnd w:id="188"/>
      <w:r>
        <w:rPr>
          <w:rFonts w:ascii="Amiri" w:hAnsi="Amiri" w:eastAsia="Amiri" w:cs="Amiri"/>
          <w:color w:val="111111"/>
          <w:sz w:val="28"/>
          <w:sz w:val="28"/>
          <w:szCs w:val="28"/>
          <w:rtl w:val="true"/>
          <w:lang w:bidi="ar-SA"/>
        </w:rPr>
        <w:t>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الزبير أبو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أمّا رواية أحمد بن حنبل، فهي ضعيفة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رواية ابن لهيعة عن أبي الزبير عن جابر؟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ضعيف الحديث</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ونُقلت عن يحيى بن سعد هذه العبائر في تضعيف ابن لهيعة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يراه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قبل أن يحترق كتبه وبعد ما احترقت</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ويقول ابن حبّان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شيخاً صالحاً، ولكنّه يدلّس عن الضعفاء قبل احتراق كتبه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أمّا رواية ابن ماجة، التي ذكر فيها شخص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مشترك بين سبعة عشر نفراً كلّهم ما بين وضّاع وكذّاب، لذا تكون أيضاً ساقطة عن الاعتبار ولا يعتمد على سندها</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897695_3650668749"/>
      <w:bookmarkStart w:id="190" w:name="_Toc75"/>
      <w:bookmarkEnd w:id="189"/>
      <w:r>
        <w:rPr>
          <w:rtl w:val="true"/>
        </w:rPr>
        <w:t>ب</w:t>
      </w:r>
      <w:r>
        <w:rPr>
          <w:rtl w:val="true"/>
        </w:rPr>
        <w:t xml:space="preserve">. </w:t>
      </w:r>
      <w:r>
        <w:rPr>
          <w:rtl w:val="true"/>
        </w:rPr>
        <w:t>دلالة الروايات</w:t>
      </w:r>
      <w:bookmarkEnd w:id="190"/>
    </w:p>
    <w:p>
      <w:pPr>
        <w:pStyle w:val="BookText"/>
        <w:rPr/>
      </w:pPr>
      <w:r>
        <w:rPr>
          <w:rFonts w:ascii="Amiri" w:hAnsi="Amiri" w:eastAsia="Amiri" w:cs="Amiri"/>
          <w:color w:val="111111"/>
          <w:sz w:val="28"/>
          <w:sz w:val="28"/>
          <w:szCs w:val="28"/>
          <w:rtl w:val="true"/>
          <w:lang w:bidi="ar-SA"/>
        </w:rPr>
        <w:t>أمّا الروايات التي استُدلّ بها، ففيها من الاختلاف الكبير ما بين ألفاظها ما لا يساعد على إثبات دعوى الوهابيين في تحريمهم البناء على القبور، أو وجوب هدمها؛ وذلك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المنهي عنه في الروايات عدّة أشياء، مثل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إحداث البناء فوق القبور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تجصيص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المشي على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الجلوس على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الإسلام يولي عناية واحترام للإنسان الميت، كما هو حاله حين كان حيّاً، نراه قد نهى عن كثير من الأفعال التي توجب هتكاً لحرمة الميت، وفيها دلالة على عدم التوقير والاحترام له، فنلاحظ أنّ ممّا نهى عنه الشارع أموراً توجب ممارستها إهانة للميت وتقليلاً من احترامه، كالجلوس على القبر والمشي عليه، فليس من البعيد أن يراد من الأمور الأخرى خصوص ما يشترك في صفته مع مثل هذه الأمور الموجبة لتوهين وعدم احترام للميت، وبالتالي يمكن تفسيرها في سياق النهي عنها لأجل الحفاظ على حرمة الإنسان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المراد من النهي عن البناء، خصوص بناء البيوت الشخصية؛ لأنّ هذا الأمر يوجب الجلوس والمرور على القبور ممّا يؤدّي إلى زوال القبور واندراسها بالتدريج، وبالتالي يكون نوع من عدم الاحترام لصاحب هذا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البناء المعدّ للحفاظ على سلامة القبر أو راحة الزائرين له أو لتعيين القبر، غير داخل في البناء المنهي عنه شرعاً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ذلك وجود البناء على بعض قبور الأنبياء والأولياء قبل الإسلام وبعده،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إبراهيم وإسحاق ويعقوب ويوسف في بيت المقدس، وبعض الأنبياء في العراق، وقبر السيّدة حواء في جدّة، وليس في تاريخ الإسلام أثرٌ للأمر بتخريبها وهدمها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ممّا يؤيّد ذلك، بناء المسلمين الأضرحة والقبب على قبور الأنبياء والأولياء والأئمّة والعلماء الصالحين وعلى طوال ألف وثلاثمائة سنة، فحافظوا على بقاء ذكراهم حيّة في ذاكرة الأمّة، ولم‌يعترض أحد على بناء قبّة أو ضريح أو رواق حتّى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الوهّاب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وكمؤيّد ثالث، فهذا قبر النبيّ الكريم وأبو بكر وعمر في بيت عائشة، وإلى يومنا هذا وبعد مرور أربعة عشر قرناً لا يزال المكان على حاله بدون أيّ تغيّر عدا ما يتمّ من عمران وترميم، ولم نسمع يوماً من أفتى بوجوب هدمه الا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وكمؤيّد رابع لما ذكرنا، الحديث المروي 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بيوتكم مقابر</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وهذا دليل على أنّ إحداث البيوت الشخصية على المقابر وجعل هذه البيوت مقابر لدفن الموتى، ممّا يعدّ إهانة للموتى، من الأعمال المنهي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النهي متوجّهاً لإحداث أيّ بناءٍ آخر ولغرض مختلف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أنّ النهي صدر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وثبتت نسبتها له، وأيضاً على فرض قبول دلالتها على أنّها تنهى عن كلّ بناء أيّاً كان شكله، ولكن مع ذلك نقطع بأنّ النهي هنا دالّ على الكراهة وليس على الحرمة؛ لأنّ المفهوم من هذه الجملة كراهة البناء على القبر، ولذا نجد أنّ الكثير من فقهاء أهل السنّة أفتى بكراهة البناء على القبور، وقد 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علماء أهل السنّة على فتوى الكراهة ولا يوجد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w:t>
      </w:r>
      <w:r>
        <w:rPr>
          <w:rFonts w:eastAsia="Amiri" w:cs="Amiri" w:ascii="Amiri" w:hAnsi="Amiri"/>
          <w:color w:val="111111"/>
          <w:sz w:val="28"/>
          <w:szCs w:val="28"/>
          <w:rtl w:val="true"/>
          <w:lang w:bidi="ar-SA"/>
        </w:rPr>
        <w:t xml:space="preserve">- </w:t>
      </w:r>
      <w:bookmarkStart w:id="191" w:name="pg1606_13710"/>
    </w:p>
    <w:p>
      <w:pPr>
        <w:pStyle w:val="BookText"/>
        <w:rPr/>
      </w:pPr>
      <w:bookmarkEnd w:id="191"/>
      <w:r>
        <w:rPr>
          <w:rFonts w:ascii="Amiri" w:hAnsi="Amiri" w:eastAsia="Amiri" w:cs="Amiri"/>
          <w:color w:val="111111"/>
          <w:sz w:val="28"/>
          <w:sz w:val="28"/>
          <w:szCs w:val="28"/>
          <w:rtl w:val="true"/>
          <w:lang w:bidi="ar-SA"/>
        </w:rPr>
        <w:t>على الإفتاء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فيتبيّن أنّ هذه الروايات، حتّى مع غضّ النظر عن سندها وبعض الإشكالات الأخرى عليها، أقصى ما تدلّ عليه كراهة البناء على القبور، ولا تدلّ على حرمة البناء أو وجوب تخريبه بتاتاً</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897697_3650668749"/>
      <w:bookmarkStart w:id="193" w:name="_Toc76"/>
      <w:bookmarkEnd w:id="192"/>
      <w:r>
        <w:rPr>
          <w:rtl w:val="true"/>
        </w:rPr>
        <w:t>رابعاً</w:t>
      </w:r>
      <w:r>
        <w:rPr>
          <w:rtl w:val="true"/>
        </w:rPr>
        <w:t xml:space="preserve">: </w:t>
      </w:r>
      <w:r>
        <w:rPr>
          <w:rtl w:val="true"/>
        </w:rPr>
        <w:t>مناقشة الدليل الرابع</w:t>
      </w:r>
      <w:bookmarkEnd w:id="193"/>
    </w:p>
    <w:p>
      <w:pPr>
        <w:pStyle w:val="Heading5"/>
        <w:numPr>
          <w:ilvl w:val="4"/>
          <w:numId w:val="1"/>
        </w:numPr>
        <w:rPr/>
      </w:pPr>
      <w:bookmarkStart w:id="194" w:name="__RefHeading___Toc897699_3650668749"/>
      <w:bookmarkStart w:id="195" w:name="_Toc77"/>
      <w:bookmarkEnd w:id="194"/>
      <w:r>
        <w:rPr>
          <w:rtl w:val="true"/>
        </w:rPr>
        <w:t>اشاره</w:t>
      </w:r>
      <w:bookmarkEnd w:id="195"/>
    </w:p>
    <w:p>
      <w:pPr>
        <w:pStyle w:val="BookText"/>
        <w:rPr/>
      </w:pPr>
      <w:r>
        <w:rPr>
          <w:rFonts w:ascii="Amiri" w:hAnsi="Amiri" w:eastAsia="Amiri" w:cs="Amiri"/>
          <w:color w:val="111111"/>
          <w:sz w:val="28"/>
          <w:sz w:val="28"/>
          <w:szCs w:val="28"/>
          <w:rtl w:val="true"/>
          <w:lang w:bidi="ar-SA"/>
        </w:rPr>
        <w:t>هل البناء على قبور الأولياء من الشرك؟</w:t>
      </w:r>
    </w:p>
    <w:p>
      <w:pPr>
        <w:pStyle w:val="BookText"/>
        <w:rPr/>
      </w:pPr>
      <w:r>
        <w:rPr>
          <w:rFonts w:ascii="Amiri" w:hAnsi="Amiri" w:eastAsia="Amiri" w:cs="Amiri"/>
          <w:color w:val="111111"/>
          <w:sz w:val="28"/>
          <w:sz w:val="28"/>
          <w:szCs w:val="28"/>
          <w:rtl w:val="true"/>
          <w:lang w:bidi="ar-SA"/>
        </w:rPr>
        <w:t>يقول الوهّابيون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يبنون قبور الأنبياء والأئمّة والأولياء الصالحين وعلماء الدين ببناء فخم وقبب مرتفعة كبيرة وأروقة واسعة عظيمة، ويقصدونها للزيارة والتعظيم والتقديس، ويبكون عندها ويتوسّلون، وكلّ هذه الأعمال من الشرك بالله تعالى، وأعظم من عبادة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في ردّ هذا الافتراء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 في دينه الإسلامي بتعظيم واحترام الجنائز، ونجده قد أعطى أوامر خاصّة تدلّ على مثل هذا الاحترام والتوقير،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تغسيل الأموات وتحنيطهم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تكفينهم بكفن نظيف من القماش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الميّت قبل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تشييع جنازة المتوفّى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العزاء على روحه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قبره عن الأرض بمقدار أربع أصابع أو شبر</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وكلّ هذه الأمور تدلّ على رجحان توقير الميت واحترامه وإعظامه وتكريمه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شكّ فيه أنّ جنائز الموتى من الأولياء والصلحاء أولى بالاحترام والتجليل وأكثر 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فما المشكلة أن نقوم بالحفاظ على القبر وبناء ضريح عليه من باب الاحترام والتبجيل والتوقير؟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توقير واحترام الشيعة للقبور شركٌ؟</w:t>
      </w:r>
    </w:p>
    <w:p>
      <w:pPr>
        <w:pStyle w:val="BookText"/>
        <w:rPr/>
      </w:pPr>
      <w:r>
        <w:rPr>
          <w:rFonts w:ascii="Amiri" w:hAnsi="Amiri" w:eastAsia="Amiri" w:cs="Amiri"/>
          <w:color w:val="111111"/>
          <w:sz w:val="28"/>
          <w:sz w:val="28"/>
          <w:szCs w:val="28"/>
          <w:rtl w:val="true"/>
          <w:lang w:bidi="ar-SA"/>
        </w:rPr>
        <w:t>فإذا كان مرادكم من ذلك أنّ الشيعة يلجأون للقبور للاستجارة بها وعبادتها بدلاً من الله الواحد الأحد، فهذا الأمر إن كان متحقّقاً في الواقع فهو شرك نعوذ بالله منه، وعلى كلّ المسلمين محاربته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المتيقّن أنّ مثل هكذا أمر غير موجود، وإنّما هي إشاعات مغرضة من ابن تيميّة وابن القيّم وبعض المتشدّدين الآخرين من أهل السنّة، وتخبّط أعمى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نزور هذه الأضرحة والمراقد المباركة، لا نجد سوى عبادة الله الواحد القهّار، وعلى العكس فالناس عندما يأتون إلى هذه الأماكن، ليس فقط تراهم لا يغفلوا عن عبادة الله تعالى، كما ادّعى المغرضون، بل يعيشون حالات إيمانية ومعنوية، ومحاسبة النفس أمام الله تعالى، والدعاء والتضرّع إليه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أنّك أقمت الصلاة، وآتيت الزكاة، وأمرت بالمعروف، ونهيت عن المنكر</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يمكن لكم أن تتّهموا هؤلاء بالشرك، في حين أنّهم جميعاً يتّجهون في صلاتهم إلى القبلة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تهمزونهم او تنبزونهم </w:t>
      </w:r>
    </w:p>
    <w:p>
      <w:pPr>
        <w:pStyle w:val="BookText"/>
        <w:rPr/>
      </w:pPr>
      <w:r>
        <w:rPr>
          <w:rFonts w:ascii="Amiri" w:hAnsi="Amiri" w:eastAsia="Amiri" w:cs="Amiri"/>
          <w:color w:val="111111"/>
          <w:sz w:val="28"/>
          <w:sz w:val="28"/>
          <w:szCs w:val="28"/>
          <w:rtl w:val="true"/>
          <w:lang w:bidi="ar-SA"/>
        </w:rPr>
        <w:t xml:space="preserve">بالشرك وحين تنظرون إلى جدران هذه المراقد والأضرحة تجدونها تزخر بالآيات القرآنية وأسماء الله الحسنى؟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مرادكم أنّ البناء على هذه القبور وتشييدها يرفع من مقام أصحابها ويعلي شأنهم، فهذا عين الصواب، وليس هو بالأمر الذميم أو المستقبح؛ لأنّ تعظيمَ أولياءِ الله تعالى وتكريمهم والحفاظ على مراقدهم وأضرحتهم، إنّما هو تعظيم وتخليد للقيم التي دافعوا عنها، والطريق الذي ساروا فيه، والذي يمثّل قمّة العبودية والإخلاص لله تعالى، وهذا في حقيقته تعظيم لشعائر الله تعالى، التي قال الله تعالى عنها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مَنْ يُعَظِّمْ شَعائِرَ اللَّهِ فَإِنَّها مِنْ تَقْوَى الْقُلُوبِ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وإنّنا لنسأل من هؤلاء لماذا نجد أسماء النبيّ والخلفاء والصحابة قد كتبت بعد اسم الله تعالى على جدران الحرم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خطّت أسماء النبيّ والخلفاء في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كثير من شوارع مكّة والمدينة وبقية المدن الإسلامية تحمل أسماء الصحابة والتابعين؟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ذلك كلّه لأجل تجليل هؤلاء وتكريمهم وتذكّرهم وتقديراً لمكانتهم؟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بناء القبة والأروقة على القبور، ليس إلّا لأجل تكريم هؤلاء وتبجيلهم وتذكّرهم داخل المجتمع بقيمهم التي عاشوا واستشهدوا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من اللائق اتّهام الشيعة بالشرك لكونهم يعظّمون أولياء الله تعالى، والذي في حقيقته تعظيم لله تعالى؟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ونسألهم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البناء على قبور الأنبياء والأولياء وتشييد القبب عليها من الشرك والأمور المحرمة، لماذا كان المسلمون يقومون بذلك طوال ألف وثلاثمائة سنة وحتّى زمن ابن عبد الوهّاب، </w:t>
      </w:r>
      <w:bookmarkStart w:id="196" w:name="pg1606_13717"/>
    </w:p>
    <w:p>
      <w:pPr>
        <w:pStyle w:val="BookText"/>
        <w:rPr/>
      </w:pPr>
      <w:bookmarkEnd w:id="196"/>
      <w:r>
        <w:rPr>
          <w:rFonts w:ascii="Amiri" w:hAnsi="Amiri" w:eastAsia="Amiri" w:cs="Amiri"/>
          <w:color w:val="111111"/>
          <w:sz w:val="28"/>
          <w:sz w:val="28"/>
          <w:szCs w:val="28"/>
          <w:rtl w:val="true"/>
          <w:lang w:bidi="ar-SA"/>
        </w:rPr>
        <w:t xml:space="preserve">ولم‌تعترض أيّ شخصية علمية أو جهة مذهبية على ذلك؟ أوَ ليس على قبر أبي‌حنيفة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على قبر مالك في البقيع قبّة؟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أليس لقبر الشافعي في مصر ضريح؟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لقبور أئمّة البقيع، الإمام الحسن والسجّاد 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ولسنين طوال قبب وأضرحة؟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لقبر عبدالمطّلب، وأبي طالب، وخديجة في مقبرة أبي طالب أبنية؟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لقبور أحمد بن محمّد بن غالب وابن الباجي وأمثالهم قبب؟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فبناء القبب والأبنية على القبور هو ديدن لمسلمين، فكيف يكون بناء كلّ هذه، هكذا ومرّة واحدة، من الشرك وفعل المحرّم، وأنّ علماء الدول الإسلامية سكتوا عنه جميعاً؟ </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897701_3650668749"/>
      <w:bookmarkStart w:id="198" w:name="_Toc78"/>
      <w:bookmarkEnd w:id="197"/>
      <w:r>
        <w:rPr>
          <w:rtl w:val="true"/>
        </w:rPr>
        <w:t>مناقشة الاستدلال بروايات ارتفاع القبر</w:t>
      </w:r>
      <w:bookmarkEnd w:id="198"/>
    </w:p>
    <w:p>
      <w:pPr>
        <w:pStyle w:val="BookText"/>
        <w:rPr/>
      </w:pPr>
      <w:r>
        <w:rPr>
          <w:rFonts w:ascii="Amiri" w:hAnsi="Amiri" w:eastAsia="Amiri" w:cs="Amiri"/>
          <w:color w:val="111111"/>
          <w:sz w:val="28"/>
          <w:sz w:val="28"/>
          <w:szCs w:val="28"/>
          <w:rtl w:val="true"/>
          <w:lang w:bidi="ar-SA"/>
        </w:rPr>
        <w:t xml:space="preserve">في الختام لا بأس بالتعرّض إلى استدلال آخر مغرض ينمّ عن جهل، استدلّ به لتدعيم أفكار الوهابيين وإثبات حرمة بناء القبب والأبنية على قبور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عند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وتمّ توزيعه بشكلٍ واسع بين صفوف حجاج بيت‌الله الحرام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الكتاب ذكر للروايات الدالة على استحباب رفع القبور بمقدار أربع أصابع أو شبر عن الأرض، وخلص من خلاله إلى عدم جواز بناء الأبنية والقبب على قبور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وبأقل تمعّن في الكتاب يتّضح أنّ المؤلّف ومترجم الكتاب </w:t>
      </w:r>
      <w:r>
        <w:rPr>
          <w:rStyle w:val="FootnoteAnchor"/>
          <w:rtl w:val="true"/>
        </w:rPr>
        <w:footnoteReference w:id="184"/>
      </w:r>
      <w:r>
        <w:rPr>
          <w:rFonts w:ascii="Amiri" w:hAnsi="Amiri" w:eastAsia="Amiri" w:cs="Amiri"/>
          <w:color w:val="111111"/>
          <w:sz w:val="28"/>
          <w:sz w:val="28"/>
          <w:szCs w:val="28"/>
          <w:rtl w:val="true"/>
          <w:lang w:bidi="ar-SA"/>
        </w:rPr>
        <w:t xml:space="preserve">لا يتمتّعون بالدراية والخبرة الكافية بمتون الأحاديث وكتب الأخبار واستخلاص النتائج </w:t>
      </w:r>
      <w:bookmarkStart w:id="199" w:name="pg1606_13719"/>
    </w:p>
    <w:p>
      <w:pPr>
        <w:pStyle w:val="BookText"/>
        <w:rPr/>
      </w:pPr>
      <w:bookmarkEnd w:id="199"/>
      <w:r>
        <w:rPr>
          <w:rFonts w:ascii="Amiri" w:hAnsi="Amiri" w:eastAsia="Amiri" w:cs="Amiri"/>
          <w:color w:val="111111"/>
          <w:sz w:val="28"/>
          <w:sz w:val="28"/>
          <w:szCs w:val="28"/>
          <w:rtl w:val="true"/>
          <w:lang w:bidi="ar-SA"/>
        </w:rPr>
        <w:t>منها، وإنّما كان هدفهم مجرّد حرف الرأي العام من خلال التحريف اللفظي والمعنوي الذي مارسوه في روايات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نشرع بذكر هذا الاستدلال، ثمّ نبدأ بالإجابة عليه</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897703_3650668749"/>
      <w:bookmarkStart w:id="201" w:name="_Toc79"/>
      <w:bookmarkEnd w:id="200"/>
      <w:r>
        <w:rPr>
          <w:rtl w:val="true"/>
        </w:rPr>
        <w:t>نصّ الاستدلال</w:t>
      </w:r>
      <w:bookmarkEnd w:id="201"/>
    </w:p>
    <w:p>
      <w:pPr>
        <w:pStyle w:val="BookText"/>
        <w:rPr/>
      </w:pPr>
      <w:r>
        <w:rPr>
          <w:rFonts w:ascii="Amiri" w:hAnsi="Amiri" w:eastAsia="Amiri" w:cs="Amiri"/>
          <w:color w:val="111111"/>
          <w:sz w:val="28"/>
          <w:sz w:val="28"/>
          <w:szCs w:val="28"/>
          <w:rtl w:val="true"/>
          <w:lang w:bidi="ar-SA"/>
        </w:rPr>
        <w:t>من خلال الروايات والأخبار الواردة في كتب الشيعة يتبيّن أنّ مقدار رفع القبر هو أربع أصابع أو شبر أو ما بينهما، ولا ينقص من ذلك ولايُزاد عليه، واعلم أنّه لو كان رفع القبر مطلقاً جائزاً لما قيّدت الأخبار الواردة رفع القبر بهذا المقدار، ولَمَا أوصى الأئمّة برفعه بهذا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الروايات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ادفنِّي في هذا المكان، وارفع قبري من الأرض أربع أصابع، ورشّ عليه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أصول الكافي،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صص </w:t>
      </w:r>
      <w:r>
        <w:rPr>
          <w:rFonts w:ascii="Amiri" w:hAnsi="Amiri" w:eastAsia="Amiri" w:cs="Amiri"/>
          <w:color w:val="111111"/>
          <w:sz w:val="28"/>
          <w:sz w:val="28"/>
          <w:szCs w:val="28"/>
          <w:lang w:bidi="ar-SA"/>
        </w:rPr>
        <w:t>۴۵٠</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۴۵١</w:t>
      </w:r>
      <w:r>
        <w:rPr>
          <w:rFonts w:ascii="Amiri" w:hAnsi="Amiri" w:eastAsia="Amiri" w:cs="Amiri"/>
          <w:color w:val="111111"/>
          <w:sz w:val="28"/>
          <w:sz w:val="28"/>
          <w:szCs w:val="28"/>
          <w:rtl w:val="true"/>
          <w:lang w:bidi="ar-SA"/>
        </w:rPr>
        <w:t xml:space="preserve">؛ وسائل الشيعة،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٨۵۶</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عن أبيه</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أنّ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شبراً من الأرض،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برشّ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الشيعة،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٨۵٧</w:t>
      </w:r>
      <w:r>
        <w:rPr>
          <w:rFonts w:ascii="Amiri" w:hAnsi="Amiri" w:eastAsia="Amiri" w:cs="Amiri"/>
          <w:color w:val="111111"/>
          <w:sz w:val="28"/>
          <w:sz w:val="28"/>
          <w:szCs w:val="28"/>
          <w:rtl w:val="true"/>
          <w:lang w:bidi="ar-SA"/>
        </w:rPr>
        <w:t xml:space="preserve">؛ علل الشرائع، ص </w:t>
      </w:r>
      <w:r>
        <w:rPr>
          <w:rFonts w:ascii="Amiri" w:hAnsi="Amiri" w:eastAsia="Amiri" w:cs="Amiri"/>
          <w:color w:val="111111"/>
          <w:sz w:val="28"/>
          <w:sz w:val="28"/>
          <w:szCs w:val="28"/>
          <w:lang w:bidi="ar-SA"/>
        </w:rPr>
        <w:t>٣٠٧</w:t>
      </w:r>
      <w:r>
        <w:rPr>
          <w:rFonts w:ascii="Amiri" w:hAnsi="Amiri" w:eastAsia="Amiri" w:cs="Amiri"/>
          <w:color w:val="111111"/>
          <w:sz w:val="28"/>
          <w:sz w:val="28"/>
          <w:szCs w:val="28"/>
          <w:rtl w:val="true"/>
          <w:lang w:bidi="ar-SA"/>
        </w:rPr>
        <w:t xml:space="preserve">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من الأرض قدر شبر وأربع أصابع، ورشّ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أن يُرشّ على القبر الماء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وسائل الشيعة،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٨۵٨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قال لي ذات يوم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w:t>
      </w:r>
    </w:p>
    <w:p>
      <w:pPr>
        <w:pStyle w:val="BookText"/>
        <w:rPr/>
      </w:pPr>
      <w:r>
        <w:rPr>
          <w:rFonts w:ascii="Amiri" w:hAnsi="Amiri" w:eastAsia="Amiri" w:cs="Amiri"/>
          <w:color w:val="111111"/>
          <w:sz w:val="28"/>
          <w:sz w:val="28"/>
          <w:szCs w:val="28"/>
          <w:rtl w:val="true"/>
          <w:lang w:bidi="ar-SA"/>
        </w:rPr>
        <w:t>متّ فغسّلني وكفنّي، وارفع قبري أربع أصابع، ورشّه بالماء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فروع الكافي،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وسائل الشيعة،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٨۵٧</w:t>
      </w:r>
      <w:r>
        <w:rPr>
          <w:rFonts w:ascii="Amiri" w:hAnsi="Amiri" w:eastAsia="Amiri" w:cs="Amiri"/>
          <w:color w:val="111111"/>
          <w:sz w:val="28"/>
          <w:sz w:val="28"/>
          <w:szCs w:val="28"/>
          <w:rtl w:val="true"/>
          <w:lang w:bidi="ar-SA"/>
        </w:rPr>
        <w:t xml:space="preserve">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أمرني أن أرفع القبر عن الأرض أربع أصابع مفرجات، وذكر أنّ رشّ القبر بالماء حسن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فروع الكافي،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١۴٠</w:t>
      </w:r>
      <w:r>
        <w:rPr>
          <w:rFonts w:ascii="Amiri" w:hAnsi="Amiri" w:eastAsia="Amiri" w:cs="Amiri"/>
          <w:color w:val="111111"/>
          <w:sz w:val="28"/>
          <w:sz w:val="28"/>
          <w:szCs w:val="28"/>
          <w:rtl w:val="true"/>
          <w:lang w:bidi="ar-SA"/>
        </w:rPr>
        <w:t xml:space="preserve">؛ وسائل الشيعة،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٨۵٧</w:t>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أبي أن أجعل ارتفاع قبره أربع أصابع مفرجات، وذكر أنّ الرشّ بالماء 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إذا أدخلت الميت القبر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وسائل الشيعة،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٨۵٧</w:t>
      </w:r>
      <w:r>
        <w:rPr>
          <w:rFonts w:ascii="Amiri" w:hAnsi="Amiri" w:eastAsia="Amiri" w:cs="Amiri"/>
          <w:color w:val="111111"/>
          <w:sz w:val="28"/>
          <w:sz w:val="28"/>
          <w:szCs w:val="28"/>
          <w:rtl w:val="true"/>
          <w:lang w:bidi="ar-SA"/>
        </w:rPr>
        <w:t xml:space="preserve">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تسلم من قبل الرجلين، وتلزق القبر بالأرض إلّا قدر أربع أصابع مفرجات تربع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فروع الكافي،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١٩۵</w:t>
      </w:r>
      <w:r>
        <w:rPr>
          <w:rFonts w:ascii="Amiri" w:hAnsi="Amiri" w:eastAsia="Amiri" w:cs="Amiri"/>
          <w:color w:val="111111"/>
          <w:sz w:val="28"/>
          <w:sz w:val="28"/>
          <w:szCs w:val="28"/>
          <w:rtl w:val="true"/>
          <w:lang w:bidi="ar-SA"/>
        </w:rPr>
        <w:t xml:space="preserve">؛ وسائل الشيعة،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٨۴٨</w:t>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للميت حين يُدخل حفرته، ويرفع القبر فوق الأرض أربع أصابع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فروع الكافي، ج</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٢٠١</w:t>
      </w:r>
      <w:r>
        <w:rPr>
          <w:rFonts w:ascii="Amiri" w:hAnsi="Amiri" w:eastAsia="Amiri" w:cs="Amiri"/>
          <w:color w:val="111111"/>
          <w:sz w:val="28"/>
          <w:sz w:val="28"/>
          <w:szCs w:val="28"/>
          <w:rtl w:val="true"/>
          <w:lang w:bidi="ar-SA"/>
        </w:rPr>
        <w:t xml:space="preserve">؛ وسائل الشيعة،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٨۵۶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يدخل معه في قبره جريدة رطبة، ويرفع قبره من الأرض إلّا قدر أربع أصابع مضمومة، وينضح عليه الماء ويخلّى عنه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فروع الكافي،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١٩٩</w:t>
      </w:r>
      <w:r>
        <w:rPr>
          <w:rFonts w:ascii="Amiri" w:hAnsi="Amiri" w:eastAsia="Amiri" w:cs="Amiri"/>
          <w:color w:val="111111"/>
          <w:sz w:val="28"/>
          <w:sz w:val="28"/>
          <w:szCs w:val="28"/>
          <w:rtl w:val="true"/>
          <w:lang w:bidi="ar-SA"/>
        </w:rPr>
        <w:t>؛ وسائل الشيعة، ج</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٨۵۶</w:t>
      </w:r>
      <w:r>
        <w:rPr>
          <w:rFonts w:ascii="Amiri" w:hAnsi="Amiri" w:eastAsia="Amiri" w:cs="Amiri"/>
          <w:color w:val="111111"/>
          <w:sz w:val="28"/>
          <w:sz w:val="28"/>
          <w:szCs w:val="28"/>
          <w:rtl w:val="true"/>
          <w:lang w:bidi="ar-SA"/>
        </w:rPr>
        <w:t xml:space="preserve"> وغيرهما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الآخوندي المعلّق على الكافي، تعليقاً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يعمل عليه شيء آخر من جصّ وآجر وبناء، أو لا يتوقّف عنده، بل ينصرف عنه، وعلى كلّ واحد منهما يكون مؤيّداً لما </w:t>
      </w:r>
    </w:p>
    <w:p>
      <w:pPr>
        <w:pStyle w:val="BookText"/>
        <w:rPr/>
      </w:pPr>
      <w:r>
        <w:rPr>
          <w:rFonts w:ascii="Amiri" w:hAnsi="Amiri" w:eastAsia="Amiri" w:cs="Amiri"/>
          <w:color w:val="111111"/>
          <w:sz w:val="28"/>
          <w:sz w:val="28"/>
          <w:szCs w:val="28"/>
          <w:rtl w:val="true"/>
          <w:lang w:bidi="ar-SA"/>
        </w:rPr>
        <w:t>ورد من الأخبار في كلّ منهما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هامش رقم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على فروع الكافي، ج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١٩٩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طويل فيه ذكر وفاة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حُملت إلى المقبرة المعروفة بمقابر قريش فألحدوني بها، ولاترفعوا قبري فوق أربع أصابع مفرجات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عيون أخبار الرضا،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٨۴</w:t>
      </w:r>
      <w:r>
        <w:rPr>
          <w:rFonts w:ascii="Amiri" w:hAnsi="Amiri" w:eastAsia="Amiri" w:cs="Amiri"/>
          <w:color w:val="111111"/>
          <w:sz w:val="28"/>
          <w:sz w:val="28"/>
          <w:szCs w:val="28"/>
          <w:rtl w:val="true"/>
          <w:lang w:bidi="ar-SA"/>
        </w:rPr>
        <w:t xml:space="preserve">؛ وسائل الشيعة،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٨۵٨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جمال الدين العاملي المعروف بالشهيد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القبر عن وجه الأرض بمقدار أربع أصابع مفرجات إلى شبر لاأزيد ليعرف فيُزار فيحترم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اللمعة الدمشقية، ج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۴١٠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 الطائفة أبو جعفر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أراد الخروج من القبر فليخرج من قبل رجليه، ثمّ يطم القبر، ويرفع من الأرض مقدار أربع أصابع، ولا يطرح فيه من غير ترابه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النهاية، ص</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 البعض على ما تقدّم من روايات النهي عن رفع القبور بعدّة اعتراضات، نعرض أهمّها مع الجواب عنها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قبور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 روايات النهي المتقدّمة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أنفسهم أمروا ووصّوا بعدم رفع قبورهم أكثر من شبر وأربع أصابع، كما ذكرته بعض الروايات التي مرّت، وهذا يردّ على هذا الاستثناء، بل يدلّ على أنّ النهي في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آكد</w:t>
      </w:r>
      <w:r>
        <w:rPr>
          <w:rFonts w:eastAsia="Amiri" w:cs="Amiri" w:ascii="Amiri" w:hAnsi="Amiri"/>
          <w:color w:val="111111"/>
          <w:sz w:val="28"/>
          <w:szCs w:val="28"/>
          <w:rtl w:val="true"/>
          <w:lang w:bidi="ar-SA"/>
        </w:rPr>
        <w:t xml:space="preserve">» . </w:t>
      </w:r>
      <w:bookmarkStart w:id="202" w:name="pg1606_13725"/>
    </w:p>
    <w:p>
      <w:pPr>
        <w:pStyle w:val="Heading5"/>
        <w:numPr>
          <w:ilvl w:val="4"/>
          <w:numId w:val="1"/>
        </w:numPr>
        <w:rPr/>
      </w:pPr>
      <w:bookmarkStart w:id="203" w:name="__RefHeading___Toc897705_3650668749"/>
      <w:bookmarkStart w:id="204" w:name="_Toc80"/>
      <w:bookmarkEnd w:id="202"/>
      <w:bookmarkEnd w:id="203"/>
      <w:r>
        <w:rPr>
          <w:rtl w:val="true"/>
        </w:rPr>
        <w:t>مناقشة هذا الاستدلال</w:t>
      </w:r>
      <w:bookmarkEnd w:id="204"/>
    </w:p>
    <w:p>
      <w:pPr>
        <w:pStyle w:val="Heading6"/>
        <w:numPr>
          <w:ilvl w:val="5"/>
          <w:numId w:val="1"/>
        </w:numPr>
        <w:rPr/>
      </w:pPr>
      <w:bookmarkStart w:id="205" w:name="__RefHeading___Toc897707_3650668749"/>
      <w:bookmarkStart w:id="206" w:name="_Toc81"/>
      <w:bookmarkEnd w:id="205"/>
      <w:r>
        <w:rPr>
          <w:rtl w:val="true"/>
        </w:rPr>
        <w:t>اشاره</w:t>
      </w:r>
      <w:bookmarkEnd w:id="206"/>
    </w:p>
    <w:p>
      <w:pPr>
        <w:pStyle w:val="BookText"/>
        <w:rPr/>
      </w:pPr>
      <w:r>
        <w:rPr>
          <w:rFonts w:ascii="Amiri" w:hAnsi="Amiri" w:eastAsia="Amiri" w:cs="Amiri"/>
          <w:color w:val="111111"/>
          <w:sz w:val="28"/>
          <w:sz w:val="28"/>
          <w:szCs w:val="28"/>
          <w:rtl w:val="true"/>
          <w:lang w:bidi="ar-SA"/>
        </w:rPr>
        <w:t>إنّ هذا الاستدلال فيه وجوه للمناقشة في أكثر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الروايات ليس لها علاقة ببناء القبب والأضرحة على قبور الأنبياء والأئمّة والأولياء؛ لأنّ كلّ هذه الروايات تتحدّث عن القبر الذي هو مكان دفن الجسد، وهي إنّما تحثّ وتؤكّد على هذا الشيء لكي يكون القبر متميّزاً، وعدم ترك القبر بمستوى الأرض من حواليه ليتشخّص عند زيارته ولا يضيع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والمؤلّف ولغرض خداع القارئ، ربط بين مسألة رفع القبر بمقدار معيّن وبناء القبب والأبنية على القبور، واستنتج حرمة بنائها عليه، فاتّضح وجه المغالطة والخداع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غضضنا النظر عن مناقشتنا السابقة للمؤلّف، وقبلنا أنّ جملة رفع القبر المذكورة في الروايات يمكن أن تكون شاملة في دلالتها للقبب والأبنية والأضرحة على القبور، ولكن حتّى مع ذلك فالروايات التي يذكرها المؤلّف مستدلّاً بها لا تمنع من بناء القبب والأضرحة؛ لأنّ الروايات التي ذكرها في مقام الاستدلال على حرمة ذلك، يمكن تصنيفها إلى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استحباب رفع القبر أربع أصابع أو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المانعة عن رفع القبر أكثر من الحدّ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أقوال الفقهاء التي ذكرها بعنوان أنّها روايات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 شخص له اطّلاع يسير على قواعد وأسس الاستنباط من الروايات والأحاديث، سيكتشف أنّ المؤلّف والمترجم كلاهما لا دراية </w:t>
      </w:r>
      <w:bookmarkStart w:id="207" w:name="pg1606_13726"/>
    </w:p>
    <w:p>
      <w:pPr>
        <w:pStyle w:val="BookText"/>
        <w:rPr/>
      </w:pPr>
      <w:bookmarkEnd w:id="207"/>
      <w:r>
        <w:rPr>
          <w:rFonts w:ascii="Amiri" w:hAnsi="Amiri" w:eastAsia="Amiri" w:cs="Amiri"/>
          <w:color w:val="111111"/>
          <w:sz w:val="28"/>
          <w:sz w:val="28"/>
          <w:szCs w:val="28"/>
          <w:rtl w:val="true"/>
          <w:lang w:bidi="ar-SA"/>
        </w:rPr>
        <w:t>له بفنّ الاستنباط من الروايات، ولا يمتّ له بأدنى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أن نتابع هذه الأصناف الثلاثة ونناقشها كلّ على حدة</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897709_3650668749"/>
      <w:bookmarkStart w:id="209" w:name="_Toc82"/>
      <w:bookmarkEnd w:id="208"/>
      <w:r>
        <w:rPr>
          <w:rtl w:val="true"/>
        </w:rPr>
        <w:t>الصنف الأوّل من الروايات</w:t>
      </w:r>
      <w:bookmarkEnd w:id="209"/>
    </w:p>
    <w:p>
      <w:pPr>
        <w:pStyle w:val="BookText"/>
        <w:rPr/>
      </w:pPr>
      <w:r>
        <w:rPr>
          <w:rFonts w:ascii="Amiri" w:hAnsi="Amiri" w:eastAsia="Amiri" w:cs="Amiri"/>
          <w:color w:val="111111"/>
          <w:sz w:val="28"/>
          <w:sz w:val="28"/>
          <w:szCs w:val="28"/>
          <w:rtl w:val="true"/>
          <w:lang w:bidi="ar-SA"/>
        </w:rPr>
        <w:t>روايات هذا الصنف يمكن حصرها بمجموعة من الروايات التي 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الرواية يأمر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قبره أربع أصابع عن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فتخبر الرواية الثانية عن رفع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عن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الثالثة تخبر عن رفع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 وأربع أصابع عن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الرابعة والخامسة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الروايات يأمر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قبره عن وجه الأرض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 يوصى برفع قبر الميت بأربع أصابع، كما أُوصى بالدعاء للميت عند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الرواية التي ذكر فيها بشكل صريح استحباب رفع القبر أربع أصابع عن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الثامنة والتاسعة تحكي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أمر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نحو الاستحباب وليس الوجوب</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يستفاد من جميع هذه الروايات حكم استحباب رفع القبر عن الأرض بهذا المقدار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ماذا عن رفع القبر أكثر من ذلك؟ </w:t>
      </w:r>
    </w:p>
    <w:p>
      <w:pPr>
        <w:pStyle w:val="BookText"/>
        <w:rPr/>
      </w:pPr>
      <w:r>
        <w:rPr>
          <w:rFonts w:ascii="Amiri" w:hAnsi="Amiri" w:eastAsia="Amiri" w:cs="Amiri"/>
          <w:color w:val="111111"/>
          <w:sz w:val="28"/>
          <w:sz w:val="28"/>
          <w:szCs w:val="28"/>
          <w:rtl w:val="true"/>
          <w:lang w:bidi="ar-SA"/>
        </w:rPr>
        <w:t>فالروايات ساكتة عن ذلك، وليس فيها دلالة على عدم جوازه، كما أنّ ليس فيها دلالة على عدم استحبابه كذلك؛ لأنّ لازم القول بأنّ الرواية دالّة على عدم استحباب البناء على القبور أكثرَ من أربع أصابع أو شبر، كما في القبب والأضرحة، الالتزام بثبوت المفهوم للعدد والقول بحجّيته</w:t>
      </w:r>
      <w:r>
        <w:rPr>
          <w:rStyle w:val="FootnoteAnchor"/>
          <w:rtl w:val="true"/>
        </w:rPr>
        <w:footnoteReference w:id="187"/>
      </w:r>
      <w:r>
        <w:rPr>
          <w:rFonts w:ascii="Amiri" w:hAnsi="Amiri" w:eastAsia="Amiri" w:cs="Amiri"/>
          <w:color w:val="111111"/>
          <w:sz w:val="28"/>
          <w:sz w:val="28"/>
          <w:szCs w:val="28"/>
          <w:rtl w:val="true"/>
          <w:lang w:bidi="ar-SA"/>
        </w:rPr>
        <w:t>، في حين أنّ كثيراً من علماء أصول الفقه، شيعة وسنّة، لا يرون حجّية مفهوم العدد، كما نُقل ذلك عن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المارديني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الجوهرالنقي</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 وابن نجيم المصري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الرائق</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والنووي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 والمباركفوري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 والمناوي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لم يقل بحجّية مفهوم العدد، وأنّ ذكر عدد معيّن لا يعني نفي ما هو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w:t>
      </w:r>
      <w:r>
        <w:rPr>
          <w:rStyle w:val="FootnoteAnchor"/>
          <w:rtl w:val="true"/>
        </w:rPr>
        <w:footnoteReference w:id="194"/>
      </w:r>
      <w:r>
        <w:rPr>
          <w:rFonts w:ascii="Amiri" w:hAnsi="Amiri" w:eastAsia="Amiri" w:cs="Amiri"/>
          <w:color w:val="111111"/>
          <w:sz w:val="28"/>
          <w:sz w:val="28"/>
          <w:szCs w:val="28"/>
          <w:rtl w:val="true"/>
          <w:lang w:bidi="ar-SA"/>
        </w:rPr>
        <w:t xml:space="preserve">، والكرماني </w:t>
      </w:r>
      <w:r>
        <w:rPr>
          <w:rStyle w:val="FootnoteAnchor"/>
          <w:rtl w:val="true"/>
        </w:rPr>
        <w:footnoteReference w:id="195"/>
      </w:r>
      <w:r>
        <w:rPr>
          <w:rFonts w:ascii="Amiri" w:hAnsi="Amiri" w:eastAsia="Amiri" w:cs="Amiri"/>
          <w:color w:val="111111"/>
          <w:sz w:val="28"/>
          <w:sz w:val="28"/>
          <w:szCs w:val="28"/>
          <w:rtl w:val="true"/>
          <w:lang w:bidi="ar-SA"/>
        </w:rPr>
        <w:t>، والإمام الرازي</w:t>
      </w:r>
      <w:r>
        <w:rPr>
          <w:rStyle w:val="FootnoteAnchor"/>
          <w:rtl w:val="true"/>
        </w:rPr>
        <w:footnoteReference w:id="196"/>
      </w:r>
      <w:r>
        <w:rPr>
          <w:rFonts w:ascii="Amiri" w:hAnsi="Amiri" w:eastAsia="Amiri" w:cs="Amiri"/>
          <w:color w:val="111111"/>
          <w:sz w:val="28"/>
          <w:sz w:val="28"/>
          <w:szCs w:val="28"/>
          <w:rtl w:val="true"/>
          <w:lang w:bidi="ar-SA"/>
        </w:rPr>
        <w:t xml:space="preserve">، وجلال الدين السيوطي </w:t>
      </w:r>
      <w:r>
        <w:rPr>
          <w:rStyle w:val="FootnoteAnchor"/>
          <w:rtl w:val="true"/>
        </w:rPr>
        <w:footnoteReference w:id="197"/>
      </w:r>
      <w:r>
        <w:rPr>
          <w:rFonts w:ascii="Amiri" w:hAnsi="Amiri" w:eastAsia="Amiri" w:cs="Amiri"/>
          <w:color w:val="111111"/>
          <w:sz w:val="28"/>
          <w:sz w:val="28"/>
          <w:szCs w:val="28"/>
          <w:rtl w:val="true"/>
          <w:lang w:bidi="ar-SA"/>
        </w:rPr>
        <w:t xml:space="preserve">، والمناوي </w:t>
      </w:r>
      <w:r>
        <w:rPr>
          <w:rStyle w:val="FootnoteAnchor"/>
          <w:rtl w:val="true"/>
        </w:rPr>
        <w:footnoteReference w:id="198"/>
      </w:r>
      <w:r>
        <w:rPr>
          <w:rFonts w:ascii="Amiri" w:hAnsi="Amiri" w:eastAsia="Amiri" w:cs="Amiri"/>
          <w:color w:val="111111"/>
          <w:sz w:val="28"/>
          <w:sz w:val="28"/>
          <w:szCs w:val="28"/>
          <w:rtl w:val="true"/>
          <w:lang w:bidi="ar-SA"/>
        </w:rPr>
        <w:t>، وكثير آخرون من علماء أهل السنّة</w:t>
      </w:r>
      <w:r>
        <w:rPr>
          <w:rFonts w:eastAsia="Amiri" w:cs="Amiri" w:ascii="Amiri" w:hAnsi="Amiri"/>
          <w:color w:val="111111"/>
          <w:sz w:val="28"/>
          <w:szCs w:val="28"/>
          <w:rtl w:val="true"/>
          <w:lang w:bidi="ar-SA"/>
        </w:rPr>
        <w:t xml:space="preserve">. </w:t>
      </w:r>
      <w:bookmarkStart w:id="210" w:name="pg1606_13730"/>
    </w:p>
    <w:p>
      <w:pPr>
        <w:pStyle w:val="BookText"/>
        <w:rPr/>
      </w:pPr>
      <w:bookmarkEnd w:id="210"/>
      <w:r>
        <w:rPr>
          <w:rFonts w:ascii="Amiri" w:hAnsi="Amiri" w:eastAsia="Amiri" w:cs="Amiri"/>
          <w:color w:val="111111"/>
          <w:sz w:val="28"/>
          <w:sz w:val="28"/>
          <w:szCs w:val="28"/>
          <w:rtl w:val="true"/>
          <w:lang w:bidi="ar-SA"/>
        </w:rPr>
        <w:t>ومن علماء الشيعة القائلين بعدم حجّية مفهوم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الحر العاملي</w:t>
      </w:r>
      <w:r>
        <w:rPr>
          <w:rStyle w:val="FootnoteAnchor"/>
          <w:rtl w:val="true"/>
        </w:rPr>
        <w:footnoteReference w:id="199"/>
      </w:r>
      <w:r>
        <w:rPr>
          <w:rFonts w:ascii="Amiri" w:hAnsi="Amiri" w:eastAsia="Amiri" w:cs="Amiri"/>
          <w:color w:val="111111"/>
          <w:sz w:val="28"/>
          <w:sz w:val="28"/>
          <w:szCs w:val="28"/>
          <w:rtl w:val="true"/>
          <w:lang w:bidi="ar-SA"/>
        </w:rPr>
        <w:t>، والعلّامة المجلسي</w:t>
      </w:r>
      <w:r>
        <w:rPr>
          <w:rStyle w:val="FootnoteAnchor"/>
          <w:rtl w:val="true"/>
        </w:rPr>
        <w:footnoteReference w:id="200"/>
      </w:r>
      <w:r>
        <w:rPr>
          <w:rFonts w:ascii="Amiri" w:hAnsi="Amiri" w:eastAsia="Amiri" w:cs="Amiri"/>
          <w:color w:val="111111"/>
          <w:sz w:val="28"/>
          <w:sz w:val="28"/>
          <w:szCs w:val="28"/>
          <w:rtl w:val="true"/>
          <w:lang w:bidi="ar-SA"/>
        </w:rPr>
        <w:t xml:space="preserve">، والمحقّق القمّي </w:t>
      </w:r>
      <w:r>
        <w:rPr>
          <w:rStyle w:val="FootnoteAnchor"/>
          <w:rtl w:val="true"/>
        </w:rPr>
        <w:footnoteReference w:id="201"/>
      </w:r>
      <w:r>
        <w:rPr>
          <w:rFonts w:ascii="Amiri" w:hAnsi="Amiri" w:eastAsia="Amiri" w:cs="Amiri"/>
          <w:color w:val="111111"/>
          <w:sz w:val="28"/>
          <w:sz w:val="28"/>
          <w:szCs w:val="28"/>
          <w:rtl w:val="true"/>
          <w:lang w:bidi="ar-SA"/>
        </w:rPr>
        <w:t>، وآخرون كثيرون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أنّ الرواية الثانية حدّدت ارتفاع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بشبر، وفي الرواية الثالثة حُدد بشبر وأربع أصابع، وهذا إن دلّ فإنّما يدلّ على أنّ استحباب رفع القبر لا يتحدّد بأربع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قبول نظرية حجّية مفهوم العدد، فأدنى ما تدلّ عليه حينئذٍ عدم استحباب ما زاد على هذا المقدار، لا أنّ ما زاد عليه 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ما تقدّم بيانه، يقول الكاتب بدون أيّ وجل وحياء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بعض الروايات والأخبار من كتب الشيعة المعتمدة، تدلّ على النهي عن رفع القبور والبناء عليها واتّخاذها مساجد</w:t>
      </w:r>
      <w:r>
        <w:rPr>
          <w:rFonts w:eastAsia="Amiri" w:cs="Amiri" w:ascii="Amiri" w:hAnsi="Amiri"/>
          <w:color w:val="111111"/>
          <w:sz w:val="28"/>
          <w:szCs w:val="28"/>
          <w:rtl w:val="true"/>
          <w:lang w:bidi="ar-SA"/>
        </w:rPr>
        <w:t>» .</w:t>
      </w:r>
    </w:p>
    <w:p>
      <w:pPr>
        <w:pStyle w:val="Heading6"/>
        <w:numPr>
          <w:ilvl w:val="5"/>
          <w:numId w:val="1"/>
        </w:numPr>
        <w:rPr/>
      </w:pPr>
      <w:bookmarkStart w:id="211" w:name="__RefHeading___Toc897711_3650668749"/>
      <w:bookmarkStart w:id="212" w:name="_Toc83"/>
      <w:bookmarkEnd w:id="211"/>
      <w:r>
        <w:rPr>
          <w:rtl w:val="true"/>
        </w:rPr>
        <w:t>الصنف الثانى من الروايات</w:t>
      </w:r>
      <w:bookmarkEnd w:id="212"/>
    </w:p>
    <w:p>
      <w:pPr>
        <w:pStyle w:val="Heading6"/>
        <w:numPr>
          <w:ilvl w:val="5"/>
          <w:numId w:val="1"/>
        </w:numPr>
        <w:rPr/>
      </w:pPr>
      <w:bookmarkStart w:id="213" w:name="__RefHeading___Toc897713_3650668749"/>
      <w:bookmarkStart w:id="214" w:name="_Toc84"/>
      <w:bookmarkEnd w:id="213"/>
      <w:r>
        <w:rPr>
          <w:rtl w:val="true"/>
        </w:rPr>
        <w:t>اشاره</w:t>
      </w:r>
      <w:bookmarkEnd w:id="214"/>
    </w:p>
    <w:p>
      <w:pPr>
        <w:pStyle w:val="BookText"/>
        <w:rPr/>
      </w:pPr>
      <w:r>
        <w:rPr>
          <w:rFonts w:ascii="Amiri" w:hAnsi="Amiri" w:eastAsia="Amiri" w:cs="Amiri"/>
          <w:color w:val="111111"/>
          <w:sz w:val="28"/>
          <w:sz w:val="28"/>
          <w:szCs w:val="28"/>
          <w:rtl w:val="true"/>
          <w:lang w:bidi="ar-SA"/>
        </w:rPr>
        <w:t>ولدينا فيه روايتان، وهما السابعة والعاشرة، قد ذكر فيها حرمة تشييد القبّة أو البناء على القبور، لكن الاستدلال بكلتا الروايتين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الرواية السابعة حرّف المؤلّف لفظ الرواية، وأضاف لها المترجم تحريف المعنى أيضاً، فنراهما يقولان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عن الميت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تسلم من قبل الرجلين، وتلزق القبر بالأرض إلّا قدر أربع أصابع مفرجات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تربع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فروع الكافي، </w:t>
      </w:r>
      <w:r>
        <w:rPr>
          <w:rFonts w:ascii="Amiri" w:hAnsi="Amiri" w:eastAsia="Amiri" w:cs="Amiri"/>
          <w:color w:val="111111"/>
          <w:sz w:val="28"/>
          <w:sz w:val="28"/>
          <w:szCs w:val="28"/>
          <w:lang w:bidi="ar-SA"/>
        </w:rPr>
        <w:t>١٩۵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وسائل الشيعة، </w:t>
      </w:r>
      <w:r>
        <w:rPr>
          <w:rFonts w:ascii="Amiri" w:hAnsi="Amiri" w:eastAsia="Amiri" w:cs="Amiri"/>
          <w:color w:val="111111"/>
          <w:sz w:val="28"/>
          <w:sz w:val="28"/>
          <w:szCs w:val="28"/>
          <w:lang w:bidi="ar-SA"/>
        </w:rPr>
        <w:t>٢</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٨۴٨</w:t>
      </w:r>
      <w:r>
        <w:rPr>
          <w:rFonts w:ascii="Amiri" w:hAnsi="Amiri" w:eastAsia="Amiri" w:cs="Amiri"/>
          <w:color w:val="111111"/>
          <w:sz w:val="28"/>
          <w:sz w:val="28"/>
          <w:szCs w:val="28"/>
          <w:rtl w:val="true"/>
          <w:lang w:bidi="ar-SA"/>
        </w:rPr>
        <w:t xml:space="preserve"> وغيرها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حين أنّ الرواية في الكافي والوسائل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تسله من قبل الرجلين، وتلزق القبر بالأرض إلى قدر أربع أصابع مفرجات، وتربّع قبره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فبدّل المصنّف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ولايخفى أنّ معنى الكلمة الثانية الحصر، وأضاف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ذكرت كلمة إلّا في بعض النسخ، وكذلك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ليس هناك نسخة جاءت فيها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وتربّع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تصرّف المترجم في معنى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وعلى فرض أن تكون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تدلّ على حصر الاستحباب في رفع القبر أربع أصابع، ولاتتناول حكم ما هو أكثر من ذلك، فضلاً أن تدلّ على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عن أنّ الرواية في الأساس ضعيفة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العاشرة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ترفعوا قبري فوق أربع أصابع مفرجات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تدلّ في ظاهرها على أنّ الإمام منع من رفع قبره أكثر من أربع أصابع مفرجات، وسلّمنا أنّ النهي يدلّ على الحرمة، لكن هذه الرواية تعاني من ضعف شديد في السند، ولا يصح الاستدلال بها؛ لأنّ عمر بن الواقد الوارد في سند هذه الرواية مجهول، ولم يذكر في كتب الرجال عنه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الصنف الثالث من الروايات</w:t>
      </w:r>
    </w:p>
    <w:p>
      <w:pPr>
        <w:pStyle w:val="BookText"/>
        <w:rPr/>
      </w:pPr>
      <w:r>
        <w:rPr>
          <w:rFonts w:ascii="Amiri" w:hAnsi="Amiri" w:eastAsia="Amiri" w:cs="Amiri"/>
          <w:color w:val="111111"/>
          <w:sz w:val="28"/>
          <w:sz w:val="28"/>
          <w:szCs w:val="28"/>
          <w:rtl w:val="true"/>
          <w:lang w:bidi="ar-SA"/>
        </w:rPr>
        <w:t>في هذا المجموع نورد ما ذكره الكاتب من كلام لبعض الفقهاء وعنونه بأنّه رواية</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استدلاله،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ابن جمال الدين العاملي المعروف بالشهيد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القبر عن وجه الأرض بمقدار أربع أصابع مفرجات إلى شبر لاأزيد، ليعرف فيُزار فيحترم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اللمعة الدمشقية، </w:t>
      </w:r>
      <w:r>
        <w:rPr>
          <w:rFonts w:ascii="Amiri" w:hAnsi="Amiri" w:eastAsia="Amiri" w:cs="Amiri"/>
          <w:color w:val="111111"/>
          <w:sz w:val="28"/>
          <w:sz w:val="28"/>
          <w:szCs w:val="28"/>
          <w:lang w:bidi="ar-SA"/>
        </w:rPr>
        <w:t>۴١٠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ونلفت انتباه القارئ المحترم إلى بعض الأمور في كلام الكاتب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الكاتب جاء بكلام لأحد العلماء الشيعة، وطرحه بعنوان أنّه رواية لإثبات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افتراء وكذب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ليس كلام الشهيد الأوّل، فكلام الشهيد الأوّل كان في مقام بيان المستحبّات، وهو خصوص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القبر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ذكره المصنّف من تتمّة هي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وهنا أيضاً يتبيّن وجود نسبة خاطئة وافتراء وكذبة أخرى</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الشهيد الثاني يقول ما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يستحب رفع القبر أربع أصابع مفرجات إلى شبر، والزائد على ذلك ليس بمستحب، ولم يقل أنّ </w:t>
      </w:r>
    </w:p>
    <w:p>
      <w:pPr>
        <w:pStyle w:val="BookText"/>
        <w:rPr/>
      </w:pPr>
      <w:r>
        <w:rPr>
          <w:rFonts w:ascii="Amiri" w:hAnsi="Amiri" w:eastAsia="Amiri" w:cs="Amiri"/>
          <w:color w:val="111111"/>
          <w:sz w:val="28"/>
          <w:sz w:val="28"/>
          <w:szCs w:val="28"/>
          <w:rtl w:val="true"/>
          <w:lang w:bidi="ar-SA"/>
        </w:rPr>
        <w:t>ذلك محرمّ وغير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المترجم لم يفهم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ليعرف فيزار فيحترم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وليست متعلّقة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ويكون معنى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رفع القبر أربع أصابع مفرجات إلى شبر من المستحبّات ليعرف القبر فيزار ويحترم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تكملة حديثه يذكر كلام شيخ الطائفة بعنوان أنّه الرواية الثانية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يسعى من وراء ذلك التشويش على أذهان الناس البسطاء وخداعهم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وتبيّن لنا ممّا ذكرنا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كتب هذا الكتيّب ليس له أدنى اطّلاع بفن الرواية والتعامل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من خلال التحريف اللفظي والمعنوي لنصوص روايات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خداع القارئ</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بعنوان أنّه أدلة من قبل الكاتب ليس فيه دلالة على حرمة بناء القبب والأضرحة على قبور الأنبياء والأئمّة والأولياء</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 w:name="pg1606_13740"/>
      <w:bookmarkStart w:id="216" w:name="pg1606_13740"/>
      <w:bookmarkEnd w:id="216"/>
    </w:p>
    <w:p>
      <w:pPr>
        <w:pStyle w:val="Heading2"/>
        <w:numPr>
          <w:ilvl w:val="1"/>
          <w:numId w:val="1"/>
        </w:numPr>
        <w:rPr/>
      </w:pPr>
      <w:bookmarkStart w:id="217" w:name="pg1606_13740"/>
      <w:bookmarkStart w:id="218" w:name="__RefHeading___Toc897715_3650668749"/>
      <w:bookmarkStart w:id="219" w:name="_Toc85"/>
      <w:bookmarkEnd w:id="217"/>
      <w:bookmarkEnd w:id="218"/>
      <w:r>
        <w:rPr/>
        <w:t>3</w:t>
      </w:r>
      <w:r>
        <w:rPr>
          <w:rtl w:val="true"/>
        </w:rPr>
        <w:t xml:space="preserve">. </w:t>
      </w:r>
      <w:r>
        <w:rPr>
          <w:rtl w:val="true"/>
        </w:rPr>
        <w:t>تشييد المساجد على القبور</w:t>
      </w:r>
      <w:bookmarkEnd w:id="219"/>
    </w:p>
    <w:p>
      <w:pPr>
        <w:pStyle w:val="Heading3"/>
        <w:numPr>
          <w:ilvl w:val="2"/>
          <w:numId w:val="1"/>
        </w:numPr>
        <w:rPr/>
      </w:pPr>
      <w:bookmarkStart w:id="220" w:name="__RefHeading___Toc897717_3650668749"/>
      <w:bookmarkStart w:id="221" w:name="_Toc86"/>
      <w:bookmarkEnd w:id="220"/>
      <w:r>
        <w:rPr>
          <w:rtl w:val="true"/>
        </w:rPr>
        <w:t>عرض الشبهة</w:t>
      </w:r>
      <w:bookmarkEnd w:id="221"/>
    </w:p>
    <w:p>
      <w:pPr>
        <w:pStyle w:val="Heading4"/>
        <w:numPr>
          <w:ilvl w:val="3"/>
          <w:numId w:val="1"/>
        </w:numPr>
        <w:rPr/>
      </w:pPr>
      <w:bookmarkStart w:id="222" w:name="__RefHeading___Toc897719_3650668749"/>
      <w:bookmarkStart w:id="223" w:name="_Toc87"/>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مسألة أخرى من المسائل التي يطرحها الوهابيون، وينتهزوا لأجلها مواسم تجمّع المسلمين، كمواسم الحجّ المبارك، للتأثير على الناس البسطاء وحرف تفكيرهم وتشكيكهم بعقائدهم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تتعلّق ببناء المساجد على القبور، وجعل قبور الأنبياء والأئمّة والأولياء الصالحين محلّاً لعبادة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تشييد المساجد على القبور، أو دفن الموتى في المساجد، أو الإسراج على القبور بشكل دائم، من المخالفات الشرعية ومخالف لسنّة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فلماذ تقيمون، أنتم أيّها الشيعة، مساجد فوق القبور، وتتركون السرج حتّى وقت متأخّر من الليل على القبور، وتقيمون صلاتكم في مثل هذه الأماكن؟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فعليكم بتخريب المساجد التي أقيمت على القبور، وكذلك نبش الموتى المدفونين في المساجد وإخراجهم منه، ففي دين الإسلام لاتجتمع </w:t>
      </w:r>
    </w:p>
    <w:p>
      <w:pPr>
        <w:pStyle w:val="BookText"/>
        <w:rPr/>
      </w:pPr>
      <w:r>
        <w:rPr>
          <w:rFonts w:ascii="Amiri" w:hAnsi="Amiri" w:eastAsia="Amiri" w:cs="Amiri"/>
          <w:color w:val="111111"/>
          <w:sz w:val="28"/>
          <w:sz w:val="28"/>
          <w:szCs w:val="28"/>
          <w:rtl w:val="true"/>
          <w:lang w:bidi="ar-SA"/>
        </w:rPr>
        <w:t>المسجدية مع المقبرة، وكلّ ما يستحدث منها ثانياً بعد الأوّل يجب تخريبه، ويبقى ما كان قد أقيم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في مساجد أقيمت على قبورٍ للموتى باطلة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الأمر، روايات كثيرة وردت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وواحدة من هذه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عطاء بن يسار، 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قبري وثناً 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قوم اتّخذوا قبور أنبيائهم مساجد</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وفي رواية ثانية يقول فيها عبيد الله بن الجرّاح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ما تكلّم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يهود أهل الحجاز وأهل نجران من جزيرة العرب، واعلموا أنّ شرار الناس الذين اتّخذوا قبور أنبيائهم مساجد</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وكذلك أنّ أبا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 الله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قبور أنبيائهم مساجد</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وكذلك روي عن النبيّ أنّه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قبور أنبيائهم مساجد</w:t>
      </w:r>
      <w:r>
        <w:rPr>
          <w:rFonts w:eastAsia="Amiri" w:cs="Amiri" w:ascii="Amiri" w:hAnsi="Amiri"/>
          <w:color w:val="111111"/>
          <w:sz w:val="28"/>
          <w:szCs w:val="28"/>
          <w:rtl w:val="true"/>
          <w:lang w:bidi="ar-SA"/>
        </w:rPr>
        <w:t>»</w:t>
      </w:r>
      <w:r>
        <w:rPr>
          <w:rStyle w:val="FootnoteAnchor"/>
          <w:rtl w:val="true"/>
        </w:rPr>
        <w:footnoteReference w:id="207"/>
      </w:r>
      <w:bookmarkStart w:id="224" w:name="pg1606_13744"/>
    </w:p>
    <w:p>
      <w:pPr>
        <w:pStyle w:val="BookText"/>
        <w:rPr/>
      </w:pPr>
      <w:bookmarkEnd w:id="224"/>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زائرات القبور، والمتّخذين عليها المساجد والسرج</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الروايات وصفت من يبني المساجد على القبور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ورسوله، وهذا يدلّ على حرمة بناء المساجد على القبور</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897721_3650668749"/>
      <w:bookmarkStart w:id="226" w:name="_Toc88"/>
      <w:bookmarkEnd w:id="225"/>
      <w:r>
        <w:rPr>
          <w:rtl w:val="true"/>
        </w:rPr>
        <w:t>جواب الشبهة</w:t>
      </w:r>
      <w:bookmarkEnd w:id="226"/>
    </w:p>
    <w:p>
      <w:pPr>
        <w:pStyle w:val="Heading4"/>
        <w:numPr>
          <w:ilvl w:val="3"/>
          <w:numId w:val="1"/>
        </w:numPr>
        <w:rPr/>
      </w:pPr>
      <w:bookmarkStart w:id="227" w:name="__RefHeading___Toc897723_3650668749"/>
      <w:bookmarkStart w:id="228" w:name="_Toc89"/>
      <w:bookmarkEnd w:id="227"/>
      <w:r>
        <w:rPr>
          <w:rtl w:val="true"/>
        </w:rPr>
        <w:t>الجواب الأوّل</w:t>
      </w:r>
      <w:bookmarkEnd w:id="228"/>
    </w:p>
    <w:p>
      <w:pPr>
        <w:pStyle w:val="Heading5"/>
        <w:numPr>
          <w:ilvl w:val="4"/>
          <w:numId w:val="1"/>
        </w:numPr>
        <w:rPr/>
      </w:pPr>
      <w:bookmarkStart w:id="229" w:name="__RefHeading___Toc897725_3650668749"/>
      <w:bookmarkStart w:id="230" w:name="_Toc90"/>
      <w:bookmarkEnd w:id="229"/>
      <w:r>
        <w:rPr>
          <w:rtl w:val="true"/>
        </w:rPr>
        <w:t>اشاره</w:t>
      </w:r>
      <w:bookmarkEnd w:id="230"/>
    </w:p>
    <w:p>
      <w:pPr>
        <w:pStyle w:val="BookText"/>
        <w:rPr/>
      </w:pPr>
      <w:r>
        <w:rPr>
          <w:rFonts w:ascii="Amiri" w:hAnsi="Amiri" w:eastAsia="Amiri" w:cs="Amiri"/>
          <w:color w:val="111111"/>
          <w:sz w:val="28"/>
          <w:sz w:val="28"/>
          <w:szCs w:val="28"/>
          <w:rtl w:val="true"/>
          <w:lang w:bidi="ar-SA"/>
        </w:rPr>
        <w:t xml:space="preserve">هنا لا بدّ أن نتفحّص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أيّ شيء تدلّ، فإنّه يحتمل فيها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والنصارى كانوا يبنون فوق قبور موتاهم أو إلى جانبها مساجد، ولا يقومون بالسجود فيها إلّا لله الواحد وباتّجاه القبلة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تكون الرواية دالة على عدم جواز تشييد المساجد على القبور أو إلى جانبها ولهذا السبب</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والنصارى كانوا يتّخذون قبور أنبيائهم قبلة لهم، ويسجدون باتّجاهها، كما يفعل عبدة الأوثان حين يسجدون قبال الأصنام الخشبية والحجرية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ذمّت الروايات السجود لغير الله تعالى وعبادة قبور الأنبياء؛ لأنّه شرك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بناء المساجد على القبور أو إلى جانبها مذموم بنفسه</w:t>
      </w:r>
      <w:r>
        <w:rPr>
          <w:rFonts w:eastAsia="Amiri" w:cs="Amiri" w:ascii="Amiri" w:hAnsi="Amiri"/>
          <w:color w:val="111111"/>
          <w:sz w:val="28"/>
          <w:szCs w:val="28"/>
          <w:rtl w:val="true"/>
          <w:lang w:bidi="ar-SA"/>
        </w:rPr>
        <w:t xml:space="preserve">. </w:t>
      </w:r>
      <w:bookmarkStart w:id="231" w:name="pg1606_13747"/>
    </w:p>
    <w:p>
      <w:pPr>
        <w:pStyle w:val="BookText"/>
        <w:rPr/>
      </w:pPr>
      <w:bookmarkEnd w:id="231"/>
      <w:r>
        <w:rPr>
          <w:rFonts w:ascii="Amiri" w:hAnsi="Amiri" w:eastAsia="Amiri" w:cs="Amiri"/>
          <w:color w:val="111111"/>
          <w:sz w:val="28"/>
          <w:sz w:val="28"/>
          <w:szCs w:val="28"/>
          <w:rtl w:val="true"/>
          <w:lang w:bidi="ar-SA"/>
        </w:rPr>
        <w:t>وممّا لا شك فيه أنّ المراد من الرواية هو المعنى الثاني، وتؤيّد ذلك قرائن مختلفة كثيرة، منها</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897727_3650668749"/>
      <w:bookmarkStart w:id="233" w:name="_Toc91"/>
      <w:bookmarkEnd w:id="232"/>
      <w:r>
        <w:rPr>
          <w:rtl w:val="true"/>
        </w:rPr>
        <w:t>القرينة الأولى</w:t>
      </w:r>
      <w:bookmarkEnd w:id="233"/>
    </w:p>
    <w:p>
      <w:pPr>
        <w:pStyle w:val="BookText"/>
        <w:rPr/>
      </w:pPr>
      <w:r>
        <w:rPr>
          <w:rFonts w:ascii="Amiri" w:hAnsi="Amiri" w:eastAsia="Amiri" w:cs="Amiri"/>
          <w:color w:val="111111"/>
          <w:sz w:val="28"/>
          <w:sz w:val="28"/>
          <w:szCs w:val="28"/>
          <w:rtl w:val="true"/>
          <w:lang w:bidi="ar-SA"/>
        </w:rPr>
        <w:t xml:space="preserve">لو تفحّصنا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العربية لوجدناها تنسجم مع المعنى الثاني الذي شرحناه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وفي الاستخدام القرآني والأحاديث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اتّخذه وتخذه تخذاً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صديقاً له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اتَّخَذَ إِلهَهُ هَواهُ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اللَّهُ وَلَداً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الذي اتّخذ محمّداً نبيّاً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وبالنسبة لكلمة مسجد، في الأصل هي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الذي يسجد فيه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وتطلق عرفاً على المحل الذي تقام فيه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ما تقدّم، يتبيّن أنّ معنى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بنوا على قبور أنبيائهم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يسجدون لقبور أنبيائهم، ويتعبّدونها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يفهم من سياق الرواية هو المعنى الثاني، ولو كان المراد المعنى الأوّل لعبّرت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على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عبّر </w:t>
      </w:r>
    </w:p>
    <w:p>
      <w:pPr>
        <w:pStyle w:val="BookText"/>
        <w:rPr/>
      </w:pPr>
      <w:r>
        <w:rPr>
          <w:rFonts w:ascii="Amiri" w:hAnsi="Amiri" w:eastAsia="Amiri" w:cs="Amiri"/>
          <w:color w:val="111111"/>
          <w:sz w:val="28"/>
          <w:sz w:val="28"/>
          <w:szCs w:val="28"/>
          <w:rtl w:val="true"/>
          <w:lang w:bidi="ar-SA"/>
        </w:rPr>
        <w:t>القرآن الكريم في قصّة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غَلَبُوا عَلى أَمْرِهِمْ لَنَتَّخِذَنَّ عَلَيْهِمْ مَسْجِداً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البيّن أنّ المعنى الذي تفسّر به الرواية، والذي ينسجم مع اللعن والذم للفعل، هو المعنى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فاليهود والنصارى لعنوا لأنّهم اتّخذوا قبور أنبيائهم قبلةً ومحلّاً يسجدون له، كما يُسجد للأصنام والأوثان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 علماء أهل السنّة فهموا من الرواية المعنى الثاني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عن البيضاوي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اليهود والنصارى يسجدون لقبور الأنبياء تعظيماً لشأنهم ويجعلونها قبلة يتوجّهون في الصلاة نحوها واتّخذوها أوثاناً لعنهم ومنع المسلمين عن مثل ذلك، فأمّا من اتّخذ مسجداً في جوار صالحٍ وقصد التبرّك بالقرب منه، لا التعظيم له ولا التوجّه نحوه، فلا يدخل في ذلك الوعيد</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السندي بن عبد الهادي في حاشيته على سنن النسائي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ومراده بذلك أن يحذّر أمّته أن يصنعوا بقبره ما صنع اليهود والنصارى بقبور أنبيائهم، من اتّخاذهم تلك القبور مساجد، أمّا بالسجود إليها تعظيماً لها أو بجعلها قبلة يتوجّهون في الصلاة نحوها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البكري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إعانة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هذه الرواية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المنهي عنه قصد استقبالها للتبرّك ونحوه</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34" w:name="pg1606_13751"/>
    </w:p>
    <w:p>
      <w:pPr>
        <w:pStyle w:val="BookText"/>
        <w:rPr/>
      </w:pPr>
      <w:bookmarkEnd w:id="234"/>
      <w:r>
        <w:rPr>
          <w:rFonts w:ascii="Amiri" w:hAnsi="Amiri" w:eastAsia="Amiri" w:cs="Amiri"/>
          <w:color w:val="111111"/>
          <w:sz w:val="28"/>
          <w:sz w:val="28"/>
          <w:szCs w:val="28"/>
          <w:rtl w:val="true"/>
          <w:lang w:bidi="ar-SA"/>
        </w:rPr>
        <w:t>وفي مكان آخر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اليهود والنصارى،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بصلاتهم إليها</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القرطبي تعليقاً على ما روي عن أبي مرثد الغنوي عن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تصلّوا إلى القبور ولا تجلسوا عليها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تتّخذوها قبلة فتصلّوا عليها أو إليها كما فعل اليهود والنصارى، فيؤدّى إلى عبادة من فيها، كما كان السبب في عبادة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ذلك، وسدّ الذرائع المؤدّية إلى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على قوم اتّخذوا قبور أنبيائهم وصالحيهم مساجد</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ابن عبد ربّه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ويحتمل الحديث أن لاتجعل قبور الأنبياء قبلة يصلّى إليها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897729_3650668749"/>
      <w:bookmarkStart w:id="236" w:name="_Toc92"/>
      <w:bookmarkEnd w:id="235"/>
      <w:r>
        <w:rPr>
          <w:rtl w:val="true"/>
        </w:rPr>
        <w:t>القرينة الثانية</w:t>
      </w:r>
      <w:bookmarkEnd w:id="236"/>
    </w:p>
    <w:p>
      <w:pPr>
        <w:pStyle w:val="BookText"/>
        <w:rPr/>
      </w:pPr>
      <w:r>
        <w:rPr>
          <w:rFonts w:ascii="Amiri" w:hAnsi="Amiri" w:eastAsia="Amiri" w:cs="Amiri"/>
          <w:color w:val="111111"/>
          <w:sz w:val="28"/>
          <w:sz w:val="28"/>
          <w:szCs w:val="28"/>
          <w:rtl w:val="true"/>
          <w:lang w:bidi="ar-SA"/>
        </w:rPr>
        <w:t>جاء في رواية عطاء بن يسار أنّ النبيّ قال في البداية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لاتجعل قبري وثناً 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قرينة على أنّ مراد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اتّخذوا قبور أنبيائهم أوثاناً يعبدونها من دون الله</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897731_3650668749"/>
      <w:bookmarkStart w:id="238" w:name="_Toc93"/>
      <w:bookmarkEnd w:id="237"/>
      <w:r>
        <w:rPr>
          <w:rtl w:val="true"/>
        </w:rPr>
        <w:t>القرينة الثالثة</w:t>
      </w:r>
      <w:bookmarkEnd w:id="23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نراجع أسس العقائد اليهودية والنصرانية وجذورها نصل إلى حقيقة مفادها أنّهم يغالون في أنبيائهم، ويقولون فيهم مقالات لأجل </w:t>
      </w:r>
      <w:bookmarkStart w:id="239" w:name="pg1606_13753"/>
    </w:p>
    <w:p>
      <w:pPr>
        <w:pStyle w:val="BookText"/>
        <w:rPr/>
      </w:pPr>
      <w:bookmarkEnd w:id="239"/>
      <w:r>
        <w:rPr>
          <w:rFonts w:ascii="Amiri" w:hAnsi="Amiri" w:eastAsia="Amiri" w:cs="Amiri"/>
          <w:color w:val="111111"/>
          <w:sz w:val="28"/>
          <w:sz w:val="28"/>
          <w:szCs w:val="28"/>
          <w:rtl w:val="true"/>
          <w:lang w:bidi="ar-SA"/>
        </w:rPr>
        <w:t>تعظيمهم تصل إلى حدّ الشرك بالله تعالى، ولأجل هذا كانوا مورد تقريع من الله تعالى وذمٍّ، يقول تعالى في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الْيَهُودُ عُزَيْرٌ ابْنُ اللَّهِ وَ قالَتِ النَّصارى الْمَسِيحُ ابْنُ اللَّهِ ذلِكَ قَوْلُهُمْ بِأَفْواهِهِمْ يُضاهِؤُنَ قَوْلَ الَّذِينَ كَفَرُوا مِنْ قَبْلُ قاتَلَهُمُ اللَّهُ أَنَّى يُؤْفَكُونَ</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وليلتفت إلى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تأنيباً لليهود والنصارى؛ لأنّهم غالوا في أنبيائهم، وقالوا فيهم مقالة الشرك، ونقلت هذه الجملة في حديث أبي هريرة بحقّ اليهود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قبور أنبيائهم مساجد، وهذا قرينة على أنّ المراد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بناء مسجد على القبور، بل ما يفعله هؤلاء بقبور أنبيائهم بقصد تعظيمهم من السجود لقبورهم</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897733_3650668749"/>
      <w:bookmarkStart w:id="241" w:name="_Toc94"/>
      <w:bookmarkEnd w:id="240"/>
      <w:r>
        <w:rPr>
          <w:rtl w:val="true"/>
        </w:rPr>
        <w:t>الجواب الثانى</w:t>
      </w:r>
      <w:bookmarkEnd w:id="241"/>
    </w:p>
    <w:p>
      <w:pPr>
        <w:pStyle w:val="BookText"/>
        <w:rPr/>
      </w:pPr>
      <w:r>
        <w:rPr>
          <w:rFonts w:ascii="Amiri" w:hAnsi="Amiri" w:eastAsia="Amiri" w:cs="Amiri"/>
          <w:color w:val="111111"/>
          <w:sz w:val="28"/>
          <w:sz w:val="28"/>
          <w:szCs w:val="28"/>
          <w:rtl w:val="true"/>
          <w:lang w:bidi="ar-SA"/>
        </w:rPr>
        <w:t xml:space="preserve">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باتّخاذ المساجد، هو بناء المساجد من قبل اليهود والنصارى على قبور أنبيائهم، ولعنوا لأجل هذا العمل، ولكن لابدّ أن نعلم أنّ اللعن لا يدلّ على الحرمة دائماً؛ لأنّ معنى اللعن البعد عن رحمة الله تعالى، بل كثير من موارد اللعن جاءت للدلالة على الكراهة، كما 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كلّ مذواق مطلاق</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على أنّ الله لا يحبّ الرجل الذي يكثر طلاق النساء، مع العلم أنّ الطلاق بنفسه أمر جائز شرعاً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تكون الروايات المستدل بها دالة على كراهة بناء المساجد على القبور، والصلاة في هذه المساجد، والكراهة هنا بمعنى قلّة الثواب</w:t>
      </w:r>
      <w:r>
        <w:rPr>
          <w:rFonts w:eastAsia="Amiri" w:cs="Amiri" w:ascii="Amiri" w:hAnsi="Amiri"/>
          <w:color w:val="111111"/>
          <w:sz w:val="28"/>
          <w:szCs w:val="28"/>
          <w:rtl w:val="true"/>
          <w:lang w:bidi="ar-SA"/>
        </w:rPr>
        <w:t xml:space="preserve">. </w:t>
      </w:r>
      <w:bookmarkStart w:id="242" w:name="pg1606_13755"/>
    </w:p>
    <w:p>
      <w:pPr>
        <w:pStyle w:val="Heading4"/>
        <w:numPr>
          <w:ilvl w:val="3"/>
          <w:numId w:val="1"/>
        </w:numPr>
        <w:rPr/>
      </w:pPr>
      <w:bookmarkStart w:id="243" w:name="__RefHeading___Toc897735_3650668749"/>
      <w:bookmarkStart w:id="244" w:name="_Toc95"/>
      <w:bookmarkEnd w:id="242"/>
      <w:bookmarkEnd w:id="243"/>
      <w:r>
        <w:rPr>
          <w:rtl w:val="true"/>
        </w:rPr>
        <w:t>الجواب الثالث</w:t>
      </w:r>
      <w:bookmarkEnd w:id="244"/>
    </w:p>
    <w:p>
      <w:pPr>
        <w:pStyle w:val="BookText"/>
        <w:rPr/>
      </w:pPr>
      <w:r>
        <w:rPr>
          <w:rFonts w:ascii="Amiri" w:hAnsi="Amiri" w:eastAsia="Amiri" w:cs="Amiri"/>
          <w:color w:val="111111"/>
          <w:sz w:val="28"/>
          <w:sz w:val="28"/>
          <w:szCs w:val="28"/>
          <w:rtl w:val="true"/>
          <w:lang w:bidi="ar-SA"/>
        </w:rPr>
        <w:t xml:space="preserve">كيف نقول بحرمة الجمع بين القبر والمسجدية في حين أنّ قبر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في حجر إسماعيل، وكذلك قبور سبعين من الأنبياء في المسجد الحرام بين الحجر الأسود وبئر زمزم؟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الطحاوي في حاشيته على مراقي الفلاح، دفاعاً عن عدم كراهة الصلاة في مقبرة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أحياء في قبورهم، ألا ترى أنّ مرقد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الحجر تحت الميزاب، وأنّ بين الحجر الأسود وزمزم قبر سبعين نبيّاً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897737_3650668749"/>
      <w:bookmarkStart w:id="246" w:name="_Toc96"/>
      <w:bookmarkEnd w:id="245"/>
      <w:r>
        <w:rPr>
          <w:rtl w:val="true"/>
        </w:rPr>
        <w:t>الجواب الرابع</w:t>
      </w:r>
      <w:bookmarkEnd w:id="24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مسجد النبيّ أقيم بأمر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كان مقبرة لموتى المشركين، وهذا ما يؤكّده كلّ علماء أهل السنّة</w:t>
      </w:r>
      <w:r>
        <w:rPr>
          <w:rStyle w:val="FootnoteAnchor"/>
          <w:rtl w:val="true"/>
        </w:rPr>
        <w:footnoteReference w:id="223"/>
      </w:r>
      <w:r>
        <w:rPr>
          <w:rFonts w:ascii="Amiri" w:hAnsi="Amiri" w:eastAsia="Amiri" w:cs="Amiri"/>
          <w:color w:val="111111"/>
          <w:sz w:val="28"/>
          <w:sz w:val="28"/>
          <w:szCs w:val="28"/>
          <w:rtl w:val="true"/>
          <w:lang w:bidi="ar-SA"/>
        </w:rPr>
        <w:t>، وفي رواية قال أنس ابن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فنزل أعلى المدينة في حي يقال لهم بنو عمرو بن عوف، فأقام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أربع عشرة ليلة، ثمّ أرسل إلى بني النجّار فجاؤوا متقلّدي السيوف كأنّي أنظر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راحلته وأبو بكر ردفه وملأ بني النجّار حوله حتّى ألقى بفناء أبي أيوب، وكان يحبّ أن يصلّي حيث أدركته الصلاة، ويصلّي في مرابض الغنم، وأنّه أمر ببناء المسجد فأرسل إلى ملأ من بني النجار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النجّار، ثامنوني بحائطكم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نطلب ثمنه إلّا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فيه ما أقول لكم قبور المشركين وفيه خرب وفيه </w:t>
      </w:r>
    </w:p>
    <w:p>
      <w:pPr>
        <w:pStyle w:val="BookText"/>
        <w:rPr/>
      </w:pPr>
      <w:r>
        <w:rPr>
          <w:rFonts w:ascii="Amiri" w:hAnsi="Amiri" w:eastAsia="Amiri" w:cs="Amiri"/>
          <w:color w:val="111111"/>
          <w:sz w:val="28"/>
          <w:sz w:val="28"/>
          <w:szCs w:val="28"/>
          <w:rtl w:val="true"/>
          <w:lang w:bidi="ar-SA"/>
        </w:rPr>
        <w:t xml:space="preserve">نخل،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بقبور المشركين فنبشت، ثمّ بالخرب فسوّيت، وبالنخل فقطع، فصفّوا النخل قبلة المسجد، وجعلوا عضادتيه الحجارة، وجعلوا ينقلون الصخر وهم يرتجزون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خير إلّا خير الآخرة فاغفر للأنصار والمهاجرة</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وهذه الرواية ذكرها كثير من محدّثي وفقهاء أهل السنّة </w:t>
      </w:r>
      <w:r>
        <w:rPr>
          <w:rStyle w:val="FootnoteAnchor"/>
          <w:rtl w:val="true"/>
        </w:rPr>
        <w:footnoteReference w:id="225"/>
      </w:r>
      <w:r>
        <w:rPr>
          <w:rFonts w:ascii="Amiri" w:hAnsi="Amiri" w:eastAsia="Amiri" w:cs="Amiri"/>
          <w:color w:val="111111"/>
          <w:sz w:val="28"/>
          <w:sz w:val="28"/>
          <w:szCs w:val="28"/>
          <w:rtl w:val="true"/>
          <w:lang w:bidi="ar-SA"/>
        </w:rPr>
        <w:t>، وأنّها ظاهرة في الدلالة على أنّ بناء المساجد على القبور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يتبيّن أنّه لا يوجد دليل معتبر على حرمة بناء المساجد على القبور أو إلى جوارها، بل إنّ بناء المساجد على قبور الأنبياء والأئمّة وأولي الأمر من الأمور المستحسنة وممّا ينطبق عليها عنوان تعظيم شعائر لله تعالى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إنشاء مسجد في مقبرة موقوفة للدفن فقط غير جائز، وكذلك لا يجوز الدفن في مسجد موقوف للمسجدية فقط؛ لأنّ الموقفات يتصرّف فيها بحسب ما وقفت عليه</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1606_13760"/>
      <w:bookmarkStart w:id="248" w:name="pg1606_13760"/>
      <w:bookmarkEnd w:id="248"/>
    </w:p>
    <w:p>
      <w:pPr>
        <w:pStyle w:val="Heading2"/>
        <w:numPr>
          <w:ilvl w:val="1"/>
          <w:numId w:val="1"/>
        </w:numPr>
        <w:rPr/>
      </w:pPr>
      <w:bookmarkStart w:id="249" w:name="pg1606_13760"/>
      <w:bookmarkStart w:id="250" w:name="__RefHeading___Toc897739_3650668749"/>
      <w:bookmarkStart w:id="251" w:name="_Toc97"/>
      <w:bookmarkEnd w:id="249"/>
      <w:bookmarkEnd w:id="250"/>
      <w:r>
        <w:rPr/>
        <w:t>4</w:t>
      </w:r>
      <w:r>
        <w:rPr>
          <w:rtl w:val="true"/>
        </w:rPr>
        <w:t xml:space="preserve">. </w:t>
      </w:r>
      <w:r>
        <w:rPr>
          <w:rtl w:val="true"/>
        </w:rPr>
        <w:t>الدعاء والصلاة عند القبوروالمشاهد المشرّفة</w:t>
      </w:r>
      <w:bookmarkEnd w:id="251"/>
    </w:p>
    <w:p>
      <w:pPr>
        <w:pStyle w:val="Heading3"/>
        <w:numPr>
          <w:ilvl w:val="2"/>
          <w:numId w:val="1"/>
        </w:numPr>
        <w:rPr/>
      </w:pPr>
      <w:bookmarkStart w:id="252" w:name="__RefHeading___Toc897741_3650668749"/>
      <w:bookmarkStart w:id="253" w:name="_Toc98"/>
      <w:bookmarkEnd w:id="252"/>
      <w:r>
        <w:rPr>
          <w:rtl w:val="true"/>
        </w:rPr>
        <w:t>طرح الشبهة</w:t>
      </w:r>
      <w:bookmarkEnd w:id="253"/>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نتعرّض لبيان شبهة أخرى من الشبهات التي يطلقها بعض دعاة الوهابية، تتعلّق بقراءة الأدعية والصلاة عند القبور والمشاهد المشرّفة، كما في البقيع ومزارات شهداء أُحد وبقية الأماكن المشابهة، فهم يمنعون الناس من قراءة القرآن، أو سورة الفاتحة للأموات، ويعتبرون ذلك عملاً بلا فائدة ولا دليل عليه، بل يعتبرونه عملاً محرّماً وبدعة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الاتّهامات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تشكّل عقيدة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جذورها لابن تيميّة وابن القيّم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يشرع بناء المسجد على القبور</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تصحّ الصلاة في المقبرة ولا إليها</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ويقول ابن القيّم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هدْيهِ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تعزية أهل الميت، ولم يكن من هدْيهِ أن يجتمع للعزاء ويقرأ له القرآن، لا عند قبره ولا غيره، وكلّ هذا بدعة حادثة مكروهة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وقد استدلّوا ببعض الروايات عن 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سعيد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مسجد إلّا المقبرة والحمام</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عمر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الصلاة في المقبرة</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عمر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في بيوتكم من صلاتكم ولا تتّخذوها قبوراً</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هريرة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بيوتكم مقابر</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زيد بن جبيرة عن داود بن الحصين عن نافع عن ابن عمر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يصلّى في سبعة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المزبلة، والمجزرة، والمقبرة، وقارعة الطريق، وفي الحمام، ومعاطن الإبل، وفوق </w:t>
      </w:r>
      <w:bookmarkStart w:id="254" w:name="pg1606_13764"/>
    </w:p>
    <w:p>
      <w:pPr>
        <w:pStyle w:val="BookText"/>
        <w:rPr/>
      </w:pPr>
      <w:bookmarkEnd w:id="254"/>
      <w:r>
        <w:rPr>
          <w:rFonts w:ascii="Amiri" w:hAnsi="Amiri" w:eastAsia="Amiri" w:cs="Amiri"/>
          <w:color w:val="111111"/>
          <w:sz w:val="28"/>
          <w:sz w:val="28"/>
          <w:szCs w:val="28"/>
          <w:rtl w:val="true"/>
          <w:lang w:bidi="ar-SA"/>
        </w:rPr>
        <w:t>ظهر بيت الله</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فيستفاد من خلال هذه الروايات حرمة الصلاة بجانب القبور؛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الصلاة إلى جانب القبور، ونهي النبيّ ظاهرٌ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فرق بين قبور الناس العاديين وقبور الأنبياء والأئمّة والشهداء؛ لأنّ الروايات مطلقة تشمل كلّ هذه الموارد</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897743_3650668749"/>
      <w:bookmarkStart w:id="256" w:name="_Toc99"/>
      <w:bookmarkEnd w:id="255"/>
      <w:r>
        <w:rPr>
          <w:rtl w:val="true"/>
        </w:rPr>
        <w:t>تفنيد هذه الشبهة</w:t>
      </w:r>
      <w:bookmarkEnd w:id="256"/>
    </w:p>
    <w:p>
      <w:pPr>
        <w:pStyle w:val="Heading4"/>
        <w:numPr>
          <w:ilvl w:val="3"/>
          <w:numId w:val="1"/>
        </w:numPr>
        <w:rPr/>
      </w:pPr>
      <w:bookmarkStart w:id="257" w:name="__RefHeading___Toc897745_3650668749"/>
      <w:bookmarkStart w:id="258" w:name="_Toc100"/>
      <w:bookmarkEnd w:id="257"/>
      <w:r>
        <w:rPr>
          <w:rtl w:val="true"/>
        </w:rPr>
        <w:t>أوّلاً</w:t>
      </w:r>
      <w:r>
        <w:rPr>
          <w:rtl w:val="true"/>
        </w:rPr>
        <w:t xml:space="preserve">: </w:t>
      </w:r>
      <w:r>
        <w:rPr>
          <w:rtl w:val="true"/>
        </w:rPr>
        <w:t>الصلاة بجانب القبور والأضرحة المباركة</w:t>
      </w:r>
      <w:bookmarkEnd w:id="258"/>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 أنّ الأصل الأوّلي هو عدم اختصاص الصلاة بمكان خاص، فلكلّ مسلم أن يقيم صلاته الواجبة أو المستحبة في أيّ مكان شاء، إلّا إذا كان هذا المكان قد نهت الشريعة عن الصلاة فيه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تفحّص الآيات القرآنية والأحاديث الشريفة نستنتج القاعدة الكلية القائلة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الصلاة في كلّ مكان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قال تعالى في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 الصَّلاةَ لِدُلُوكِ الشَّمْسِ إِلى غَسَقِ اللَّيْلِ وَ قُرْآنَ الْفَجْرِ</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ما كُنْتُمْ فَوَلُّوا وُجُوهَكُمْ شَطْرَهُ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فنلاحظ أنّ الآية الأولى عيّنت وقتاً خاصّاً للصلاة، ولكنّها لم تأتِ على ذكر المكان، وهذا إطلاق من الآية في دلالة المكان الذي تصحّ فيه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الآية الثانية، ففيها تصريح في توجّه المصلي للقبلة أينما كان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ما نقل عن طرق أهل السنّة، فضلاً عن طرقنا، من روايات تؤكّد مضمون القاعدة السابقة بوضوح، مثل الحديث الذي ينقل عن أبي‌ذرٍ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البخاري ومسلم في 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أبي‌ذرٍ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 أدركتك الصلاة فصلِّ، والأرض لك مسجد</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وقد نقلت هذه الرواية بألفاظ مختلفة في الكتب الحديثية السنّية، أحدها ما ذكرناه، وجاءت بألفاظ أخرى أيضاً،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أدركتك الصلاة فصلِّ، فهو مسجد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وطهوراً، فحيثما أدركتك الصلاة، فصلِّ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حيثما أدركتك الصلاة، فصلِّ؛ فإنّه مسجد</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الروايات باختلاف ألفاظها لها مؤدّى واحد،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وقت الصلاة فصلّ حيث كنت، إلّا اللّهم أن يكون لدينا دليل على حرمة الصلاة في مكان معيّن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ونجد أنّ فقهاء أهل السنّة اعتبروا رواية أبي ذرٍ أصلاً كلّياً وأساساً يحتكم إليه، واعتمدوا على هذه الرواية في حكمهم بتصحيح الصلاة في </w:t>
      </w:r>
    </w:p>
    <w:p>
      <w:pPr>
        <w:pStyle w:val="BookText"/>
        <w:rPr/>
      </w:pPr>
      <w:r>
        <w:rPr>
          <w:rFonts w:ascii="Amiri" w:hAnsi="Amiri" w:eastAsia="Amiri" w:cs="Amiri"/>
          <w:color w:val="111111"/>
          <w:sz w:val="28"/>
          <w:sz w:val="28"/>
          <w:szCs w:val="28"/>
          <w:rtl w:val="true"/>
          <w:lang w:bidi="ar-SA"/>
        </w:rPr>
        <w:t xml:space="preserve">كثير من الأماكن، يقول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في البيعة والكنيسة وبين النار والمجزرة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وفي كلّ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ما لم يأتِ نصٌ أو إجماع متيقّن في تحريم الصلاة في مكان ما، فيوقف عند النهي في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مسجد وضع في الأرض 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المسجدالحرام،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الأقصى،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سنة، ثمّ حيثما أدركتك الصلاة فصلّ، فهو مسجد</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والصلاة جائزة في البيع والكنائس والهبارات والبيت من بيوت النيران وبيوت البُدّ والديور، إذا لم يعلم هنالك ما يجب اجتنابه من دم أو خمر أو ما أشبه ذلك؛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لي الأرض مسجداً أو طهوراً، فحيثما أدركتك الصلاة فصلّ</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 فحيثما أدركتك الصلاة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يحل أن يمنع أحد من الصلاة في موضع إلّا موضعاً جاء النصّ بالمنع من الصلاة فيه، فيكون مستثنى من هذه الجملة</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السيّد سابق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اختص الله به هذه الأمّة أن جعل لها الأرض طهوراً ومسجداً، فأيّما رجلٌ من المسلمين أدركته الصلاة فليصل حيث أدركته، قال أبو ذر</w:t>
      </w:r>
      <w:r>
        <w:rPr>
          <w:rFonts w:eastAsia="Amiri" w:cs="Amiri" w:ascii="Amiri" w:hAnsi="Amiri"/>
          <w:color w:val="111111"/>
          <w:sz w:val="28"/>
          <w:szCs w:val="28"/>
          <w:rtl w:val="true"/>
          <w:lang w:bidi="ar-SA"/>
        </w:rPr>
        <w:t>. .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ويقول النووي في شرحه لصحيح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وأينما أدركتك الصلاة فصلّ فهو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جواز الصلاة في جميع المواضع إلّا ما استثناه الشرع</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وهكذا القرطبي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ينقل بعض الآراء بموضوعية وحيادية، فيشير في البداية إلى بعض آراء العلماء في منع الصلاة في بعض الأماكن، ثمّ ينقل رواية الترمذي عن ابن عمر في نهي الرسول عن إقامة الصلاة في سبعة أماكن،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يصلّى في سبع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المزبلة، والمجزرة، والمقبرة، وقارعة الطريق، وفي الحمام، وفي معاطن الإبل، وفوق بيت‌الله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ويستمر بذكر آراء العلماء في حكم الصلاة في هذه الموارد، ثمّ يعلّق قائلاً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عليه النظر والخبر، أنّ الصلاة بكلّ موضع طاهر جائزة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هذا وادٍ به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رواه معمّر عن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واخرجوا عن الموضع الذي أصابتكم فيه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أصلّي بأرض بابل فإنّها ملعونة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حين مرّ بالحجر من ثمود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لاتدخلوا على هؤلاء المعذّبين إلّا أن تكونوا باكين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ونهيه عن الصلاة في معاطن الإبل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ذلك مما في هذا الباب، فإنّه مردود إلى الأصول المجتمع عليها والدلائل الصحيح مجيئها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الإمام الحافظ أبو عمر</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المختار عندنا في هذا الباب أنّ ذلك الوادي وغيره من بقاع الأرض جائز أن يصلّى فيها كلّها ما لم تكن فيها نجاسة متيقّنة تمنع من ذلك، ولا معنى لاعتلال من اعتل بأنّ موضع النوم عن الصلاة موضع شيطان، وموضع ملعون لا يجوز أن تقام فيه الصلاة، وكلّ ما روي في هذا الباب من النهي عن الصلاة في المقبرة وبأرض بابل وأعطان الإبل وغير ذلك ممّا في هذا المعنى، كلّ ذلك عندنا منسوخ ومدفوع؛ بعموم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كلّها مسجداً 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مخبراً أنّ ذلك من فضائله وممّا خُصّ به، وفضائله عند أهل العلم، لا يجوز عليها النسخ ولا التبديل ولا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أوتيت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ستاً، وقد روي ثلاثاً وأربعاً، وهي تنتهي إلى أزيد من تسع، قال فيهن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يُؤتهنَّ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إلى الأحمر والأسود، ونُصرت بالرعب، وجُعلت أُمّتي خير الأُمم، وأُحلّت لي الغنائم، وجعلت لي الأرض مسجداً وطهوراً، وأوتيت الشفاعة، وبعثت بجوامع الكلم، وبينا أنا نائم أُتيت بمفاتيح الأرض فوضعت في يدي، وأعطيت الكوثر، وخُتم بي النبيّون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أجزنا الصلاة في المقبرة والحمام وفي كلّ موضع من الأرض إذا كان طاهراً من الأنجاس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حيثما أدركتك الصلاة فصلّ، فإنّ الأرض كلّها 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 البخاري ولم يخصّ موضعاً من موضع</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احتج بحديث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يحيى بن أيوب عن زيد بن جبيرة عن داود بن حصين عن نافع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p>
    <w:p>
      <w:pPr>
        <w:pStyle w:val="BookText"/>
        <w:rPr/>
      </w:pPr>
      <w:r>
        <w:rPr>
          <w:rFonts w:ascii="Amiri" w:hAnsi="Amiri" w:eastAsia="Amiri" w:cs="Amiri"/>
          <w:color w:val="111111"/>
          <w:sz w:val="28"/>
          <w:sz w:val="28"/>
          <w:szCs w:val="28"/>
          <w:rtl w:val="true"/>
          <w:lang w:bidi="ar-SA"/>
        </w:rPr>
        <w:t xml:space="preserve">الترمذي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حديث انفرد به زيد بن جبيرة وأنكروه عليه، ولا يعرف هذا الحديث مسنداً إلّا برواية يحيى بن أيوب عن زيدبن جبيرة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الليث بن سعد إلى عبدالله بن نافع مولى ابن عمر يسأله عن هذا الحديث، فكتب إليه عبد الله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لاأعلم من حدّث بهذا عن نافع إلّا قد قال عليه الباطل</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القرطبي يعتقد بصحة القاعدة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الصلاة في أيّ مكان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 من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وطهوراً، فحيثما أدركتك الصلاة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لها، وحمل الروايات المعارضة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فيتبيّن أنّه يستفاد من الآيات القرآنية والأحاديث النبوية الشريفة أنّ الأصل الأوّلي للصلاة في المقابر والمشاهد المشرّفة هو الجواز والصحّة، إلّا إذا ثبت بدليل متيقّن عدم جواز ذلك في مكان معيّن، ومثاله الروايات التي تُثبت عدم جواز الصلاة في الأماكن المغصوبة أو النجسة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الخمسة المذكورة في الاستدلال على عدم جواز الصلاة بالقرب من المقابر، فهي تفتقد للتماسك المنطقي في دلالتها، وليس في دلالتها القابلية على تخصيص هكذا عمومات قويّة ثابتة، فلا دلالة فيها على الحرمة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يختص بالرواية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سعيد الخدري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فإنّها منقولة بأسانيد مضطربة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أبي‌سعيد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روى عن عبد العزيز بن محمّد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من ذكر عن أبي سعيد، ومنهم من 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فيه اضطراب</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وقد نقل هذا الحديث في المصادر الشيعية بسند معتبر، فيقول عبيدبن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كلّها مسجد إلّا بئر غايط أو مقبرة أو حمَّام</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ولذا نغض الطرف عن ضعف سنده المذكور، ولكن مع ذلك لانقبل دلالته على عدم جواز الصلاة في المقابر والأضرحة المشرّفة؛ وذلك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بمعنى المكان الذي يُسجَد عليه لله تعالى، فيكون معنى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كلّها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أماكن وبقاع الأرض يصح السجود عليها لله تعالى، وحينئذٍ يكون معنى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المقبرة والحمَّام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الأماكن من قبيل المقبرة والحمّام، التي هي مضانّ النجاسة، لا يصح السجود فيها تجنّباً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السجود لله تعالى إلى جانب القبور المشرّفة والأضرحة المباركة، فالرواية ساكتة عن ذلك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رواية زرارة قد أضيفت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وعطفت عليها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 أو 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في رواية ابن عمر عطفت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مزبلة ومجزرة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العبارات قرينة على أنّ مقصود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هذه الأمكان تحرّزاً عن النجاسات أثناء إقامة الصلاة، فتكون الصلاة في هذه الأماكن مع التلوّث بالنجاسات محرّمة وباطلة، ومع عدم وجود النجاسات فهي محمولة على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ابن قدامة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 هذه المواضع السبعة كالحكم في الأربعة سواء، ولأنّ هذه المواضع مظنّة النجاسات فعلّق الحكم عليها دون حقيقتها</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هذا الحديث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محل الدفن، فهذه الرواية إن دلّت فتدلّ على كراهة الصلاة في أماكن دفن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تشمل المراقد المباركة، كضريح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وضريح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لعدم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أنس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من خلالها أيضاً إثبات حرمة الصلاة إلى جانب القبور؛ لأنّ هذه الرواية وإن كانت توافق بعض الروايات في كتبنا الحديثية من حيث المضمون، كرواية عمار الساباطي حين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الرجل يصلّي بين القبور؟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إلّا أن يجعل بينه وبين القبور إذا صلّى عشرة أذرع</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توجد لدينا روايات أخرى رخّصت في الصلاة بين القبور، كرواية معمّر بن خلّاد </w:t>
      </w:r>
      <w:r>
        <w:rPr>
          <w:rStyle w:val="FootnoteAnchor"/>
          <w:rtl w:val="true"/>
        </w:rPr>
        <w:footnoteReference w:id="250"/>
      </w:r>
      <w:r>
        <w:rPr>
          <w:rFonts w:ascii="Amiri" w:hAnsi="Amiri" w:eastAsia="Amiri" w:cs="Amiri"/>
          <w:color w:val="111111"/>
          <w:sz w:val="28"/>
          <w:sz w:val="28"/>
          <w:szCs w:val="28"/>
          <w:rtl w:val="true"/>
          <w:lang w:bidi="ar-SA"/>
        </w:rPr>
        <w:t>، ورواية علي بن يقطين</w:t>
      </w:r>
      <w:r>
        <w:rPr>
          <w:rStyle w:val="FootnoteAnchor"/>
          <w:rtl w:val="true"/>
        </w:rPr>
        <w:footnoteReference w:id="251"/>
      </w:r>
      <w:r>
        <w:rPr>
          <w:rFonts w:ascii="Amiri" w:hAnsi="Amiri" w:eastAsia="Amiri" w:cs="Amiri"/>
          <w:color w:val="111111"/>
          <w:sz w:val="28"/>
          <w:sz w:val="28"/>
          <w:szCs w:val="28"/>
          <w:rtl w:val="true"/>
          <w:lang w:bidi="ar-SA"/>
        </w:rPr>
        <w:t xml:space="preserve">،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 الروايات متعارضة، وطريق الجمع بينها حمل رواية أنس وعمار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المقبرة حيث تكثر القبور فيها، فلا تشمل الصلاة إلى جانب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والقبور المنفردة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والرواية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أبي هريرة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لاعلاقة لها بالمدّعى؛ لأنّ معنى هذه الروايات الحثّ على الصلاة في البيوت والاشتغال بذكر الله تعالى وعدم ترك ذلك، فتكون البيوت كالمقابر، لا تحوي غير القبور وتخلو من الذكر والعبادة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روايات أخرى تؤيّد هذا المعنى المفهوم من هاتين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المتّقي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في بيوتكم من صلاتكم، واعمروها بالقرآن فإنّ أفقر البيوت بيت لا يقرأ فيه كتاب الله عزّوجلّ</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وهناك من المحقّقين السنّة من فسّر رواية ابن عمر وأبي هريرة بهذا المعنى</w:t>
      </w:r>
      <w:r>
        <w:rPr>
          <w:rStyle w:val="FootnoteAnchor"/>
          <w:rtl w:val="true"/>
        </w:rPr>
        <w:footnoteReference w:id="253"/>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 فهي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العبارات التي قيلت في حقّه من قبل الفقهاء والمحدّثين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اتّفقت الناس على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ما يرويه لا يتابعه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الحديث جدّاً، لا يكتب حديثه</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صحيح البخاري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عمرُ أنسَ بن مالك يصلّي عند 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يأمره بالإعادة</w:t>
      </w:r>
      <w:r>
        <w:rPr>
          <w:rFonts w:eastAsia="Amiri" w:cs="Amiri" w:ascii="Amiri" w:hAnsi="Amiri"/>
          <w:color w:val="111111"/>
          <w:sz w:val="28"/>
          <w:szCs w:val="28"/>
          <w:rtl w:val="true"/>
          <w:lang w:bidi="ar-SA"/>
        </w:rPr>
        <w:t>»</w:t>
      </w:r>
      <w:r>
        <w:rPr>
          <w:rStyle w:val="FootnoteAnchor"/>
          <w:rtl w:val="true"/>
        </w:rPr>
        <w:footnoteReference w:id="255"/>
      </w:r>
      <w:bookmarkStart w:id="259" w:name="pg1606_13783"/>
    </w:p>
    <w:p>
      <w:pPr>
        <w:pStyle w:val="BookText"/>
        <w:rPr/>
      </w:pPr>
      <w:bookmarkEnd w:id="259"/>
      <w:r>
        <w:rPr>
          <w:rFonts w:ascii="Amiri" w:hAnsi="Amiri" w:eastAsia="Amiri" w:cs="Amiri"/>
          <w:color w:val="111111"/>
          <w:sz w:val="28"/>
          <w:sz w:val="28"/>
          <w:szCs w:val="28"/>
          <w:rtl w:val="true"/>
          <w:lang w:bidi="ar-SA"/>
        </w:rPr>
        <w:t>فهذا الحديث يؤكّد حقيقة عدم بطلان الصلاة إلى جانب القبر في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روي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الأضحى إلى البقيع، فبدأ فصلّى ركعتين</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وهذا الحديث يدلّ على جواز الصلاة في المقبرة</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897747_3650668749"/>
      <w:bookmarkStart w:id="261" w:name="_Toc101"/>
      <w:bookmarkEnd w:id="260"/>
      <w:r>
        <w:rPr>
          <w:rtl w:val="true"/>
        </w:rPr>
        <w:t>ثانياً</w:t>
      </w:r>
      <w:r>
        <w:rPr>
          <w:rtl w:val="true"/>
        </w:rPr>
        <w:t xml:space="preserve">: </w:t>
      </w:r>
      <w:r>
        <w:rPr>
          <w:rtl w:val="true"/>
        </w:rPr>
        <w:t>الدعاء عند القبور والمراقد المشرّفة</w:t>
      </w:r>
      <w:bookmarkEnd w:id="261"/>
    </w:p>
    <w:p>
      <w:pPr>
        <w:pStyle w:val="BookText"/>
        <w:rPr/>
      </w:pPr>
      <w:r>
        <w:rPr>
          <w:rFonts w:ascii="Amiri" w:hAnsi="Amiri" w:eastAsia="Amiri" w:cs="Amiri"/>
          <w:color w:val="111111"/>
          <w:sz w:val="28"/>
          <w:sz w:val="28"/>
          <w:szCs w:val="28"/>
          <w:rtl w:val="true"/>
          <w:lang w:bidi="ar-SA"/>
        </w:rPr>
        <w:t>إنّ الدعاء عند القبور له أكثر من شكل،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إلى المقابر والدعاء لطلب المغفرة للنفس والرحمة والمغفرة للموتى، ويقرأ القرآن لأرواح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شك فيه أنّ الدعاء وطلب المغفرة له وللآخرين من الأمور الجائزة والمرغوبة في كلّ مكان؛ لأنّ الله تعالى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ففي هذه الآية لم يعيّن مكاناً خاصّاً للدعاء، ولم يرو لنا في أيّ رواية نهي عن الدعاء وقراءة القرآن عند القبور، بل جاء في كثير من الروايات أنّ الدعاء وقراءة القرآن عند القبور توجب تخفيف العذاب عن صاحب القبر، وفيها ثواب للداعي نفسه وقارئ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المقابر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الأجساد البالية والعظام النخرة التي خرجت من الدنيا وهي بك مؤمنة، أدخل عليها روحاً وسلاماً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له كلّ مؤمن مات منذ </w:t>
      </w:r>
    </w:p>
    <w:p>
      <w:pPr>
        <w:pStyle w:val="BookText"/>
        <w:rPr/>
      </w:pPr>
      <w:r>
        <w:rPr>
          <w:rFonts w:ascii="IRNazanin" w:hAnsi="IRNazanin" w:eastAsia="IRNazanin"/>
          <w:color w:val="111111"/>
          <w:sz w:val="28"/>
          <w:sz w:val="28"/>
          <w:szCs w:val="28"/>
          <w:rtl w:val="true"/>
          <w:lang w:bidi="fa-IR"/>
        </w:rPr>
        <w:t>خلق الله آدم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وفي رواية أخرى عن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المقابر فقرأ سورة يس خفف عنهم يومئذٍ، وكان له بعدد مَن فيها حسنات</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وروايات أخرى مثلها،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دخل المقابر ثمّ قرأ فاتحة الكتاب، وقل هو الله أحد، وألهاكم التكاثر،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ثواب ما قرأت من كلامك لأهل المقابر من المؤمنين والمؤمنات كانوا شفعاء له إلى الله تعالى</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وكذلك روايات نقلت في كتب أهل السنّة</w:t>
      </w:r>
      <w:r>
        <w:rPr>
          <w:rStyle w:val="FootnoteAnchor"/>
          <w:rtl w:val="true"/>
        </w:rPr>
        <w:footnoteReference w:id="261"/>
      </w:r>
      <w:r>
        <w:rPr>
          <w:rFonts w:ascii="Amiri" w:hAnsi="Amiri" w:eastAsia="Amiri" w:cs="Amiri"/>
          <w:color w:val="111111"/>
          <w:sz w:val="28"/>
          <w:sz w:val="28"/>
          <w:szCs w:val="28"/>
          <w:rtl w:val="true"/>
          <w:lang w:bidi="ar-SA"/>
        </w:rPr>
        <w:t>تحكي استحباب الدعاء عند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إلى المقابر باعتقاد أنّ الدعاء فيها مستجاب بوساطة الموتى فيدعو الله هناك بهذا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المسلّم أنّ الشيعة لا يعتقدون بهذا الأمر، بل يعتبرون أنّ الدعاء للموتى مستحبٌ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يقصد الأماكن المباركة والمراقد المشرّفة، كحرم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والأولياء، والذين هم أحياء كما يعتقد كافّة المسلمين، طمعاً في نيلهم دعوة منهم ووساطة عند الله تعالى لهم لأجل غفران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المتيقّن أنّ هذا العمل عمل عقلائي وراجح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الذهبي في سير أعلام النبلاء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والدعاء مستجاب عند قبور </w:t>
      </w:r>
    </w:p>
    <w:p>
      <w:pPr>
        <w:pStyle w:val="BookText"/>
        <w:rPr/>
      </w:pPr>
      <w:r>
        <w:rPr>
          <w:rFonts w:ascii="Amiri" w:hAnsi="Amiri" w:eastAsia="Amiri" w:cs="Amiri"/>
          <w:color w:val="111111"/>
          <w:sz w:val="28"/>
          <w:sz w:val="28"/>
          <w:szCs w:val="28"/>
          <w:rtl w:val="true"/>
          <w:lang w:bidi="ar-SA"/>
        </w:rPr>
        <w:t>الأنبياء والأولياء، وفي سائر البقاع، لكن سبب الإجابة حضور الداعي، وخشوعه وابتهاله، وبلا ريب في البقعة المباركة، وفي المسجد، وفي السحر، ونحو ذلك، يتحصّل ذلك للداعي كثيراً، وكلّ مضطر فدعاؤه مجاب</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نصل إلى نتيجة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عند القبور جائزة لكنّها مكروهة، وفي الأماكن المشرّفة جائزة ولا كراهة فيها، بل هناك روايات في الكتب الروائية الشيعية تدلّ على استحباب الصلاة في الأماكن والبقع المشرّفة، والدعاء عند القبور والأماكن الشريفة جائز ومرغوب فيه</w:t>
      </w:r>
      <w:r>
        <w:rPr>
          <w:rFonts w:eastAsia="Amiri" w:cs="Amiri" w:ascii="Amiri" w:hAnsi="Amiri"/>
          <w:color w:val="111111"/>
          <w:sz w:val="28"/>
          <w:szCs w:val="28"/>
          <w:rtl w:val="true"/>
          <w:lang w:bidi="ar-SA"/>
        </w:rPr>
        <w:t xml:space="preserve">. </w:t>
      </w:r>
      <w:bookmarkStart w:id="262" w:name="pg1606_13789"/>
    </w:p>
    <w:p>
      <w:pPr>
        <w:pStyle w:val="Heading2"/>
        <w:numPr>
          <w:ilvl w:val="1"/>
          <w:numId w:val="1"/>
        </w:numPr>
        <w:rPr/>
      </w:pPr>
      <w:bookmarkStart w:id="263" w:name="__RefHeading___Toc897749_3650668749"/>
      <w:bookmarkStart w:id="264" w:name="_Toc102"/>
      <w:bookmarkEnd w:id="262"/>
      <w:bookmarkEnd w:id="263"/>
      <w:r>
        <w:rPr>
          <w:rtl w:val="true"/>
        </w:rPr>
        <w:t>فهرس المصادر والمراجع</w:t>
      </w:r>
      <w:bookmarkEnd w:id="2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الإبهاج في شرح المنهاج، علي بن عبد الكافي السبكي، بيروت، دار الكتب العلمية،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الأحكام، علي بن محمّد الآمدي، دمشق، المكتب الإسلامي، </w:t>
      </w:r>
      <w:r>
        <w:rPr>
          <w:rFonts w:ascii="Amiri" w:hAnsi="Amiri" w:eastAsia="Amiri" w:cs="Amiri"/>
          <w:color w:val="111111"/>
          <w:sz w:val="28"/>
          <w:sz w:val="28"/>
          <w:szCs w:val="28"/>
          <w:lang w:bidi="ar-SA"/>
        </w:rPr>
        <w:t>١۴٠٢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في أصول الأحكام، أبو محمّد علي بن أحمد بن حزم الأندلسي، القاهرة، دار الحديث،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الجنائز، محمّد ناصر الدين الألباني، بيروت، المكتب الإسلامي،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أبو بكر أحمد بن علي الرازي الجصّاص، بيروت، دار الكتب العلمية،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الساري إلى صحيح البخاري، أبو العبّاس أحمد القسطلاني، بيروت، دار إحياء التراث العربي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الفحول، محمّد بن علي بن محمّد الشوكاني، بيروت، دار المعرفة،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إرواء الغليل في تخريج أحاديث منار السبيل، محمّد ناصر الدين الألباني، بيروت، المكتب الإسلامي،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 ابن الأثير، أبو الحسن علي بن أبي‌الكرم محمّد بن محمّد بن عبد الكريم بن عبدالواحد الشيباني، طهران، انتشارات إسماعيليان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السرخسي، محمّد بن أحمد بن أبي سهل السرخسي، بيروت، دار الكتب العلمية،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إعانة الطالبين، السيّد البكوي، ابن السيّد محمّد شطا الدمياطي، بيروت، دارالفكر،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أبوإسحاق الشاطبي، بيروت، 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الإقناع في حلّ ألفاظ أبي شجاع، شمس الدين محمّد بن أحمد الشربيني الخطيب، بيروت، 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الإمام الشافعي، بيروت، دار الفكر،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محمّد باقر المجلسي، بيروت، مؤسسة الوفاء،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الرائق، ابن نجيم المصري، بيروت، دار الكتب العلمية،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ابن كثير، إسماعيل بن كثير الدمشقي، بيروت، دار إحياء التراث العربي،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الصنائع في ترتيب الشرائع، علاء الدين أبو بكر بن مسعود الكاساني الحنفي، باكستان، مكتبة الحبيبية،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أصول الفقه، أبو المعالي الجويني، عبد الملك بن عبدالله ابن يوسف الجويني، مصر، مؤسّسة الوفاء،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محمّد مرتضى الزبيدي، بيروت، مكتبة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معين، ابن معين، يحيى بن معين بن عون الغطفاني، دمشق، دارالمأمون للتراث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أبو بكر أحمد بن علي الخطيب البغدادي، بيروت، دارالكتب العلمية،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جرجان، حمزة بن يوسف أبو القاسم الجرجاني، بيروت، عالم‌الكتب،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الصغير، البخاري، أبو عبد الله إسماعيل بن إبراهيم الجعفي البخاري، بيروت، دار المعرفة،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الكبير، البخاري، أبو عبد الله إسماعيل بن ابراهيم الجعفي البخاري، ديار بكر، المكتبة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ابن عساكر، أبو القاسم علي بن الحسين بن هبة الله بن عبد الله الشافعي، بيروت، دار الفكر،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 لأسماء المدلّسين، سبط ابن العجمي، بيروت، دار الكتب العلمية،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أبو العلاء محمّد بن عبد الرحمن بن عبد الرحيم المباركفوري، بيروت، دار الكتب العلمية،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 العلامة الحلّي، حسن بن يوسف بن المطهر الحلّي، قم، مؤسسة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ابن كثير، أبو الفداء إسماعيل بن كثير القرشي، بيروت، دار المعرفة،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البيضاوي، أنوار التنزيل و أسرار التأويل، البيضاوي، أبو سعيد عبد الله بن عمر بن محمّد الشيرازي البيضاوي، بيروت، دار الكتب العلمية،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الثعالبي، الجواهر الحسان في تفسير القرآن، عبد الرحمن ابن محمّد بن مخلوف أبو زيد الثعالبي، بيروت، دار إحياء التراث العربي،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روح المعاني، الآلوسي، أبو الفضل محمود الآلوسي، بيروت، 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الجامع لأحكام القرآن، أبو عبد الله محمّد بن أحمد الأنصاري القرطبي، بيروت، دار إحياء التراث العربي،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ابن حجر العسقلاني، أحمد بن علي بن حجر العسقلاني، بيروت، دار الكتب العلمية،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التلخيص الحبير في تخريج الرافعي الكبير، أحمد بن علي بن حجر العسقلاني، بيروت،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في تخريج الفروع على الأصول، عبدالرحيم بن الحسن الآسنوي، بيروت، مؤسسة الرسالة، </w:t>
      </w:r>
      <w:r>
        <w:rPr>
          <w:rFonts w:ascii="Amiri" w:hAnsi="Amiri" w:eastAsia="Amiri" w:cs="Amiri"/>
          <w:color w:val="111111"/>
          <w:sz w:val="28"/>
          <w:sz w:val="28"/>
          <w:szCs w:val="28"/>
          <w:lang w:bidi="ar-SA"/>
        </w:rPr>
        <w:t>١۴٠٠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 لما في الموطأ من المعاني و المسانيد، ابن عبد البرّ، أبوعمر يوسف بن عبد الله بن عبد البرّ النمري، المغرب، وزارة عموم الأوقاف و الشؤون الإسلامية،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تنوير الحوالك، السيوطي، جلال الدين السيوطي، بيروت، دار الكتب العلمية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شيخ الطائفة أبو جعفر محمّد بن الحسن الطوسي، طهران، دار الكتب الإسلامية، </w:t>
      </w:r>
      <w:r>
        <w:rPr>
          <w:rFonts w:ascii="Amiri" w:hAnsi="Amiri" w:eastAsia="Amiri" w:cs="Amiri"/>
          <w:color w:val="111111"/>
          <w:sz w:val="28"/>
          <w:sz w:val="28"/>
          <w:szCs w:val="28"/>
          <w:lang w:bidi="ar-SA"/>
        </w:rPr>
        <w:t>١٣۶۵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ابن حجر العسقلاني، أحمد بن علي بن حجر العسقلاني، بيروت، دار الفكر للطباعة،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جمال الدين أبو الحجاج يوسف المزي، بيروت، مؤسّسة الرسالة،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محمّد بن حبّان بن أحمد أبو حاتم التميمي، حيدرآباد، مجلس دائرةالمعارف العثمانية، </w:t>
      </w:r>
      <w:r>
        <w:rPr>
          <w:rFonts w:ascii="Amiri" w:hAnsi="Amiri" w:eastAsia="Amiri" w:cs="Amiri"/>
          <w:color w:val="111111"/>
          <w:sz w:val="28"/>
          <w:sz w:val="28"/>
          <w:szCs w:val="28"/>
          <w:lang w:bidi="ar-SA"/>
        </w:rPr>
        <w:t>١٣٩٣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 الداني، شرح رسالة ابن أبي زيد، صالح عبد السميع الآبي الأزهري، بيروت، المكتبة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في أحاديث البشير النذير، السيوطي، جلال الدين عبد الرحمن بن أبي بكر السيوطي، بيروت، دار الفكر،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أبو محمّد عبد الرحمن بن أبي حاتم الرازي، بيروت، دار إحياء التراث العربي، </w:t>
      </w:r>
      <w:r>
        <w:rPr>
          <w:rFonts w:ascii="Amiri" w:hAnsi="Amiri" w:eastAsia="Amiri" w:cs="Amiri"/>
          <w:color w:val="111111"/>
          <w:sz w:val="28"/>
          <w:sz w:val="28"/>
          <w:szCs w:val="28"/>
          <w:lang w:bidi="ar-SA"/>
        </w:rPr>
        <w:t>١٣٧١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النقي، المارديني، علاء الدين بن علي بن عثمان المارديني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التركماني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السندي على النسائي، نور الدين عبد الهادي، بيروت، دار الكتب العربية،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الطحطاوي على مراقي الفلاح، أحمد بن محمّد بن إسماعيل الطحطاوي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بالمأثور، جلال الدين السيوطي، بيروت، دارالمعرفة للطباعة والنشر، </w:t>
      </w:r>
      <w:r>
        <w:rPr>
          <w:rFonts w:ascii="Amiri" w:hAnsi="Amiri" w:eastAsia="Amiri" w:cs="Amiri"/>
          <w:color w:val="111111"/>
          <w:sz w:val="28"/>
          <w:sz w:val="28"/>
          <w:szCs w:val="28"/>
          <w:lang w:bidi="ar-SA"/>
        </w:rPr>
        <w:t>١٣۶۵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الشبه عن الرسول، أبو بكر بن محمّد بن عبد المؤمن تقي‌الدين الحصني، القاهرة، دار إحياء الكتاب العربي،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على مسلم، السيوطي، جلال الدين عبدالرحمن بن أبي بكر السيوطي، الرياض، دار ابن عفّان،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ابن أبي زيد، ابن أبي زيد القيرواني، بيروت، المكتبة الثقافية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المنارة لتخريج أحاديث التوسّل والزيارة، محمود سعيد ممدوح، عمان، دار الإمام النووي،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الناظر و جنّة المناظر، ابن قدامة، عبد الله بن أحمد بن قدامة المقدسي، رياض، جامعة محمّد بن سعود،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الصالحين من حديث سيّد المرسلين، يحيى بن شرف النووي، بيروت، دار الفكر المعاصر،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السيّد علي الطباطبائي، قم، مؤسّسة النشر الإسلامي،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ابن القيم الجوزيّة، بيروت، مؤسّسة الرسالة،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از ديدگاه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المزار عند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عبدالهادي الحسيني، الرياض، </w:t>
      </w:r>
      <w:r>
        <w:rPr>
          <w:rFonts w:ascii="IRNazanin" w:hAnsi="IRNazanin" w:eastAsia="IRNazanin"/>
          <w:color w:val="111111"/>
          <w:sz w:val="28"/>
          <w:sz w:val="28"/>
          <w:szCs w:val="28"/>
          <w:lang w:bidi="fa-IR"/>
        </w:rPr>
        <w:t>١۴٢۶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السلام، محمّد بن إسماعيل الكحلاني، مصر، شركة مكتبة مصطفى البابي الحلبي و أولاده، </w:t>
      </w:r>
      <w:r>
        <w:rPr>
          <w:rFonts w:ascii="Amiri" w:hAnsi="Amiri" w:eastAsia="Amiri" w:cs="Amiri"/>
          <w:color w:val="111111"/>
          <w:sz w:val="28"/>
          <w:sz w:val="28"/>
          <w:szCs w:val="28"/>
          <w:lang w:bidi="ar-SA"/>
        </w:rPr>
        <w:t>١٣٧٩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محمّد بن يوسف الصالحي الشامي، بيروت، دارالكتب العلمية،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السلسلة الصحيحة، محمّد ناصر الدين الألباني، الرياض، مكتبة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ابن ماجة، محمّد بن يزيد القزويني، بيروت، دار الفكر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السجستاني، أبوداود سليمان بن الأشعث السجستاني، بيروت، دار الفكر،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الترمذي، أبو عيسى محمّد بن عيسى سورة الترمذي، بيروت، دار الفكر،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 عبد الله بن الرحمن بن الفضل بن بهرام الدارمي، دمشق، مطبعة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أحمد بن شعيب النسائي، بيروت، دار الكتب العلمية، </w:t>
      </w:r>
      <w:r>
        <w:rPr>
          <w:rFonts w:ascii="Amiri" w:hAnsi="Amiri" w:eastAsia="Amiri" w:cs="Amiri"/>
          <w:color w:val="111111"/>
          <w:sz w:val="28"/>
          <w:sz w:val="28"/>
          <w:szCs w:val="28"/>
          <w:lang w:bidi="ar-SA"/>
        </w:rPr>
        <w:t>١۴١١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أحمد بن الحسين بن علي البيهقي، بيروت،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أحمد بن شعيب النسائي، بيروت، دار الفكر، </w:t>
      </w:r>
      <w:r>
        <w:rPr>
          <w:rFonts w:ascii="Amiri" w:hAnsi="Amiri" w:eastAsia="Amiri" w:cs="Amiri"/>
          <w:color w:val="111111"/>
          <w:sz w:val="28"/>
          <w:sz w:val="28"/>
          <w:szCs w:val="28"/>
          <w:lang w:bidi="ar-SA"/>
        </w:rPr>
        <w:t>١٣۴٨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محمّد بن أحمد بن عثمان الذهبي، بيروت، مؤسّسة الرسالة،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سنن النسائي، جلال الدين السيوطي، بيروت، دار إحياء التراث العربي،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أبو زكريا محيي الدين بن شرف النووي، بيروت، دار الكتاب العربي،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الشرح الكبير على متن المقنع، أبو الفرج عبد الرحمن بن أبي عمر محمّد بن أحمد بن قدامة المقدسي، بيروت، دار الكتاب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الممجد على موطأ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اللكنوي، دمشق، دار القلم،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مسند أبي حنيفة، ملا علي القاري، بيروت، دار الكتب العلمية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أبي الحديد، قم، منشورات مكتبة آية الله المرعشي، </w:t>
      </w:r>
      <w:r>
        <w:rPr>
          <w:rFonts w:ascii="Amiri" w:hAnsi="Amiri" w:eastAsia="Amiri" w:cs="Amiri"/>
          <w:color w:val="111111"/>
          <w:sz w:val="28"/>
          <w:sz w:val="28"/>
          <w:szCs w:val="28"/>
          <w:lang w:bidi="ar-SA"/>
        </w:rPr>
        <w:t>١۴٠۴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أبو بكر أحمد بن الحسين البيهقي، بيروت، دارالكتب العلمية، </w:t>
      </w:r>
      <w:r>
        <w:rPr>
          <w:rFonts w:ascii="Amiri" w:hAnsi="Amiri" w:eastAsia="Amiri" w:cs="Amiri"/>
          <w:color w:val="111111"/>
          <w:sz w:val="28"/>
          <w:sz w:val="28"/>
          <w:szCs w:val="28"/>
          <w:lang w:bidi="ar-SA"/>
        </w:rPr>
        <w:t>١۴١٠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إسماعيل بن حماد الجوهري، بيروت، دارالعلم للملايين، </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بترتيب ابن بلبان، محمّد بن محمّد بن أحمد علاء الدين علي بن بلبان الفارسي، بيروت، مؤسّسة الرسالة، </w:t>
      </w:r>
      <w:r>
        <w:rPr>
          <w:rFonts w:ascii="Amiri" w:hAnsi="Amiri" w:eastAsia="Amiri" w:cs="Amiri"/>
          <w:color w:val="111111"/>
          <w:sz w:val="28"/>
          <w:sz w:val="28"/>
          <w:szCs w:val="28"/>
          <w:lang w:bidi="ar-SA"/>
        </w:rPr>
        <w:t>١۴١۴</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أبو بكر محمّد بن إسحاق بن خزيمة السلمي، بيروت، المكتب الإسلامي،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محمّد بن إسماعيل البخاري، بيروت، دار الفكر، </w:t>
      </w:r>
      <w:r>
        <w:rPr>
          <w:rFonts w:ascii="Amiri" w:hAnsi="Amiri" w:eastAsia="Amiri" w:cs="Amiri"/>
          <w:color w:val="111111"/>
          <w:sz w:val="28"/>
          <w:sz w:val="28"/>
          <w:szCs w:val="28"/>
          <w:lang w:bidi="ar-SA"/>
        </w:rPr>
        <w:t>١۴٠١</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الترغيب والترهيب، محمّد ناصر الدين الألباني، الرياض، مكتبة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مسلم بن الحجاج النيسابوري، بيروت،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ضعفاء العقيلي، محمّد بن عمرو بن موسى بن حماد العقيلي، بيروت، دارالكتب العلمية،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 الكبرى، ابن سعد، بيروت،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الإمام أحمد بن حنبل، بيروت، المكتب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القاري في شرح صحيح البخاري، بدر الدين العيني، بيروت، دارالفكر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فتاوى مهمّة، عبد العزيز بن عبد الله بن باز، الرياض، دار العاصمة، </w:t>
      </w:r>
      <w:r>
        <w:rPr>
          <w:rFonts w:ascii="Amiri" w:hAnsi="Amiri" w:eastAsia="Amiri" w:cs="Amiri"/>
          <w:color w:val="111111"/>
          <w:sz w:val="28"/>
          <w:sz w:val="28"/>
          <w:szCs w:val="28"/>
          <w:lang w:bidi="ar-SA"/>
        </w:rPr>
        <w:t>١۴١٣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الكبرى، أحمد بن عبد الحليم بن تيميّة الحرّاني، بيروت، دار المعرفة، </w:t>
      </w:r>
      <w:r>
        <w:rPr>
          <w:rFonts w:ascii="Amiri" w:hAnsi="Amiri" w:eastAsia="Amiri" w:cs="Amiri"/>
          <w:color w:val="111111"/>
          <w:sz w:val="28"/>
          <w:sz w:val="28"/>
          <w:szCs w:val="28"/>
          <w:lang w:bidi="ar-SA"/>
        </w:rPr>
        <w:t>١٣٨۶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 شرح صحيح البخاري، شهاب الدين بن حجر العسقلاني، بيروت، دار المعرفة للطباعة و 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العزيز في شرح الوجيز، عبدالرحيم بن محمّد الرافعي، بيروت، دارالفكر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في الأصول، أحمد بن علي الرازي الجصاص، بيروت، إحياء التراث الإسلامي،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السنّة، السيّد سابق، بيروت، دار الكتاب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على المذاهب الأربعة، عبد الرحمن الجزيري، بيروت، دار إحياء 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محمّد عبد الرؤوف المنّاوي، بيروت، دار الكتب العلمية،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محمّد بن يعقوب الفيروز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أبو جعفر محمّد بن يعقوب إسحاق الكليني، طهران، دارالكتب الإسلامية، طهران، </w:t>
      </w:r>
      <w:r>
        <w:rPr>
          <w:rFonts w:ascii="Amiri" w:hAnsi="Amiri" w:eastAsia="Amiri" w:cs="Amiri"/>
          <w:color w:val="111111"/>
          <w:sz w:val="28"/>
          <w:sz w:val="28"/>
          <w:szCs w:val="28"/>
          <w:lang w:bidi="ar-SA"/>
        </w:rPr>
        <w:t>١٣٨٨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في فقه ابن حنبل، عبدالله بن قدامة المقدسي، بيروت، المكتب الإسلامي،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ضعفاء الرجال، ابن عدي، أبو أحمد عبدالله بن عدي، بيروت، دار الفكر،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الضعفاء والمتروكين، أحمد بن علي بن شعيب النسائي، بيروت، دار المعرفة،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المجروحين، محمّد بن حبّان بن أحمد التميمي،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١٠٢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القناع عن متن الإقناع، منصور بن يونس البهوتي، بيروت، دارالكتب العلمية، </w:t>
      </w:r>
      <w:r>
        <w:rPr>
          <w:rFonts w:ascii="Amiri" w:hAnsi="Amiri" w:eastAsia="Amiri" w:cs="Amiri"/>
          <w:color w:val="111111"/>
          <w:sz w:val="28"/>
          <w:sz w:val="28"/>
          <w:szCs w:val="28"/>
          <w:lang w:bidi="ar-SA"/>
        </w:rPr>
        <w:t>١۴١٨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علاء الدين المتقي الهندي، بيروت، مؤسّسة الرسالة،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ابن منظور، محمّد بن مكرم بن منظور، قم، نشر أدب‌الحوزة،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أحمد بن علي بن حجر العسقلاني، بيروت، مؤسّسة الأعلمي للمطبوعات، </w:t>
      </w:r>
      <w:r>
        <w:rPr>
          <w:rFonts w:ascii="Amiri" w:hAnsi="Amiri" w:eastAsia="Amiri" w:cs="Amiri"/>
          <w:color w:val="111111"/>
          <w:sz w:val="28"/>
          <w:sz w:val="28"/>
          <w:szCs w:val="28"/>
          <w:lang w:bidi="ar-SA"/>
        </w:rPr>
        <w:t>١٣٩٠</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نور الدين علي بن أبي بكر الهيثمي، بيروت، دارالكتب العلمية، </w:t>
      </w:r>
      <w:r>
        <w:rPr>
          <w:rFonts w:ascii="Amiri" w:hAnsi="Amiri" w:eastAsia="Amiri" w:cs="Amiri"/>
          <w:color w:val="111111"/>
          <w:sz w:val="28"/>
          <w:sz w:val="28"/>
          <w:szCs w:val="28"/>
          <w:lang w:bidi="ar-SA"/>
        </w:rPr>
        <w:t>١۴٠٨</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 محيي الدين بن شرف النووي، بيروت،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الفتاوى، محمّد بن عبد الحليم بن تيميّة الحرّاني،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المحصول في علم أصول الفقه، فخر الدين محمّد بن عمر بن الحسين الرازي، بيروت، مؤسّسة الرسالة، </w:t>
      </w:r>
      <w:r>
        <w:rPr>
          <w:rFonts w:ascii="Amiri" w:hAnsi="Amiri" w:eastAsia="Amiri" w:cs="Amiri"/>
          <w:color w:val="111111"/>
          <w:sz w:val="28"/>
          <w:sz w:val="28"/>
          <w:szCs w:val="28"/>
          <w:lang w:bidi="ar-SA"/>
        </w:rPr>
        <w:t>١۴١٢</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مراقي الفلاح بإمداد الفتاح، حسن بن عمار بن علي الشرنبلاني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أبو عبدالله الحاكم النيسابوري، بيروت، دارالمعرفة،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المستصفى، أبوحامد محمّد الغزالي، بيروت، دار الكتب العلمية، </w:t>
      </w:r>
      <w:r>
        <w:rPr>
          <w:rFonts w:ascii="Amiri" w:hAnsi="Amiri" w:eastAsia="Amiri" w:cs="Amiri"/>
          <w:color w:val="111111"/>
          <w:sz w:val="28"/>
          <w:sz w:val="28"/>
          <w:szCs w:val="28"/>
          <w:lang w:bidi="ar-SA"/>
        </w:rPr>
        <w:t>١۴١٧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المستطرف، شهاب الدين محمّد بن أحمد أبو الفتح الأبشيهي، بيروت، دار الكتب العلمية، </w:t>
      </w:r>
      <w:r>
        <w:rPr>
          <w:rFonts w:ascii="Amiri" w:hAnsi="Amiri" w:eastAsia="Amiri" w:cs="Amiri"/>
          <w:color w:val="111111"/>
          <w:sz w:val="28"/>
          <w:sz w:val="28"/>
          <w:szCs w:val="28"/>
          <w:lang w:bidi="ar-SA"/>
        </w:rPr>
        <w:t>١٩٨۶</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الإمام أحمد بن حنبل، بيروت، دار 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الجعد، علي بن الجعد بن عبيد، بيروت، 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داود الطيالسي، سليمان بن داود بن الجارود أبو داود الطيالسي، بيروت، دار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يعلي، أحمد بن علي بن المثنّى التميمي أبو يعلي الموصلي، بيروت، دار المأمون للتراث</w:t>
      </w:r>
      <w:r>
        <w:rPr>
          <w:rFonts w:ascii="Amiri" w:hAnsi="Amiri" w:eastAsia="Amiri" w:cs="Amiri"/>
          <w:color w:val="111111"/>
          <w:sz w:val="28"/>
          <w:sz w:val="28"/>
          <w:szCs w:val="28"/>
          <w:lang w:bidi="ar-SA"/>
        </w:rPr>
        <w:t>١۴٠٧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الحميدي، أبو بكر عبد الله بن الزبير الحميدي، بيروت، دار الكتب العلمية،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الشاميين، سليمان بن أحمد الطبراني، بيروت، مؤسّسة الرسالة،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محمّد بن أبي شيبة، بيروت، دار الفكر، </w:t>
      </w:r>
      <w:r>
        <w:rPr>
          <w:rFonts w:ascii="Amiri" w:hAnsi="Amiri" w:eastAsia="Amiri" w:cs="Amiri"/>
          <w:color w:val="111111"/>
          <w:sz w:val="28"/>
          <w:sz w:val="28"/>
          <w:szCs w:val="28"/>
          <w:lang w:bidi="ar-SA"/>
        </w:rPr>
        <w:t>١۴٠٩</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أبو بكر عبد الرزاق بن همام الصنعاني، المجلس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في أصول الفقه، أبو الحسين البصري، محمّد بن علي ابن الطيب البصري، بيروت، دار الكتب العلمية، </w:t>
      </w:r>
      <w:r>
        <w:rPr>
          <w:rFonts w:ascii="Amiri" w:hAnsi="Amiri" w:eastAsia="Amiri" w:cs="Amiri"/>
          <w:color w:val="111111"/>
          <w:sz w:val="28"/>
          <w:sz w:val="28"/>
          <w:szCs w:val="28"/>
          <w:lang w:bidi="ar-SA"/>
        </w:rPr>
        <w:t>١۴٠٣</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 أبو القاسم سليمان بن أحمد الطبراني، دار الحرمين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الصغير، أبو القاسم سليمان بن أحمد الطبراني، بيروت، 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أبو القاسم سليمان بن أحمد الطبراني، القاهرة، مكتبة ابن‌تيميّة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أحمد بن عبد الله العجلي، المدينة، مكتب الدار، </w:t>
      </w:r>
      <w:r>
        <w:rPr>
          <w:rFonts w:ascii="Amiri" w:hAnsi="Amiri" w:eastAsia="Amiri" w:cs="Amiri"/>
          <w:color w:val="111111"/>
          <w:sz w:val="28"/>
          <w:sz w:val="28"/>
          <w:szCs w:val="28"/>
          <w:lang w:bidi="ar-SA"/>
        </w:rPr>
        <w:t>١۴٠۵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أبو محمّد عبد الله بن أحمد بن قدامة، بيروت، دارالكتاب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المحتاج إلى معرفة معاني ألفاظ المنهاج، محمّد الشربيني، بيروت، دار إحياء التراث العربي، </w:t>
      </w:r>
      <w:r>
        <w:rPr>
          <w:rFonts w:ascii="Amiri" w:hAnsi="Amiri" w:eastAsia="Amiri" w:cs="Amiri"/>
          <w:color w:val="111111"/>
          <w:sz w:val="28"/>
          <w:sz w:val="28"/>
          <w:szCs w:val="28"/>
          <w:lang w:bidi="ar-SA"/>
        </w:rPr>
        <w:t>١٣٧٧</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أحمد بن عبد الحليم بن تيميّة الحرّاني، مؤسّسة قرطبة،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الظمآن إلى زوائد ابن حبّان، علي بن أبي بكر الهيثمي، بيروت، دار الكتب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مواهب الجليل لشرح مختصر خليل، أبو عبد الله محمّد بن محمّدبن عبدالرحمن المغربي الحطاب الرعيني، بيروت، دار الكتب العلمية، </w:t>
      </w:r>
      <w:r>
        <w:rPr>
          <w:rFonts w:ascii="Amiri" w:hAnsi="Amiri" w:eastAsia="Amiri" w:cs="Amiri"/>
          <w:color w:val="111111"/>
          <w:sz w:val="28"/>
          <w:sz w:val="28"/>
          <w:szCs w:val="28"/>
          <w:lang w:bidi="ar-SA"/>
        </w:rPr>
        <w:t>١۴١۶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عبد الرحمن بن علي بن الجوزي، المدينة، المكتبة السلفيّة، </w:t>
      </w:r>
      <w:r>
        <w:rPr>
          <w:rFonts w:ascii="Amiri" w:hAnsi="Amiri" w:eastAsia="Amiri" w:cs="Amiri"/>
          <w:color w:val="111111"/>
          <w:sz w:val="28"/>
          <w:sz w:val="28"/>
          <w:szCs w:val="28"/>
          <w:lang w:bidi="ar-SA"/>
        </w:rPr>
        <w:t>١٣٨۶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الإمام مالك بن أنس، بيروت، دار إحياء التراث العربي، </w:t>
      </w:r>
      <w:r>
        <w:rPr>
          <w:rFonts w:ascii="Amiri" w:hAnsi="Amiri" w:eastAsia="Amiri" w:cs="Amiri"/>
          <w:color w:val="111111"/>
          <w:sz w:val="28"/>
          <w:sz w:val="28"/>
          <w:szCs w:val="28"/>
          <w:lang w:bidi="ar-SA"/>
        </w:rPr>
        <w:t>١۴٠۶</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 في نقد الرجال، أبو عبد الله محمّد بن أحمد بن عثمان الذهبي، بيروت، دار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لأحاديث الهداية، جمال الدين الزيلعي، القاهرة، دارالحديث، </w:t>
      </w:r>
      <w:r>
        <w:rPr>
          <w:rFonts w:ascii="Amiri" w:hAnsi="Amiri" w:eastAsia="Amiri" w:cs="Amiri"/>
          <w:color w:val="111111"/>
          <w:sz w:val="28"/>
          <w:sz w:val="28"/>
          <w:szCs w:val="28"/>
          <w:lang w:bidi="ar-SA"/>
        </w:rPr>
        <w:t>١۴١۵</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الأوطار من أحاديث سيّد الأخيار، محمّد بن علي بن محمّد الشوكاني، بيروت، دار الجيل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محمّد بن الحسن الحرّ العاملي، طهران، مكتبة الإسلامية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الكتاب باللغة الفارسية در پرتو شريعت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المترجم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٣٨٨</w:t>
      </w:r>
      <w:r>
        <w:rPr>
          <w:rFonts w:ascii="IRNazanin" w:hAnsi="IRNazanin" w:eastAsia="IRNazanin"/>
          <w:b w:val="false"/>
          <w:b w:val="false"/>
          <w:bCs w:val="false"/>
          <w:i w:val="false"/>
          <w:i w:val="false"/>
          <w:iCs w:val="false"/>
          <w:color w:val="333333"/>
          <w:sz w:val="20"/>
          <w:sz w:val="20"/>
          <w:szCs w:val="20"/>
          <w:rtl w:val="true"/>
        </w:rPr>
        <w:t>؛ إرواء الغليل،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مسند أبي داود الطيالسي، ص</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مسند أبي يعلى،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٣١۴</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سنن ابن ماجة،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۵٠٢</w:t>
      </w:r>
      <w:r>
        <w:rPr>
          <w:rFonts w:ascii="IRNazanin" w:hAnsi="IRNazanin" w:eastAsia="IRNazanin"/>
          <w:b w:val="false"/>
          <w:b w:val="false"/>
          <w:bCs w:val="false"/>
          <w:i w:val="false"/>
          <w:i w:val="false"/>
          <w:iCs w:val="false"/>
          <w:color w:val="333333"/>
          <w:sz w:val="20"/>
          <w:sz w:val="20"/>
          <w:szCs w:val="20"/>
          <w:rtl w:val="true"/>
        </w:rPr>
        <w:t>؛ سنن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٢۵٩</w:t>
      </w:r>
      <w:r>
        <w:rPr>
          <w:rFonts w:ascii="IRNazanin" w:hAnsi="IRNazanin" w:eastAsia="IRNazanin"/>
          <w:b w:val="false"/>
          <w:b w:val="false"/>
          <w:bCs w:val="false"/>
          <w:i w:val="false"/>
          <w:i w:val="false"/>
          <w:iCs w:val="false"/>
          <w:color w:val="333333"/>
          <w:sz w:val="20"/>
          <w:sz w:val="20"/>
          <w:szCs w:val="20"/>
          <w:rtl w:val="true"/>
        </w:rPr>
        <w:t>؛ المستدرك،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٣٧۴</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مسند أبي داود الطيالسي، ص</w:t>
      </w:r>
      <w:r>
        <w:rPr>
          <w:rFonts w:ascii="IRNazanin" w:hAnsi="IRNazanin" w:eastAsia="IRNazanin"/>
          <w:b w:val="false"/>
          <w:b w:val="false"/>
          <w:bCs w:val="false"/>
          <w:i w:val="false"/>
          <w:i w:val="false"/>
          <w:iCs w:val="false"/>
          <w:color w:val="333333"/>
          <w:sz w:val="20"/>
          <w:sz w:val="20"/>
          <w:szCs w:val="20"/>
        </w:rPr>
        <w:t>٣۵٧</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تفسيرالقرطبي،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١٢۶</w:t>
      </w:r>
      <w:r>
        <w:rPr>
          <w:rFonts w:ascii="IRNazanin" w:hAnsi="IRNazanin" w:eastAsia="IRNazanin"/>
          <w:b w:val="false"/>
          <w:b w:val="false"/>
          <w:bCs w:val="false"/>
          <w:i w:val="false"/>
          <w:i w:val="false"/>
          <w:iCs w:val="false"/>
          <w:color w:val="333333"/>
          <w:sz w:val="20"/>
          <w:sz w:val="20"/>
          <w:szCs w:val="20"/>
          <w:rtl w:val="true"/>
        </w:rPr>
        <w:t>؛ صحيح البخاري،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مسند أحمد،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سنن الدارمي،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سنن ابن ماجة،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۴۵٢</w:t>
      </w:r>
      <w:r>
        <w:rPr>
          <w:rFonts w:ascii="IRNazanin" w:hAnsi="IRNazanin" w:eastAsia="IRNazanin"/>
          <w:b w:val="false"/>
          <w:b w:val="false"/>
          <w:bCs w:val="false"/>
          <w:i w:val="false"/>
          <w:i w:val="false"/>
          <w:iCs w:val="false"/>
          <w:color w:val="333333"/>
          <w:sz w:val="20"/>
          <w:sz w:val="20"/>
          <w:szCs w:val="20"/>
          <w:rtl w:val="true"/>
        </w:rPr>
        <w:t>؛ سنن الترمذي،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٢٠۵</w:t>
      </w:r>
      <w:r>
        <w:rPr>
          <w:rFonts w:ascii="IRNazanin" w:hAnsi="IRNazanin" w:eastAsia="IRNazanin"/>
          <w:b w:val="false"/>
          <w:b w:val="false"/>
          <w:bCs w:val="false"/>
          <w:i w:val="false"/>
          <w:i w:val="false"/>
          <w:iCs w:val="false"/>
          <w:color w:val="333333"/>
          <w:sz w:val="20"/>
          <w:sz w:val="20"/>
          <w:szCs w:val="20"/>
          <w:rtl w:val="true"/>
        </w:rPr>
        <w:t>؛ سنن النسائي،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٣۶٧</w:t>
      </w:r>
      <w:r>
        <w:rPr>
          <w:rFonts w:ascii="IRNazanin" w:hAnsi="IRNazanin" w:eastAsia="IRNazanin"/>
          <w:b w:val="false"/>
          <w:b w:val="false"/>
          <w:bCs w:val="false"/>
          <w:i w:val="false"/>
          <w:i w:val="false"/>
          <w:iCs w:val="false"/>
          <w:color w:val="333333"/>
          <w:sz w:val="20"/>
          <w:sz w:val="20"/>
          <w:szCs w:val="20"/>
          <w:rtl w:val="true"/>
        </w:rPr>
        <w:t>؛ سنن أبي داود السجستاني؛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۴۵٣</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سنن النسائي،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السنن الكبرى، النسائي،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٢٢۵</w:t>
      </w:r>
      <w:r>
        <w:rPr>
          <w:rFonts w:ascii="IRNazanin" w:hAnsi="IRNazanin" w:eastAsia="IRNazanin"/>
          <w:b w:val="false"/>
          <w:b w:val="false"/>
          <w:bCs w:val="false"/>
          <w:i w:val="false"/>
          <w:i w:val="false"/>
          <w:iCs w:val="false"/>
          <w:color w:val="333333"/>
          <w:sz w:val="20"/>
          <w:sz w:val="20"/>
          <w:szCs w:val="20"/>
          <w:rtl w:val="true"/>
        </w:rPr>
        <w:t>؛ المعجم الأوسط،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نصب الراية،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۴۴٣</w:t>
      </w:r>
      <w:r>
        <w:rPr>
          <w:rFonts w:ascii="IRNazanin" w:hAnsi="IRNazanin" w:eastAsia="IRNazanin"/>
          <w:b w:val="false"/>
          <w:b w:val="false"/>
          <w:bCs w:val="false"/>
          <w:i w:val="false"/>
          <w:i w:val="false"/>
          <w:iCs w:val="false"/>
          <w:color w:val="333333"/>
          <w:sz w:val="20"/>
          <w:sz w:val="20"/>
          <w:szCs w:val="20"/>
          <w:rtl w:val="true"/>
        </w:rPr>
        <w:t>؛ المصنّف، ابن أبي‌شيبة،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۵٠١</w:t>
      </w:r>
      <w:r>
        <w:rPr>
          <w:rFonts w:ascii="IRNazanin" w:hAnsi="IRNazanin" w:eastAsia="IRNazanin"/>
          <w:b w:val="false"/>
          <w:b w:val="false"/>
          <w:bCs w:val="false"/>
          <w:i w:val="false"/>
          <w:i w:val="false"/>
          <w:iCs w:val="false"/>
          <w:color w:val="333333"/>
          <w:sz w:val="20"/>
          <w:sz w:val="20"/>
          <w:szCs w:val="20"/>
          <w:rtl w:val="true"/>
        </w:rPr>
        <w:t>؛ مستدرك الصحيحين،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٣٧۵</w:t>
      </w:r>
      <w:r>
        <w:rPr>
          <w:rFonts w:ascii="IRNazanin" w:hAnsi="IRNazanin" w:eastAsia="IRNazanin"/>
          <w:b w:val="false"/>
          <w:b w:val="false"/>
          <w:bCs w:val="false"/>
          <w:i w:val="false"/>
          <w:i w:val="false"/>
          <w:iCs w:val="false"/>
          <w:color w:val="333333"/>
          <w:sz w:val="20"/>
          <w:sz w:val="20"/>
          <w:szCs w:val="20"/>
          <w:rtl w:val="true"/>
        </w:rPr>
        <w:t>؛ صحيح ابن حبّان،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٢۶١</w:t>
      </w:r>
      <w:r>
        <w:rPr>
          <w:rFonts w:ascii="IRNazanin" w:hAnsi="IRNazanin" w:eastAsia="IRNazanin"/>
          <w:b w:val="false"/>
          <w:b w:val="false"/>
          <w:bCs w:val="false"/>
          <w:i w:val="false"/>
          <w:i w:val="false"/>
          <w:iCs w:val="false"/>
          <w:color w:val="333333"/>
          <w:sz w:val="20"/>
          <w:sz w:val="20"/>
          <w:szCs w:val="20"/>
          <w:rtl w:val="true"/>
        </w:rPr>
        <w:t>؛ سنن الدارقطني،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موارد الظمآن، ص</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مسند الشامييّن،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٣۴٧</w:t>
      </w:r>
      <w:r>
        <w:rPr>
          <w:rFonts w:ascii="IRNazanin" w:hAnsi="IRNazanin" w:eastAsia="IRNazanin"/>
          <w:b w:val="false"/>
          <w:b w:val="false"/>
          <w:bCs w:val="false"/>
          <w:i w:val="false"/>
          <w:i w:val="false"/>
          <w:iCs w:val="false"/>
          <w:color w:val="333333"/>
          <w:sz w:val="20"/>
          <w:sz w:val="20"/>
          <w:szCs w:val="20"/>
          <w:rtl w:val="true"/>
        </w:rPr>
        <w:t>؛ الجامع الصغير،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۶۴۶</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السجستاني،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٣٧۵</w:t>
      </w:r>
      <w:r>
        <w:rPr>
          <w:rFonts w:ascii="IRNazanin" w:hAnsi="IRNazanin" w:eastAsia="IRNazanin"/>
          <w:b w:val="false"/>
          <w:b w:val="false"/>
          <w:bCs w:val="false"/>
          <w:i w:val="false"/>
          <w:i w:val="false"/>
          <w:iCs w:val="false"/>
          <w:color w:val="333333"/>
          <w:sz w:val="20"/>
          <w:sz w:val="20"/>
          <w:szCs w:val="20"/>
          <w:rtl w:val="true"/>
        </w:rPr>
        <w:t>؛ الجامع الصغير،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۶٧٧</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١۴۵</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المصنّف، ابن أبي‌شيبة،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مسند أبي يعلى،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۶۵٢</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مستدرك الصحيحين،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٣٧۵</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مستدرك الصحيحين،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٣٧۶</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مسند أبي يعلى،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٣٧۴</w:t>
      </w:r>
      <w:r>
        <w:rPr>
          <w:rFonts w:ascii="IRNazanin" w:hAnsi="IRNazanin" w:eastAsia="IRNazanin"/>
          <w:b w:val="false"/>
          <w:b w:val="false"/>
          <w:bCs w:val="false"/>
          <w:i w:val="false"/>
          <w:i w:val="false"/>
          <w:iCs w:val="false"/>
          <w:color w:val="333333"/>
          <w:sz w:val="20"/>
          <w:sz w:val="20"/>
          <w:szCs w:val="20"/>
          <w:rtl w:val="true"/>
        </w:rPr>
        <w:t>؛ الجامع الصغير،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كنزالعمّال،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۶۴۶</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تفسير القرطبي ،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٨۵٩</w:t>
      </w:r>
      <w:r>
        <w:rPr>
          <w:rFonts w:ascii="IRNazanin" w:hAnsi="IRNazanin" w:eastAsia="IRNazanin"/>
          <w:b w:val="false"/>
          <w:b w:val="false"/>
          <w:bCs w:val="false"/>
          <w:i w:val="false"/>
          <w:i w:val="false"/>
          <w:iCs w:val="false"/>
          <w:color w:val="333333"/>
          <w:sz w:val="20"/>
          <w:sz w:val="20"/>
          <w:szCs w:val="20"/>
          <w:rtl w:val="true"/>
        </w:rPr>
        <w:t>؛ مسند أحمد،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مستدرك الصحيحين،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٣٧۶</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۶۵٣</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في الأصول، الجصاص،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الإحكام، ابن حزم،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۴۵٩</w:t>
      </w:r>
      <w:r>
        <w:rPr>
          <w:rFonts w:ascii="IRNazanin" w:hAnsi="IRNazanin" w:eastAsia="IRNazanin"/>
          <w:b w:val="false"/>
          <w:b w:val="false"/>
          <w:bCs w:val="false"/>
          <w:i w:val="false"/>
          <w:i w:val="false"/>
          <w:iCs w:val="false"/>
          <w:color w:val="333333"/>
          <w:sz w:val="20"/>
          <w:sz w:val="20"/>
          <w:szCs w:val="20"/>
          <w:rtl w:val="true"/>
        </w:rPr>
        <w:t>؛ الإحكام، الآمدي،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أصول السرخسي،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المستصفى،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المحصول،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إرشاد الفحول،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المعتمد،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روضة الناظر،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النووي،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الإقناع،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مغني المحتاج،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٣۶۵</w:t>
      </w:r>
      <w:r>
        <w:rPr>
          <w:rFonts w:ascii="IRNazanin" w:hAnsi="IRNazanin" w:eastAsia="IRNazanin"/>
          <w:b w:val="false"/>
          <w:b w:val="false"/>
          <w:bCs w:val="false"/>
          <w:i w:val="false"/>
          <w:i w:val="false"/>
          <w:iCs w:val="false"/>
          <w:color w:val="333333"/>
          <w:sz w:val="20"/>
          <w:sz w:val="20"/>
          <w:szCs w:val="20"/>
          <w:rtl w:val="true"/>
        </w:rPr>
        <w:t>؛ الشرح الكبير،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۴۴١</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سنن ابن ماجة،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۵٠١</w:t>
      </w:r>
      <w:r>
        <w:rPr>
          <w:rFonts w:ascii="IRNazanin" w:hAnsi="IRNazanin" w:eastAsia="IRNazanin"/>
          <w:b w:val="false"/>
          <w:b w:val="false"/>
          <w:bCs w:val="false"/>
          <w:i w:val="false"/>
          <w:i w:val="false"/>
          <w:iCs w:val="false"/>
          <w:color w:val="333333"/>
          <w:sz w:val="20"/>
          <w:sz w:val="20"/>
          <w:szCs w:val="20"/>
          <w:rtl w:val="true"/>
        </w:rPr>
        <w:t>؛ سنن أبي داود السجستاني،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سنن النسائي،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مستدرك الصحيحين،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٢٧۵</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مسند أبي يعلى،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٢۴٠</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٢۴٩</w:t>
      </w:r>
      <w:r>
        <w:rPr>
          <w:rFonts w:ascii="IRNazanin" w:hAnsi="IRNazanin" w:eastAsia="IRNazanin"/>
          <w:b w:val="false"/>
          <w:b w:val="false"/>
          <w:bCs w:val="false"/>
          <w:i w:val="false"/>
          <w:i w:val="false"/>
          <w:iCs w:val="false"/>
          <w:color w:val="333333"/>
          <w:sz w:val="20"/>
          <w:sz w:val="20"/>
          <w:szCs w:val="20"/>
          <w:rtl w:val="true"/>
        </w:rPr>
        <w:t>؛ السنن الكبرى، النسائي،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مسند أبي يعلى،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صحيح ابن حبّان،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رياض الصالحين، ص</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إرواء الغليل،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 ج</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٣۶٠</w:t>
      </w:r>
      <w:r>
        <w:rPr>
          <w:rFonts w:ascii="IRNazanin" w:hAnsi="IRNazanin" w:eastAsia="IRNazanin"/>
          <w:b w:val="false"/>
          <w:b w:val="false"/>
          <w:bCs w:val="false"/>
          <w:i w:val="false"/>
          <w:i w:val="false"/>
          <w:iCs w:val="false"/>
          <w:color w:val="333333"/>
          <w:sz w:val="20"/>
          <w:sz w:val="20"/>
          <w:szCs w:val="20"/>
          <w:rtl w:val="true"/>
        </w:rPr>
        <w:t>؛ الفتاوى الكبرى،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رويت بعدّة ألفاظ لكنّها تتضمّن نفس المعنى، ولم أعثر بمقدار تتبّعي على المقاطع الثلاثة مجتمعةً في رواية واحدة، لكنّ ذلك لا يؤثّر في الاستدلال مادامت النصوص كلّها مروية باختلاف يسير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تحفة الأحوذي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الشوكاني،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المباركفوري،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٣٣٧</w:t>
      </w:r>
      <w:r>
        <w:rPr>
          <w:rFonts w:ascii="IRNazanin" w:hAnsi="IRNazanin" w:eastAsia="IRNazanin"/>
          <w:b w:val="false"/>
          <w:b w:val="false"/>
          <w:bCs w:val="false"/>
          <w:i w:val="false"/>
          <w:i w:val="false"/>
          <w:iCs w:val="false"/>
          <w:color w:val="333333"/>
          <w:sz w:val="20"/>
          <w:sz w:val="20"/>
          <w:szCs w:val="20"/>
          <w:rtl w:val="true"/>
        </w:rPr>
        <w:t>؛ سنن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٢۵٩</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سنن ابن ماجة،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۵٠٢</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٣٧۴</w:t>
      </w:r>
      <w:r>
        <w:rPr>
          <w:rFonts w:ascii="IRNazanin" w:hAnsi="IRNazanin" w:eastAsia="IRNazanin"/>
          <w:b w:val="false"/>
          <w:b w:val="false"/>
          <w:bCs w:val="false"/>
          <w:i w:val="false"/>
          <w:i w:val="false"/>
          <w:iCs w:val="false"/>
          <w:color w:val="333333"/>
          <w:sz w:val="20"/>
          <w:sz w:val="20"/>
          <w:szCs w:val="20"/>
          <w:rtl w:val="true"/>
        </w:rPr>
        <w:t>؛ مسند أحمد،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۴۴٢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۴۴٣</w:t>
      </w:r>
      <w:r>
        <w:rPr>
          <w:rFonts w:ascii="IRNazanin" w:hAnsi="IRNazanin" w:eastAsia="IRNazanin"/>
          <w:b w:val="false"/>
          <w:b w:val="false"/>
          <w:bCs w:val="false"/>
          <w:i w:val="false"/>
          <w:i w:val="false"/>
          <w:iCs w:val="false"/>
          <w:color w:val="333333"/>
          <w:sz w:val="20"/>
          <w:sz w:val="20"/>
          <w:szCs w:val="20"/>
          <w:rtl w:val="true"/>
        </w:rPr>
        <w:t>؛ سنن ابن ماجة،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۵٠٢</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۵٠٢</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العلل، أحمد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١٨٧</w:t>
      </w:r>
      <w:r>
        <w:rPr>
          <w:rFonts w:ascii="IRNazanin" w:hAnsi="IRNazanin" w:eastAsia="IRNazanin"/>
          <w:b w:val="false"/>
          <w:b w:val="false"/>
          <w:bCs w:val="false"/>
          <w:i w:val="false"/>
          <w:i w:val="false"/>
          <w:iCs w:val="false"/>
          <w:color w:val="333333"/>
          <w:sz w:val="20"/>
          <w:sz w:val="20"/>
          <w:szCs w:val="20"/>
          <w:rtl w:val="true"/>
        </w:rPr>
        <w:t>؛ معرفة الثقات، العجلي،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۵٠٢</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عدي،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٣۶۵</w:t>
      </w:r>
      <w:r>
        <w:rPr>
          <w:rFonts w:ascii="IRNazanin" w:hAnsi="IRNazanin" w:eastAsia="IRNazanin"/>
          <w:b w:val="false"/>
          <w:b w:val="false"/>
          <w:bCs w:val="false"/>
          <w:i w:val="false"/>
          <w:i w:val="false"/>
          <w:iCs w:val="false"/>
          <w:color w:val="333333"/>
          <w:sz w:val="20"/>
          <w:sz w:val="20"/>
          <w:szCs w:val="20"/>
          <w:rtl w:val="true"/>
        </w:rPr>
        <w:t>؛ ضعفاء العقيلي،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الضعفاء والمتروكين، النسائي، ص </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 العقيلي،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٣۶۵</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الموضوعات، ابن الجوزي،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المجروحين، ابن حبّان،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١٨۵</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مهمّة،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١۴٩١۵٠</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٢۴٨</w:t>
      </w:r>
      <w:r>
        <w:rPr>
          <w:rFonts w:ascii="IRNazanin" w:hAnsi="IRNazanin" w:eastAsia="IRNazanin"/>
          <w:b w:val="false"/>
          <w:b w:val="false"/>
          <w:bCs w:val="false"/>
          <w:i w:val="false"/>
          <w:i w:val="false"/>
          <w:iCs w:val="false"/>
          <w:color w:val="333333"/>
          <w:sz w:val="20"/>
          <w:sz w:val="20"/>
          <w:szCs w:val="20"/>
          <w:rtl w:val="true"/>
        </w:rPr>
        <w:t>؛ الإقناع،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مغني المحتاج،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٣۶۵</w:t>
      </w:r>
      <w:r>
        <w:rPr>
          <w:rFonts w:ascii="IRNazanin" w:hAnsi="IRNazanin" w:eastAsia="IRNazanin"/>
          <w:b w:val="false"/>
          <w:b w:val="false"/>
          <w:bCs w:val="false"/>
          <w:i w:val="false"/>
          <w:i w:val="false"/>
          <w:iCs w:val="false"/>
          <w:color w:val="333333"/>
          <w:sz w:val="20"/>
          <w:sz w:val="20"/>
          <w:szCs w:val="20"/>
          <w:rtl w:val="true"/>
        </w:rPr>
        <w:t>؛ المغني،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۴٣٠</w:t>
      </w:r>
      <w:r>
        <w:rPr>
          <w:rFonts w:ascii="IRNazanin" w:hAnsi="IRNazanin" w:eastAsia="IRNazanin"/>
          <w:b w:val="false"/>
          <w:b w:val="false"/>
          <w:bCs w:val="false"/>
          <w:i w:val="false"/>
          <w:i w:val="false"/>
          <w:iCs w:val="false"/>
          <w:color w:val="333333"/>
          <w:sz w:val="20"/>
          <w:sz w:val="20"/>
          <w:szCs w:val="20"/>
          <w:rtl w:val="true"/>
        </w:rPr>
        <w:t>؛ كشف القناع،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١٧۴</w:t>
      </w:r>
      <w:r>
        <w:rPr>
          <w:rFonts w:ascii="IRNazanin" w:hAnsi="IRNazanin" w:eastAsia="IRNazanin"/>
          <w:b w:val="false"/>
          <w:b w:val="false"/>
          <w:bCs w:val="false"/>
          <w:i w:val="false"/>
          <w:i w:val="false"/>
          <w:iCs w:val="false"/>
          <w:color w:val="333333"/>
          <w:sz w:val="20"/>
          <w:sz w:val="20"/>
          <w:szCs w:val="20"/>
          <w:rtl w:val="true"/>
        </w:rPr>
        <w:t>؛ الكافي في فقه ابن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مسند أحمد بن حنبل،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سنن النسائي،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السنن الكبرى البيهقي ،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المصنّف، الصنعاني،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۵٧۶</w:t>
      </w:r>
      <w:r>
        <w:rPr>
          <w:rFonts w:ascii="IRNazanin" w:hAnsi="IRNazanin" w:eastAsia="IRNazanin"/>
          <w:b w:val="false"/>
          <w:b w:val="false"/>
          <w:bCs w:val="false"/>
          <w:i w:val="false"/>
          <w:i w:val="false"/>
          <w:iCs w:val="false"/>
          <w:color w:val="333333"/>
          <w:sz w:val="20"/>
          <w:sz w:val="20"/>
          <w:szCs w:val="20"/>
          <w:rtl w:val="true"/>
        </w:rPr>
        <w:t>؛ السنن الكبرى النسائي ،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صحيح ابن حبّان،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٣٧۶</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أحكام الجنائز، الألباني، ص</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مسند أبي يعلى،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 السيد سابق،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۵۶۶</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ابن عبد البّر،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السنن الكبرى البيهقي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أحكام الجنائز، الألباني، ص</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مراقي الفلاح،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۶١٩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العيني،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الجنائز، ص</w:t>
      </w:r>
      <w:r>
        <w:rPr>
          <w:rFonts w:ascii="IRNazanin" w:hAnsi="IRNazanin" w:eastAsia="IRNazanin"/>
          <w:b w:val="false"/>
          <w:b w:val="false"/>
          <w:bCs w:val="false"/>
          <w:i w:val="false"/>
          <w:i w:val="false"/>
          <w:iCs w:val="false"/>
          <w:color w:val="333333"/>
          <w:sz w:val="20"/>
          <w:sz w:val="20"/>
          <w:szCs w:val="20"/>
        </w:rPr>
        <w:t>١٨۴</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ابن حزم في كتاب المحلّى بقوله بوجوب زيارة القبور لمرّة واحدة،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الهيثمي،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المعجم الصغير،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۴۶٨</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۴٧٩</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مراقي الفلاح،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أحكام الجنائز،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 ابن تيميّة، ج</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٣٣۴</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 ابن تيميّة، ج</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۵٢٠</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 ابن تيميّة، ج</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٣۵۶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٣۵٧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قصيدة ابن القيم، أحمد بن إبراهيم بن عيسى،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٣۶٣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٣۶۴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ص</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دفع شبه من شبّه وتمرّد، ص</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التوفيق الربّاني، ص</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۴۵٢</w:t>
      </w:r>
      <w:r>
        <w:rPr>
          <w:rFonts w:ascii="IRNazanin" w:hAnsi="IRNazanin" w:eastAsia="IRNazanin"/>
          <w:b w:val="false"/>
          <w:b w:val="false"/>
          <w:bCs w:val="false"/>
          <w:i w:val="false"/>
          <w:i w:val="false"/>
          <w:iCs w:val="false"/>
          <w:color w:val="333333"/>
          <w:sz w:val="20"/>
          <w:sz w:val="20"/>
          <w:szCs w:val="20"/>
          <w:rtl w:val="true"/>
        </w:rPr>
        <w:t>؛ مسند أحمد بن حنبل،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سنن الدارمي،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سنن أبي داود السجستاني،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۴۵١</w:t>
      </w:r>
      <w:r>
        <w:rPr>
          <w:rFonts w:ascii="IRNazanin" w:hAnsi="IRNazanin" w:eastAsia="IRNazanin"/>
          <w:b w:val="false"/>
          <w:b w:val="false"/>
          <w:bCs w:val="false"/>
          <w:i w:val="false"/>
          <w:i w:val="false"/>
          <w:iCs w:val="false"/>
          <w:color w:val="333333"/>
          <w:sz w:val="20"/>
          <w:sz w:val="20"/>
          <w:szCs w:val="20"/>
          <w:rtl w:val="true"/>
        </w:rPr>
        <w:t>؛ سنن الترمذي،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٢٠۵</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ص </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مسند الحميدي،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المصنّف، ابن أبي شعبة،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٢۶٨</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۵١٩</w:t>
      </w:r>
      <w:r>
        <w:rPr>
          <w:rFonts w:ascii="IRNazanin" w:hAnsi="IRNazanin" w:eastAsia="IRNazanin"/>
          <w:b w:val="false"/>
          <w:b w:val="false"/>
          <w:bCs w:val="false"/>
          <w:i w:val="false"/>
          <w:i w:val="false"/>
          <w:iCs w:val="false"/>
          <w:color w:val="333333"/>
          <w:sz w:val="20"/>
          <w:sz w:val="20"/>
          <w:szCs w:val="20"/>
          <w:rtl w:val="true"/>
        </w:rPr>
        <w:t>؛ السنن الكبرى، النسائي،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٢۵٨</w:t>
      </w:r>
      <w:r>
        <w:rPr>
          <w:rFonts w:ascii="IRNazanin" w:hAnsi="IRNazanin" w:eastAsia="IRNazanin"/>
          <w:b w:val="false"/>
          <w:b w:val="false"/>
          <w:bCs w:val="false"/>
          <w:i w:val="false"/>
          <w:i w:val="false"/>
          <w:iCs w:val="false"/>
          <w:color w:val="333333"/>
          <w:sz w:val="20"/>
          <w:sz w:val="20"/>
          <w:szCs w:val="20"/>
          <w:rtl w:val="true"/>
        </w:rPr>
        <w:t>؛ مسند أبي يعلى،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صحيح ابن حبّان،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۴٩۶</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 ابن تيميّة،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۵٢٠</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 ابن تيميّة، ج</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ابن حجر العسقلاني،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سنن الدارمي،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سنن ابن ماجة،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۴۵٢</w:t>
      </w:r>
      <w:r>
        <w:rPr>
          <w:rFonts w:ascii="IRNazanin" w:hAnsi="IRNazanin" w:eastAsia="IRNazanin"/>
          <w:b w:val="false"/>
          <w:b w:val="false"/>
          <w:bCs w:val="false"/>
          <w:i w:val="false"/>
          <w:i w:val="false"/>
          <w:iCs w:val="false"/>
          <w:color w:val="333333"/>
          <w:sz w:val="20"/>
          <w:sz w:val="20"/>
          <w:szCs w:val="20"/>
          <w:rtl w:val="true"/>
        </w:rPr>
        <w:t>؛ سنن أبي داود السجستاني،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۴۵١</w:t>
      </w:r>
      <w:r>
        <w:rPr>
          <w:rFonts w:ascii="IRNazanin" w:hAnsi="IRNazanin" w:eastAsia="IRNazanin"/>
          <w:b w:val="false"/>
          <w:b w:val="false"/>
          <w:bCs w:val="false"/>
          <w:i w:val="false"/>
          <w:i w:val="false"/>
          <w:iCs w:val="false"/>
          <w:color w:val="333333"/>
          <w:sz w:val="20"/>
          <w:sz w:val="20"/>
          <w:szCs w:val="20"/>
          <w:rtl w:val="true"/>
        </w:rPr>
        <w:t>؛ سنن الترمذي،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٢٠۵</w:t>
      </w:r>
      <w:r>
        <w:rPr>
          <w:rFonts w:ascii="IRNazanin" w:hAnsi="IRNazanin" w:eastAsia="IRNazanin"/>
          <w:b w:val="false"/>
          <w:b w:val="false"/>
          <w:bCs w:val="false"/>
          <w:i w:val="false"/>
          <w:i w:val="false"/>
          <w:iCs w:val="false"/>
          <w:color w:val="333333"/>
          <w:sz w:val="20"/>
          <w:sz w:val="20"/>
          <w:szCs w:val="20"/>
          <w:rtl w:val="true"/>
        </w:rPr>
        <w:t>؛ سنن النسائي،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ص </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مسند الحميدي،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۴٢١</w:t>
      </w:r>
      <w:r>
        <w:rPr>
          <w:rFonts w:ascii="IRNazanin" w:hAnsi="IRNazanin" w:eastAsia="IRNazanin"/>
          <w:b w:val="false"/>
          <w:b w:val="false"/>
          <w:bCs w:val="false"/>
          <w:i w:val="false"/>
          <w:i w:val="false"/>
          <w:iCs w:val="false"/>
          <w:color w:val="333333"/>
          <w:sz w:val="20"/>
          <w:sz w:val="20"/>
          <w:szCs w:val="20"/>
          <w:rtl w:val="true"/>
        </w:rPr>
        <w:t>؛ السنن الكبرى، النسائي،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أبي شيبة،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٢۶٨</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١۶٧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مسند أبي حنيفة، ص</w:t>
      </w:r>
      <w:r>
        <w:rPr>
          <w:rFonts w:ascii="IRNazanin" w:hAnsi="IRNazanin" w:eastAsia="IRNazanin"/>
          <w:b w:val="false"/>
          <w:b w:val="false"/>
          <w:bCs w:val="false"/>
          <w:i w:val="false"/>
          <w:i w:val="false"/>
          <w:iCs w:val="false"/>
          <w:color w:val="333333"/>
          <w:sz w:val="20"/>
          <w:sz w:val="20"/>
          <w:szCs w:val="20"/>
        </w:rPr>
        <w:t>٢۵٠</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۶١٨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 النووي،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السنن الكبرى، النسائي،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۴١١</w:t>
      </w:r>
      <w:r>
        <w:rPr>
          <w:rFonts w:ascii="IRNazanin" w:hAnsi="IRNazanin" w:eastAsia="IRNazanin"/>
          <w:b w:val="false"/>
          <w:b w:val="false"/>
          <w:bCs w:val="false"/>
          <w:i w:val="false"/>
          <w:i w:val="false"/>
          <w:iCs w:val="false"/>
          <w:color w:val="333333"/>
          <w:sz w:val="20"/>
          <w:sz w:val="20"/>
          <w:szCs w:val="20"/>
          <w:rtl w:val="true"/>
        </w:rPr>
        <w:t>؛ مسند أبي يعلى،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الهيثمي،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السلسلة الصحيحة، الألباني،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٢٠۴</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الترغيب والترهيب، الألباني،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٢٧٠</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تهذيب الكمال،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مسند أبي يعلى،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١۴٧</w:t>
      </w:r>
      <w:r>
        <w:rPr>
          <w:rFonts w:ascii="IRNazanin" w:hAnsi="IRNazanin" w:eastAsia="IRNazanin"/>
          <w:b w:val="false"/>
          <w:b w:val="false"/>
          <w:bCs w:val="false"/>
          <w:i w:val="false"/>
          <w:i w:val="false"/>
          <w:iCs w:val="false"/>
          <w:color w:val="333333"/>
          <w:sz w:val="20"/>
          <w:sz w:val="20"/>
          <w:szCs w:val="20"/>
          <w:rtl w:val="true"/>
        </w:rPr>
        <w:t>؛ الجامع الصغير،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۴٧٧</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الإبهاج،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الاعتصام،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۴۶٧</w:t>
      </w:r>
      <w:r>
        <w:rPr>
          <w:rFonts w:ascii="IRNazanin" w:hAnsi="IRNazanin" w:eastAsia="IRNazanin"/>
          <w:b w:val="false"/>
          <w:b w:val="false"/>
          <w:bCs w:val="false"/>
          <w:i w:val="false"/>
          <w:i w:val="false"/>
          <w:iCs w:val="false"/>
          <w:color w:val="333333"/>
          <w:sz w:val="20"/>
          <w:sz w:val="20"/>
          <w:szCs w:val="20"/>
          <w:rtl w:val="true"/>
        </w:rPr>
        <w:t>؛ البرهان في أصول الفقه،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التمهيد الأسنوي ،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۵٣٢</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تفسير الثعالبي،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٢۵٧</w:t>
      </w:r>
      <w:r>
        <w:rPr>
          <w:rFonts w:ascii="IRNazanin" w:hAnsi="IRNazanin" w:eastAsia="IRNazanin"/>
          <w:b w:val="false"/>
          <w:b w:val="false"/>
          <w:bCs w:val="false"/>
          <w:i w:val="false"/>
          <w:i w:val="false"/>
          <w:iCs w:val="false"/>
          <w:color w:val="333333"/>
          <w:sz w:val="20"/>
          <w:sz w:val="20"/>
          <w:szCs w:val="20"/>
          <w:rtl w:val="true"/>
        </w:rPr>
        <w:t>؛ وانظر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تفسير القرطبي ،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٢۶۵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٢۶۶</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۴۵٧</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لشعب الإيمان،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۴٨۶</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٢۴۶</w:t>
      </w:r>
      <w:r>
        <w:rPr>
          <w:rFonts w:ascii="IRNazanin" w:hAnsi="IRNazanin" w:eastAsia="IRNazanin"/>
          <w:b w:val="false"/>
          <w:b w:val="false"/>
          <w:bCs w:val="false"/>
          <w:i w:val="false"/>
          <w:i w:val="false"/>
          <w:iCs w:val="false"/>
          <w:color w:val="333333"/>
          <w:sz w:val="20"/>
          <w:sz w:val="20"/>
          <w:szCs w:val="20"/>
          <w:rtl w:val="true"/>
        </w:rPr>
        <w:t>؛ الكامل، ابن‌عدي،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٣٨٢</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۵۵٩</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المعجم الأوسط،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٣۵١</w:t>
      </w:r>
      <w:r>
        <w:rPr>
          <w:rFonts w:ascii="IRNazanin" w:hAnsi="IRNazanin" w:eastAsia="IRNazanin"/>
          <w:b w:val="false"/>
          <w:b w:val="false"/>
          <w:bCs w:val="false"/>
          <w:i w:val="false"/>
          <w:i w:val="false"/>
          <w:iCs w:val="false"/>
          <w:color w:val="333333"/>
          <w:sz w:val="20"/>
          <w:sz w:val="20"/>
          <w:szCs w:val="20"/>
          <w:rtl w:val="true"/>
        </w:rPr>
        <w:t>؛ المعجم الكبير،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١٣۵</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لشعب الإيمان،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۴٨٩</w:t>
      </w:r>
      <w:r>
        <w:rPr>
          <w:rFonts w:ascii="IRNazanin" w:hAnsi="IRNazanin" w:eastAsia="IRNazanin"/>
          <w:b w:val="false"/>
          <w:b w:val="false"/>
          <w:bCs w:val="false"/>
          <w:i w:val="false"/>
          <w:i w:val="false"/>
          <w:iCs w:val="false"/>
          <w:color w:val="333333"/>
          <w:sz w:val="20"/>
          <w:sz w:val="20"/>
          <w:szCs w:val="20"/>
          <w:rtl w:val="true"/>
        </w:rPr>
        <w:t>؛ تاريخ جرجان، ص</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الشفاء ص</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الجامع الصغير،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۶٠۵</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لشعب الإيمان،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۴٨٨</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لسان الميزان،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٢۴۵</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٢٨۵</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٢۴۵</w:t>
      </w:r>
      <w:r>
        <w:rPr>
          <w:rFonts w:ascii="IRNazanin" w:hAnsi="IRNazanin" w:eastAsia="IRNazanin"/>
          <w:b w:val="false"/>
          <w:b w:val="false"/>
          <w:bCs w:val="false"/>
          <w:i w:val="false"/>
          <w:i w:val="false"/>
          <w:iCs w:val="false"/>
          <w:color w:val="333333"/>
          <w:sz w:val="20"/>
          <w:sz w:val="20"/>
          <w:szCs w:val="20"/>
          <w:rtl w:val="true"/>
        </w:rPr>
        <w:t>؛ مسند أبي داود الطيالسي، ص</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الجامع لشعب الإيمان،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۴٨٨</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لشعب الإيمان،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۴٨٨</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١٣۶</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٢٨۵</w:t>
      </w:r>
      <w:r>
        <w:rPr>
          <w:rFonts w:ascii="IRNazanin" w:hAnsi="IRNazanin" w:eastAsia="IRNazanin"/>
          <w:b w:val="false"/>
          <w:b w:val="false"/>
          <w:bCs w:val="false"/>
          <w:i w:val="false"/>
          <w:i w:val="false"/>
          <w:iCs w:val="false"/>
          <w:color w:val="333333"/>
          <w:sz w:val="20"/>
          <w:sz w:val="20"/>
          <w:szCs w:val="20"/>
          <w:rtl w:val="true"/>
        </w:rPr>
        <w:t>؛ لسان الميزان،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الجامع الصغير،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التلخيص الحبير،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موطأ مالك، اللكنوي،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۵٨٨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۵٩٨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مراقي الفلاح،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۵١٢</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إعانة الطالبين،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الشبه عن الرسول، ص</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 في أتباع محمّد بن عبد الوهاب، ص</w:t>
      </w:r>
      <w:r>
        <w:rPr>
          <w:rFonts w:ascii="IRNazanin" w:hAnsi="IRNazanin" w:eastAsia="IRNazanin"/>
          <w:b w:val="false"/>
          <w:b w:val="false"/>
          <w:bCs w:val="false"/>
          <w:i w:val="false"/>
          <w:i w:val="false"/>
          <w:iCs w:val="false"/>
          <w:color w:val="333333"/>
          <w:sz w:val="20"/>
          <w:sz w:val="20"/>
          <w:szCs w:val="20"/>
        </w:rPr>
        <w:t>٢٨٧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سنن النسائي،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مستدرك الصحيحين،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٣۶٩</w:t>
      </w:r>
      <w:r>
        <w:rPr>
          <w:rFonts w:ascii="IRNazanin" w:hAnsi="IRNazanin" w:eastAsia="IRNazanin"/>
          <w:b w:val="false"/>
          <w:b w:val="false"/>
          <w:bCs w:val="false"/>
          <w:i w:val="false"/>
          <w:i w:val="false"/>
          <w:iCs w:val="false"/>
          <w:color w:val="333333"/>
          <w:sz w:val="20"/>
          <w:sz w:val="20"/>
          <w:szCs w:val="20"/>
          <w:rtl w:val="true"/>
        </w:rPr>
        <w:t>؛ السنن الكبرى، النسائي،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۶۵٣</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فقه السنّة،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المصنّف، ابن أبي شيبة،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إرواء الغليل،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سنن النسائي،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تاريخ بغداد،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٣١۴</w:t>
      </w:r>
      <w:r>
        <w:rPr>
          <w:rFonts w:ascii="IRNazanin" w:hAnsi="IRNazanin" w:eastAsia="IRNazanin"/>
          <w:b w:val="false"/>
          <w:b w:val="false"/>
          <w:bCs w:val="false"/>
          <w:i w:val="false"/>
          <w:i w:val="false"/>
          <w:iCs w:val="false"/>
          <w:color w:val="333333"/>
          <w:sz w:val="20"/>
          <w:sz w:val="20"/>
          <w:szCs w:val="20"/>
          <w:rtl w:val="true"/>
        </w:rPr>
        <w:t>؛ تفسير القرطبي،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٢٩٨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۴٩٨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نقل ذلك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۵۴٩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ابن أبي زيد، ص</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الثمر الداني شرح رسالة ابن أبي زيد ، ص</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۵٣۶</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۴٠٢</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٣۴٨</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تاريخ مدينة دمشق، ج</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تهذيب الكمال، ج</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۴٧١</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١٠٢</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لأسماء المدلّسين، ص</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الثقات، ابن حبّان،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٣۵۴</w:t>
      </w:r>
      <w:r>
        <w:rPr>
          <w:rFonts w:ascii="IRNazanin" w:hAnsi="IRNazanin" w:eastAsia="IRNazanin"/>
          <w:b w:val="false"/>
          <w:b w:val="false"/>
          <w:bCs w:val="false"/>
          <w:i w:val="false"/>
          <w:i w:val="false"/>
          <w:iCs w:val="false"/>
          <w:color w:val="333333"/>
          <w:sz w:val="20"/>
          <w:sz w:val="20"/>
          <w:szCs w:val="20"/>
          <w:rtl w:val="true"/>
        </w:rPr>
        <w:t>؛ معرفة الثقات،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۴۵٩</w:t>
      </w:r>
      <w:r>
        <w:rPr>
          <w:rFonts w:ascii="IRNazanin" w:hAnsi="IRNazanin" w:eastAsia="IRNazanin"/>
          <w:b w:val="false"/>
          <w:b w:val="false"/>
          <w:bCs w:val="false"/>
          <w:i w:val="false"/>
          <w:i w:val="false"/>
          <w:iCs w:val="false"/>
          <w:color w:val="333333"/>
          <w:sz w:val="20"/>
          <w:sz w:val="20"/>
          <w:szCs w:val="20"/>
          <w:rtl w:val="true"/>
        </w:rPr>
        <w:t>؛ تهذيب الكمال،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۵۴٧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سير أعلام النبلاء،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١۶۴</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العجلي،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۴٣۵</w:t>
      </w:r>
      <w:r>
        <w:rPr>
          <w:rFonts w:ascii="IRNazanin" w:hAnsi="IRNazanin" w:eastAsia="IRNazanin"/>
          <w:b w:val="false"/>
          <w:b w:val="false"/>
          <w:bCs w:val="false"/>
          <w:i w:val="false"/>
          <w:i w:val="false"/>
          <w:iCs w:val="false"/>
          <w:color w:val="333333"/>
          <w:sz w:val="20"/>
          <w:sz w:val="20"/>
          <w:szCs w:val="20"/>
          <w:rtl w:val="true"/>
        </w:rPr>
        <w:t>؛ الثقات، ، ابن حبّان،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سنن النسائي،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حاشية السندي على النسائي،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١٣٧٩</w:t>
      </w:r>
      <w:r>
        <w:rPr>
          <w:rFonts w:ascii="IRNazanin" w:hAnsi="IRNazanin" w:eastAsia="IRNazanin"/>
          <w:b w:val="false"/>
          <w:b w:val="false"/>
          <w:bCs w:val="false"/>
          <w:i w:val="false"/>
          <w:i w:val="false"/>
          <w:iCs w:val="false"/>
          <w:color w:val="333333"/>
          <w:sz w:val="20"/>
          <w:sz w:val="20"/>
          <w:szCs w:val="20"/>
          <w:rtl w:val="true"/>
        </w:rPr>
        <w:t>؛ النهاية، ابن أثير،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۴۶٢</w:t>
      </w:r>
      <w:r>
        <w:rPr>
          <w:rFonts w:ascii="IRNazanin" w:hAnsi="IRNazanin" w:eastAsia="IRNazanin"/>
          <w:b w:val="false"/>
          <w:b w:val="false"/>
          <w:bCs w:val="false"/>
          <w:i w:val="false"/>
          <w:i w:val="false"/>
          <w:iCs w:val="false"/>
          <w:color w:val="333333"/>
          <w:sz w:val="20"/>
          <w:sz w:val="20"/>
          <w:szCs w:val="20"/>
          <w:rtl w:val="true"/>
        </w:rPr>
        <w:t>؛ القاموس المحيط،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٣۴۵</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رياض المسائل،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۵٣۵</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التلخيص الحبير،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٢٩۵</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ابن قدامة،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النووي،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النقي،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٣۵٧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٣۶٠</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معين، ص</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عدي،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المجروحين، ابن حبّان،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والمراد من التدليس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الراوي للرواية التي سمعها وفي سندها شخص ضعيف بدون ذكر هذا الشخص</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٢٨۴</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سنن الترمذي،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فتح‌الباري،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۴۴١</w:t>
      </w:r>
      <w:r>
        <w:rPr>
          <w:rFonts w:ascii="IRNazanin" w:hAnsi="IRNazanin" w:eastAsia="IRNazanin"/>
          <w:b w:val="false"/>
          <w:b w:val="false"/>
          <w:bCs w:val="false"/>
          <w:i w:val="false"/>
          <w:i w:val="false"/>
          <w:iCs w:val="false"/>
          <w:color w:val="333333"/>
          <w:sz w:val="20"/>
          <w:sz w:val="20"/>
          <w:szCs w:val="20"/>
          <w:rtl w:val="true"/>
        </w:rPr>
        <w:t>؛ السنن الكبرى النسائي،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الجنائز، الألباني، صص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١۶٢</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الجليل،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٢٨۵</w:t>
      </w:r>
      <w:r>
        <w:rPr>
          <w:rFonts w:ascii="IRNazanin" w:hAnsi="IRNazanin" w:eastAsia="IRNazanin"/>
          <w:b w:val="false"/>
          <w:b w:val="false"/>
          <w:bCs w:val="false"/>
          <w:i w:val="false"/>
          <w:i w:val="false"/>
          <w:iCs w:val="false"/>
          <w:color w:val="333333"/>
          <w:sz w:val="20"/>
          <w:sz w:val="20"/>
          <w:szCs w:val="20"/>
          <w:rtl w:val="true"/>
        </w:rPr>
        <w:t>؛ لسان الميزان،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٢٧٣</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تُرجم إلى اللغة الفارسية، والمؤلّف يتكلّم هنا عن النسخة المترجمة للكتاب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أبقينا المصادر كما هي في الكتاب الأصلي؛ حيث وضعها المؤلّف بعد النص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المزار عند الأئمّة الأطهار،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الهادي الحسيني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بمسألة ثبوت المفهوم للعدد أنّ تحديد موضوع بعدد خاص، هل يدل على انتفاء الحكم فيما عداه أم لا؟ إن أجبنا بنعم، فمعناه أنّ للعدد مفهوماً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 دلالة على انتفاء الحكم، فمعناه ليس للعدد مفهوم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الجوهرالنقي،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٢۵٩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على مسلم،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هنا يتكلّم عن النسخة المترجمة من الكتاب والتي جاء التعبير فيها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يازدهم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الحادية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جاء التعبير في الفقرة التالية لها بما ترجمته الرواية الثانية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ولم‌أعثر على النسخة العربية الأصلية للكتاب المطبوعة على الورق، لأتأكّد من الأصل وهل أنّ التعبير خاص بالمترجم، ولكن عثرت على نسختين الكترونيتين على الإنترنت للكتاب اعتمدت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الأولى خالية من تعبير عدّ الروايات بهذا الشكل الرواية الأولى، الرواية الثانية</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عند تعداد الروايات، والنسخة الأخرى كان فيها تعداد الفقرات التي تذكر الروايات رقمياً هكذا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وهي التي اعتمدناها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ونقاش المؤلّف للكتاب يتركّز على النسخة المترجمة إلى اللغة 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۵٠۶</w:t>
      </w:r>
      <w:r>
        <w:rPr>
          <w:rFonts w:ascii="IRNazanin" w:hAnsi="IRNazanin" w:eastAsia="IRNazanin"/>
          <w:b w:val="false"/>
          <w:b w:val="false"/>
          <w:bCs w:val="false"/>
          <w:i w:val="false"/>
          <w:i w:val="false"/>
          <w:iCs w:val="false"/>
          <w:color w:val="333333"/>
          <w:sz w:val="20"/>
          <w:sz w:val="20"/>
          <w:szCs w:val="20"/>
          <w:rtl w:val="true"/>
        </w:rPr>
        <w:t>؛ الفتاوى الكبرى،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مسند أحمد،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٢۴۶</w:t>
      </w:r>
      <w:r>
        <w:rPr>
          <w:rFonts w:ascii="IRNazanin" w:hAnsi="IRNazanin" w:eastAsia="IRNazanin"/>
          <w:b w:val="false"/>
          <w:b w:val="false"/>
          <w:bCs w:val="false"/>
          <w:i w:val="false"/>
          <w:i w:val="false"/>
          <w:iCs w:val="false"/>
          <w:color w:val="333333"/>
          <w:sz w:val="20"/>
          <w:sz w:val="20"/>
          <w:szCs w:val="20"/>
          <w:rtl w:val="true"/>
        </w:rPr>
        <w:t>؛ المصنّف، الصنعاني،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۴٠۶</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صحيح البخاري،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مسند أحمد بن حنبل،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٢٨۴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٣٩۶</w:t>
      </w:r>
      <w:r>
        <w:rPr>
          <w:rFonts w:ascii="IRNazanin" w:hAnsi="IRNazanin" w:eastAsia="IRNazanin"/>
          <w:b w:val="false"/>
          <w:b w:val="false"/>
          <w:bCs w:val="false"/>
          <w:i w:val="false"/>
          <w:i w:val="false"/>
          <w:iCs w:val="false"/>
          <w:color w:val="333333"/>
          <w:sz w:val="20"/>
          <w:sz w:val="20"/>
          <w:szCs w:val="20"/>
          <w:rtl w:val="true"/>
        </w:rPr>
        <w:t>؛ سنن أبي داود السجستاني،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السنن الكبرى، النسائي،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٢۵٧</w:t>
      </w:r>
      <w:r>
        <w:rPr>
          <w:rFonts w:ascii="IRNazanin" w:hAnsi="IRNazanin" w:eastAsia="IRNazanin"/>
          <w:b w:val="false"/>
          <w:b w:val="false"/>
          <w:bCs w:val="false"/>
          <w:i w:val="false"/>
          <w:i w:val="false"/>
          <w:iCs w:val="false"/>
          <w:color w:val="333333"/>
          <w:sz w:val="20"/>
          <w:sz w:val="20"/>
          <w:szCs w:val="20"/>
          <w:rtl w:val="true"/>
        </w:rPr>
        <w:t>؛ المصنّف، الصنعاني،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۴٠۶</w:t>
      </w:r>
      <w:r>
        <w:rPr>
          <w:rFonts w:ascii="IRNazanin" w:hAnsi="IRNazanin" w:eastAsia="IRNazanin"/>
          <w:b w:val="false"/>
          <w:b w:val="false"/>
          <w:bCs w:val="false"/>
          <w:i w:val="false"/>
          <w:i w:val="false"/>
          <w:iCs w:val="false"/>
          <w:color w:val="333333"/>
          <w:sz w:val="20"/>
          <w:sz w:val="20"/>
          <w:szCs w:val="20"/>
          <w:rtl w:val="true"/>
        </w:rPr>
        <w:t>؛ الجامع الصغير،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٣٩۶</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صحيح البخاري،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مسند أحمد بن حنبل،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٢٨۵</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٢٠۴</w:t>
      </w:r>
      <w:r>
        <w:rPr>
          <w:rFonts w:ascii="IRNazanin" w:hAnsi="IRNazanin" w:eastAsia="IRNazanin"/>
          <w:b w:val="false"/>
          <w:b w:val="false"/>
          <w:bCs w:val="false"/>
          <w:i w:val="false"/>
          <w:i w:val="false"/>
          <w:iCs w:val="false"/>
          <w:color w:val="333333"/>
          <w:sz w:val="20"/>
          <w:sz w:val="20"/>
          <w:szCs w:val="20"/>
          <w:rtl w:val="true"/>
        </w:rPr>
        <w:t>؛ السنن الكبرى، النسائي،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۴٣۵</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مسند أبي داود الطيالسي، ص</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السنن الكبرى، النسائي،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٢۶٠</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٢٣۶</w:t>
      </w:r>
      <w:r>
        <w:rPr>
          <w:rFonts w:ascii="IRNazanin" w:hAnsi="IRNazanin" w:eastAsia="IRNazanin"/>
          <w:b w:val="false"/>
          <w:b w:val="false"/>
          <w:bCs w:val="false"/>
          <w:i w:val="false"/>
          <w:i w:val="false"/>
          <w:iCs w:val="false"/>
          <w:color w:val="333333"/>
          <w:sz w:val="20"/>
          <w:sz w:val="20"/>
          <w:szCs w:val="20"/>
          <w:rtl w:val="true"/>
        </w:rPr>
        <w:t>؛ المصنّف، ابن أبي شيبة،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٢۶٩</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سنن أبي داود، ابن الأشعث السجستاني،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سنن الترمذي،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سنن النسائي،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مستدرك الصحيحين،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٣٧۴</w:t>
      </w:r>
      <w:r>
        <w:rPr>
          <w:rFonts w:ascii="IRNazanin" w:hAnsi="IRNazanin" w:eastAsia="IRNazanin"/>
          <w:b w:val="false"/>
          <w:b w:val="false"/>
          <w:bCs w:val="false"/>
          <w:i w:val="false"/>
          <w:i w:val="false"/>
          <w:iCs w:val="false"/>
          <w:color w:val="333333"/>
          <w:sz w:val="20"/>
          <w:sz w:val="20"/>
          <w:szCs w:val="20"/>
          <w:rtl w:val="true"/>
        </w:rPr>
        <w:t>؛ السنن الكبرى، النسائي،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۶۵٧</w:t>
      </w:r>
      <w:r>
        <w:rPr>
          <w:rFonts w:ascii="IRNazanin" w:hAnsi="IRNazanin" w:eastAsia="IRNazanin"/>
          <w:b w:val="false"/>
          <w:b w:val="false"/>
          <w:bCs w:val="false"/>
          <w:i w:val="false"/>
          <w:i w:val="false"/>
          <w:iCs w:val="false"/>
          <w:color w:val="333333"/>
          <w:sz w:val="20"/>
          <w:sz w:val="20"/>
          <w:szCs w:val="20"/>
          <w:rtl w:val="true"/>
        </w:rPr>
        <w:t>؛ صحيح ابن حبّان،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۴۵٢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۴۵٣</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 ص</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لسان العرب،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٣٠۴</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۴٣٨</w:t>
      </w:r>
      <w:r>
        <w:rPr>
          <w:rFonts w:ascii="IRNazanin" w:hAnsi="IRNazanin" w:eastAsia="IRNazanin"/>
          <w:b w:val="false"/>
          <w:b w:val="false"/>
          <w:bCs w:val="false"/>
          <w:i w:val="false"/>
          <w:i w:val="false"/>
          <w:iCs w:val="false"/>
          <w:color w:val="333333"/>
          <w:sz w:val="20"/>
          <w:sz w:val="20"/>
          <w:szCs w:val="20"/>
          <w:rtl w:val="true"/>
        </w:rPr>
        <w:t>؛ شرح سنن النسائي،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السندي على سنن النسائي،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إعانة الطالبين،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إعانة الطالبين،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٣٨٣</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الرائق،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۴١٢</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الطحاوي على مراقي الفلاح،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٣١۵</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قدامة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مسجد رسول الله</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كانت فيه قبور المشركين فنبشت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٧١٨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٢۴۴</w:t>
      </w:r>
      <w:r>
        <w:rPr>
          <w:rFonts w:ascii="IRNazanin" w:hAnsi="IRNazanin" w:eastAsia="IRNazanin"/>
          <w:b w:val="false"/>
          <w:b w:val="false"/>
          <w:bCs w:val="false"/>
          <w:i w:val="false"/>
          <w:i w:val="false"/>
          <w:iCs w:val="false"/>
          <w:color w:val="333333"/>
          <w:sz w:val="20"/>
          <w:sz w:val="20"/>
          <w:szCs w:val="20"/>
          <w:rtl w:val="true"/>
        </w:rPr>
        <w:t>؛ نيل الأوطار،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٢۶۶</w:t>
      </w:r>
      <w:r>
        <w:rPr>
          <w:rFonts w:ascii="IRNazanin" w:hAnsi="IRNazanin" w:eastAsia="IRNazanin"/>
          <w:b w:val="false"/>
          <w:b w:val="false"/>
          <w:bCs w:val="false"/>
          <w:i w:val="false"/>
          <w:i w:val="false"/>
          <w:iCs w:val="false"/>
          <w:color w:val="333333"/>
          <w:sz w:val="20"/>
          <w:sz w:val="20"/>
          <w:szCs w:val="20"/>
          <w:rtl w:val="true"/>
        </w:rPr>
        <w:t>؛ سنن أبي داود السجستاني،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سنن النسائي،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w:t>
      </w:r>
      <w:r>
        <w:rPr>
          <w:rFonts w:ascii="IRNazanin" w:hAnsi="IRNazanin" w:eastAsia="IRNazanin"/>
          <w:b w:val="false"/>
          <w:b w:val="false"/>
          <w:bCs w:val="false"/>
          <w:i w:val="false"/>
          <w:i w:val="false"/>
          <w:iCs w:val="false"/>
          <w:color w:val="333333"/>
          <w:sz w:val="20"/>
          <w:sz w:val="20"/>
          <w:szCs w:val="20"/>
          <w:rtl w:val="true"/>
        </w:rPr>
        <w:t>؛ السنن الكبري، البيهقي،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۴٣٨</w:t>
      </w:r>
      <w:r>
        <w:rPr>
          <w:rFonts w:ascii="IRNazanin" w:hAnsi="IRNazanin" w:eastAsia="IRNazanin"/>
          <w:b w:val="false"/>
          <w:b w:val="false"/>
          <w:bCs w:val="false"/>
          <w:i w:val="false"/>
          <w:i w:val="false"/>
          <w:iCs w:val="false"/>
          <w:color w:val="333333"/>
          <w:sz w:val="20"/>
          <w:sz w:val="20"/>
          <w:szCs w:val="20"/>
          <w:rtl w:val="true"/>
        </w:rPr>
        <w:t>؛ السنن الكبرى، النسائي،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٢۵٩</w:t>
      </w:r>
      <w:r>
        <w:rPr>
          <w:rFonts w:ascii="IRNazanin" w:hAnsi="IRNazanin" w:eastAsia="IRNazanin"/>
          <w:b w:val="false"/>
          <w:b w:val="false"/>
          <w:bCs w:val="false"/>
          <w:i w:val="false"/>
          <w:i w:val="false"/>
          <w:iCs w:val="false"/>
          <w:color w:val="333333"/>
          <w:sz w:val="20"/>
          <w:sz w:val="20"/>
          <w:szCs w:val="20"/>
          <w:rtl w:val="true"/>
        </w:rPr>
        <w:t>؛ مسند أبي يعلى،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صحيح ابن خزيمة،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صحيح ابن حبّان،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الطبقات الكبرى،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البداية والنهاية، ابن كثير،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٢۶١</w:t>
      </w:r>
      <w:r>
        <w:rPr>
          <w:rFonts w:ascii="IRNazanin" w:hAnsi="IRNazanin" w:eastAsia="IRNazanin"/>
          <w:b w:val="false"/>
          <w:b w:val="false"/>
          <w:bCs w:val="false"/>
          <w:i w:val="false"/>
          <w:i w:val="false"/>
          <w:iCs w:val="false"/>
          <w:color w:val="333333"/>
          <w:sz w:val="20"/>
          <w:sz w:val="20"/>
          <w:szCs w:val="20"/>
          <w:rtl w:val="true"/>
        </w:rPr>
        <w:t>؛ السيرة النبوية، ابن كثير،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الجنائز، الألباني، ص</w:t>
      </w:r>
      <w:r>
        <w:rPr>
          <w:rFonts w:ascii="IRNazanin" w:hAnsi="IRNazanin" w:eastAsia="IRNazanin"/>
          <w:b w:val="false"/>
          <w:b w:val="false"/>
          <w:bCs w:val="false"/>
          <w:i w:val="false"/>
          <w:i w:val="false"/>
          <w:iCs w:val="false"/>
          <w:color w:val="333333"/>
          <w:sz w:val="20"/>
          <w:sz w:val="20"/>
          <w:szCs w:val="20"/>
        </w:rPr>
        <w:t>٢١۴</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۵٠٨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مسند أحمد،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سنن الدارمي،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 سنن ابن‌ماجة،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٢۴۶</w:t>
      </w:r>
      <w:r>
        <w:rPr>
          <w:rFonts w:ascii="IRNazanin" w:hAnsi="IRNazanin" w:eastAsia="IRNazanin"/>
          <w:b w:val="false"/>
          <w:b w:val="false"/>
          <w:bCs w:val="false"/>
          <w:i w:val="false"/>
          <w:i w:val="false"/>
          <w:iCs w:val="false"/>
          <w:color w:val="333333"/>
          <w:sz w:val="20"/>
          <w:sz w:val="20"/>
          <w:szCs w:val="20"/>
          <w:rtl w:val="true"/>
        </w:rPr>
        <w:t>؛ سنن أبي داود، ابن الأشعث،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سنن الترمذي،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مستدرك الحاكم،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٢۵١</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۴٣۵</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٣۴٣</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مسند أبي يعلى،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سنن أبي داود، ابن الأشعث،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٢٨۴</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سنن الترمذي،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 الراية،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سنن ابن ماجة،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٢۴۶</w:t>
      </w:r>
      <w:r>
        <w:rPr>
          <w:rFonts w:ascii="IRNazanin" w:hAnsi="IRNazanin" w:eastAsia="IRNazanin"/>
          <w:b w:val="false"/>
          <w:b w:val="false"/>
          <w:bCs w:val="false"/>
          <w:i w:val="false"/>
          <w:i w:val="false"/>
          <w:iCs w:val="false"/>
          <w:color w:val="333333"/>
          <w:sz w:val="20"/>
          <w:sz w:val="20"/>
          <w:szCs w:val="20"/>
          <w:rtl w:val="true"/>
        </w:rPr>
        <w:t>؛ سنن الترمذي،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٢١۶</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مسند أحمد بن حنبل،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١۶٠</w:t>
      </w:r>
      <w:r>
        <w:rPr>
          <w:rFonts w:ascii="IRNazanin" w:hAnsi="IRNazanin" w:eastAsia="IRNazanin"/>
          <w:b w:val="false"/>
          <w:b w:val="false"/>
          <w:bCs w:val="false"/>
          <w:i w:val="false"/>
          <w:i w:val="false"/>
          <w:iCs w:val="false"/>
          <w:color w:val="333333"/>
          <w:sz w:val="20"/>
          <w:sz w:val="20"/>
          <w:szCs w:val="20"/>
          <w:rtl w:val="true"/>
        </w:rPr>
        <w:t>؛ نيل الأوطار،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١٣۵</w:t>
      </w:r>
      <w:r>
        <w:rPr>
          <w:rFonts w:ascii="IRNazanin" w:hAnsi="IRNazanin" w:eastAsia="IRNazanin"/>
          <w:b w:val="false"/>
          <w:b w:val="false"/>
          <w:bCs w:val="false"/>
          <w:i w:val="false"/>
          <w:i w:val="false"/>
          <w:iCs w:val="false"/>
          <w:color w:val="333333"/>
          <w:sz w:val="20"/>
          <w:sz w:val="20"/>
          <w:szCs w:val="20"/>
          <w:rtl w:val="true"/>
        </w:rPr>
        <w:t>؛ سنن ابن ماجة،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٢۴٨</w:t>
      </w:r>
      <w:r>
        <w:rPr>
          <w:rFonts w:ascii="IRNazanin" w:hAnsi="IRNazanin" w:eastAsia="IRNazanin"/>
          <w:b w:val="false"/>
          <w:b w:val="false"/>
          <w:bCs w:val="false"/>
          <w:i w:val="false"/>
          <w:i w:val="false"/>
          <w:iCs w:val="false"/>
          <w:color w:val="333333"/>
          <w:sz w:val="20"/>
          <w:sz w:val="20"/>
          <w:szCs w:val="20"/>
          <w:rtl w:val="true"/>
        </w:rPr>
        <w:t>؛ شرح صحيح مسلم، النووي،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السنن الكبرى، النسائي،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٢۵۶</w:t>
      </w:r>
      <w:r>
        <w:rPr>
          <w:rFonts w:ascii="IRNazanin" w:hAnsi="IRNazanin" w:eastAsia="IRNazanin"/>
          <w:b w:val="false"/>
          <w:b w:val="false"/>
          <w:bCs w:val="false"/>
          <w:i w:val="false"/>
          <w:i w:val="false"/>
          <w:iCs w:val="false"/>
          <w:color w:val="333333"/>
          <w:sz w:val="20"/>
          <w:sz w:val="20"/>
          <w:szCs w:val="20"/>
          <w:rtl w:val="true"/>
        </w:rPr>
        <w:t>؛ صحيح ابن خزيمة،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صحيح ابن حبّان،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۴٧۵</w:t>
      </w:r>
      <w:r>
        <w:rPr>
          <w:rFonts w:ascii="IRNazanin" w:hAnsi="IRNazanin" w:eastAsia="IRNazanin"/>
          <w:b w:val="false"/>
          <w:b w:val="false"/>
          <w:bCs w:val="false"/>
          <w:i w:val="false"/>
          <w:i w:val="false"/>
          <w:iCs w:val="false"/>
          <w:color w:val="333333"/>
          <w:sz w:val="20"/>
          <w:sz w:val="20"/>
          <w:szCs w:val="20"/>
          <w:rtl w:val="true"/>
        </w:rPr>
        <w:t>؛ كنز العمّال، ج</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ابن حزم،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صص</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٧۶</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٢۴۶</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النووي،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ابن عبد البر في كتاب 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التمهيد،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٢٠٣</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بخصوص ضعف زيد بن جبيرة، فسيأتي الكلام عنه مفصّلاً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تفسير القرطبي ،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٧١٨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الكليني،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٣٩٠</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ascii="IRNazanin" w:hAnsi="IRNazanin" w:eastAsia="IRNazanin"/>
          <w:b w:val="false"/>
          <w:b w:val="false"/>
          <w:bCs w:val="false"/>
          <w:i w:val="false"/>
          <w:i w:val="false"/>
          <w:iCs w:val="false"/>
          <w:color w:val="333333"/>
          <w:sz w:val="20"/>
          <w:sz w:val="20"/>
          <w:szCs w:val="20"/>
        </w:rPr>
        <w:t>٣٧۴</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٣٩٣</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الحوالك، السيوطي، ص</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تحفة الأحوذي،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۴٣۶</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مجمع الزوائد،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التاريخ الكبير،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التاريخ الصغير،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ضعفاء العقيلي،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كتاب المجروحين، ابن‌حبّان،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تقريب التهذيب،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تحفة الأحوذي،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نصب الراية،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الجرح والتعديل،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۵۵٩</w:t>
      </w:r>
      <w:r>
        <w:rPr>
          <w:rFonts w:ascii="IRNazanin" w:hAnsi="IRNazanin" w:eastAsia="IRNazanin"/>
          <w:b w:val="false"/>
          <w:b w:val="false"/>
          <w:bCs w:val="false"/>
          <w:i w:val="false"/>
          <w:i w:val="false"/>
          <w:iCs w:val="false"/>
          <w:color w:val="333333"/>
          <w:sz w:val="20"/>
          <w:sz w:val="20"/>
          <w:szCs w:val="20"/>
          <w:rtl w:val="true"/>
        </w:rPr>
        <w:t>؛ الكامل، ابن عدي،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تهذيب الكمال،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٣۵</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تهذيب التهذيب،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٣۴۶</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الجصاص،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مسند ابن الجعد، ص</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السنن الكبرى، البيهقي،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۶٠</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إعانة الطالبين،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المصنّف، ابن أبي شيبة،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التمهيد،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مراقي الفلاح،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المستطرف،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۵٣٣</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۴٢۵</w:t>
      </w:r>
      <w:r>
        <w:rPr>
          <w:rFonts w:ascii="IRNazanin" w:hAnsi="IRNazanin" w:eastAsia="IRNazanin"/>
          <w:b w:val="false"/>
          <w:b w:val="false"/>
          <w:bCs w:val="false"/>
          <w:i w:val="false"/>
          <w:i w:val="false"/>
          <w:iCs w:val="false"/>
          <w:color w:val="333333"/>
          <w:sz w:val="20"/>
          <w:sz w:val="20"/>
          <w:szCs w:val="20"/>
          <w:rtl w:val="true"/>
        </w:rPr>
        <w:t>؛ مراقي الفلاح،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كشف القناع،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عمدة القاري،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 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ج</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5.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Pages>
  <Words>23367</Words>
  <Characters>105704</Characters>
  <CharactersWithSpaces>128073</CharactersWithSpaces>
  <Paragraphs>1464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2026-08-16T17:15:12Z</dcterms:created>
  <dc:creator>ghaemiyeh.com</dc:creator>
  <dc:description/>
  <dc:language>en-US</dc:language>
  <cp:lastModifiedBy/>
  <dcterms:modified xsi:type="dcterms:W3CDTF">2026-08-16T20:45:16Z</dcterms:modified>
  <cp:revision>1</cp:revision>
  <dc:subject/>
  <dc:title>بناء القبور و زیارتها رویه شرعیه</dc:title>
</cp:coreProperties>
</file>

<file path=docProps/custom.xml><?xml version="1.0" encoding="utf-8"?>
<Properties xmlns="http://schemas.openxmlformats.org/officeDocument/2006/custom-properties" xmlns:vt="http://schemas.openxmlformats.org/officeDocument/2006/docPropsVTypes"/>
</file>