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ظاهره التحریف فی التراث الاسلامی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6216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06218_3650668749">
            <w:r>
              <w:rPr>
                <w:webHidden/>
                <w:rStyle w:val="IndexLink"/>
                <w:rtl w:val="true"/>
              </w:rPr>
              <w:t>التراث الإسلامي أمانة إلهيّة</w:t>
            </w:r>
            <w:r>
              <w:rPr>
                <w:rStyle w:val="IndexLink"/>
                <w:rtl w:val="true"/>
              </w:rPr>
              <w:tab/>
            </w:r>
            <w:r>
              <w:rPr>
                <w:rStyle w:val="IndexLink"/>
              </w:rPr>
              <w:t>4</w:t>
            </w:r>
          </w:hyperlink>
        </w:p>
        <w:p>
          <w:pPr>
            <w:pStyle w:val="Contents2"/>
            <w:tabs>
              <w:tab w:val="clear" w:pos="8743"/>
              <w:tab w:val="right" w:pos="9026" w:leader="dot"/>
            </w:tabs>
            <w:rPr/>
          </w:pPr>
          <w:hyperlink w:anchor="__RefHeading___Toc706220_3650668749">
            <w:r>
              <w:rPr>
                <w:webHidden/>
                <w:rStyle w:val="IndexLink"/>
              </w:rPr>
              <w:t>1</w:t>
            </w:r>
            <w:r>
              <w:rPr>
                <w:rStyle w:val="IndexLink"/>
                <w:rtl w:val="true"/>
              </w:rPr>
              <w:t xml:space="preserve"> </w:t>
            </w:r>
            <w:r>
              <w:rPr>
                <w:rStyle w:val="IndexLink"/>
                <w:rtl w:val="true"/>
              </w:rPr>
              <w:t>تفسير الطبرى وحديث يوم الدار تفسير ابن كثير وحديث يوم الدار حياة محمد و حديث يوم الدار</w:t>
            </w:r>
            <w:r>
              <w:rPr>
                <w:rStyle w:val="IndexLink"/>
                <w:rtl w:val="true"/>
              </w:rPr>
              <w:tab/>
            </w:r>
            <w:r>
              <w:rPr>
                <w:rStyle w:val="IndexLink"/>
              </w:rPr>
              <w:t>15</w:t>
            </w:r>
          </w:hyperlink>
        </w:p>
        <w:p>
          <w:pPr>
            <w:pStyle w:val="Contents2"/>
            <w:tabs>
              <w:tab w:val="clear" w:pos="8743"/>
              <w:tab w:val="right" w:pos="9026" w:leader="dot"/>
            </w:tabs>
            <w:rPr/>
          </w:pPr>
          <w:hyperlink w:anchor="__RefHeading___Toc706222_3650668749">
            <w:r>
              <w:rPr>
                <w:webHidden/>
                <w:rStyle w:val="IndexLink"/>
              </w:rPr>
              <w:t>2</w:t>
            </w:r>
            <w:r>
              <w:rPr>
                <w:rStyle w:val="IndexLink"/>
                <w:rtl w:val="true"/>
              </w:rPr>
              <w:t xml:space="preserve"> </w:t>
            </w:r>
            <w:r>
              <w:rPr>
                <w:rStyle w:val="IndexLink"/>
                <w:rtl w:val="true"/>
              </w:rPr>
              <w:t>الفتوحات المكية وحذف أسماء أئمة أهل البيت عليهم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706224_3650668749">
            <w:r>
              <w:rPr>
                <w:webHidden/>
                <w:rStyle w:val="IndexLink"/>
              </w:rPr>
              <w:t>3</w:t>
            </w:r>
            <w:r>
              <w:rPr>
                <w:rStyle w:val="IndexLink"/>
                <w:rtl w:val="true"/>
              </w:rPr>
              <w:t xml:space="preserve"> </w:t>
            </w:r>
            <w:r>
              <w:rPr>
                <w:rStyle w:val="IndexLink"/>
                <w:rtl w:val="true"/>
              </w:rPr>
              <w:t>تاريخ اليعقوبي وتحريف حديث الغدير</w:t>
            </w:r>
            <w:r>
              <w:rPr>
                <w:rStyle w:val="IndexLink"/>
                <w:rtl w:val="true"/>
              </w:rPr>
              <w:tab/>
            </w:r>
            <w:r>
              <w:rPr>
                <w:rStyle w:val="IndexLink"/>
              </w:rPr>
              <w:t>29</w:t>
            </w:r>
          </w:hyperlink>
        </w:p>
        <w:p>
          <w:pPr>
            <w:pStyle w:val="Contents2"/>
            <w:tabs>
              <w:tab w:val="clear" w:pos="8743"/>
              <w:tab w:val="right" w:pos="9026" w:leader="dot"/>
            </w:tabs>
            <w:rPr/>
          </w:pPr>
          <w:hyperlink w:anchor="__RefHeading___Toc706226_3650668749">
            <w:r>
              <w:rPr>
                <w:webHidden/>
                <w:rStyle w:val="IndexLink"/>
              </w:rPr>
              <w:t>4</w:t>
            </w:r>
            <w:r>
              <w:rPr>
                <w:rStyle w:val="IndexLink"/>
                <w:rtl w:val="true"/>
              </w:rPr>
              <w:t xml:space="preserve"> </w:t>
            </w:r>
            <w:r>
              <w:rPr>
                <w:rStyle w:val="IndexLink"/>
                <w:rtl w:val="true"/>
              </w:rPr>
              <w:t>الأذكار النووية وطروء التحريف إليها</w:t>
            </w:r>
            <w:r>
              <w:rPr>
                <w:rStyle w:val="IndexLink"/>
                <w:rtl w:val="true"/>
              </w:rPr>
              <w:tab/>
            </w:r>
            <w:r>
              <w:rPr>
                <w:rStyle w:val="IndexLink"/>
              </w:rPr>
              <w:t>31</w:t>
            </w:r>
          </w:hyperlink>
        </w:p>
        <w:p>
          <w:pPr>
            <w:pStyle w:val="Contents3"/>
            <w:tabs>
              <w:tab w:val="clear" w:pos="8459"/>
              <w:tab w:val="right" w:pos="9026" w:leader="dot"/>
            </w:tabs>
            <w:rPr/>
          </w:pPr>
          <w:hyperlink w:anchor="__RefHeading___Toc706228_3650668749">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706230_3650668749">
            <w:r>
              <w:rPr>
                <w:webHidden/>
                <w:rStyle w:val="IndexLink"/>
                <w:rtl w:val="true"/>
              </w:rPr>
              <w:t>فصل في زيارة قبر رسول اللَّه وأذكارها</w:t>
            </w:r>
            <w:r>
              <w:rPr>
                <w:rStyle w:val="IndexLink"/>
                <w:rtl w:val="true"/>
              </w:rPr>
              <w:tab/>
            </w:r>
            <w:r>
              <w:rPr>
                <w:rStyle w:val="IndexLink"/>
              </w:rPr>
              <w:t>33</w:t>
            </w:r>
          </w:hyperlink>
        </w:p>
        <w:p>
          <w:pPr>
            <w:pStyle w:val="Contents3"/>
            <w:tabs>
              <w:tab w:val="clear" w:pos="8459"/>
              <w:tab w:val="right" w:pos="9026" w:leader="dot"/>
            </w:tabs>
            <w:rPr/>
          </w:pPr>
          <w:hyperlink w:anchor="__RefHeading___Toc706232_3650668749">
            <w:r>
              <w:rPr>
                <w:webHidden/>
                <w:rStyle w:val="IndexLink"/>
                <w:rtl w:val="true"/>
              </w:rPr>
              <w:t>فصل في زيارة مسجد رسول اللَّه صلَّى اللَّه عليه و آله و سلَّم‌</w:t>
            </w:r>
            <w:r>
              <w:rPr>
                <w:rStyle w:val="IndexLink"/>
                <w:rtl w:val="true"/>
              </w:rPr>
              <w:tab/>
            </w:r>
            <w:r>
              <w:rPr>
                <w:rStyle w:val="IndexLink"/>
              </w:rPr>
              <w:t>35</w:t>
            </w:r>
          </w:hyperlink>
        </w:p>
        <w:p>
          <w:pPr>
            <w:pStyle w:val="Contents2"/>
            <w:tabs>
              <w:tab w:val="clear" w:pos="8743"/>
              <w:tab w:val="right" w:pos="9026" w:leader="dot"/>
            </w:tabs>
            <w:rPr/>
          </w:pPr>
          <w:hyperlink w:anchor="__RefHeading___Toc706234_3650668749">
            <w:r>
              <w:rPr>
                <w:webHidden/>
                <w:rStyle w:val="IndexLink"/>
              </w:rPr>
              <w:t>5</w:t>
            </w:r>
            <w:r>
              <w:rPr>
                <w:rStyle w:val="IndexLink"/>
                <w:rtl w:val="true"/>
              </w:rPr>
              <w:t xml:space="preserve"> </w:t>
            </w:r>
            <w:r>
              <w:rPr>
                <w:rStyle w:val="IndexLink"/>
                <w:rtl w:val="true"/>
              </w:rPr>
              <w:t xml:space="preserve">البخاري وحديث </w:t>
            </w:r>
            <w:r>
              <w:rPr>
                <w:rStyle w:val="IndexLink"/>
                <w:rtl w:val="true"/>
              </w:rPr>
              <w:t>«</w:t>
            </w:r>
            <w:r>
              <w:rPr>
                <w:rStyle w:val="IndexLink"/>
                <w:rtl w:val="true"/>
              </w:rPr>
              <w:t>وهو وليّكم بعدي</w:t>
            </w:r>
            <w:r>
              <w:rPr>
                <w:rStyle w:val="IndexLink"/>
                <w:rtl w:val="true"/>
              </w:rPr>
              <w:t>»</w:t>
              <w:tab/>
            </w:r>
            <w:r>
              <w:rPr>
                <w:rStyle w:val="IndexLink"/>
              </w:rPr>
              <w:t>37</w:t>
            </w:r>
          </w:hyperlink>
        </w:p>
        <w:p>
          <w:pPr>
            <w:pStyle w:val="Contents2"/>
            <w:tabs>
              <w:tab w:val="clear" w:pos="8743"/>
              <w:tab w:val="right" w:pos="9026" w:leader="dot"/>
            </w:tabs>
            <w:rPr/>
          </w:pPr>
          <w:hyperlink w:anchor="__RefHeading___Toc706236_3650668749">
            <w:r>
              <w:rPr>
                <w:webHidden/>
                <w:rStyle w:val="IndexLink"/>
              </w:rPr>
              <w:t>6</w:t>
            </w:r>
            <w:r>
              <w:rPr>
                <w:rStyle w:val="IndexLink"/>
                <w:rtl w:val="true"/>
              </w:rPr>
              <w:t xml:space="preserve"> </w:t>
            </w:r>
            <w:r>
              <w:rPr>
                <w:rStyle w:val="IndexLink"/>
                <w:rtl w:val="true"/>
              </w:rPr>
              <w:t xml:space="preserve">البخاري وحديث </w:t>
            </w:r>
            <w:r>
              <w:rPr>
                <w:rStyle w:val="IndexLink"/>
                <w:rtl w:val="true"/>
              </w:rPr>
              <w:t>«</w:t>
            </w:r>
            <w:r>
              <w:rPr>
                <w:rStyle w:val="IndexLink"/>
                <w:rtl w:val="true"/>
              </w:rPr>
              <w:t>تقتلك الفئة الباغية</w:t>
            </w:r>
            <w:r>
              <w:rPr>
                <w:rStyle w:val="IndexLink"/>
                <w:rtl w:val="true"/>
              </w:rPr>
              <w:t>»</w:t>
              <w:tab/>
            </w:r>
            <w:r>
              <w:rPr>
                <w:rStyle w:val="IndexLink"/>
              </w:rPr>
              <w:t>44</w:t>
            </w:r>
          </w:hyperlink>
        </w:p>
        <w:p>
          <w:pPr>
            <w:pStyle w:val="Contents2"/>
            <w:tabs>
              <w:tab w:val="clear" w:pos="8743"/>
              <w:tab w:val="right" w:pos="9026" w:leader="dot"/>
            </w:tabs>
            <w:rPr/>
          </w:pPr>
          <w:hyperlink w:anchor="__RefHeading___Toc706238_3650668749">
            <w:r>
              <w:rPr>
                <w:webHidden/>
                <w:rStyle w:val="IndexLink"/>
              </w:rPr>
              <w:t>7</w:t>
            </w:r>
            <w:r>
              <w:rPr>
                <w:rStyle w:val="IndexLink"/>
                <w:rtl w:val="true"/>
              </w:rPr>
              <w:t xml:space="preserve"> </w:t>
            </w:r>
            <w:r>
              <w:rPr>
                <w:rStyle w:val="IndexLink"/>
                <w:rtl w:val="true"/>
              </w:rPr>
              <w:t xml:space="preserve">صحيح مسلم وحديث </w:t>
            </w:r>
            <w:r>
              <w:rPr>
                <w:rStyle w:val="IndexLink"/>
                <w:rtl w:val="true"/>
              </w:rPr>
              <w:t>«</w:t>
            </w:r>
            <w:r>
              <w:rPr>
                <w:rStyle w:val="IndexLink"/>
                <w:rtl w:val="true"/>
              </w:rPr>
              <w:t>خير نساء العالمين أربع</w:t>
            </w:r>
            <w:r>
              <w:rPr>
                <w:rStyle w:val="IndexLink"/>
                <w:rtl w:val="true"/>
              </w:rPr>
              <w:t>»</w:t>
              <w:tab/>
            </w:r>
            <w:r>
              <w:rPr>
                <w:rStyle w:val="IndexLink"/>
              </w:rPr>
              <w:t>48</w:t>
            </w:r>
          </w:hyperlink>
        </w:p>
        <w:p>
          <w:pPr>
            <w:pStyle w:val="Contents2"/>
            <w:tabs>
              <w:tab w:val="clear" w:pos="8743"/>
              <w:tab w:val="right" w:pos="9026" w:leader="dot"/>
            </w:tabs>
            <w:rPr/>
          </w:pPr>
          <w:hyperlink w:anchor="__RefHeading___Toc706240_3650668749">
            <w:r>
              <w:rPr>
                <w:webHidden/>
                <w:rStyle w:val="IndexLink"/>
              </w:rPr>
              <w:t>8</w:t>
            </w:r>
            <w:r>
              <w:rPr>
                <w:rStyle w:val="IndexLink"/>
                <w:rtl w:val="true"/>
              </w:rPr>
              <w:t xml:space="preserve"> </w:t>
            </w:r>
            <w:r>
              <w:rPr>
                <w:rStyle w:val="IndexLink"/>
                <w:rtl w:val="true"/>
              </w:rPr>
              <w:t xml:space="preserve">صحيح مسلم وحديث </w:t>
            </w:r>
            <w:r>
              <w:rPr>
                <w:rStyle w:val="IndexLink"/>
                <w:rtl w:val="true"/>
              </w:rPr>
              <w:t>«</w:t>
            </w:r>
            <w:r>
              <w:rPr>
                <w:rStyle w:val="IndexLink"/>
                <w:rtl w:val="true"/>
              </w:rPr>
              <w:t>المهدي وهو من ولد فاطمة</w:t>
            </w:r>
            <w:r>
              <w:rPr>
                <w:rStyle w:val="IndexLink"/>
                <w:rtl w:val="true"/>
              </w:rPr>
              <w:t>»</w:t>
              <w:tab/>
            </w:r>
            <w:r>
              <w:rPr>
                <w:rStyle w:val="IndexLink"/>
              </w:rPr>
              <w:t>49</w:t>
            </w:r>
          </w:hyperlink>
        </w:p>
        <w:p>
          <w:pPr>
            <w:pStyle w:val="Contents2"/>
            <w:tabs>
              <w:tab w:val="clear" w:pos="8743"/>
              <w:tab w:val="right" w:pos="9026" w:leader="dot"/>
            </w:tabs>
            <w:rPr/>
          </w:pPr>
          <w:hyperlink w:anchor="__RefHeading___Toc706242_3650668749">
            <w:r>
              <w:rPr>
                <w:webHidden/>
                <w:rStyle w:val="IndexLink"/>
              </w:rPr>
              <w:t>9</w:t>
            </w:r>
            <w:r>
              <w:rPr>
                <w:rStyle w:val="IndexLink"/>
                <w:rtl w:val="true"/>
              </w:rPr>
              <w:t xml:space="preserve"> </w:t>
            </w:r>
            <w:r>
              <w:rPr>
                <w:rStyle w:val="IndexLink"/>
                <w:rtl w:val="true"/>
              </w:rPr>
              <w:t xml:space="preserve">معارف ابن قتيبة و خبر </w:t>
            </w:r>
            <w:r>
              <w:rPr>
                <w:rStyle w:val="IndexLink"/>
                <w:rtl w:val="true"/>
              </w:rPr>
              <w:t>«</w:t>
            </w:r>
            <w:r>
              <w:rPr>
                <w:rStyle w:val="IndexLink"/>
                <w:rtl w:val="true"/>
              </w:rPr>
              <w:t>إسقاط فاطمة محسناً</w:t>
            </w:r>
            <w:r>
              <w:rPr>
                <w:rStyle w:val="IndexLink"/>
                <w:rtl w:val="true"/>
              </w:rPr>
              <w:t>»</w:t>
              <w:tab/>
            </w:r>
            <w:r>
              <w:rPr>
                <w:rStyle w:val="IndexLink"/>
              </w:rPr>
              <w:t>50</w:t>
            </w:r>
          </w:hyperlink>
        </w:p>
        <w:p>
          <w:pPr>
            <w:pStyle w:val="Contents2"/>
            <w:tabs>
              <w:tab w:val="clear" w:pos="8743"/>
              <w:tab w:val="right" w:pos="9026" w:leader="dot"/>
            </w:tabs>
            <w:rPr/>
          </w:pPr>
          <w:hyperlink w:anchor="__RefHeading___Toc706244_3650668749">
            <w:r>
              <w:rPr>
                <w:webHidden/>
                <w:rStyle w:val="IndexLink"/>
              </w:rPr>
              <w:t>10</w:t>
            </w:r>
            <w:r>
              <w:rPr>
                <w:rStyle w:val="IndexLink"/>
                <w:rtl w:val="true"/>
              </w:rPr>
              <w:t xml:space="preserve"> </w:t>
            </w:r>
            <w:r>
              <w:rPr>
                <w:rStyle w:val="IndexLink"/>
                <w:rtl w:val="true"/>
              </w:rPr>
              <w:t xml:space="preserve">الصواعق المحرقة وحديث </w:t>
            </w:r>
            <w:r>
              <w:rPr>
                <w:rStyle w:val="IndexLink"/>
                <w:rtl w:val="true"/>
              </w:rPr>
              <w:t>«</w:t>
            </w:r>
            <w:r>
              <w:rPr>
                <w:rStyle w:val="IndexLink"/>
                <w:rtl w:val="true"/>
              </w:rPr>
              <w:t>ذكر عليّ عبادة</w:t>
            </w:r>
            <w:r>
              <w:rPr>
                <w:rStyle w:val="IndexLink"/>
                <w:rtl w:val="true"/>
              </w:rPr>
              <w:t>»</w:t>
              <w:tab/>
            </w:r>
            <w:r>
              <w:rPr>
                <w:rStyle w:val="IndexLink"/>
              </w:rPr>
              <w:t>52</w:t>
            </w:r>
          </w:hyperlink>
        </w:p>
        <w:p>
          <w:pPr>
            <w:pStyle w:val="Contents2"/>
            <w:tabs>
              <w:tab w:val="clear" w:pos="8743"/>
              <w:tab w:val="right" w:pos="9026" w:leader="dot"/>
            </w:tabs>
            <w:rPr/>
          </w:pPr>
          <w:hyperlink w:anchor="__RefHeading___Toc706246_3650668749">
            <w:r>
              <w:rPr>
                <w:webHidden/>
                <w:rStyle w:val="IndexLink"/>
              </w:rPr>
              <w:t>11</w:t>
            </w:r>
            <w:r>
              <w:rPr>
                <w:rStyle w:val="IndexLink"/>
                <w:rtl w:val="true"/>
              </w:rPr>
              <w:t xml:space="preserve"> </w:t>
            </w:r>
            <w:r>
              <w:rPr>
                <w:rStyle w:val="IndexLink"/>
                <w:rtl w:val="true"/>
              </w:rPr>
              <w:t xml:space="preserve">الصواعق المحرقة وحديث </w:t>
            </w:r>
            <w:r>
              <w:rPr>
                <w:rStyle w:val="IndexLink"/>
                <w:rtl w:val="true"/>
              </w:rPr>
              <w:t>«</w:t>
            </w:r>
            <w:r>
              <w:rPr>
                <w:rStyle w:val="IndexLink"/>
                <w:rtl w:val="true"/>
              </w:rPr>
              <w:t>كانت لعلي ثمانية عشر منقبة</w:t>
            </w:r>
            <w:r>
              <w:rPr>
                <w:rStyle w:val="IndexLink"/>
                <w:rtl w:val="true"/>
              </w:rPr>
              <w:t>»</w:t>
              <w:tab/>
            </w:r>
            <w:r>
              <w:rPr>
                <w:rStyle w:val="IndexLink"/>
              </w:rPr>
              <w:t>54</w:t>
            </w:r>
          </w:hyperlink>
        </w:p>
        <w:p>
          <w:pPr>
            <w:pStyle w:val="Contents2"/>
            <w:tabs>
              <w:tab w:val="clear" w:pos="8743"/>
              <w:tab w:val="right" w:pos="9026" w:leader="dot"/>
            </w:tabs>
            <w:rPr/>
          </w:pPr>
          <w:hyperlink w:anchor="__RefHeading___Toc706248_3650668749">
            <w:r>
              <w:rPr>
                <w:webHidden/>
                <w:rStyle w:val="IndexLink"/>
              </w:rPr>
              <w:t>12</w:t>
            </w:r>
            <w:r>
              <w:rPr>
                <w:rStyle w:val="IndexLink"/>
                <w:rtl w:val="true"/>
              </w:rPr>
              <w:t xml:space="preserve"> </w:t>
            </w:r>
            <w:r>
              <w:rPr>
                <w:rStyle w:val="IndexLink"/>
                <w:rtl w:val="true"/>
              </w:rPr>
              <w:t>التحريف في دواوين الشعراء</w:t>
            </w:r>
            <w:r>
              <w:rPr>
                <w:rStyle w:val="IndexLink"/>
                <w:rtl w:val="true"/>
              </w:rPr>
              <w:tab/>
            </w:r>
            <w:r>
              <w:rPr>
                <w:rStyle w:val="IndexLink"/>
              </w:rPr>
              <w:t>56</w:t>
            </w:r>
          </w:hyperlink>
        </w:p>
        <w:p>
          <w:pPr>
            <w:pStyle w:val="Contents3"/>
            <w:tabs>
              <w:tab w:val="clear" w:pos="8459"/>
              <w:tab w:val="right" w:pos="9026" w:leader="dot"/>
            </w:tabs>
            <w:rPr/>
          </w:pPr>
          <w:hyperlink w:anchor="__RefHeading___Toc706250_3650668749">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706252_3650668749">
            <w:r>
              <w:rPr>
                <w:webHidden/>
                <w:rStyle w:val="IndexLink"/>
              </w:rPr>
              <w:t>1</w:t>
            </w:r>
            <w:r>
              <w:rPr>
                <w:rStyle w:val="IndexLink"/>
                <w:rtl w:val="true"/>
              </w:rPr>
              <w:t xml:space="preserve">. </w:t>
            </w:r>
            <w:r>
              <w:rPr>
                <w:rStyle w:val="IndexLink"/>
                <w:rtl w:val="true"/>
              </w:rPr>
              <w:t>التحريف في ديوان الكميت‌</w:t>
            </w:r>
            <w:r>
              <w:rPr>
                <w:rStyle w:val="IndexLink"/>
                <w:rtl w:val="true"/>
              </w:rPr>
              <w:tab/>
            </w:r>
            <w:r>
              <w:rPr>
                <w:rStyle w:val="IndexLink"/>
              </w:rPr>
              <w:t>56</w:t>
            </w:r>
          </w:hyperlink>
        </w:p>
        <w:p>
          <w:pPr>
            <w:pStyle w:val="Contents3"/>
            <w:tabs>
              <w:tab w:val="clear" w:pos="8459"/>
              <w:tab w:val="right" w:pos="9026" w:leader="dot"/>
            </w:tabs>
            <w:rPr/>
          </w:pPr>
          <w:hyperlink w:anchor="__RefHeading___Toc706254_3650668749">
            <w:r>
              <w:rPr>
                <w:webHidden/>
                <w:rStyle w:val="IndexLink"/>
              </w:rPr>
              <w:t>2</w:t>
            </w:r>
            <w:r>
              <w:rPr>
                <w:rStyle w:val="IndexLink"/>
                <w:rtl w:val="true"/>
              </w:rPr>
              <w:t xml:space="preserve">. </w:t>
            </w:r>
            <w:r>
              <w:rPr>
                <w:rStyle w:val="IndexLink"/>
                <w:rtl w:val="true"/>
              </w:rPr>
              <w:t>التحريف في ديوان حسان‌</w:t>
            </w:r>
            <w:r>
              <w:rPr>
                <w:rStyle w:val="IndexLink"/>
                <w:rtl w:val="true"/>
              </w:rPr>
              <w:tab/>
            </w:r>
            <w:r>
              <w:rPr>
                <w:rStyle w:val="IndexLink"/>
              </w:rPr>
              <w:t>57</w:t>
            </w:r>
          </w:hyperlink>
        </w:p>
        <w:p>
          <w:pPr>
            <w:pStyle w:val="Contents3"/>
            <w:tabs>
              <w:tab w:val="clear" w:pos="8459"/>
              <w:tab w:val="right" w:pos="9026" w:leader="dot"/>
            </w:tabs>
            <w:rPr/>
          </w:pPr>
          <w:hyperlink w:anchor="__RefHeading___Toc706256_3650668749">
            <w:r>
              <w:rPr>
                <w:webHidden/>
                <w:rStyle w:val="IndexLink"/>
              </w:rPr>
              <w:t>3</w:t>
            </w:r>
            <w:r>
              <w:rPr>
                <w:rStyle w:val="IndexLink"/>
                <w:rtl w:val="true"/>
              </w:rPr>
              <w:t xml:space="preserve">. </w:t>
            </w:r>
            <w:r>
              <w:rPr>
                <w:rStyle w:val="IndexLink"/>
                <w:rtl w:val="true"/>
              </w:rPr>
              <w:t>التحريف في ديوان أبي تمام‌</w:t>
            </w:r>
            <w:r>
              <w:rPr>
                <w:rStyle w:val="IndexLink"/>
                <w:rtl w:val="true"/>
              </w:rPr>
              <w:tab/>
            </w:r>
            <w:r>
              <w:rPr>
                <w:rStyle w:val="IndexLink"/>
              </w:rPr>
              <w:t>59</w:t>
            </w:r>
          </w:hyperlink>
        </w:p>
        <w:p>
          <w:pPr>
            <w:pStyle w:val="Contents3"/>
            <w:tabs>
              <w:tab w:val="clear" w:pos="8459"/>
              <w:tab w:val="right" w:pos="9026" w:leader="dot"/>
            </w:tabs>
            <w:rPr/>
          </w:pPr>
          <w:hyperlink w:anchor="__RefHeading___Toc706258_3650668749">
            <w:r>
              <w:rPr>
                <w:webHidden/>
                <w:rStyle w:val="IndexLink"/>
                <w:rtl w:val="true"/>
              </w:rPr>
              <w:t xml:space="preserve">التحريف في </w:t>
            </w:r>
            <w:r>
              <w:rPr>
                <w:rStyle w:val="IndexLink"/>
                <w:rtl w:val="true"/>
              </w:rPr>
              <w:t>«</w:t>
            </w:r>
            <w:r>
              <w:rPr>
                <w:rStyle w:val="IndexLink"/>
                <w:rtl w:val="true"/>
              </w:rPr>
              <w:t>روح المعاني</w:t>
            </w:r>
            <w:r>
              <w:rPr>
                <w:rStyle w:val="IndexLink"/>
                <w:rtl w:val="true"/>
              </w:rPr>
              <w:t xml:space="preserve">» </w:t>
            </w:r>
            <w:r>
              <w:rPr>
                <w:rStyle w:val="IndexLink"/>
                <w:rtl w:val="true"/>
              </w:rPr>
              <w:t>للآلوسي‌</w:t>
            </w:r>
            <w:r>
              <w:rPr>
                <w:rStyle w:val="IndexLink"/>
                <w:rtl w:val="true"/>
              </w:rPr>
              <w:tab/>
            </w:r>
            <w:r>
              <w:rPr>
                <w:rStyle w:val="IndexLink"/>
              </w:rPr>
              <w:t>60</w:t>
            </w:r>
          </w:hyperlink>
        </w:p>
        <w:p>
          <w:pPr>
            <w:pStyle w:val="Contents2"/>
            <w:tabs>
              <w:tab w:val="clear" w:pos="8743"/>
              <w:tab w:val="right" w:pos="9026" w:leader="dot"/>
            </w:tabs>
            <w:rPr/>
          </w:pPr>
          <w:hyperlink w:anchor="__RefHeading___Toc706260_3650668749">
            <w:r>
              <w:rPr>
                <w:webHidden/>
                <w:rStyle w:val="IndexLink"/>
              </w:rPr>
              <w:t>13</w:t>
            </w:r>
            <w:r>
              <w:rPr>
                <w:rStyle w:val="IndexLink"/>
                <w:rtl w:val="true"/>
              </w:rPr>
              <w:t xml:space="preserve"> </w:t>
            </w:r>
            <w:r>
              <w:rPr>
                <w:rStyle w:val="IndexLink"/>
                <w:rtl w:val="true"/>
              </w:rPr>
              <w:t>تحريف السنّة للابتعاد عن الشيعة</w:t>
            </w:r>
            <w:r>
              <w:rPr>
                <w:rStyle w:val="IndexLink"/>
                <w:rtl w:val="true"/>
              </w:rPr>
              <w:tab/>
            </w:r>
            <w:r>
              <w:rPr>
                <w:rStyle w:val="IndexLink"/>
              </w:rPr>
              <w:t>63</w:t>
            </w:r>
          </w:hyperlink>
        </w:p>
        <w:p>
          <w:pPr>
            <w:pStyle w:val="Contents3"/>
            <w:tabs>
              <w:tab w:val="clear" w:pos="8459"/>
              <w:tab w:val="right" w:pos="9026" w:leader="dot"/>
            </w:tabs>
            <w:rPr/>
          </w:pPr>
          <w:hyperlink w:anchor="__RefHeading___Toc706262_3650668749">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706264_3650668749">
            <w:r>
              <w:rPr>
                <w:webHidden/>
                <w:rStyle w:val="IndexLink"/>
              </w:rPr>
              <w:t>1</w:t>
            </w:r>
            <w:r>
              <w:rPr>
                <w:rStyle w:val="IndexLink"/>
                <w:rtl w:val="true"/>
              </w:rPr>
              <w:t xml:space="preserve">. </w:t>
            </w:r>
            <w:r>
              <w:rPr>
                <w:rStyle w:val="IndexLink"/>
                <w:rtl w:val="true"/>
              </w:rPr>
              <w:t>تسطيح القبر سنّة ترفض لأنّها شعار الشيعة</w:t>
            </w:r>
            <w:r>
              <w:rPr>
                <w:rStyle w:val="IndexLink"/>
                <w:rtl w:val="true"/>
              </w:rPr>
              <w:tab/>
            </w:r>
            <w:r>
              <w:rPr>
                <w:rStyle w:val="IndexLink"/>
              </w:rPr>
              <w:t>64</w:t>
            </w:r>
          </w:hyperlink>
        </w:p>
        <w:p>
          <w:pPr>
            <w:pStyle w:val="Contents3"/>
            <w:tabs>
              <w:tab w:val="clear" w:pos="8459"/>
              <w:tab w:val="right" w:pos="9026" w:leader="dot"/>
            </w:tabs>
            <w:rPr/>
          </w:pPr>
          <w:hyperlink w:anchor="__RefHeading___Toc706266_3650668749">
            <w:r>
              <w:rPr>
                <w:webHidden/>
                <w:rStyle w:val="IndexLink"/>
              </w:rPr>
              <w:t>2</w:t>
            </w:r>
            <w:r>
              <w:rPr>
                <w:rStyle w:val="IndexLink"/>
                <w:rtl w:val="true"/>
              </w:rPr>
              <w:t xml:space="preserve">. </w:t>
            </w:r>
            <w:r>
              <w:rPr>
                <w:rStyle w:val="IndexLink"/>
                <w:rtl w:val="true"/>
              </w:rPr>
              <w:t>الجهر بالبسملة</w:t>
            </w:r>
            <w:r>
              <w:rPr>
                <w:rStyle w:val="IndexLink"/>
                <w:rtl w:val="true"/>
              </w:rPr>
              <w:tab/>
            </w:r>
            <w:r>
              <w:rPr>
                <w:rStyle w:val="IndexLink"/>
              </w:rPr>
              <w:t>66</w:t>
            </w:r>
          </w:hyperlink>
        </w:p>
        <w:p>
          <w:pPr>
            <w:pStyle w:val="Contents3"/>
            <w:tabs>
              <w:tab w:val="clear" w:pos="8459"/>
              <w:tab w:val="right" w:pos="9026" w:leader="dot"/>
            </w:tabs>
            <w:rPr/>
          </w:pPr>
          <w:hyperlink w:anchor="__RefHeading___Toc706268_3650668749">
            <w:r>
              <w:rPr>
                <w:webHidden/>
                <w:rStyle w:val="IndexLink"/>
              </w:rPr>
              <w:t>3</w:t>
            </w:r>
            <w:r>
              <w:rPr>
                <w:rStyle w:val="IndexLink"/>
                <w:rtl w:val="true"/>
              </w:rPr>
              <w:t xml:space="preserve">. </w:t>
            </w:r>
            <w:r>
              <w:rPr>
                <w:rStyle w:val="IndexLink"/>
                <w:rtl w:val="true"/>
              </w:rPr>
              <w:t>الصلاة على المؤمن مفرداً سنّة ترفض‌</w:t>
            </w:r>
            <w:r>
              <w:rPr>
                <w:rStyle w:val="IndexLink"/>
                <w:rtl w:val="true"/>
              </w:rPr>
              <w:tab/>
            </w:r>
            <w:r>
              <w:rPr>
                <w:rStyle w:val="IndexLink"/>
              </w:rPr>
              <w:t>67</w:t>
            </w:r>
          </w:hyperlink>
        </w:p>
        <w:p>
          <w:pPr>
            <w:pStyle w:val="Contents3"/>
            <w:tabs>
              <w:tab w:val="clear" w:pos="8459"/>
              <w:tab w:val="right" w:pos="9026" w:leader="dot"/>
            </w:tabs>
            <w:rPr/>
          </w:pPr>
          <w:hyperlink w:anchor="__RefHeading___Toc706270_3650668749">
            <w:r>
              <w:rPr>
                <w:webHidden/>
                <w:rStyle w:val="IndexLink"/>
              </w:rPr>
              <w:t>4</w:t>
            </w:r>
            <w:r>
              <w:rPr>
                <w:rStyle w:val="IndexLink"/>
                <w:rtl w:val="true"/>
              </w:rPr>
              <w:t xml:space="preserve">. </w:t>
            </w:r>
            <w:r>
              <w:rPr>
                <w:rStyle w:val="IndexLink"/>
                <w:rtl w:val="true"/>
              </w:rPr>
              <w:t>ترك المستحبات إذا صارت شعاراً للشيعة</w:t>
            </w:r>
            <w:r>
              <w:rPr>
                <w:rStyle w:val="IndexLink"/>
                <w:rtl w:val="true"/>
              </w:rPr>
              <w:tab/>
            </w:r>
            <w:r>
              <w:rPr>
                <w:rStyle w:val="IndexLink"/>
              </w:rPr>
              <w:t>68</w:t>
            </w:r>
          </w:hyperlink>
        </w:p>
        <w:p>
          <w:pPr>
            <w:pStyle w:val="Contents3"/>
            <w:tabs>
              <w:tab w:val="clear" w:pos="8459"/>
              <w:tab w:val="right" w:pos="9026" w:leader="dot"/>
            </w:tabs>
            <w:rPr/>
          </w:pPr>
          <w:hyperlink w:anchor="__RefHeading___Toc706272_3650668749">
            <w:r>
              <w:rPr>
                <w:webHidden/>
                <w:rStyle w:val="IndexLink"/>
              </w:rPr>
              <w:t>5</w:t>
            </w:r>
            <w:r>
              <w:rPr>
                <w:rStyle w:val="IndexLink"/>
                <w:rtl w:val="true"/>
              </w:rPr>
              <w:t xml:space="preserve">. </w:t>
            </w:r>
            <w:r>
              <w:rPr>
                <w:rStyle w:val="IndexLink"/>
                <w:rtl w:val="true"/>
              </w:rPr>
              <w:t>ترك فعل الخيرات وإقامة المآتم يوم عاشوراء</w:t>
            </w:r>
            <w:r>
              <w:rPr>
                <w:rStyle w:val="IndexLink"/>
                <w:rtl w:val="true"/>
              </w:rPr>
              <w:tab/>
            </w:r>
            <w:r>
              <w:rPr>
                <w:rStyle w:val="IndexLink"/>
              </w:rPr>
              <w:t>69</w:t>
            </w:r>
          </w:hyperlink>
        </w:p>
        <w:p>
          <w:pPr>
            <w:pStyle w:val="Contents2"/>
            <w:tabs>
              <w:tab w:val="clear" w:pos="8743"/>
              <w:tab w:val="right" w:pos="9026" w:leader="dot"/>
            </w:tabs>
            <w:rPr/>
          </w:pPr>
          <w:hyperlink w:anchor="__RefHeading___Toc706274_3650668749">
            <w:r>
              <w:rPr>
                <w:webHidden/>
                <w:rStyle w:val="IndexLink"/>
              </w:rPr>
              <w:t>14</w:t>
            </w:r>
            <w:r>
              <w:rPr>
                <w:rStyle w:val="IndexLink"/>
                <w:rtl w:val="true"/>
              </w:rPr>
              <w:t xml:space="preserve"> </w:t>
            </w:r>
            <w:r>
              <w:rPr>
                <w:rStyle w:val="IndexLink"/>
                <w:rtl w:val="true"/>
              </w:rPr>
              <w:t>التدليس ومضاعفاته الخطيرة على التراث‌</w:t>
            </w:r>
            <w:r>
              <w:rPr>
                <w:rStyle w:val="IndexLink"/>
                <w:rtl w:val="true"/>
              </w:rPr>
              <w:tab/>
            </w:r>
            <w:r>
              <w:rPr>
                <w:rStyle w:val="IndexLink"/>
              </w:rPr>
              <w:t>72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1_11900"/>
      <w:bookmarkStart w:id="1" w:name="pg1561_11900"/>
      <w:bookmarkEnd w:id="1"/>
    </w:p>
    <w:p>
      <w:pPr>
        <w:pStyle w:val="Heading2"/>
        <w:numPr>
          <w:ilvl w:val="1"/>
          <w:numId w:val="1"/>
        </w:numPr>
        <w:rPr/>
      </w:pPr>
      <w:bookmarkStart w:id="2" w:name="pg1561_11900"/>
      <w:bookmarkStart w:id="3" w:name="__RefHeading___Toc706216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ظاهره التحریف فی التراث الاسلامی</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تبریزی، جعفر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6218_3650668749"/>
      <w:bookmarkStart w:id="6" w:name="_Toc2"/>
      <w:bookmarkEnd w:id="5"/>
      <w:r>
        <w:rPr>
          <w:rtl w:val="true"/>
        </w:rPr>
        <w:t>التراث الإسلامي أمانة إلهيّة</w:t>
      </w:r>
      <w:bookmarkEnd w:id="6"/>
    </w:p>
    <w:p>
      <w:pPr>
        <w:pStyle w:val="BookText"/>
        <w:rPr/>
      </w:pPr>
      <w:r>
        <w:rPr>
          <w:rFonts w:ascii="Amiri" w:hAnsi="Amiri" w:eastAsia="Amiri" w:cs="Amiri"/>
          <w:color w:val="111111"/>
          <w:sz w:val="28"/>
          <w:sz w:val="28"/>
          <w:szCs w:val="28"/>
          <w:rtl w:val="true"/>
          <w:lang w:bidi="ar-SA"/>
        </w:rPr>
        <w:t>بسم اللَّه الرحمن الرحيم الحمد للَّه‌ربّ العالمين، والصلاة والسلام على أشرف خليقته و خاتم رسله محمّد و على آله خزّان علمه و حملة أسراره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التراث الإسلامي ثروة فكرية لا تعادَل بثمن، وقد ورثها الخلفُ عن السلف و هي أمانة إلهية يجب الحفاظ عليها من طوارق الحدثان و صوارف الزمان، كيف وهو المصدر الوحيد للعقيدة والشريعة في كلّ عصر و جيل، فلولاه لما قام للإسلام عمود و لا اخضرّ له 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المؤسف جدّاً انّ ثمة أسباباً تترصّد بالتراث الدوائر تحاول النيل منه، ونشير هنا إلى سببين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سماسرة لا همّ لهم سوى اقتناء الآثار النفيسة بقيمة بخسة ونقلها إلى الغرب المسيحي بغية الاستيلاء على ثقافتنا و حضارتنا، و لم يزل هذا السبب فعالًا في الماضي</w:t>
      </w:r>
    </w:p>
    <w:p>
      <w:pPr>
        <w:pStyle w:val="BookText"/>
        <w:rPr/>
      </w:pPr>
      <w:r>
        <w:rPr>
          <w:rFonts w:ascii="Amiri" w:hAnsi="Amiri" w:eastAsia="Amiri" w:cs="Amiri"/>
          <w:color w:val="111111"/>
          <w:sz w:val="28"/>
          <w:sz w:val="28"/>
          <w:szCs w:val="28"/>
          <w:rtl w:val="true"/>
          <w:lang w:bidi="ar-SA"/>
        </w:rPr>
        <w:t xml:space="preserve">والحاضر، و يكفي في ذلك ما نقله ابن خلكان في ترجمة تاج‌الدين أبواليمين زيد بن الحسن بن الحسن بن زيد بن الحسن بن سعيد الكندي البغدادي الدمشقي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ترجمته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أوحد عصره في فنون الآداب وعلو السماع، وشهرته تغني عن الإطناب في وصفه، سار عن بغداد في شبابه واستوطن حلب مدة، كان يبتاع إلى دمشق و صحب الأمير عزّالدين فروخ شاه، و هو ابن أخي السلطان صلاح‌الدين، واختص به وتقدم عنده وسافر في صحبته إلى الديار المصرية واقتنى من كتب خزائنها كلّ نفيس وعاد إلى دمشق و استوطنها وقصده الناس و أخذوه عنه</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وكم لتاج الدين من نظير من نهب الثروة الفكرية للمسلمين قديماً وحديثاً</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العصر الحاضر فقد أخذ المستشرقون يتسابقون</w:t>
      </w:r>
    </w:p>
    <w:p>
      <w:pPr>
        <w:pStyle w:val="BookText"/>
        <w:rPr/>
      </w:pPr>
      <w:r>
        <w:rPr>
          <w:rFonts w:ascii="Amiri" w:hAnsi="Amiri" w:eastAsia="Amiri" w:cs="Amiri"/>
          <w:color w:val="111111"/>
          <w:sz w:val="28"/>
          <w:sz w:val="28"/>
          <w:szCs w:val="28"/>
          <w:rtl w:val="true"/>
          <w:lang w:bidi="ar-SA"/>
        </w:rPr>
        <w:t>على نهب التراث الإسلامي حتّى بتنا ننتظر ما تجود به أيديهم بين الفينة و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هي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الامريكيّة أحرزت مجموعة من المخطوطات العربية يقدر عددها بستة آلاف مخطوط اقتنتها من الأُستاذ يهودا البغدادي صفقة واحدة بمبلغ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دولار، ويهودا المذكور طاف في بلدان الشرق الأدنى لاسيّما في مصر وجمع منها هذه الآلاف من المخطوطات ونقلها إلى اميركا حيث استقر بها المقام في مكتبة جامعة برنستن</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تقوم به دور النشر في مختلف البلاد العربية عند تحقيق الكتب وطعبها، فيحرّفون الكلم عن مواضعه بالحذف والزيادة، ويحذفون ما لايروق لهم ويضيفون إليها ما تميله علهيم أهواؤهم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يقومون به خسارة فادحة تلحق بالتراث</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قمنا في هذه الرسالة المتواضعة بتقديم نماذج من</w:t>
      </w:r>
    </w:p>
    <w:p>
      <w:pPr>
        <w:pStyle w:val="BookText"/>
        <w:rPr/>
      </w:pPr>
      <w:r>
        <w:rPr>
          <w:rFonts w:ascii="Amiri" w:hAnsi="Amiri" w:eastAsia="Amiri" w:cs="Amiri"/>
          <w:color w:val="111111"/>
          <w:sz w:val="28"/>
          <w:sz w:val="28"/>
          <w:szCs w:val="28"/>
          <w:rtl w:val="true"/>
          <w:lang w:bidi="ar-SA"/>
        </w:rPr>
        <w:t>أنواع التحريف الطارئة على كتب الحديث والتاريخ وغيرهما منذ عصور قديمة إلى يومنا هذا، وليس ما قدمناه في هذه الرسالة إلّا نماذج يسيرة وقف عليها المؤلّف عبر مروره الخاطف على الكتب، أو ما وقف عليه غيره فاطّلع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ندعو جميع أصحاب دور النشر والمحقّقين والمؤلّفين والمعنيّين بحفظ التراث، إلى حفظ الثروة الفكرية والأمانة الإلهية التي بأيديهم حتّى تصل إلى الجيل اللاحق بعيداً عن التحريف والحذف،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الْأَمنتِ إِلَى أَهْلِهَا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ذي‌القعدة من شهور عام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التحريف لغة هو التغيير والتبديل، 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الكلم عن مواضعه، تغييره</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وفي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دخل وتصرّف في كلام الغير وأثره على نحو يخالف مرماه فهو تحريف</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التراث الإسلامي الذي توارثناه عبْر الأجيال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 عن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أمانة إلهية في أعناقنا، له ما لغيره من الأحكام ولا محيص عن حفظ هذا التراث والاهتمام به، وأيّ دخل وتصرف فيه على نحو يؤدي إلى تحويره، يُعدُّ</w:t>
      </w:r>
    </w:p>
    <w:p>
      <w:pPr>
        <w:pStyle w:val="BookText"/>
        <w:rPr/>
      </w:pPr>
      <w:r>
        <w:rPr>
          <w:rFonts w:ascii="Amiri" w:hAnsi="Amiri" w:eastAsia="Amiri" w:cs="Amiri"/>
          <w:color w:val="111111"/>
          <w:sz w:val="28"/>
          <w:sz w:val="28"/>
          <w:szCs w:val="28"/>
          <w:rtl w:val="true"/>
          <w:lang w:bidi="ar-SA"/>
        </w:rPr>
        <w:t>خيانة للأمانة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اللَّه يَأْمُركُمْ أَنْ تُؤدُّوا الأَمانات إِلى أَهلها</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لأَماناتِهِمْ وَعَهْدِهِمْ راعُون</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تَخُونُوا اللَّه وَالرَّسُول وَتَخُونُوا أَماناتكُمْ وَأَنْتُمْ تَعْلَمُون</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ومن أشدّ أنواع ذلك تحريف كتب التفسير والحديث والتاريخ التي هي المعوَّل في الوقوف على أُصول الدين وفروعه وسيرة النبي الأعظمصلَّى اللَّه عليه و آله و سلَّم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أخبر سبحانه في غير واحد من الآيات انّ عملية التحريف بدعة يهودية توارثتها تلك الطائفة خلفاً عن سلف، فحرّفوا الكلمَ عن مواضعه حسب أهوائهم وما تُمليه عليهم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ندّد اللَّه سبحانه بهذا العمل الإجرامي الذي كانت اليهود تقوم به من حين إلى حين آخر في غير واحد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وَوَيْلٌ لَهُمْ مِمّا يَكْسِبُون</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فكانت اليهود يقومون بكتابة الكتب السماوية ولكن بالتغيير والتبديل ثمّ يُضيفونها إلى اللَّه سبحانه ليشتريه العوام في مقابل الثمن البخس مع أنّهم تركوا فيه الحقّ وأظهروا الباطل ليأخذوا على ذلك شيئاً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مِيثاقَهُمْ لَعَنّاهُمْ وَجَعَلْنا قُلُوبهُمْ قاسِيَة يُحَرِّفُونَ الكَلِم عَنْ مَواضِعِهِ</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فالآية بصدد التسلية للنبي‌صلَّى اللَّه عليه و آله و سلَّم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تعجبنّ يا محمد من هؤلاء اليهود الذين همّوا أن يبسطوا أيديهم إليك وإلى أصحابك وينكثوا العهد الذي بينك وبينهم ويغدروا بك، فانّ ذلك دأبهم وعادات أسلافهم، فقد أخذتُ ميثاقهم على طاعتي في زمن موسى و بعثت منهم اثني عشر نقيباً فنقضوا ميثاقي وعهدي، فلعنتهم بنقضهم ذلك العهد والميثاق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فعالهم انّهم نبذوا الكتاب وضيّعوا حدوده وفرائضه وكتموا صفات النبي‌صلَّى اللَّه عليه و آله و سلَّم في كتبهم وقد كانوا يعرفونه كما يعرفون أبناءهم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يَعَرفُونهُ كَما يعرفُون أَبناءَهُمْ وإِنَّ فَريقاً مِنْهُمْ ليَكْتُمُون الحَقَّ وَهُمْ يَعْلَمُون</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وقد بلغ خبثهم بمكان عندما أُمروا بطلب الغفران وحطِّ الذنوب عند دخول الباب غيّروا وبدّلوا كلام اللَّه</w:t>
      </w:r>
    </w:p>
    <w:p>
      <w:pPr>
        <w:pStyle w:val="BookText"/>
        <w:rPr/>
      </w:pPr>
      <w:r>
        <w:rPr>
          <w:rFonts w:ascii="Amiri" w:hAnsi="Amiri" w:eastAsia="Amiri" w:cs="Amiri"/>
          <w:color w:val="111111"/>
          <w:sz w:val="28"/>
          <w:sz w:val="28"/>
          <w:szCs w:val="28"/>
          <w:rtl w:val="true"/>
          <w:lang w:bidi="ar-SA"/>
        </w:rPr>
        <w:t>سبحانه، فقالوا مكان الحطَّة، الحِنْطة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وَإِذْقُلْنا ادْخُلُوا هذِهِ الْقَرْيَةَ فَكُلُوا مِنْها حَيْثُ شِئْتُمْ رَغَداً وَادخُلُوا الباب سُجَّداً وَقُولوا حِطَّةٌ نَغْفِر لَكُمْ خَطاياكُمْ وَسَنَزيدُ الْمُحْسِنين</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أجمع المفسرون على أنّهم أُمروا بدخول الأرض المقدّسة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بيت المقدس، وقد أُمروا أن يسجدوا عند الدخول ويقولوا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سخرية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حنطة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الَّذِينَ ظَلَمُوا قَولًا غَيرَ الَّذِي قِيلَ لَهُمْ</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ولسنا بصدد بيان ما نزل من الآيات حول التحريف والطرق التي سلكتها اليهود في تحريف الكتب السماوية بالإنكار تارة مع وجودها فيها، وحذفها أُخرى، إلى غير ذلك من ألوان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حال التحريف وموقفه من الذكر الحكيم، فعلى المسلم الواعي أن يبتعد عن تلك الوصمة ويبالغ في حفظ تراثه سواء أوافق أهواءه أم خالفها، فانّه أمانة إلهية يجب أداؤها إلى الجيل الآتي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ما عشتَ أراك الدهر عجباً، نرى أنّ طائفة من الكُتّاب والمحقّقين أو النسّاخ وأصحاب دور النشر في مصر و سورية وبيروت دأبوا على تحريف التراث حيثما خالف هواهم، وبما انّنا لمسنا ذلك في موارد كثيرة، فهذا يصدُّنا عن القول بأنّها هفوة قلم أو صدرت منهم اشتباهاً وعفواً لا قصداً، وها نحن نستعرض في هذه المقالة بعض الموارد التي طرأ عليها التحريف ليقف القارئ على أنّ ما ادّعيناه ليس دعوى بلا برهان</w:t>
      </w:r>
      <w:r>
        <w:rPr>
          <w:rFonts w:eastAsia="Amiri" w:cs="Amiri" w:ascii="Amiri" w:hAnsi="Amiri"/>
          <w:color w:val="111111"/>
          <w:sz w:val="28"/>
          <w:szCs w:val="28"/>
          <w:rtl w:val="true"/>
          <w:lang w:bidi="ar-SA"/>
        </w:rPr>
        <w:t>.</w:t>
      </w:r>
      <w:bookmarkStart w:id="7" w:name="pg1561_11923"/>
    </w:p>
    <w:p>
      <w:pPr>
        <w:pStyle w:val="Heading2"/>
        <w:numPr>
          <w:ilvl w:val="1"/>
          <w:numId w:val="1"/>
        </w:numPr>
        <w:rPr/>
      </w:pPr>
      <w:bookmarkStart w:id="8" w:name="__RefHeading___Toc706220_3650668749"/>
      <w:bookmarkStart w:id="9" w:name="_Toc3"/>
      <w:bookmarkEnd w:id="7"/>
      <w:bookmarkEnd w:id="8"/>
      <w:r>
        <w:rPr/>
        <w:t>1</w:t>
      </w:r>
      <w:r>
        <w:rPr>
          <w:rtl w:val="true"/>
        </w:rPr>
        <w:t xml:space="preserve"> </w:t>
      </w:r>
      <w:r>
        <w:rPr>
          <w:rtl w:val="true"/>
        </w:rPr>
        <w:t>تفسير الطبرى وحديث يوم الدار تفسير ابن كثير وحديث يوم الدار حياة محمد و حديث يوم الدار</w:t>
      </w:r>
      <w:bookmarkEnd w:id="9"/>
    </w:p>
    <w:p>
      <w:pPr>
        <w:pStyle w:val="BookText"/>
        <w:rPr/>
      </w:pPr>
      <w:r>
        <w:rPr>
          <w:rFonts w:ascii="Amiri" w:hAnsi="Amiri" w:eastAsia="Amiri" w:cs="Amiri"/>
          <w:color w:val="111111"/>
          <w:sz w:val="28"/>
          <w:sz w:val="28"/>
          <w:szCs w:val="28"/>
          <w:rtl w:val="true"/>
          <w:lang w:bidi="ar-SA"/>
        </w:rPr>
        <w:t>ذكر المفسرون انّه بعدما نزل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دعا النبي صلَّى اللَّه عليه و آله و سلَّم علياً عليه السَّلام وخمسة وأربعين رجلًا من سراة بني هاشم و وجوههم، وعزم على أن يَصدع لهم من أمر رسالته في خلال تلك الضيافة، وأمر علياً عليه السَّلام بإعداد الطعام واللبن، وبعد أن فرغوا من الطعام تكلّم رسول اللَّه صلَّى اللَّه عليه و آله و سلَّم‌فقال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الرائد لا يكذب أهله، واللَّه الذي لا إله إلّا هو</w:t>
      </w:r>
    </w:p>
    <w:p>
      <w:pPr>
        <w:pStyle w:val="BookText"/>
        <w:rPr/>
      </w:pPr>
      <w:r>
        <w:rPr>
          <w:rFonts w:ascii="Amiri" w:hAnsi="Amiri" w:eastAsia="Amiri" w:cs="Amiri"/>
          <w:color w:val="111111"/>
          <w:sz w:val="28"/>
          <w:sz w:val="28"/>
          <w:szCs w:val="28"/>
          <w:rtl w:val="true"/>
          <w:lang w:bidi="ar-SA"/>
        </w:rPr>
        <w:t>إنّي رسول اللَّه إليكم خاصّة وإلى الناس عامّة، واللَّه لتموتُنّ كما تنامون ولتُبعثنّ كما تستيقظون ولتحاسبُّنّ بما تعملون وانّها الجنة أبداً والنار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إنّي واللَّه ما أعلم شاباً في العرب جاء قومه بأفضل ممّا جئتكم به، انّي قد جئتكم بخير الدنيا والآخرة، وقد أمرني اللَّه عزّ وجل أن أدعوكم إليه، فأيّكم يؤمن بي ويؤازرني على هذا الأمر على أن يكون أخي ووصيّي وخليفتي فيكم؟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فأحجم القوم عنها جميعاً، وقلت وانّي لأحدثهم سنّاً، وأرمصهم عيناً، وأعظمهم بطناً، وأحمشهم ساقاً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يا نبي اللَّه أكون وزيرك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برقبتي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 وصيّي وخليفتي فيكم،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ويقولون لأبي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أمرك أن تسمع لابنك وتطيعه</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لقد ذكر محمد بن جرير الطبري في تاريخه حديث يوم الدار بشكل مفصل ولكنّه حرّف الحديث عن مواضعه في تفسيره، فعندما حاول أن يفسر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مرّ من التاريخ ولكنّه بدّل تصريح الرسول بالاخوة والوصاية والخلافة لعلي، إلى الكناية، وإليك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أعلم شاباً في العرب جاء قومه بأفضل ممّا جئتكم به إنّي قد جئتكم بخير الدنيا والآخرة وقد أمرني اللَّه أن أدعوكم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فأيّكم يؤازرني على هذا الأمر على أن يكون أخي وكذا و كذا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فأحجم القوم عنها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علياً</w:t>
      </w:r>
    </w:p>
    <w:p>
      <w:pPr>
        <w:pStyle w:val="BookText"/>
        <w:rPr/>
      </w:pPr>
      <w:r>
        <w:rPr>
          <w:rFonts w:ascii="Amiri" w:hAnsi="Amiri" w:eastAsia="Amiri" w:cs="Amiri"/>
          <w:color w:val="111111"/>
          <w:sz w:val="28"/>
          <w:sz w:val="28"/>
          <w:szCs w:val="28"/>
          <w:rtl w:val="true"/>
          <w:lang w:bidi="ar-SA"/>
        </w:rPr>
        <w:t xml:space="preserve">وإنّي لأحدثهم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فأخذ برقبتي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أخي وكذا وكذا فاسمعوا له وأطيعو له</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ولا ريب انّ‌الذي دفع الطبري أو ناسخ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احتمال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يرتكب مثل ذلك التحريف هو تعصبه المذهبي، فبما انّه لايعتبر الإمام علياًعليه السَّلام خليفة رسول اللَّه بلا فصل، ومن جانب آخر انّ تينك الكلمتين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خليفتي ووصيي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تصرّحان بخلافة علي للنبي صلَّى اللَّه عليه و آله و سلَّم بلا فصل، غيّر الحديث نصرةً لمذهبه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فعل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هذا في تاريخه وفي تفسيره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وسلك نفس الطريق الذي 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سلفه الطبري ضارباً عرض الجدار مبدأ أمانة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نعذر ابن كثير في عمله هذا أبداً، لأنّه قد اعتمد في رواياته التاريخية، في تاريخه وتفسيره معاً، تاريخ الطبري لا تفسيره، ولا شكّ انّه قد مرّ على هذه القصة في تاريخ الطبري، ولكنّه مع ذلك حاد عن الطريق السويّ فأعرض عن نقل رواية التاريخ في هذه الحادثة وعمد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متوقعة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نقل رواية 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والأعجب من تينك الخيانتين ما ارتكبه في عصرنا الحاضر وزير المعارف المصرية الأسبق الدكتور هيكل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وفتح بعمله باب التحريف في وجه الجيل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المؤلِّف هاجم في مقدّمته جماعة المستشرقين بشدة وانتقدهم بعنف لتحريفهم الحقائق التاريخية، واختلاقهم لبعض الوقائع في حين لم يقصر هو عنهم في هذا السبيل وذلك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الواقعة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الأقربين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الطبعة الأُولى من كتابه المذكور بصورة مبتورة ومقتضبة جداً واكتفى من الجملتين الأساسيتين بذكر واحدة منها فقط وهي قول النبي للأقربين الحضور في ذلك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يؤازرني يكون أخي ووصيّي وخليفتي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بينماحذف بالمرّة الجملة التي قالها رسول اللَّه صلَّى اللَّه عليه و آله و سلَّم لعلي بعد أنْ قام للمرّة الثالثة وأعلن مؤازرته للنبي وهي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إنّ‌هذا أخي ووصيّي وخليفتي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خطا في الطبعات الثانية والثالثة والرابعة، خطوة أبعد حيث حذف كلتا الجملتين معاً، وبهذا قد وجه ضربة قاضية إلى قيمة كتابه</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وللقارئ أن لا يُحمِّل وزر التحريف إلى أبي جعفر الطبري على وجه القطع واليقين لاحتمال صدوره من</w:t>
      </w:r>
    </w:p>
    <w:p>
      <w:pPr>
        <w:pStyle w:val="BookText"/>
        <w:rPr/>
      </w:pPr>
      <w:r>
        <w:rPr>
          <w:rFonts w:ascii="Amiri" w:hAnsi="Amiri" w:eastAsia="Amiri" w:cs="Amiri"/>
          <w:color w:val="111111"/>
          <w:sz w:val="28"/>
          <w:sz w:val="28"/>
          <w:szCs w:val="28"/>
          <w:rtl w:val="true"/>
          <w:lang w:bidi="ar-SA"/>
        </w:rPr>
        <w:t xml:space="preserve">ناسخي تفسيره ولكن نزعات ابن كثير الأموية تورث الاطمئنان بأنّه كان من فعله لا من جانب نسّاخ كتابه، كما نقول باطمئنان خاص انّ وزر التحريف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مؤلّفه محمدحسين هيكل، فقد طرأ التغيير على كتابه وهو على قيد الحياة، وقيل انّه تَعرّض لضغوط كبيرة من قبل علماء الأزهر فلم يجد بدّاً من التحريف والتغيير في الطبعات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لَهُمْ مِمّا كَتَبت أَيديهِمْ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وَيْلٌ لَهُمْ مِمّا يَكْسِبُون</w:t>
      </w:r>
      <w:r>
        <w:rPr>
          <w:rFonts w:eastAsia="Amiri" w:cs="Amiri" w:ascii="Amiri" w:hAnsi="Amiri"/>
          <w:color w:val="111111"/>
          <w:sz w:val="28"/>
          <w:szCs w:val="28"/>
          <w:rtl w:val="true"/>
          <w:lang w:bidi="ar-SA"/>
        </w:rPr>
        <w:t xml:space="preserve">). </w:t>
      </w:r>
      <w:r>
        <w:rPr>
          <w:rStyle w:val="FootnoteAnchor"/>
          <w:rtl w:val="true"/>
        </w:rPr>
        <w:footnoteReference w:id="17"/>
      </w:r>
      <w:bookmarkStart w:id="10" w:name="pg1561_11936"/>
    </w:p>
    <w:p>
      <w:pPr>
        <w:pStyle w:val="Heading2"/>
        <w:numPr>
          <w:ilvl w:val="1"/>
          <w:numId w:val="1"/>
        </w:numPr>
        <w:rPr/>
      </w:pPr>
      <w:bookmarkStart w:id="11" w:name="__RefHeading___Toc706222_3650668749"/>
      <w:bookmarkStart w:id="12" w:name="_Toc4"/>
      <w:bookmarkEnd w:id="10"/>
      <w:bookmarkEnd w:id="11"/>
      <w:r>
        <w:rPr/>
        <w:t>2</w:t>
      </w:r>
      <w:r>
        <w:rPr>
          <w:rtl w:val="true"/>
        </w:rPr>
        <w:t xml:space="preserve"> </w:t>
      </w:r>
      <w:r>
        <w:rPr>
          <w:rtl w:val="true"/>
        </w:rPr>
        <w:t>الفتوحات المكية وحذف أسماء أئمة أهل البيت عليهم السَّلام‌</w:t>
      </w:r>
      <w:bookmarkEnd w:id="1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إنّ‌النبي صلَّى اللَّه عليه و آله و سلَّم لم يكتف بتنصيب عليّ منصب الإمامة والخلافة، كما لم يكتف بإرجاع الأُمّة الإسلامية إلى أهل بيته وعترته الطاهرة، ولم يقتصر على تشبيههم بسفينة نوح في الحديث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كسفينة نوح من ركبها نجا و من تخلّف عنها غرق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قام ببيان عدد الأئمّة الذين يقومون بأمر الخلافة بعده، واحداً بعد واحد حتّى لا يبقى لمرتاب ريب، ولا لشاك شك، وقد جاء ذلك في</w:t>
      </w:r>
    </w:p>
    <w:p>
      <w:pPr>
        <w:pStyle w:val="BookText"/>
        <w:rPr/>
      </w:pPr>
      <w:r>
        <w:rPr>
          <w:rFonts w:ascii="Amiri" w:hAnsi="Amiri" w:eastAsia="Amiri" w:cs="Amiri"/>
          <w:color w:val="111111"/>
          <w:sz w:val="28"/>
          <w:sz w:val="28"/>
          <w:szCs w:val="28"/>
          <w:rtl w:val="true"/>
          <w:lang w:bidi="ar-SA"/>
        </w:rPr>
        <w:t>الصحاح والمسانيد بصور مختلفة ونشير إلى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الإسلام عزيزاً إلى اثني عشر خليفة، 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وأئمة الشيعة الاثنا عشر الذين أشار إليهم النبيّ في كلامه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قبل البعثة بعشر سنوات والمستشهَد عام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والمدفون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بن علي المجتبى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في البقيع بالمدينة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الحسين بن علي سيّد الشهداء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في كربلاء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بن الحسين بن علي زين العابدين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في البقيع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محمد بن علي باقر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في البقيع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جعفر بن محمد الصادق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في البقيع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موسى بن جعفر الكاظم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في الكاظمية قرب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بن موسى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في خراسان بإيران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محمد بن علي الجواد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في الكاظمية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بن محمد الهادي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في سامراء بشمال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الحسن بن علي العسكري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في سامراء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محمد بن الحسن المعروف بالمهديّ، والحجّة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 الثاني عشر، وهو حيٌّ حتى يظهر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للوعود الواردة في القرآن في سورة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وسورة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ويقيم الحكومة الإلهيّة على كلّ الكرة الأرضيّة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ولقد جاءت تفاصيل حياة أئمّة الشيعة الاثني عشر في كتب التاريخ والسيرة وإنّ الإمام الثاني عشر لا يزال حيّاً، ويتولّى منصب الإمامة بإرادة اللَّه تعالى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الشيخ عبد الوهاب الشعراني عقد باباً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والجواهر في بيان عقائد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أشراط الساعة التي أخبر بها الشارع وكلّها تقع قبل قيام الساعة، وعدّ من ذلك خروج المهدي،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w:t>
      </w:r>
    </w:p>
    <w:p>
      <w:pPr>
        <w:pStyle w:val="BookText"/>
        <w:rPr/>
      </w:pPr>
      <w:r>
        <w:rPr>
          <w:rFonts w:ascii="Amiri" w:hAnsi="Amiri" w:eastAsia="Amiri" w:cs="Amiri"/>
          <w:color w:val="111111"/>
          <w:sz w:val="28"/>
          <w:sz w:val="28"/>
          <w:szCs w:val="28"/>
          <w:rtl w:val="true"/>
          <w:lang w:bidi="ar-SA"/>
        </w:rPr>
        <w:t xml:space="preserve">أولاد الإمام الحسن العسكري ومولده عليه السَّلام ليلة النصف من شعبان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هو باق إلى أن يجتمع به عيسى ابن مريمعليه السَّلام فيكون عمره إلى وقتنا هذا وهو سنة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الشيخ محيي الدين في الباب السادس والستين وثلاثمائة من الفتوحات هكذا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أنّه لابد من خروج المهدي لكن لا يخرج حتّى تمتلئ الأرض جوراً وظلماً فيملؤها قسطاً وعدلًا، ولو لم يكن من الدنيا إلّا يوم واحد طوّل اللَّه تعالى ذلك اليوم حتّى يلي ذلك الخليفة، وهو من عترة رسول اللَّه صلَّى اللَّه عليه و آله و سلَّم من ولد فاطمة رضي اللَّه عنها، جدُّه الحسين بن علي بن أبي طالب ووالده حسن العسكري بن الإمام علي النقي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الإمام علي الرضا بن الإمام موسى الكاظم بن الإمام جعفر الصادق بن الإمام محمد الباقر بن الإمام زين العابدين علي بن الإمام الحسين بن الإمام</w:t>
      </w:r>
    </w:p>
    <w:p>
      <w:pPr>
        <w:pStyle w:val="BookText"/>
        <w:rPr/>
      </w:pPr>
      <w:r>
        <w:rPr>
          <w:rFonts w:ascii="Amiri" w:hAnsi="Amiri" w:eastAsia="Amiri" w:cs="Amiri"/>
          <w:color w:val="111111"/>
          <w:sz w:val="28"/>
          <w:sz w:val="28"/>
          <w:szCs w:val="28"/>
          <w:rtl w:val="true"/>
          <w:lang w:bidi="ar-SA"/>
        </w:rPr>
        <w:t>علي بن أبي طالب رضي اللَّه عنه يواطئ اسمُه اسمَ رسول اللَّه صلَّى اللَّه عليه و آله و سلَّم يبايعه المسلمون بين الركن والمقام يُشبه رسول اللَّه صلَّى اللَّه عليه و آله و سلَّم في أخلاقه واللَّه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أوصاف المهدي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أجسى الجبهة، أقنى الأنف، أسعد الناس به أهل الكوفة، يقسم المال بالسوية، ويعدل في الرعية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هذا و إذا رجعنا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المطبوعة بمصر المحمية التي أعاد طبعها دار صادر في بيروت وجدناها محرفة مبدلة، وإليك نصّ‌ما جاء فيها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أيّدنا اللَّه إنّ للَّه خليفة يخرج وقد امتلأت الأرض جوراً و ظلماً فيملؤها قسطاً وعدلًا، لو لم يبق من الدنيا إلّا يوم واحد طول اللَّه ذلك اليوم حتّى يلي هذا الخليفة من عترة رسول اللَّهصلَّى اللَّه عليه و آله و سلَّم من ولد فاطمة يواطئ اسمه</w:t>
      </w:r>
    </w:p>
    <w:p>
      <w:pPr>
        <w:pStyle w:val="BookText"/>
        <w:rPr/>
      </w:pPr>
      <w:r>
        <w:rPr>
          <w:rFonts w:ascii="Amiri" w:hAnsi="Amiri" w:eastAsia="Amiri" w:cs="Amiri"/>
          <w:color w:val="111111"/>
          <w:sz w:val="28"/>
          <w:sz w:val="28"/>
          <w:szCs w:val="28"/>
          <w:rtl w:val="true"/>
          <w:lang w:bidi="ar-SA"/>
        </w:rPr>
        <w:t xml:space="preserve">اسم رسول اللَّه صلَّى اللَّه عليه و آله و سلَّم جدّه الحسن بن علي بن أبي طالب، يبايع بين الركن والمقام، يُشبه رسول اللَّه صلَّى اللَّه عليه و آله و سلَّم‌في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ينزل عنه في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لايكون أحد مثل رسول اللَّه صلَّى اللَّه عليه و آله و سلَّم في أخلاقه واللَّه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وأنت إذا قارنت ما نقله الشعراني في كتابه وما هو الموجود حالياً في الفتوحات المكية التي نقلنا نصها، ترى أنّ الكاتب حذف أسماء الأئمة برأسها، كما أنّه حرّف كلمة الحسين بالحسن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الحسن بن علي بن أبي طالب، وكان عليه أن يقول جدّه الحسين، وهذا تحريف في تحريف</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يُنَبِّئُكَ مِثْلُ خَبير</w:t>
      </w:r>
      <w:r>
        <w:rPr>
          <w:rFonts w:eastAsia="Amiri" w:cs="Amiri" w:ascii="Amiri" w:hAnsi="Amiri"/>
          <w:color w:val="111111"/>
          <w:sz w:val="28"/>
          <w:szCs w:val="28"/>
          <w:rtl w:val="true"/>
          <w:lang w:bidi="ar-SA"/>
        </w:rPr>
        <w:t xml:space="preserve">). </w:t>
      </w:r>
      <w:r>
        <w:rPr>
          <w:rStyle w:val="FootnoteAnchor"/>
          <w:rtl w:val="true"/>
        </w:rPr>
        <w:footnoteReference w:id="21"/>
      </w:r>
      <w:bookmarkStart w:id="13" w:name="pg1561_11950"/>
    </w:p>
    <w:p>
      <w:pPr>
        <w:pStyle w:val="Heading2"/>
        <w:numPr>
          <w:ilvl w:val="1"/>
          <w:numId w:val="1"/>
        </w:numPr>
        <w:rPr/>
      </w:pPr>
      <w:bookmarkStart w:id="14" w:name="__RefHeading___Toc706224_3650668749"/>
      <w:bookmarkStart w:id="15" w:name="_Toc5"/>
      <w:bookmarkEnd w:id="13"/>
      <w:bookmarkEnd w:id="14"/>
      <w:r>
        <w:rPr/>
        <w:t>3</w:t>
      </w:r>
      <w:r>
        <w:rPr>
          <w:rtl w:val="true"/>
        </w:rPr>
        <w:t xml:space="preserve"> </w:t>
      </w:r>
      <w:r>
        <w:rPr>
          <w:rtl w:val="true"/>
        </w:rPr>
        <w:t>تاريخ اليعقوبي وتحريف حديث الغدير</w:t>
      </w:r>
      <w:bookmarkEnd w:id="1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أحمد بن أبي يعقوب المشتهر بابن واضح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التاريخ المعروف بتاريخ اليعقوبي ذكر في فصل ما نزل من القرآن بالمدينة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انّ آخر ما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الرواية الصحيحة الثابتة الصريحة وكان نزولها يوم النصّ على أمير المؤمنين علي بن أبي طالب عليه السَّلام بغدير خم</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ولكن جاء في طبعة دار صادر، فقال بعد نقل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الرواية الصحيحة الثابتة الصريحة وكان نزولها يوم النفر على أمير المؤمنين علي بن أبي طالبعليه السَّلام بعد ترحم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حرّف لفظين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بعد ترحم</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يحسبُون انّهم يحسنون صنعاً</w:t>
      </w:r>
      <w:r>
        <w:rPr>
          <w:rFonts w:eastAsia="Amiri" w:cs="Amiri" w:ascii="Amiri" w:hAnsi="Amiri"/>
          <w:color w:val="111111"/>
          <w:sz w:val="28"/>
          <w:szCs w:val="28"/>
          <w:rtl w:val="true"/>
          <w:lang w:bidi="ar-SA"/>
        </w:rPr>
        <w:t xml:space="preserve">). </w:t>
      </w:r>
      <w:r>
        <w:rPr>
          <w:rStyle w:val="FootnoteAnchor"/>
          <w:rtl w:val="true"/>
        </w:rPr>
        <w:footnoteReference w:id="24"/>
      </w:r>
      <w:bookmarkStart w:id="16" w:name="pg1561_11954"/>
    </w:p>
    <w:p>
      <w:pPr>
        <w:pStyle w:val="Heading2"/>
        <w:numPr>
          <w:ilvl w:val="1"/>
          <w:numId w:val="1"/>
        </w:numPr>
        <w:rPr/>
      </w:pPr>
      <w:bookmarkStart w:id="17" w:name="__RefHeading___Toc706226_3650668749"/>
      <w:bookmarkStart w:id="18" w:name="_Toc6"/>
      <w:bookmarkEnd w:id="16"/>
      <w:bookmarkEnd w:id="17"/>
      <w:r>
        <w:rPr/>
        <w:t>4</w:t>
      </w:r>
      <w:r>
        <w:rPr>
          <w:rtl w:val="true"/>
        </w:rPr>
        <w:t xml:space="preserve"> </w:t>
      </w:r>
      <w:r>
        <w:rPr>
          <w:rtl w:val="true"/>
        </w:rPr>
        <w:t>الأذكار النووية وطروء التحريف إليها</w:t>
      </w:r>
      <w:bookmarkEnd w:id="18"/>
    </w:p>
    <w:p>
      <w:pPr>
        <w:pStyle w:val="Heading3"/>
        <w:numPr>
          <w:ilvl w:val="2"/>
          <w:numId w:val="1"/>
        </w:numPr>
        <w:rPr/>
      </w:pPr>
      <w:bookmarkStart w:id="19" w:name="__RefHeading___Toc706228_3650668749"/>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إنّ بعض ما تقدّم من التحريف كان يرجع إلى تحريف الأحاديث والتاريخ إمّا من جانب المؤلِّفين أو من جانب النسّاخ</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لون آخر من التحريف خارج عن هذا الإطار وهو انّ داخل أصحاب دور النشر في مصر ودمشق وبيروت</w:t>
      </w:r>
      <w:r>
        <w:rPr>
          <w:rStyle w:val="FootnoteAnchor"/>
          <w:rtl w:val="true"/>
        </w:rPr>
        <w:footnoteReference w:id="25"/>
      </w:r>
      <w:r>
        <w:rPr>
          <w:rFonts w:ascii="Amiri" w:hAnsi="Amiri" w:eastAsia="Amiri" w:cs="Amiri"/>
          <w:color w:val="111111"/>
          <w:sz w:val="28"/>
          <w:sz w:val="28"/>
          <w:szCs w:val="28"/>
          <w:rtl w:val="true"/>
          <w:lang w:bidi="ar-SA"/>
        </w:rPr>
        <w:t>، عناصر مشبوهة تسعى في تغيير وحذف ما ورد في كتب السلف نزولًا عند رغباتها أو رغبات المؤسسات التي تموّلها، وهذا خطر كبير يهدّد تراثنا الإسلامي العريق حيث أضحى عرصة لتجوال حفنة من</w:t>
      </w:r>
    </w:p>
    <w:p>
      <w:pPr>
        <w:pStyle w:val="BookText"/>
        <w:rPr/>
      </w:pPr>
      <w:r>
        <w:rPr>
          <w:rFonts w:ascii="Amiri" w:hAnsi="Amiri" w:eastAsia="Amiri" w:cs="Amiri"/>
          <w:color w:val="111111"/>
          <w:sz w:val="28"/>
          <w:sz w:val="28"/>
          <w:szCs w:val="28"/>
          <w:rtl w:val="true"/>
          <w:lang w:bidi="ar-SA"/>
        </w:rPr>
        <w:t>المرتزقة، الذين باعوا دينهم بدنياهم، وإليك نموذجاً من هذا النوع من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الأحاديث الشريفة التي رواها المحدّثون حول زيارة رسول اللَّه صلَّى اللَّه عليه و آله و سلَّم على حد تغنينا عن التحقيق في سندها ورواتها بسبب كثرتها وتواترها، وقد سجّلها الحفّاظ من جميع المذاهب الإسلامية في كتبهم وصحاحهم، وهي بمجموعها تدلّ على أنّ زيارة قبر رسول اللَّه صلَّى اللَّه عليه و آله و سلَّم كانت من المستحبات الثابتة لديهم، ولو أردنا أن نذكر كلّ تلك الأحاديث لطال بنا المقام ونكتفي بذكر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هذا الحديث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وقد أفتى علماء المذاهب الأربعة وفقاً لهذا الحديث، وللاطّلاع على مصادره 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 بأخبار دار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لا شكّ فيه انّ حديثاً يرويه الحفاظ والعلماء منذ</w:t>
      </w:r>
      <w:bookmarkStart w:id="21" w:name="pg1561_11957"/>
    </w:p>
    <w:p>
      <w:pPr>
        <w:pStyle w:val="BookText"/>
        <w:rPr/>
      </w:pPr>
      <w:bookmarkEnd w:id="21"/>
      <w:r>
        <w:rPr>
          <w:rFonts w:ascii="Amiri" w:hAnsi="Amiri" w:eastAsia="Amiri" w:cs="Amiri"/>
          <w:color w:val="111111"/>
          <w:sz w:val="28"/>
          <w:sz w:val="28"/>
          <w:szCs w:val="28"/>
          <w:rtl w:val="true"/>
          <w:lang w:bidi="ar-SA"/>
        </w:rPr>
        <w:t>منتصف القرن الثاني الهجري حتّى هذا اليوم لا يمكن أن يكون مزوّراً لا أساس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النووي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الأذكار النووية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واستعرض فيه زيارة قبر النبي وأذكارها وعقد لها فصلًا كالتالي</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706230_3650668749"/>
      <w:bookmarkStart w:id="23" w:name="_Toc8"/>
      <w:bookmarkEnd w:id="22"/>
      <w:r>
        <w:rPr>
          <w:rtl w:val="true"/>
        </w:rPr>
        <w:t>فصل في زيارة قبر رسول اللَّه وأذكارها</w:t>
      </w:r>
      <w:bookmarkEnd w:id="23"/>
    </w:p>
    <w:p>
      <w:pPr>
        <w:pStyle w:val="BookText"/>
        <w:rPr/>
      </w:pPr>
      <w:r>
        <w:rPr>
          <w:rFonts w:ascii="Amiri" w:hAnsi="Amiri" w:eastAsia="Amiri" w:cs="Amiri"/>
          <w:color w:val="111111"/>
          <w:sz w:val="28"/>
          <w:sz w:val="28"/>
          <w:szCs w:val="28"/>
          <w:rtl w:val="true"/>
          <w:lang w:bidi="ar-SA"/>
        </w:rPr>
        <w:t>اعلم أنّه ينبغي لكلّ من حجّ أن يتوجّه إلى زيارة رسول اللَّه صلَّى اللَّه عليه و آله و سلَّم، سواء أكان ذلك في طريقه أم لم يكن، فانّ زيارته صلَّى اللَّه عليه و آله و سلَّم من أهمّ القربات وأربح المساعي وأفضل الطلبات، فإذا توجّه للزيارة أكثَرَ من الصلاة عليه صلَّى اللَّه عليه و آله و سلَّم في طريقه، فإذا وقع بصره على أشجار المدينة وقُراها وما يعرّف بها، زاد من الصلاة والتسليم عليه صلَّى اللَّه عليه و آله و سلَّم، وسأل اللَّه تعالى أن ينفعه بزيارته صلَّى اللَّه عليه و آله و سلَّم وأن يسعده بها في الدارين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عَليَّ أبْوابَ رَحمَتِكَ وَارْزُقْني في</w:t>
      </w:r>
    </w:p>
    <w:p>
      <w:pPr>
        <w:pStyle w:val="BookText"/>
        <w:rPr/>
      </w:pPr>
      <w:r>
        <w:rPr>
          <w:rFonts w:ascii="Amiri" w:hAnsi="Amiri" w:eastAsia="Amiri" w:cs="Amiri"/>
          <w:color w:val="111111"/>
          <w:sz w:val="28"/>
          <w:sz w:val="28"/>
          <w:szCs w:val="28"/>
          <w:rtl w:val="true"/>
          <w:lang w:bidi="ar-SA"/>
        </w:rPr>
        <w:t>زيارَة قَبْرِ نَبِيِّكصلَّى اللَّه عليه و آله و سلَّم ما رَزَقْتَهُ أولِياءَكَ وَأهْل طاعَتِكَ وَاْغْفِر لي وَارْحَمْني يا خَيْرَ مَسْؤول</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هذا هو نص الكتاب في الطبعة الأُولى التي حقّق نصوصها وخرّج أحاديثها وعلق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 الدين 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بطبعها دار ابن كثير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فيها انّ عنوان الفصل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زيارة قبر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ونصّ على انّ المقصد من قطع الفيافي هو زيارة رسول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يتوجّه إلى زيارة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ونصّ به أيضاً في سؤال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اللَّه أن ينفعه بزيارتهصلَّى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النصّ به أيضاً في دعاء الزائر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وارزقني في زيارة قبر النبي‌صلَّى اللَّه عليه و آله و سلَّم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يا للأسف نرى تحريفات في طبعة أُخرى قام بتصحيحها عبد القادر الارناؤوط ونشرتها دار الهدى،</w:t>
      </w:r>
      <w:bookmarkStart w:id="24" w:name="pg1561_11961"/>
    </w:p>
    <w:p>
      <w:pPr>
        <w:pStyle w:val="BookText"/>
        <w:rPr/>
      </w:pPr>
      <w:bookmarkEnd w:id="24"/>
      <w:r>
        <w:rPr>
          <w:rFonts w:ascii="Amiri" w:hAnsi="Amiri" w:eastAsia="Amiri" w:cs="Amiri"/>
          <w:color w:val="111111"/>
          <w:sz w:val="28"/>
          <w:sz w:val="28"/>
          <w:szCs w:val="28"/>
          <w:rtl w:val="true"/>
          <w:lang w:bidi="ar-SA"/>
        </w:rPr>
        <w:t xml:space="preserve">الرياض، عام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نصّ الطبعة</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706232_3650668749"/>
      <w:bookmarkStart w:id="26" w:name="_Toc9"/>
      <w:bookmarkEnd w:id="25"/>
      <w:r>
        <w:rPr>
          <w:rtl w:val="true"/>
        </w:rPr>
        <w:t>فصل في زيارة مسجد رسول اللَّه صلَّى اللَّه عليه و آله و سلَّم‌</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انّه يُستحب لمن أراد زيارة مسجد رسول اللَّه صلَّى اللَّه عليه و آله و سلَّم أن يكثر من الصلاة عليه صلَّى اللَّه عليه و آله و سلَّم في طريقه، فإذا وقع بصره على أشجار المدينة وحرمها وما يعرّف بها، زاد من الصلاة والتسليم عليه صلَّى اللَّه عليه و آله و سلَّم وسأل اللَّه تعالى أن ينفعه بزيارته لمسجده صلَّى اللَّه عليه و آله و سلَّم وأن يُسعده بها في الدارين وليقل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عَليَّ أبْواب رَحْمَتِكَ، وَارزُقْني فِي زيارَةِ مَسْجِدِ نبيّكصلَّى اللَّه عليه و آله و سلَّم ما رَزَقْته أولياءك وَ أهل طاعَتِكَ، واغفر لي وَارحَمْني يا خَيرَ مَسْؤول</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فقد غيّر المواضع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الفصل، إلى زيارة مسجد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المقصود من السفر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w:t>
      </w:r>
    </w:p>
    <w:p>
      <w:pPr>
        <w:pStyle w:val="BookText"/>
        <w:rPr/>
      </w:pPr>
      <w:r>
        <w:rPr>
          <w:rFonts w:ascii="Amiri" w:hAnsi="Amiri" w:eastAsia="Amiri" w:cs="Amiri"/>
          <w:color w:val="111111"/>
          <w:sz w:val="28"/>
          <w:sz w:val="28"/>
          <w:szCs w:val="28"/>
          <w:rtl w:val="true"/>
          <w:lang w:bidi="ar-SA"/>
        </w:rPr>
        <w:t>زيارة مسجد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حرف سؤال السائل،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ينفعه بزيارته لمسجده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حرف دعاء الزائر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مسجد نبيّك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لما انّ الوهابية لا تقيم لزيارة النبي صلَّى اللَّه عليه و آله و سلَّم ولا لآله ولا لأصحابه وزناً على الرغم من أنّها لا تحرمها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سبب آخر دعاهم إلى التحريف و هو زعمهم بأنّ شدّ الرحال إلى زيارة النبي صلَّى اللَّه عليه و آله و سلَّم حرام، و عنوان الفصل والمضمون الوارد فيه يشير إلى استحباب شدّ الرحال إلى زيارة 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فخان الأمانة الإلهية لنصرة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 اللَّه الأمانة الإسلامية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وَلكِنْ لا يشعرُون</w:t>
      </w:r>
      <w:r>
        <w:rPr>
          <w:rFonts w:eastAsia="Amiri" w:cs="Amiri" w:ascii="Amiri" w:hAnsi="Amiri"/>
          <w:color w:val="111111"/>
          <w:sz w:val="28"/>
          <w:szCs w:val="28"/>
          <w:rtl w:val="true"/>
          <w:lang w:bidi="ar-SA"/>
        </w:rPr>
        <w:t xml:space="preserve">). </w:t>
      </w:r>
      <w:r>
        <w:rPr>
          <w:rStyle w:val="FootnoteAnchor"/>
          <w:rtl w:val="true"/>
        </w:rPr>
        <w:footnoteReference w:id="28"/>
      </w:r>
      <w:bookmarkStart w:id="27" w:name="pg1561_11965"/>
    </w:p>
    <w:p>
      <w:pPr>
        <w:pStyle w:val="Heading2"/>
        <w:numPr>
          <w:ilvl w:val="1"/>
          <w:numId w:val="1"/>
        </w:numPr>
        <w:rPr/>
      </w:pPr>
      <w:bookmarkStart w:id="28" w:name="__RefHeading___Toc706234_3650668749"/>
      <w:bookmarkStart w:id="29" w:name="_Toc10"/>
      <w:bookmarkEnd w:id="27"/>
      <w:bookmarkEnd w:id="28"/>
      <w:r>
        <w:rPr/>
        <w:t>5</w:t>
      </w:r>
      <w:r>
        <w:rPr>
          <w:rtl w:val="true"/>
        </w:rPr>
        <w:t xml:space="preserve"> </w:t>
      </w:r>
      <w:r>
        <w:rPr>
          <w:rtl w:val="true"/>
        </w:rPr>
        <w:t xml:space="preserve">البخاري وحديث </w:t>
      </w:r>
      <w:r>
        <w:rPr>
          <w:rtl w:val="true"/>
        </w:rPr>
        <w:t>«</w:t>
      </w:r>
      <w:r>
        <w:rPr>
          <w:rtl w:val="true"/>
        </w:rPr>
        <w:t>وهو وليّكم بعدي</w:t>
      </w:r>
      <w:r>
        <w:rPr>
          <w:rtl w:val="true"/>
        </w:rPr>
        <w:t>»</w:t>
      </w:r>
      <w:bookmarkEnd w:id="29"/>
    </w:p>
    <w:p>
      <w:pPr>
        <w:pStyle w:val="BookText"/>
        <w:rPr/>
      </w:pPr>
      <w:r>
        <w:rPr>
          <w:rFonts w:ascii="Amiri" w:hAnsi="Amiri" w:eastAsia="Amiri" w:cs="Amiri"/>
          <w:color w:val="111111"/>
          <w:sz w:val="28"/>
          <w:sz w:val="28"/>
          <w:szCs w:val="28"/>
          <w:rtl w:val="true"/>
          <w:lang w:bidi="ar-SA"/>
        </w:rPr>
        <w:t>إنّ‌البخاري و إن ذكر شيئاً من فضائل علي وأهل بيته وأصحابهم، إلّا أنّ قلمه يرتعش عندما يصل إلى فضائلهم فيعبث بالحديث مهما أمكن، وإليك نموذجين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حديث الولاية، يعني قول النبي صلَّى اللَّه عليه و آله و سلَّم في حقّ علي‌عليه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 علي، وهو وليّكم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المتضافرة الذي أخرجه غير واحد من أئمّة الصحاح والسنن وحفّاظ الحديث، وقد نقله جمّ غفير من كبار أئمّة الحديث في كتبهم، ربّما يبلغ عددهم حسب ما</w:t>
      </w:r>
    </w:p>
    <w:p>
      <w:pPr>
        <w:pStyle w:val="BookText"/>
        <w:rPr/>
      </w:pPr>
      <w:r>
        <w:rPr>
          <w:rFonts w:ascii="Amiri" w:hAnsi="Amiri" w:eastAsia="Amiri" w:cs="Amiri"/>
          <w:color w:val="111111"/>
          <w:sz w:val="28"/>
          <w:sz w:val="28"/>
          <w:szCs w:val="28"/>
          <w:rtl w:val="true"/>
          <w:lang w:bidi="ar-SA"/>
        </w:rPr>
        <w:t xml:space="preserve">استخرجه المحقّق المتتبع السيد حامد حسين اللكهنوي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 وحافظاً، وعلى رأسهم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داود 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عبد اللَّه بن محمد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أئمّة الحفّاظ والمحدّثين</w:t>
      </w:r>
      <w:r>
        <w:rPr>
          <w:rStyle w:val="FootnoteAnchor"/>
          <w:rtl w:val="true"/>
        </w:rPr>
        <w:footnoteReference w:id="29"/>
      </w:r>
      <w:r>
        <w:rPr>
          <w:rFonts w:ascii="Amiri" w:hAnsi="Amiri" w:eastAsia="Amiri" w:cs="Amiri"/>
          <w:color w:val="111111"/>
          <w:sz w:val="28"/>
          <w:sz w:val="28"/>
          <w:szCs w:val="28"/>
          <w:rtl w:val="true"/>
          <w:lang w:bidi="ar-SA"/>
        </w:rPr>
        <w:t>، وإليك نصّ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النسائي في خصائصه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واصل بن عبد الأعلى، عن ابن فضيل، عن الأعرج، عن عبد اللَّه بن بريدة، عن أبيه،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بعثنا رسول اللَّه صلَّى اللَّه عليه و آله و سلَّم إلى</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اليمن مع خالد بن الوليد، وبعث علياً على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التقيتما فعليٌّ على الناس، وإن تفرّقتما فكلّ واحدٍمنكما على جنده، فلقينا بني زبيد من أهل اليمن، وظفر المسلمون على المشركين، فقتلنا المقاتلة وسبينا الذرية، فاصطفى عليّ جاريةً لنفسه من السبي، فكتب بذلك خالد بن الوليد إلى النبيّ صلَّى اللَّه عليه و آله و سلَّم وأمرني أن أنال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 الكتاب إليه ونلت من عليّ، فتغيّر وجه رسول اللَّه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العائذ، بعثتني مع رجلٍ وألزمتني بطاعته فبلّغت ما أُرسلت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تقعنَّ يا بريدة في عليّ، فإنّ عليّاً منّي وأنا منه، وهو وليّكم بعدي</w:t>
      </w:r>
      <w:r>
        <w:rPr>
          <w:rFonts w:eastAsia="Amiri" w:cs="Amiri" w:ascii="Amiri" w:hAnsi="Amiri"/>
          <w:color w:val="111111"/>
          <w:sz w:val="28"/>
          <w:szCs w:val="28"/>
          <w:rtl w:val="true"/>
          <w:lang w:bidi="ar-SA"/>
        </w:rPr>
        <w:t>».</w:t>
      </w:r>
      <w:r>
        <w:rPr>
          <w:rStyle w:val="FootnoteAnchor"/>
        </w:rPr>
        <w:footnoteReference w:id="3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أحمد في مسنده عن ابن عباس،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عليّ اليمن فرأيت منه جفوة، فلمّا</w:t>
      </w:r>
    </w:p>
    <w:p>
      <w:pPr>
        <w:pStyle w:val="BookText"/>
        <w:rPr/>
      </w:pPr>
      <w:r>
        <w:rPr>
          <w:rFonts w:ascii="Amiri" w:hAnsi="Amiri" w:eastAsia="Amiri" w:cs="Amiri"/>
          <w:color w:val="111111"/>
          <w:sz w:val="28"/>
          <w:sz w:val="28"/>
          <w:szCs w:val="28"/>
          <w:rtl w:val="true"/>
          <w:lang w:bidi="ar-SA"/>
        </w:rPr>
        <w:t>قدمتُ على رسول اللَّه صلَّى اللَّه عليه و آله و سلَّم ذكرت عليّاً فتنقصته فرأيت وجه رسول اللَّه صلَّى اللَّه عليه و آله و سلَّم يتغيّر،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بريدة ألست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وما جاء في الحديث الذي أخرجه النسائي من قولهصلَّى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 علي وهو وليكم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المنقول في مسند أحمد، ولعلّ الرسول جمع بين الكلمتين، أو أنّ الراوي نقل بالمعنى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كلّ‌حال فالحديث كان مذيّلًا بما يدلّ على ولايته بعد رحيل الرسولصلَّى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انّ الإمام أحمد أخرج الحديث عن عمران بن حصين بالشكل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اللَّهصلَّى اللَّه عليه و آله و سلَّم سرية وأمّر عليهم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فتعاقد أربعة من أصحاب محمد أن</w:t>
      </w:r>
    </w:p>
    <w:p>
      <w:pPr>
        <w:pStyle w:val="BookText"/>
        <w:rPr/>
      </w:pPr>
      <w:r>
        <w:rPr>
          <w:rFonts w:ascii="Amiri" w:hAnsi="Amiri" w:eastAsia="Amiri" w:cs="Amiri"/>
          <w:color w:val="111111"/>
          <w:sz w:val="28"/>
          <w:sz w:val="28"/>
          <w:szCs w:val="28"/>
          <w:rtl w:val="true"/>
          <w:lang w:bidi="ar-SA"/>
        </w:rPr>
        <w:t>يذكروا أمره لرسول اللَّه،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إذا قدمنا من سفرنا بدأنا برسول اللَّه، فسلّمنا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فقام رجل منهم، فقال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فعل كذا وكذا، فأعرض عنه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قيام الثلاثة الباقين وتكرارهم ذلك القول وإعراض الرسول عنهم، حتى انتهى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رسول اللَّه على الرابع وقد تغيّر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عليّاً، إنّ عليّاً مني وأنا منه، وهو وليّ‌كلّ‌مؤمن بعدي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الترمذي عن عمران بن حصين ونقل الحديث مثل ما نقل أحمد بن حنبل،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الرابع، فقال مثل ما قالوا، فأقبل إليه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والغضب يُعرف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تريدون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وأنا منه وهو ولي كلّ‌مؤمن بعدي</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ترى أنّالرواية تنصّ على الولاية الدالّة على أنّه الإمام بعد رحيل الرسول لكن البخاري كعادته أخرج الحديث عن بريدة، فذكر شيئاً من الحديث وحذف بيت القصيد منه، فأخرج الحديث عن عبد اللَّه بن بريدة عن أبيه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 آله و سلَّم عليّاً إلى خالد ليقبض الخمس وكنت أبغض علياً، وقد اغتسل، فقلت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هذا، فلمّا قدمنا على النبيّ صلَّى اللَّه عليه و آله و سلَّم ذكرت ذلك 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بريدة أتبغض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تبغضه فإنّ له في الخمس أكثر من ذلك</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ترى أنّه حذف الفقرة الأخيرة من الحديث التي هي بمنزلة بيت القصيد منه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علياً منّي وأنا منه، وهو وليّكم بعدي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المؤسِف انّ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ومسلماً لم ينقلا عن علي‌عليه السَّلام في صحيحهما إلّا ثلاثة وأربعين حديثاً </w:t>
      </w:r>
      <w:r>
        <w:rPr>
          <w:rStyle w:val="FootnoteAnchor"/>
          <w:rtl w:val="true"/>
        </w:rPr>
        <w:footnoteReference w:id="35"/>
      </w:r>
      <w:r>
        <w:rPr>
          <w:rFonts w:ascii="Amiri" w:hAnsi="Amiri" w:eastAsia="Amiri" w:cs="Amiri"/>
          <w:color w:val="111111"/>
          <w:sz w:val="28"/>
          <w:sz w:val="28"/>
          <w:szCs w:val="28"/>
          <w:rtl w:val="true"/>
          <w:lang w:bidi="ar-SA"/>
        </w:rPr>
        <w:t>، وفي الوقت نفسه نقلا عن أبي هريرة ما يناهز ستمائة وسبعة أحاديث</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والأوّل باب علم النبي وأوّل من آمن به ولازمه منذ نعومة أظفاره إلى رحيل النبي‌صلَّى اللَّه عليه و آله و سلَّم، والثاني أسلم سنة سبع، وأدرك من عصر النبوة أربع سنين وقضى سنة منها في البحرين وصاحب النبي قرابة ثلاثة أعوام</w:t>
      </w:r>
      <w:r>
        <w:rPr>
          <w:rFonts w:eastAsia="Amiri" w:cs="Amiri" w:ascii="Amiri" w:hAnsi="Amiri"/>
          <w:color w:val="111111"/>
          <w:sz w:val="28"/>
          <w:szCs w:val="28"/>
          <w:rtl w:val="true"/>
          <w:lang w:bidi="ar-SA"/>
        </w:rPr>
        <w:t>.</w:t>
      </w:r>
      <w:bookmarkStart w:id="30" w:name="pg1561_11979"/>
    </w:p>
    <w:p>
      <w:pPr>
        <w:pStyle w:val="Heading2"/>
        <w:numPr>
          <w:ilvl w:val="1"/>
          <w:numId w:val="1"/>
        </w:numPr>
        <w:rPr/>
      </w:pPr>
      <w:bookmarkStart w:id="31" w:name="__RefHeading___Toc706236_3650668749"/>
      <w:bookmarkStart w:id="32" w:name="_Toc11"/>
      <w:bookmarkEnd w:id="30"/>
      <w:bookmarkEnd w:id="31"/>
      <w:r>
        <w:rPr/>
        <w:t>6</w:t>
      </w:r>
      <w:r>
        <w:rPr>
          <w:rtl w:val="true"/>
        </w:rPr>
        <w:t xml:space="preserve"> </w:t>
      </w:r>
      <w:r>
        <w:rPr>
          <w:rtl w:val="true"/>
        </w:rPr>
        <w:t xml:space="preserve">البخاري وحديث </w:t>
      </w:r>
      <w:r>
        <w:rPr>
          <w:rtl w:val="true"/>
        </w:rPr>
        <w:t>«</w:t>
      </w:r>
      <w:r>
        <w:rPr>
          <w:rtl w:val="true"/>
        </w:rPr>
        <w:t>تقتلك الفئة الباغية</w:t>
      </w:r>
      <w:r>
        <w:rPr>
          <w:rtl w:val="true"/>
        </w:rPr>
        <w:t>»</w:t>
      </w:r>
      <w:bookmarkEnd w:id="32"/>
    </w:p>
    <w:p>
      <w:pPr>
        <w:pStyle w:val="BookText"/>
        <w:rPr/>
      </w:pPr>
      <w:r>
        <w:rPr>
          <w:rFonts w:ascii="Amiri" w:hAnsi="Amiri" w:eastAsia="Amiri" w:cs="Amiri"/>
          <w:color w:val="111111"/>
          <w:sz w:val="28"/>
          <w:sz w:val="28"/>
          <w:szCs w:val="28"/>
          <w:rtl w:val="true"/>
          <w:lang w:bidi="ar-SA"/>
        </w:rPr>
        <w:t>أخرج الفريقان عن غير واحد من الصحابة قول النبي‌صلَّى اللَّه عليه و آله و سلَّم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البخاري لعب بالحديث فنقله بصورة بتراء</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البخاري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عباس ولابنه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انطلقا إلى أبي سعيد، فاسمعا من حديثه، فانطلقنا، فإذا هو في حائطٍ يصلحه، فأخذ رداءه فاحتبى، ثمّ أنشأ يحدثنا حتّى أتى على ذكر بناء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نحمل لبنَةً لَبِنَة، وعمّار لَبِنَتَيْن لبنتين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النبي صلَّى اللَّه عليه و آله و سلَّم، فجعل يَنفضُ</w:t>
      </w:r>
    </w:p>
    <w:p>
      <w:pPr>
        <w:pStyle w:val="BookText"/>
        <w:rPr/>
      </w:pPr>
      <w:r>
        <w:rPr>
          <w:rFonts w:ascii="Amiri" w:hAnsi="Amiri" w:eastAsia="Amiri" w:cs="Amiri"/>
          <w:color w:val="111111"/>
          <w:sz w:val="28"/>
          <w:sz w:val="28"/>
          <w:szCs w:val="28"/>
          <w:rtl w:val="true"/>
          <w:lang w:bidi="ar-SA"/>
        </w:rPr>
        <w:t>التراب عنه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عمّار، يدعوهم إلى الجنّة، ويدعونه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الفِتن</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وفي رواية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قال له ولعليّ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ائتيا أبا سعيد، فاسمعا من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وهو وأخوه في حائط لهما، فسلّمنا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رآنا جاء فاحتَبى وجلس،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نَنقل لَبنَ المسجد لَبِنَةً 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عمّار ينقل لَبنتين لَبنتين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النبي صلَّى اللَّه عليه و آله و سلَّم، ومسح عن رأسه الغُبار،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عمّار؛ يدعوهم إلى اللَّه، ويدعونه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الفتن</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قال الحميدي في 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زيادة مشهورة، لم يذكرها البخاري أصلًا من طريقي هذا الحديث، ولعلّها لم تقع إليه فيهما، أووقعت فحذفها 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في ذلك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وأخرجها أبو بكر</w:t>
      </w:r>
    </w:p>
    <w:p>
      <w:pPr>
        <w:pStyle w:val="BookText"/>
        <w:rPr/>
      </w:pPr>
      <w:r>
        <w:rPr>
          <w:rFonts w:ascii="Amiri" w:hAnsi="Amiri" w:eastAsia="Amiri" w:cs="Amiri"/>
          <w:color w:val="111111"/>
          <w:sz w:val="28"/>
          <w:sz w:val="28"/>
          <w:szCs w:val="28"/>
          <w:rtl w:val="true"/>
          <w:lang w:bidi="ar-SA"/>
        </w:rPr>
        <w:t>البُرقاني، وأبوبكر الإسماعيلي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الحديث عندهما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عمّار تَقتُلهُ الفِئَة الباغية، يدعوهم إلى الجنة، ويدعونه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مسعود الدمشقي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البخاري هذه الزيادة، وهي في حديث عبد العزيز بن المختار، و خالد بن عبد اللَّه الواسطي و يزيد بن زريع، ومحبوب بن الحسن؛ وشعبة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عن خالد الحذّاء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إسحاق عن عبد الوهاب،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عبد الوهاب الذي أخرجه البخاري، دون هذه الزيادة، فلم يقع إلينا من غير حديث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قاله أبو مسعود</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كلام الحميدي حسب ما نقلناه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قرأته في كتاب البخاري من طريق أبي الوقت عبد الأول السجزي رحمه اللَّه من النسخة التي قرئت عليه وعليها خطه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متن الكتاب فبحذف</w:t>
      </w:r>
    </w:p>
    <w:p>
      <w:pPr>
        <w:pStyle w:val="BookText"/>
        <w:rPr/>
      </w:pPr>
      <w:r>
        <w:rPr>
          <w:rFonts w:ascii="Amiri" w:hAnsi="Amiri" w:eastAsia="Amiri" w:cs="Amiri"/>
          <w:color w:val="111111"/>
          <w:sz w:val="28"/>
          <w:sz w:val="28"/>
          <w:szCs w:val="28"/>
          <w:rtl w:val="true"/>
          <w:lang w:bidi="ar-SA"/>
        </w:rPr>
        <w:t>الزيادة وقد كتب في الهامش هذه الزيادة، وصحح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في جملة الحديث، وأنّها من رواية أبي الوقت هكذا، بإضافتها إلى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موضعين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التعاون في بناء المسجد من 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مسح الغبار عن الرأس في كتاب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عدا هذه النسخة، فلم أجد الزيادة فيها، كما قاله الحميدي، ومن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وعلى أيّ تقدير فقد جاءت الزيادة في الموردين التاليين في النسخ المطبوعة مشيراً بلفظه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غير موجودة في النسخة الأصلية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الصلاة باب التعاون في بناء المسجد، رقم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الجهاد، باب مسح الغبار، رقم </w:t>
      </w:r>
      <w:r>
        <w:rPr>
          <w:rFonts w:eastAsia="Amiri" w:cs="Amiri" w:ascii="Amiri" w:hAnsi="Amiri"/>
          <w:color w:val="111111"/>
          <w:sz w:val="28"/>
          <w:szCs w:val="28"/>
          <w:lang w:bidi="ar-SA"/>
        </w:rPr>
        <w:t>2812</w:t>
      </w:r>
      <w:r>
        <w:rPr>
          <w:rFonts w:ascii="Amiri" w:hAnsi="Amiri" w:eastAsia="Amiri" w:cs="Amiri"/>
          <w:color w:val="111111"/>
          <w:sz w:val="28"/>
          <w:sz w:val="28"/>
          <w:szCs w:val="28"/>
          <w:rtl w:val="true"/>
          <w:lang w:bidi="ar-SA"/>
        </w:rPr>
        <w:t>، ط دار الفكر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جاء 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التعاون على بناء المسجد</w:t>
      </w:r>
      <w:r>
        <w:rPr>
          <w:rFonts w:eastAsia="Amiri" w:cs="Amiri" w:ascii="Amiri" w:hAnsi="Amiri"/>
          <w:color w:val="111111"/>
          <w:sz w:val="28"/>
          <w:szCs w:val="28"/>
          <w:rtl w:val="true"/>
          <w:lang w:bidi="ar-SA"/>
        </w:rPr>
        <w:t>.</w:t>
      </w:r>
      <w:bookmarkStart w:id="33" w:name="pg1561_11987"/>
    </w:p>
    <w:p>
      <w:pPr>
        <w:pStyle w:val="Heading2"/>
        <w:numPr>
          <w:ilvl w:val="1"/>
          <w:numId w:val="1"/>
        </w:numPr>
        <w:rPr/>
      </w:pPr>
      <w:bookmarkStart w:id="34" w:name="__RefHeading___Toc706238_3650668749"/>
      <w:bookmarkStart w:id="35" w:name="_Toc12"/>
      <w:bookmarkEnd w:id="33"/>
      <w:bookmarkEnd w:id="34"/>
      <w:r>
        <w:rPr/>
        <w:t>7</w:t>
      </w:r>
      <w:r>
        <w:rPr>
          <w:rtl w:val="true"/>
        </w:rPr>
        <w:t xml:space="preserve"> </w:t>
      </w:r>
      <w:r>
        <w:rPr>
          <w:rtl w:val="true"/>
        </w:rPr>
        <w:t xml:space="preserve">صحيح مسلم وحديث </w:t>
      </w:r>
      <w:r>
        <w:rPr>
          <w:rtl w:val="true"/>
        </w:rPr>
        <w:t>«</w:t>
      </w:r>
      <w:r>
        <w:rPr>
          <w:rtl w:val="true"/>
        </w:rPr>
        <w:t>خير نساء العالمين أربع</w:t>
      </w:r>
      <w:r>
        <w:rPr>
          <w:rtl w:val="true"/>
        </w:rPr>
        <w:t>»</w:t>
      </w:r>
      <w:bookmarkEnd w:id="35"/>
    </w:p>
    <w:p>
      <w:pPr>
        <w:pStyle w:val="BookText"/>
        <w:rPr/>
      </w:pPr>
      <w:r>
        <w:rPr>
          <w:rFonts w:ascii="Amiri" w:hAnsi="Amiri" w:eastAsia="Amiri" w:cs="Amiri"/>
          <w:color w:val="111111"/>
          <w:sz w:val="28"/>
          <w:sz w:val="28"/>
          <w:szCs w:val="28"/>
          <w:rtl w:val="true"/>
          <w:lang w:bidi="ar-SA"/>
        </w:rPr>
        <w:t xml:space="preserve">أخرج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سيدة نساء أهل الجنة إلّا ما كان من مريم بنت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 ولم يخرجاه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تفرّد مسلم بإخراج حديث أبي موسى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نساء العالمين أربع</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و ليس ما بأيدينا من نسخ صحيح مسلم أي‌أثر من هذا الحديث</w:t>
      </w:r>
      <w:r>
        <w:rPr>
          <w:rFonts w:eastAsia="Amiri" w:cs="Amiri" w:ascii="Amiri" w:hAnsi="Amiri"/>
          <w:color w:val="111111"/>
          <w:sz w:val="28"/>
          <w:szCs w:val="28"/>
          <w:rtl w:val="true"/>
          <w:lang w:bidi="ar-SA"/>
        </w:rPr>
        <w:t>.</w:t>
      </w:r>
      <w:bookmarkStart w:id="36" w:name="pg1561_11989"/>
    </w:p>
    <w:p>
      <w:pPr>
        <w:pStyle w:val="Heading2"/>
        <w:numPr>
          <w:ilvl w:val="1"/>
          <w:numId w:val="1"/>
        </w:numPr>
        <w:rPr/>
      </w:pPr>
      <w:bookmarkStart w:id="37" w:name="__RefHeading___Toc706240_3650668749"/>
      <w:bookmarkStart w:id="38" w:name="_Toc13"/>
      <w:bookmarkEnd w:id="36"/>
      <w:bookmarkEnd w:id="37"/>
      <w:r>
        <w:rPr/>
        <w:t>8</w:t>
      </w:r>
      <w:r>
        <w:rPr>
          <w:rtl w:val="true"/>
        </w:rPr>
        <w:t xml:space="preserve"> </w:t>
      </w:r>
      <w:r>
        <w:rPr>
          <w:rtl w:val="true"/>
        </w:rPr>
        <w:t xml:space="preserve">صحيح مسلم وحديث </w:t>
      </w:r>
      <w:r>
        <w:rPr>
          <w:rtl w:val="true"/>
        </w:rPr>
        <w:t>«</w:t>
      </w:r>
      <w:r>
        <w:rPr>
          <w:rtl w:val="true"/>
        </w:rPr>
        <w:t>المهدي وهو من ولد فاطمة</w:t>
      </w:r>
      <w:r>
        <w:rPr>
          <w:rtl w:val="true"/>
        </w:rPr>
        <w:t>»</w:t>
      </w:r>
      <w:bookmarkEnd w:id="38"/>
    </w:p>
    <w:p>
      <w:pPr>
        <w:pStyle w:val="BookText"/>
        <w:rPr/>
      </w:pPr>
      <w:r>
        <w:rPr>
          <w:rFonts w:ascii="Amiri" w:hAnsi="Amiri" w:eastAsia="Amiri" w:cs="Amiri"/>
          <w:color w:val="111111"/>
          <w:sz w:val="28"/>
          <w:sz w:val="28"/>
          <w:szCs w:val="28"/>
          <w:rtl w:val="true"/>
          <w:lang w:bidi="ar-SA"/>
        </w:rPr>
        <w:t>أخرج المتقي الهندي عن صحيح مسلم وسنن أبي داود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وقال ابن حجر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ما أخرجه مسلم وأبو داود والنسائي وابن ماجة والبيهقي وآخرون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و لم نعثر عليه في صحيح مسلم مع الفحص الأكيد</w:t>
      </w:r>
      <w:r>
        <w:rPr>
          <w:rFonts w:eastAsia="Amiri" w:cs="Amiri" w:ascii="Amiri" w:hAnsi="Amiri"/>
          <w:color w:val="111111"/>
          <w:sz w:val="28"/>
          <w:szCs w:val="28"/>
          <w:rtl w:val="true"/>
          <w:lang w:bidi="ar-SA"/>
        </w:rPr>
        <w:t>.</w:t>
      </w:r>
      <w:bookmarkStart w:id="39" w:name="pg1561_11991"/>
    </w:p>
    <w:p>
      <w:pPr>
        <w:pStyle w:val="Heading2"/>
        <w:numPr>
          <w:ilvl w:val="1"/>
          <w:numId w:val="1"/>
        </w:numPr>
        <w:rPr/>
      </w:pPr>
      <w:bookmarkStart w:id="40" w:name="__RefHeading___Toc706242_3650668749"/>
      <w:bookmarkStart w:id="41" w:name="_Toc14"/>
      <w:bookmarkEnd w:id="39"/>
      <w:bookmarkEnd w:id="40"/>
      <w:r>
        <w:rPr/>
        <w:t>9</w:t>
      </w:r>
      <w:r>
        <w:rPr>
          <w:rtl w:val="true"/>
        </w:rPr>
        <w:t xml:space="preserve"> </w:t>
      </w:r>
      <w:r>
        <w:rPr>
          <w:rtl w:val="true"/>
        </w:rPr>
        <w:t xml:space="preserve">معارف ابن قتيبة و خبر </w:t>
      </w:r>
      <w:r>
        <w:rPr>
          <w:rtl w:val="true"/>
        </w:rPr>
        <w:t>«</w:t>
      </w:r>
      <w:r>
        <w:rPr>
          <w:rtl w:val="true"/>
        </w:rPr>
        <w:t>إسقاط فاطمة محسناً</w:t>
      </w:r>
      <w:r>
        <w:rPr>
          <w:rtl w:val="true"/>
        </w:rPr>
        <w:t>»</w:t>
      </w:r>
      <w:bookmarkEnd w:id="4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شهر آشوب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فاطمة وتواريخها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والمحسن، سقط وفي معارف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محسناً فسد من زخم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العدوي، وزينب وأُمّ كلثوم</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وقال أبو عبد اللَّه محمد بن يوسف بن محمد القرشي الكنجي الشافعي المقتول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الطالب في مناقب علي بن أبي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وزاد على الجمهور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فاطمهعليها السَّلام أسقطت بعد النبي‌صلَّى اللَّه عليه و آله و سلَّم ذكراً كان سمّاه رسول اللَّهصلَّى اللَّه عليه و آله و سلَّم محسناً، و هذا شي‌ء لم يجد عند أحد من أهل النقل إلّا عبد اللَّه بن قتيبة</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ولكن في المطبوع من المعارف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ذكر ولد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محسن بن علي فهلك وهو صغير</w:t>
      </w:r>
      <w:r>
        <w:rPr>
          <w:rFonts w:eastAsia="Amiri" w:cs="Amiri" w:ascii="Amiri" w:hAnsi="Amiri"/>
          <w:color w:val="111111"/>
          <w:sz w:val="28"/>
          <w:szCs w:val="28"/>
          <w:rtl w:val="true"/>
          <w:lang w:bidi="ar-SA"/>
        </w:rPr>
        <w:t xml:space="preserve">. </w:t>
      </w:r>
      <w:r>
        <w:rPr>
          <w:rStyle w:val="FootnoteAnchor"/>
          <w:rtl w:val="true"/>
        </w:rPr>
        <w:footnoteReference w:id="46"/>
      </w:r>
      <w:bookmarkStart w:id="42" w:name="pg1561_11994"/>
    </w:p>
    <w:p>
      <w:pPr>
        <w:pStyle w:val="Heading2"/>
        <w:numPr>
          <w:ilvl w:val="1"/>
          <w:numId w:val="1"/>
        </w:numPr>
        <w:rPr/>
      </w:pPr>
      <w:bookmarkStart w:id="43" w:name="__RefHeading___Toc706244_3650668749"/>
      <w:bookmarkStart w:id="44" w:name="_Toc15"/>
      <w:bookmarkEnd w:id="42"/>
      <w:bookmarkEnd w:id="43"/>
      <w:r>
        <w:rPr/>
        <w:t>10</w:t>
      </w:r>
      <w:r>
        <w:rPr>
          <w:rtl w:val="true"/>
        </w:rPr>
        <w:t xml:space="preserve"> </w:t>
      </w:r>
      <w:r>
        <w:rPr>
          <w:rtl w:val="true"/>
        </w:rPr>
        <w:t xml:space="preserve">الصواعق المحرقة وحديث </w:t>
      </w:r>
      <w:r>
        <w:rPr>
          <w:rtl w:val="true"/>
        </w:rPr>
        <w:t>«</w:t>
      </w:r>
      <w:r>
        <w:rPr>
          <w:rtl w:val="true"/>
        </w:rPr>
        <w:t>ذكر عليّ عبادة</w:t>
      </w:r>
      <w:r>
        <w:rPr>
          <w:rtl w:val="true"/>
        </w:rPr>
        <w:t>»</w:t>
      </w:r>
      <w:bookmarkEnd w:id="44"/>
    </w:p>
    <w:p>
      <w:pPr>
        <w:pStyle w:val="BookText"/>
        <w:rPr/>
      </w:pP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أحمد بن حجر الهيتمي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عام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مصر في المطبعة الميمنية، وجاء فيها نفس الحديث في صفحة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الديلمي عن عائشة انّ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أخوتي عليّ، وخير أعمامي حمزة، ذكر عليّ عبادة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حرف في الطبعة التي حقّقها عبد الوهاب عبد اللطيف عام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إليك ما جاء في هذه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الديلمي عن عائشة انّ النبي صلَّى اللَّه عليه و آله و سلَّم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إخوتي عليٌّ، وخير أعمامي حمزة</w:t>
      </w:r>
      <w:r>
        <w:rPr>
          <w:rFonts w:eastAsia="Amiri" w:cs="Amiri" w:ascii="Amiri" w:hAnsi="Amiri"/>
          <w:color w:val="111111"/>
          <w:sz w:val="28"/>
          <w:szCs w:val="28"/>
          <w:rtl w:val="true"/>
          <w:lang w:bidi="ar-SA"/>
        </w:rPr>
        <w:t xml:space="preserve">». </w:t>
      </w:r>
      <w:r>
        <w:rPr>
          <w:rStyle w:val="FootnoteAnchor"/>
          <w:rtl w:val="true"/>
        </w:rPr>
        <w:footnoteReference w:id="47"/>
      </w:r>
      <w:bookmarkStart w:id="45" w:name="pg1561_11999"/>
    </w:p>
    <w:p>
      <w:pPr>
        <w:pStyle w:val="Heading2"/>
        <w:numPr>
          <w:ilvl w:val="1"/>
          <w:numId w:val="1"/>
        </w:numPr>
        <w:rPr/>
      </w:pPr>
      <w:bookmarkStart w:id="46" w:name="__RefHeading___Toc706246_3650668749"/>
      <w:bookmarkStart w:id="47" w:name="_Toc16"/>
      <w:bookmarkEnd w:id="45"/>
      <w:bookmarkEnd w:id="46"/>
      <w:r>
        <w:rPr/>
        <w:t>11</w:t>
      </w:r>
      <w:r>
        <w:rPr>
          <w:rtl w:val="true"/>
        </w:rPr>
        <w:t xml:space="preserve"> </w:t>
      </w:r>
      <w:r>
        <w:rPr>
          <w:rtl w:val="true"/>
        </w:rPr>
        <w:t xml:space="preserve">الصواعق المحرقة وحديث </w:t>
      </w:r>
      <w:r>
        <w:rPr>
          <w:rtl w:val="true"/>
        </w:rPr>
        <w:t>«</w:t>
      </w:r>
      <w:r>
        <w:rPr>
          <w:rtl w:val="true"/>
        </w:rPr>
        <w:t>كانت لعلي ثمانية عشر منقبة</w:t>
      </w:r>
      <w:r>
        <w:rPr>
          <w:rtl w:val="true"/>
        </w:rPr>
        <w:t>»</w:t>
      </w:r>
      <w:bookmarkEnd w:id="47"/>
    </w:p>
    <w:p>
      <w:pPr>
        <w:pStyle w:val="BookText"/>
        <w:rPr/>
      </w:pPr>
      <w:r>
        <w:rPr>
          <w:rFonts w:ascii="Amiri" w:hAnsi="Amiri" w:eastAsia="Amiri" w:cs="Amiri"/>
          <w:color w:val="111111"/>
          <w:sz w:val="28"/>
          <w:sz w:val="28"/>
          <w:szCs w:val="28"/>
          <w:rtl w:val="true"/>
          <w:lang w:bidi="ar-SA"/>
        </w:rPr>
        <w:t xml:space="preserve">جاء في الطبعة الميمنية، الصفحة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السطر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عساكر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 أحد من كتاب اللَّه تعالى ما نزل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منه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علي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الطبراني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لعلي ثمانية عشر منقبة ما كان لأحد 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أبو يعلى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حُرّف في الطبعة الثانية التي مرّ الإيعاز إليها، وجاء الحديث فيها صفحة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السطر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عساكر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نزل في أحد من كتاب اللَّه تعالى ما نزل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علي ثلاثمائة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أبو يعلى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لعلي ثمانية عشر منقبة ما كان لأحد 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من الأساس</w:t>
      </w:r>
      <w:r>
        <w:rPr>
          <w:rFonts w:eastAsia="Amiri" w:cs="Amiri" w:ascii="Amiri" w:hAnsi="Amiri"/>
          <w:color w:val="111111"/>
          <w:sz w:val="28"/>
          <w:szCs w:val="28"/>
          <w:rtl w:val="true"/>
          <w:lang w:bidi="ar-SA"/>
        </w:rPr>
        <w:t>.</w:t>
      </w:r>
      <w:bookmarkStart w:id="48" w:name="pg1561_12002"/>
    </w:p>
    <w:p>
      <w:pPr>
        <w:pStyle w:val="Heading2"/>
        <w:numPr>
          <w:ilvl w:val="1"/>
          <w:numId w:val="1"/>
        </w:numPr>
        <w:rPr/>
      </w:pPr>
      <w:bookmarkStart w:id="49" w:name="__RefHeading___Toc706248_3650668749"/>
      <w:bookmarkStart w:id="50" w:name="_Toc17"/>
      <w:bookmarkEnd w:id="48"/>
      <w:bookmarkEnd w:id="49"/>
      <w:r>
        <w:rPr/>
        <w:t>12</w:t>
      </w:r>
      <w:r>
        <w:rPr>
          <w:rtl w:val="true"/>
        </w:rPr>
        <w:t xml:space="preserve"> </w:t>
      </w:r>
      <w:r>
        <w:rPr>
          <w:rtl w:val="true"/>
        </w:rPr>
        <w:t>التحريف في دواوين الشعراء</w:t>
      </w:r>
      <w:bookmarkEnd w:id="50"/>
    </w:p>
    <w:p>
      <w:pPr>
        <w:pStyle w:val="Heading3"/>
        <w:numPr>
          <w:ilvl w:val="2"/>
          <w:numId w:val="1"/>
        </w:numPr>
        <w:rPr/>
      </w:pPr>
      <w:bookmarkStart w:id="51" w:name="__RefHeading___Toc706250_3650668749"/>
      <w:bookmarkStart w:id="52" w:name="_Toc18"/>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إنّ للتحريف ألواناً مختلفة ومن أقسامها تحريف قصائد شعراء الشيعة في مدائح أئمّة أهل البيت، وهانحن نذكر في هذه العجالة طروء التحريف على دواوين شعراء الشيعة الذين كان لقصائدهم صدى واسع في العصور الغابرة، وربما كان لقصيدة منهم أثر ديوان كامل في إثارة العواطف وإنارةالعقول وحشد الرأي العام ضد الظالمين</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706252_3650668749"/>
      <w:bookmarkStart w:id="54" w:name="_Toc19"/>
      <w:bookmarkEnd w:id="53"/>
      <w:r>
        <w:rPr/>
        <w:t>1</w:t>
      </w:r>
      <w:r>
        <w:rPr>
          <w:rtl w:val="true"/>
        </w:rPr>
        <w:t xml:space="preserve">. </w:t>
      </w:r>
      <w:r>
        <w:rPr>
          <w:rtl w:val="true"/>
        </w:rPr>
        <w:t>التحريف في ديوان الكميت‌</w:t>
      </w:r>
      <w:bookmarkEnd w:id="5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هي قصيدة الشاعر المفلق الكميت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مستهلّها</w:t>
      </w:r>
      <w:r>
        <w:rPr>
          <w:rFonts w:eastAsia="Amiri" w:cs="Amiri" w:ascii="Amiri" w:hAnsi="Amiri"/>
          <w:color w:val="111111"/>
          <w:sz w:val="28"/>
          <w:szCs w:val="28"/>
          <w:rtl w:val="true"/>
          <w:lang w:bidi="ar-SA"/>
        </w:rPr>
        <w:t>:</w:t>
      </w:r>
      <w:bookmarkStart w:id="55" w:name="pg1561_12004"/>
    </w:p>
    <w:p>
      <w:pPr>
        <w:pStyle w:val="BookText"/>
        <w:rPr/>
      </w:pPr>
      <w:bookmarkEnd w:id="55"/>
      <w:r>
        <w:rPr>
          <w:rFonts w:ascii="Amiri" w:hAnsi="Amiri" w:eastAsia="Amiri" w:cs="Amiri"/>
          <w:color w:val="111111"/>
          <w:sz w:val="28"/>
          <w:sz w:val="28"/>
          <w:szCs w:val="28"/>
          <w:rtl w:val="true"/>
          <w:lang w:bidi="ar-SA"/>
        </w:rPr>
        <w:t>نفى عن عينك الأرق الهجوعا</w:t>
      </w:r>
    </w:p>
    <w:p>
      <w:pPr>
        <w:pStyle w:val="BookText"/>
        <w:rPr/>
      </w:pPr>
      <w:r>
        <w:rPr>
          <w:rFonts w:ascii="Amiri" w:hAnsi="Amiri" w:eastAsia="Amiri" w:cs="Amiri"/>
          <w:color w:val="111111"/>
          <w:sz w:val="28"/>
          <w:sz w:val="28"/>
          <w:szCs w:val="28"/>
          <w:rtl w:val="true"/>
          <w:lang w:bidi="ar-SA"/>
        </w:rPr>
        <w:t>وهمٌّ يمتري منها الدموعا</w:t>
      </w:r>
    </w:p>
    <w:p>
      <w:pPr>
        <w:pStyle w:val="BookText"/>
        <w:rPr/>
      </w:pPr>
      <w:r>
        <w:rPr>
          <w:rFonts w:ascii="Amiri" w:hAnsi="Amiri" w:eastAsia="Amiri" w:cs="Amiri"/>
          <w:color w:val="111111"/>
          <w:sz w:val="28"/>
          <w:sz w:val="28"/>
          <w:szCs w:val="28"/>
          <w:rtl w:val="true"/>
          <w:lang w:bidi="ar-SA"/>
        </w:rPr>
        <w:t>فقد عاثت في طبعها يد النشر الأمينة على ودائع العلم فنقصت منها شيئاً كثيراً لا يستهان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آن ليد التنقيب أن تميط الستار عن هذه الجنايات المخبئة فانّ المطبوع من القصيدة في ليدن سنة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والمشروحة بقلم الأُستاذ محمد شاكر الخياط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والمشروحة بقلم الأُستاذ الرافعي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ثمّ ذكر موارد التحريف في هذه الطبعات</w:t>
      </w:r>
      <w:r>
        <w:rPr>
          <w:rFonts w:eastAsia="Amiri" w:cs="Amiri" w:ascii="Amiri" w:hAnsi="Amiri"/>
          <w:color w:val="111111"/>
          <w:sz w:val="28"/>
          <w:szCs w:val="28"/>
          <w:rtl w:val="true"/>
          <w:lang w:bidi="ar-SA"/>
        </w:rPr>
        <w:t xml:space="preserve">. </w:t>
      </w:r>
      <w:r>
        <w:rPr>
          <w:rStyle w:val="FootnoteAnchor"/>
          <w:rtl w:val="true"/>
        </w:rPr>
        <w:footnoteReference w:id="48"/>
      </w:r>
    </w:p>
    <w:p>
      <w:pPr>
        <w:pStyle w:val="Heading3"/>
        <w:numPr>
          <w:ilvl w:val="2"/>
          <w:numId w:val="1"/>
        </w:numPr>
        <w:rPr/>
      </w:pPr>
      <w:bookmarkStart w:id="56" w:name="__RefHeading___Toc706254_3650668749"/>
      <w:bookmarkStart w:id="57" w:name="_Toc20"/>
      <w:bookmarkEnd w:id="56"/>
      <w:r>
        <w:rPr/>
        <w:t>2</w:t>
      </w:r>
      <w:r>
        <w:rPr>
          <w:rtl w:val="true"/>
        </w:rPr>
        <w:t xml:space="preserve">. </w:t>
      </w:r>
      <w:r>
        <w:rPr>
          <w:rtl w:val="true"/>
        </w:rPr>
        <w:t>التحريف في ديوان حسان‌</w:t>
      </w:r>
      <w:bookmarkEnd w:id="5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في حقّ ديوان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لحسان في مولانا أميرالمؤمنين عليه السَّلام مدائح جمة غير انّ يد الأمانة لم تقبض عليها يوم مدّت إلى ديوانه، فحرّفت الكلم عن مواضعها،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ولعبت بديوان حسان كما لعبت بغيره من الدواوين والكتب والمعاجم التي أسقطت منها مدائح أهل البيتعليهم السَّلام وفضائلهم، والذكريات الحميدة لأتباعهم، كديوان الفرزدق الذي اسقطوا منها ميميته المشهورة في مولانا الإمام زين العابدينعليه السَّلام مع إشارة الناشر إليها في مقدمة شرح ديوانه وقد طفحت بذكرها الكتب والمعاجم، وكديوان كميت فانّه حرفت منه أبيات كما زيدت عليه أُخرى، وكديوان أمير الشعراء أبي فراس، وكديوان كشاجم الذي زحزحوا عنه كمية مهمة من مراثي سيدنا الإمام السبط الشهيد سلام اللَّه عليه،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قتيبة الذي زيد فيه ما شاءه الهوى للمحرّف ونقص منه ما يلائم خطّته، بشهادة الكتب الناقلة عنه من بعده، إلى غير هذه من الكتب التي عاثوا فيها لدى النشر أو حرفوها عند النقل</w:t>
      </w:r>
      <w:r>
        <w:rPr>
          <w:rFonts w:eastAsia="Amiri" w:cs="Amiri" w:ascii="Amiri" w:hAnsi="Amiri"/>
          <w:color w:val="111111"/>
          <w:sz w:val="28"/>
          <w:szCs w:val="28"/>
          <w:rtl w:val="true"/>
          <w:lang w:bidi="ar-SA"/>
        </w:rPr>
        <w:t xml:space="preserve">. </w:t>
      </w:r>
      <w:r>
        <w:rPr>
          <w:rStyle w:val="FootnoteAnchor"/>
          <w:rtl w:val="true"/>
        </w:rPr>
        <w:footnoteReference w:id="49"/>
      </w:r>
      <w:bookmarkStart w:id="58" w:name="pg1561_12008"/>
    </w:p>
    <w:p>
      <w:pPr>
        <w:pStyle w:val="Heading3"/>
        <w:numPr>
          <w:ilvl w:val="2"/>
          <w:numId w:val="1"/>
        </w:numPr>
        <w:rPr/>
      </w:pPr>
      <w:bookmarkStart w:id="59" w:name="__RefHeading___Toc706256_3650668749"/>
      <w:bookmarkStart w:id="60" w:name="_Toc21"/>
      <w:bookmarkEnd w:id="58"/>
      <w:bookmarkEnd w:id="59"/>
      <w:r>
        <w:rPr/>
        <w:t>3</w:t>
      </w:r>
      <w:r>
        <w:rPr>
          <w:rtl w:val="true"/>
        </w:rPr>
        <w:t xml:space="preserve">. </w:t>
      </w:r>
      <w:r>
        <w:rPr>
          <w:rtl w:val="true"/>
        </w:rPr>
        <w:t>التحريف في ديوان أبي تمام‌</w:t>
      </w:r>
      <w:bookmarkEnd w:id="60"/>
    </w:p>
    <w:p>
      <w:pPr>
        <w:pStyle w:val="BookText"/>
        <w:rPr/>
      </w:pPr>
      <w:r>
        <w:rPr>
          <w:rFonts w:ascii="Amiri" w:hAnsi="Amiri" w:eastAsia="Amiri" w:cs="Amiri"/>
          <w:color w:val="111111"/>
          <w:sz w:val="28"/>
          <w:sz w:val="28"/>
          <w:szCs w:val="28"/>
          <w:rtl w:val="true"/>
          <w:lang w:bidi="ar-SA"/>
        </w:rPr>
        <w:t xml:space="preserve">أبو تمام هو حبيب بن أوس أحد رؤساء الإمامية كما قال الجاحظ </w:t>
      </w:r>
      <w:r>
        <w:rPr>
          <w:rStyle w:val="FootnoteAnchor"/>
          <w:rtl w:val="true"/>
        </w:rPr>
        <w:footnoteReference w:id="50"/>
      </w:r>
      <w:r>
        <w:rPr>
          <w:rFonts w:ascii="Amiri" w:hAnsi="Amiri" w:eastAsia="Amiri" w:cs="Amiri"/>
          <w:color w:val="111111"/>
          <w:sz w:val="28"/>
          <w:sz w:val="28"/>
          <w:szCs w:val="28"/>
          <w:rtl w:val="true"/>
          <w:lang w:bidi="ar-SA"/>
        </w:rPr>
        <w:t>، والأوحد من شيوخ الشيعة في الأدب في العصور المتقدمة، صاحب الديوان المعروف وقد جاءت فيه رائيته التي مستهلها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أظبية حيث استنّت الكثب العُفر</w:t>
      </w:r>
    </w:p>
    <w:p>
      <w:pPr>
        <w:pStyle w:val="BookText"/>
        <w:rPr/>
      </w:pPr>
      <w:r>
        <w:rPr>
          <w:rFonts w:ascii="Amiri" w:hAnsi="Amiri" w:eastAsia="Amiri" w:cs="Amiri"/>
          <w:color w:val="111111"/>
          <w:sz w:val="28"/>
          <w:sz w:val="28"/>
          <w:szCs w:val="28"/>
          <w:rtl w:val="true"/>
          <w:lang w:bidi="ar-SA"/>
        </w:rPr>
        <w:t>رويدك لا يغتالك اللوم والزَّجرُ</w:t>
      </w:r>
    </w:p>
    <w:p>
      <w:pPr>
        <w:pStyle w:val="BookText"/>
        <w:rPr/>
      </w:pPr>
      <w:r>
        <w:rPr>
          <w:rFonts w:ascii="Amiri" w:hAnsi="Amiri" w:eastAsia="Amiri" w:cs="Amiri"/>
          <w:color w:val="111111"/>
          <w:sz w:val="28"/>
          <w:sz w:val="28"/>
          <w:szCs w:val="28"/>
          <w:rtl w:val="true"/>
          <w:lang w:bidi="ar-SA"/>
        </w:rPr>
        <w:t>أسرّي حذاراً لم تقيّدك ردّة</w:t>
      </w:r>
    </w:p>
    <w:p>
      <w:pPr>
        <w:pStyle w:val="BookText"/>
        <w:rPr/>
      </w:pPr>
      <w:r>
        <w:rPr>
          <w:rFonts w:ascii="Amiri" w:hAnsi="Amiri" w:eastAsia="Amiri" w:cs="Amiri"/>
          <w:color w:val="111111"/>
          <w:sz w:val="28"/>
          <w:sz w:val="28"/>
          <w:szCs w:val="28"/>
          <w:rtl w:val="true"/>
          <w:lang w:bidi="ar-SA"/>
        </w:rPr>
        <w:t>فيحسر ماء من محاسنك الهذر</w:t>
      </w:r>
    </w:p>
    <w:p>
      <w:pPr>
        <w:pStyle w:val="BookText"/>
        <w:rPr/>
      </w:pPr>
      <w:r>
        <w:rPr>
          <w:rFonts w:ascii="Amiri" w:hAnsi="Amiri" w:eastAsia="Amiri" w:cs="Amiri"/>
          <w:color w:val="111111"/>
          <w:sz w:val="28"/>
          <w:sz w:val="28"/>
          <w:szCs w:val="28"/>
          <w:rtl w:val="true"/>
          <w:lang w:bidi="ar-SA"/>
        </w:rPr>
        <w:t>و جاء فيها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الغدير استوضح الحقّ أهله</w:t>
      </w:r>
    </w:p>
    <w:p>
      <w:pPr>
        <w:pStyle w:val="BookText"/>
        <w:rPr/>
      </w:pPr>
      <w:r>
        <w:rPr>
          <w:rFonts w:ascii="Amiri" w:hAnsi="Amiri" w:eastAsia="Amiri" w:cs="Amiri"/>
          <w:color w:val="111111"/>
          <w:sz w:val="28"/>
          <w:sz w:val="28"/>
          <w:szCs w:val="28"/>
          <w:rtl w:val="true"/>
          <w:lang w:bidi="ar-SA"/>
        </w:rPr>
        <w:t>بضحياء لا فيها حجاب ولا ستر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النجاشي عن زميله أحمد بن الحسين الغضائري انّه رأى نسخة عتيقة من ديوان شعر أبي تمام</w:t>
      </w:r>
      <w:bookmarkStart w:id="61" w:name="pg1561_12009"/>
    </w:p>
    <w:p>
      <w:pPr>
        <w:pStyle w:val="BookText"/>
        <w:rPr/>
      </w:pPr>
      <w:bookmarkEnd w:id="61"/>
      <w:r>
        <w:rPr>
          <w:rFonts w:ascii="Amiri" w:hAnsi="Amiri" w:eastAsia="Amiri" w:cs="Amiri"/>
          <w:color w:val="111111"/>
          <w:sz w:val="28"/>
          <w:sz w:val="28"/>
          <w:szCs w:val="28"/>
          <w:rtl w:val="true"/>
          <w:lang w:bidi="ar-SA"/>
        </w:rPr>
        <w:t>كتبت في أيّامه أو قريباً منه وفيها قصيدة يذكر فيها الأئمّة حتّى انتهى إلى أبي جعفر الثاني لأنّه توفّي في أيّامه</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ولكن ليس في ديوانه أي‌قصيدة تعرب عن ولائه وعقيدته سوى الرائية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 الأمانة في طبع الكتب حذفت تلكم القصائد عند تمثيل الديوان إلى عالم الطباعة كما صنعت مع غيره أيضاً، أو انّها لم تصل إليها عند النشر، أو انّ المطبوع اختصار أبي العلاء المعري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يقول النجاشي له شعر في أهل البيت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من التحريفات التي عاثت بدواوين شعراء الشيعة وآثارهم</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706258_3650668749"/>
      <w:bookmarkStart w:id="63" w:name="_Toc22"/>
      <w:bookmarkEnd w:id="62"/>
      <w:r>
        <w:rPr>
          <w:rtl w:val="true"/>
        </w:rPr>
        <w:t xml:space="preserve">التحريف في </w:t>
      </w:r>
      <w:r>
        <w:rPr>
          <w:rtl w:val="true"/>
        </w:rPr>
        <w:t>«</w:t>
      </w:r>
      <w:r>
        <w:rPr>
          <w:rtl w:val="true"/>
        </w:rPr>
        <w:t>روح المعاني</w:t>
      </w:r>
      <w:r>
        <w:rPr>
          <w:rtl w:val="true"/>
        </w:rPr>
        <w:t xml:space="preserve">» </w:t>
      </w:r>
      <w:r>
        <w:rPr>
          <w:rtl w:val="true"/>
        </w:rPr>
        <w:t>للآلوسي‌</w:t>
      </w:r>
      <w:bookmarkEnd w:id="6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أقبح التحريفات حذف فصل خاص من</w:t>
      </w:r>
    </w:p>
    <w:p>
      <w:pPr>
        <w:pStyle w:val="BookText"/>
        <w:rPr/>
      </w:pPr>
      <w:r>
        <w:rPr>
          <w:rFonts w:ascii="Amiri" w:hAnsi="Amiri" w:eastAsia="Amiri" w:cs="Amiri"/>
          <w:color w:val="111111"/>
          <w:sz w:val="28"/>
          <w:sz w:val="28"/>
          <w:szCs w:val="28"/>
          <w:rtl w:val="true"/>
          <w:lang w:bidi="ar-SA"/>
        </w:rPr>
        <w:t xml:space="preserve">الكتاب لأنّه لا يوافق عقيدة الناشر، وإن كنت في شكّ من هذا فاقرأ ما نتلوه عليك في صنيعة نعمان الآلوسي ولد علامة العراق الشيخ محمود الآلوسي مؤلف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مؤلّف ردود على شبهات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التحريف وحذف الأحاديث شأن السلفية وديدنهم، إنّ نعمان الآلوسي حرّف تفسير والده المكرم علّامة العراق الشيخ محمود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تحريفه لكان التفسير الفريد وجامع الجوامع، وأمّا الحذف والنسخ للعبارات والأحاديث فحدث عنه ولا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طبعوا المغني لابن قدامة الحنبلي فحذفوا منه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وطبعوا شرح صحيح مسلم فسلخوا منه أحاديث الصفات، هذا ما عثرنا عليه من خيانتهم العلمية وقبيح عملهم، وسيحاسبهم اللَّه على سوء صنيعهم وهو مطّلع عليه وإن خفى عنّا</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وفي ذيل مقالات الكوثري لأحمد خيري قوله في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ليس بأمين على تفسير والده، ولو قابله أحدهم بالنسخة المحفوظة اليوم بمكتبة راغب پاشا باسطنبول وهي النسخة التي أهداها إلى السلطان عبد الحميد خان لوجد ما يطمئن إليه</w:t>
      </w:r>
      <w:r>
        <w:rPr>
          <w:rFonts w:eastAsia="IRNazanin" w:cs="IRNazanin"/>
          <w:color w:val="111111"/>
          <w:sz w:val="28"/>
          <w:szCs w:val="28"/>
          <w:rtl w:val="true"/>
          <w:lang w:bidi="fa-IR"/>
        </w:rPr>
        <w:t xml:space="preserve">.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الصَّلوة وَاتَّبعُوا الشَّهوات</w:t>
      </w:r>
      <w:r>
        <w:rPr>
          <w:rFonts w:eastAsia="Amiri" w:cs="Amiri" w:ascii="Amiri" w:hAnsi="Amiri"/>
          <w:color w:val="111111"/>
          <w:sz w:val="28"/>
          <w:szCs w:val="28"/>
          <w:rtl w:val="true"/>
          <w:lang w:bidi="ar-SA"/>
        </w:rPr>
        <w:t xml:space="preserve">). </w:t>
      </w:r>
      <w:r>
        <w:rPr>
          <w:rStyle w:val="FootnoteAnchor"/>
          <w:rtl w:val="true"/>
        </w:rPr>
        <w:footnoteReference w:id="54"/>
      </w:r>
      <w:bookmarkStart w:id="64" w:name="pg1561_12015"/>
    </w:p>
    <w:p>
      <w:pPr>
        <w:pStyle w:val="Heading2"/>
        <w:numPr>
          <w:ilvl w:val="1"/>
          <w:numId w:val="1"/>
        </w:numPr>
        <w:rPr/>
      </w:pPr>
      <w:bookmarkStart w:id="65" w:name="__RefHeading___Toc706260_3650668749"/>
      <w:bookmarkStart w:id="66" w:name="_Toc23"/>
      <w:bookmarkEnd w:id="64"/>
      <w:bookmarkEnd w:id="65"/>
      <w:r>
        <w:rPr/>
        <w:t>13</w:t>
      </w:r>
      <w:r>
        <w:rPr>
          <w:rtl w:val="true"/>
        </w:rPr>
        <w:t xml:space="preserve"> </w:t>
      </w:r>
      <w:r>
        <w:rPr>
          <w:rtl w:val="true"/>
        </w:rPr>
        <w:t>تحريف السنّة للابتعاد عن الشيعة</w:t>
      </w:r>
      <w:bookmarkEnd w:id="66"/>
    </w:p>
    <w:p>
      <w:pPr>
        <w:pStyle w:val="Heading3"/>
        <w:numPr>
          <w:ilvl w:val="2"/>
          <w:numId w:val="1"/>
        </w:numPr>
        <w:rPr/>
      </w:pPr>
      <w:bookmarkStart w:id="67" w:name="__RefHeading___Toc706262_3650668749"/>
      <w:bookmarkStart w:id="68" w:name="_Toc24"/>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إنّ الشريعة الإسلامية خاتمة الشرائع، ونبيها خاتم الأنبياءصلَّى اللَّه عليه و آله و سلَّم، وكتابه خاتمة الكتب، وشريعته خالدة، فحلال محمد حلال إلى يوم القيامة، وحرامه حرام إلى يوم القيامة، من غير فرق بين الواجب والحرام والسنن والطقوس، فليس على المسلم تغيير أحكامه في أيّ مجال من المجالات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ولكنّا نرى أنّ بعض أهل السنّة رجّحوا ترك السنّة النبوية، وسمّوها البدعة بحجة انّ طائفة من المسلمين ملتزمون بالعمل بها، فلأجل الابتعاد عن التشابه بها أخذوا بالبدعة وتركوا السنّة، ولنذكر نماذج لهذا النوع من البدعة</w:t>
      </w:r>
      <w:r>
        <w:rPr>
          <w:rFonts w:eastAsia="Amiri" w:cs="Amiri" w:ascii="Amiri" w:hAnsi="Amiri"/>
          <w:color w:val="111111"/>
          <w:sz w:val="28"/>
          <w:szCs w:val="28"/>
          <w:rtl w:val="true"/>
          <w:lang w:bidi="ar-SA"/>
        </w:rPr>
        <w:t>.</w:t>
      </w:r>
      <w:bookmarkStart w:id="69" w:name="pg1561_12017"/>
    </w:p>
    <w:p>
      <w:pPr>
        <w:pStyle w:val="Heading3"/>
        <w:numPr>
          <w:ilvl w:val="2"/>
          <w:numId w:val="1"/>
        </w:numPr>
        <w:rPr/>
      </w:pPr>
      <w:bookmarkStart w:id="70" w:name="__RefHeading___Toc706264_3650668749"/>
      <w:bookmarkStart w:id="71" w:name="_Toc25"/>
      <w:bookmarkEnd w:id="69"/>
      <w:bookmarkEnd w:id="70"/>
      <w:r>
        <w:rPr/>
        <w:t>1</w:t>
      </w:r>
      <w:r>
        <w:rPr>
          <w:rtl w:val="true"/>
        </w:rPr>
        <w:t xml:space="preserve">. </w:t>
      </w:r>
      <w:r>
        <w:rPr>
          <w:rtl w:val="true"/>
        </w:rPr>
        <w:t>تسطيح القبر سنّة ترفض لأنّها شعار الشيعة</w:t>
      </w:r>
      <w:bookmarkEnd w:id="71"/>
    </w:p>
    <w:p>
      <w:pPr>
        <w:pStyle w:val="BookText"/>
        <w:rPr/>
      </w:pPr>
      <w:r>
        <w:rPr>
          <w:rFonts w:ascii="Amiri" w:hAnsi="Amiri" w:eastAsia="Amiri" w:cs="Amiri"/>
          <w:color w:val="111111"/>
          <w:sz w:val="28"/>
          <w:sz w:val="28"/>
          <w:szCs w:val="28"/>
          <w:rtl w:val="true"/>
          <w:lang w:bidi="ar-SA"/>
        </w:rPr>
        <w:t>قال الشيخ محمد بن عبد الرحمان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في القبر، التسطيح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أولى على الراجح من مذهب الشافعي</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وقال أبو حنيفة ومالك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التسنيم أولى، لأنّ التسطيح صار شعاراً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الغزالي والماوردي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تسطيح القبور هو المشروع، لكن لمّا جعلته الرافضة شعاراً لهم عدلنا عنه إلى التسنيم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المشروع التختّم في اليمين، ولكن لمّا اتّخذته الرافضة جعلناه في اليسار</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وقال 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سطّح قبر ابنه إبراهيم، وعن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قبر النبي وأبي بكر وعمر مسطّحة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الأفضل الآن العدول من التسطيح إلى التسنيم، لأنّ التسطيح صار شعاراً للروافض، فالأولى مخالفتهم، وصيانة الميت وأهله عن الاتّهام بالبدعة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حكي عنه أنّ الجهر بالتسمية إذا صار في موضع شعار لهم، فالمستحب الإسرار بها مخالفة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له بما روي انّ النبي‌صلَّى اللَّه عليه و آله و سلَّم كان يقوم إذا بدت جنازة، فأخبر انّ اليهود تفعل ذلك، فترك القيام بعد ذلك مخالفة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هو الذي أجاب به في الكتاب ومال إليه الشيخ أبو محمد وتابعه القاضي الروياني لكن الجمهور على أنّ المذهب، الأوّل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تركنا ما ثبت في السنّة، لإطباق بعض</w:t>
      </w:r>
      <w:bookmarkStart w:id="72" w:name="pg1561_12021"/>
    </w:p>
    <w:p>
      <w:pPr>
        <w:pStyle w:val="BookText"/>
        <w:rPr/>
      </w:pPr>
      <w:bookmarkEnd w:id="72"/>
      <w:r>
        <w:rPr>
          <w:rFonts w:ascii="Amiri" w:hAnsi="Amiri" w:eastAsia="Amiri" w:cs="Amiri"/>
          <w:color w:val="111111"/>
          <w:sz w:val="28"/>
          <w:sz w:val="28"/>
          <w:szCs w:val="28"/>
          <w:rtl w:val="true"/>
          <w:lang w:bidi="ar-SA"/>
        </w:rPr>
        <w:t>المبتدعة عليه، لجرّنا ذلك إلى ترك سنن كثيرة، وإذا اطرد جرينا على الشي‌ء خرج عن أن يعدّ شعاراً للمبتدعة</w:t>
      </w:r>
      <w:r>
        <w:rPr>
          <w:rFonts w:eastAsia="Amiri" w:cs="Amiri" w:ascii="Amiri" w:hAnsi="Amiri"/>
          <w:color w:val="111111"/>
          <w:sz w:val="28"/>
          <w:szCs w:val="28"/>
          <w:rtl w:val="true"/>
          <w:lang w:bidi="ar-SA"/>
        </w:rPr>
        <w:t>.</w:t>
      </w:r>
      <w:r>
        <w:rPr>
          <w:rStyle w:val="FootnoteAnchor"/>
          <w:rtl w:val="true"/>
        </w:rPr>
        <w:footnoteReference w:id="57"/>
      </w:r>
    </w:p>
    <w:p>
      <w:pPr>
        <w:pStyle w:val="Heading3"/>
        <w:numPr>
          <w:ilvl w:val="2"/>
          <w:numId w:val="1"/>
        </w:numPr>
        <w:rPr/>
      </w:pPr>
      <w:bookmarkStart w:id="73" w:name="__RefHeading___Toc706266_3650668749"/>
      <w:bookmarkStart w:id="74" w:name="_Toc26"/>
      <w:bookmarkEnd w:id="73"/>
      <w:r>
        <w:rPr/>
        <w:t>2</w:t>
      </w:r>
      <w:r>
        <w:rPr>
          <w:rtl w:val="true"/>
        </w:rPr>
        <w:t xml:space="preserve">. </w:t>
      </w:r>
      <w:r>
        <w:rPr>
          <w:rtl w:val="true"/>
        </w:rPr>
        <w:t>الجهر بالبسملة</w:t>
      </w:r>
      <w:bookmarkEnd w:id="74"/>
    </w:p>
    <w:p>
      <w:pPr>
        <w:pStyle w:val="BookText"/>
        <w:rPr/>
      </w:pPr>
      <w:r>
        <w:rPr>
          <w:rFonts w:ascii="Amiri" w:hAnsi="Amiri" w:eastAsia="Amiri" w:cs="Amiri"/>
          <w:color w:val="111111"/>
          <w:sz w:val="28"/>
          <w:sz w:val="28"/>
          <w:szCs w:val="28"/>
          <w:rtl w:val="true"/>
          <w:lang w:bidi="ar-SA"/>
        </w:rPr>
        <w:t>قال الإمام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البيهقي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يُجهر في الصلاة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يُجهر بالتسمية وقد ثبت بالتواتر، وكان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ذكره شرف للذاكرين، ومثل هذا كيف يليق بالعاقل أن يسعى في إخفائه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هي الجهر بالتسمية، سواء أكانت في الصلاة الجهرية أو السرية، وجمهور الفقهاء يُخالفونهم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يُبالغ في الجهر بالتسمية، فلمّا وصلت الدولة إلى بني أُميّة بالغوا في المنع</w:t>
      </w:r>
      <w:bookmarkStart w:id="75" w:name="pg1561_12022"/>
    </w:p>
    <w:p>
      <w:pPr>
        <w:pStyle w:val="BookText"/>
        <w:rPr/>
      </w:pPr>
      <w:bookmarkEnd w:id="75"/>
      <w:r>
        <w:rPr>
          <w:rFonts w:ascii="Amiri" w:hAnsi="Amiri" w:eastAsia="Amiri" w:cs="Amiri"/>
          <w:color w:val="111111"/>
          <w:sz w:val="28"/>
          <w:sz w:val="28"/>
          <w:szCs w:val="28"/>
          <w:rtl w:val="true"/>
          <w:lang w:bidi="ar-SA"/>
        </w:rPr>
        <w:t>من الجهر، سعياً في إبطال آثار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706268_3650668749"/>
      <w:bookmarkStart w:id="77" w:name="_Toc27"/>
      <w:bookmarkEnd w:id="76"/>
      <w:r>
        <w:rPr/>
        <w:t>3</w:t>
      </w:r>
      <w:r>
        <w:rPr>
          <w:rtl w:val="true"/>
        </w:rPr>
        <w:t xml:space="preserve">. </w:t>
      </w:r>
      <w:r>
        <w:rPr>
          <w:rtl w:val="true"/>
        </w:rPr>
        <w:t>الصلاة على المؤمن مفرداً سنّة ترفض‌</w:t>
      </w:r>
      <w:bookmarkEnd w:id="77"/>
    </w:p>
    <w:p>
      <w:pPr>
        <w:pStyle w:val="BookText"/>
        <w:rPr/>
      </w:pPr>
      <w:r>
        <w:rPr>
          <w:rFonts w:ascii="Amiri" w:hAnsi="Amiri" w:eastAsia="Amiri" w:cs="Amiri"/>
          <w:color w:val="111111"/>
          <w:sz w:val="28"/>
          <w:sz w:val="28"/>
          <w:szCs w:val="28"/>
          <w:rtl w:val="true"/>
          <w:lang w:bidi="ar-SA"/>
        </w:rPr>
        <w:t>قال الزمخشري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الصلاة على غيره؟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جواز الصلاة على كلّ مؤمن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يُصلّي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عَلَيْهِمْ إِنَّ صَلاتَكَ سَكَنٌ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آل أبي أوفى، ولكنّ للعلماء تفصيلًا في ذلك وهو أنّها إن كانت على سبيل التبع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النبي وآله فلا كلام فيها، وأمّا إذا أفرد غيره من أهل البيت بالصلاة كما يفرد هو فمكروه، لأنّ ذلك صار شعاراً لذكر رسول اللَّه صلَّى اللَّه عليه و آله وسلَّم، ولأنّه يؤدّي إلى الاتّهام بالرفض</w:t>
      </w:r>
      <w:r>
        <w:rPr>
          <w:rFonts w:eastAsia="Amiri" w:cs="Amiri" w:ascii="Amiri" w:hAnsi="Amiri"/>
          <w:color w:val="111111"/>
          <w:sz w:val="28"/>
          <w:szCs w:val="28"/>
          <w:rtl w:val="true"/>
          <w:lang w:bidi="ar-SA"/>
        </w:rPr>
        <w:t xml:space="preserve">. </w:t>
      </w:r>
      <w:r>
        <w:rPr>
          <w:rStyle w:val="FootnoteAnchor"/>
          <w:rtl w:val="true"/>
        </w:rPr>
        <w:footnoteReference w:id="59"/>
      </w:r>
      <w:bookmarkStart w:id="78" w:name="pg1561_12024"/>
    </w:p>
    <w:p>
      <w:pPr>
        <w:pStyle w:val="BookText"/>
        <w:rPr/>
      </w:pPr>
      <w:bookmarkEnd w:id="78"/>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السلام على غير الأنبياء بعد الاتّفاق على مشروعيته في الحيّ، فقيل يشرع مطلقاً، وقيل بل تبعاً ولا يفرّد لواحد لكونه صار شعاراً للرافضة، ونقله النووي عن الشيخ أبي محمد الجويني</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ومعنى ذلك انّه لم يجد مبرّراً لترك ما شرّعه الإسلام، إلّا عمل الرافضة بسنة الإسلام، ولو صحّ ذلك، كان على القائل أن يترك عامة الفرائض والسنن التي يعمل بها الروافض</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706270_3650668749"/>
      <w:bookmarkStart w:id="80" w:name="_Toc28"/>
      <w:bookmarkEnd w:id="79"/>
      <w:r>
        <w:rPr/>
        <w:t>4</w:t>
      </w:r>
      <w:r>
        <w:rPr>
          <w:rtl w:val="true"/>
        </w:rPr>
        <w:t xml:space="preserve">. </w:t>
      </w:r>
      <w:r>
        <w:rPr>
          <w:rtl w:val="true"/>
        </w:rPr>
        <w:t>ترك المستحبات إذا صارت شعاراً للشيعة</w:t>
      </w:r>
      <w:bookmarkEnd w:id="8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بيان التشبّه بالروافض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ذهب من ذهب من الفقهاء إلى ترك بعض المستحبّات إذا صارت شعاراً لهم، فانّه وإن لم يكن الترك واجباً</w:t>
      </w:r>
      <w:bookmarkStart w:id="81" w:name="pg1561_12026"/>
    </w:p>
    <w:p>
      <w:pPr>
        <w:pStyle w:val="BookText"/>
        <w:rPr/>
      </w:pPr>
      <w:bookmarkEnd w:id="81"/>
      <w:r>
        <w:rPr>
          <w:rFonts w:ascii="Amiri" w:hAnsi="Amiri" w:eastAsia="Amiri" w:cs="Amiri"/>
          <w:color w:val="111111"/>
          <w:sz w:val="28"/>
          <w:sz w:val="28"/>
          <w:szCs w:val="28"/>
          <w:rtl w:val="true"/>
          <w:lang w:bidi="ar-SA"/>
        </w:rPr>
        <w:t>لذلك، لكن في إظهار ذلك مشابهة لهم فلا يتميّز السنّي من الرافضي، ومصلحة التمييز عنهم لأجل هجرانهم ومخالفتهم أعظم من مصلحة هذا المستحبّ</w:t>
      </w:r>
      <w:r>
        <w:rPr>
          <w:rFonts w:eastAsia="Amiri" w:cs="Amiri" w:ascii="Amiri" w:hAnsi="Amiri"/>
          <w:color w:val="111111"/>
          <w:sz w:val="28"/>
          <w:szCs w:val="28"/>
          <w:rtl w:val="true"/>
          <w:lang w:bidi="ar-SA"/>
        </w:rPr>
        <w:t xml:space="preserve">. </w:t>
      </w:r>
      <w:r>
        <w:rPr>
          <w:rStyle w:val="FootnoteAnchor"/>
          <w:rtl w:val="true"/>
        </w:rPr>
        <w:footnoteReference w:id="61"/>
      </w:r>
    </w:p>
    <w:p>
      <w:pPr>
        <w:pStyle w:val="Heading3"/>
        <w:numPr>
          <w:ilvl w:val="2"/>
          <w:numId w:val="1"/>
        </w:numPr>
        <w:rPr/>
      </w:pPr>
      <w:bookmarkStart w:id="82" w:name="__RefHeading___Toc706272_3650668749"/>
      <w:bookmarkStart w:id="83" w:name="_Toc29"/>
      <w:bookmarkEnd w:id="82"/>
      <w:r>
        <w:rPr/>
        <w:t>5</w:t>
      </w:r>
      <w:r>
        <w:rPr>
          <w:rtl w:val="true"/>
        </w:rPr>
        <w:t xml:space="preserve">. </w:t>
      </w:r>
      <w:r>
        <w:rPr>
          <w:rtl w:val="true"/>
        </w:rPr>
        <w:t>ترك فعل الخيرات وإقامة المآتم يوم عاشوراء</w:t>
      </w:r>
      <w:bookmarkEnd w:id="83"/>
    </w:p>
    <w:p>
      <w:pPr>
        <w:pStyle w:val="BookText"/>
        <w:rPr/>
      </w:pPr>
      <w:r>
        <w:rPr>
          <w:rFonts w:ascii="Amiri" w:hAnsi="Amiri" w:eastAsia="Amiri" w:cs="Amiri"/>
          <w:color w:val="111111"/>
          <w:sz w:val="28"/>
          <w:sz w:val="28"/>
          <w:szCs w:val="28"/>
          <w:rtl w:val="true"/>
          <w:lang w:bidi="ar-SA"/>
        </w:rPr>
        <w:t xml:space="preserve">حكى البرسوي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واللآلي و فضل الشهور والليالي، للشيخ شهاب الدين الشهير بالرسام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الثالث</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المستحب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الخيرات من الصّدقة والصوم والذكر وغيرهما، ولا ينبغي للمؤمن أن يتشبّه بيزيد الملعون في بعض الأفعال، وبالشيعة والروافض والخوارج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يجعل ذلك اليوم يوم عيد أو يوم مأتم، فمن اكتحل يوم عاشوراء فقد تشبّه بيزيد الملعون وقومه، وإن كان للاكتحال في ذلك</w:t>
      </w:r>
    </w:p>
    <w:p>
      <w:pPr>
        <w:pStyle w:val="BookText"/>
        <w:rPr/>
      </w:pPr>
      <w:r>
        <w:rPr>
          <w:rFonts w:ascii="Amiri" w:hAnsi="Amiri" w:eastAsia="Amiri" w:cs="Amiri"/>
          <w:color w:val="111111"/>
          <w:sz w:val="28"/>
          <w:sz w:val="28"/>
          <w:szCs w:val="28"/>
          <w:rtl w:val="true"/>
          <w:lang w:bidi="ar-SA"/>
        </w:rPr>
        <w:t>اليوم أصلٌ صحيح، فإنّ ترك السنّة سنّة إذا كان شعاراً لأهل البدعة؛ كالتختّم باليمين فانّه في الأصل سنّة، لكنّه لمّا كان شعار أهل البدعة والظلمة صارت السنّة أن يجعل الخاتم في خنصر اليد اليسري في زماننا كما في شرح القهستاني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قرأ يوم عاشوراء و أوائل المحرم مقتل الحسين رضي اللَّه عنه، فقد تشبّه بالروافض، خصوصاً إذا كان بألفاظ مخلّة بالتعظيم لأجل تحزين السامعين، وفي كراهية القهستاني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ذكر مقتل الحسين ينبغي أن يذكر أوّلًا مقتل سائر الصحابة لئلا يشابه الروافض</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الواعظ وغيره رواية مقتل الحسين وحكايته و ماجرى بين الصحابة من التشاجر والتخاصم، فانّه يهيج بغض الصحابة والطعن فيهم وهم أعلام الدين، وما وقع بينهم من المنازعات فيحمل على محامل صحيحة، ولعلّ ذلك لخطأ في الاجتهاد لا لطلب</w:t>
      </w:r>
    </w:p>
    <w:p>
      <w:pPr>
        <w:pStyle w:val="BookText"/>
        <w:rPr/>
      </w:pPr>
      <w:r>
        <w:rPr>
          <w:rFonts w:ascii="Amiri" w:hAnsi="Amiri" w:eastAsia="Amiri" w:cs="Amiri"/>
          <w:color w:val="111111"/>
          <w:sz w:val="28"/>
          <w:sz w:val="28"/>
          <w:szCs w:val="28"/>
          <w:rtl w:val="true"/>
          <w:lang w:bidi="ar-SA"/>
        </w:rPr>
        <w:t>الرياسة والدنيا كما لا يخفى</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ولكن ما قيمة اجتهاد، برّر سفك دماء آلاف من المسلمين في حرب الجمل وصفين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مُتربِّصٌ فَتَرَبَّصُوا فَسَتَعْلَمُونَ مَنْ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 الصِراطِ السَّوِىِّ وَمَنْ اهْتَدى</w:t>
      </w:r>
      <w:r>
        <w:rPr>
          <w:rFonts w:eastAsia="Amiri" w:cs="Amiri" w:ascii="Amiri" w:hAnsi="Amiri"/>
          <w:color w:val="111111"/>
          <w:sz w:val="28"/>
          <w:szCs w:val="28"/>
          <w:rtl w:val="true"/>
          <w:lang w:bidi="ar-SA"/>
        </w:rPr>
        <w:t xml:space="preserve">). </w:t>
      </w:r>
      <w:r>
        <w:rPr>
          <w:rStyle w:val="FootnoteAnchor"/>
          <w:rtl w:val="true"/>
        </w:rPr>
        <w:footnoteReference w:id="63"/>
      </w:r>
      <w:bookmarkStart w:id="84" w:name="pg1561_12031"/>
    </w:p>
    <w:p>
      <w:pPr>
        <w:pStyle w:val="Heading2"/>
        <w:numPr>
          <w:ilvl w:val="1"/>
          <w:numId w:val="1"/>
        </w:numPr>
        <w:rPr/>
      </w:pPr>
      <w:bookmarkStart w:id="85" w:name="__RefHeading___Toc706274_3650668749"/>
      <w:bookmarkStart w:id="86" w:name="_Toc30"/>
      <w:bookmarkEnd w:id="84"/>
      <w:bookmarkEnd w:id="85"/>
      <w:r>
        <w:rPr/>
        <w:t>14</w:t>
      </w:r>
      <w:r>
        <w:rPr>
          <w:rtl w:val="true"/>
        </w:rPr>
        <w:t xml:space="preserve"> </w:t>
      </w:r>
      <w:r>
        <w:rPr>
          <w:rtl w:val="true"/>
        </w:rPr>
        <w:t>التدليس ومضاعفاته الخطيرة على التراث‌</w:t>
      </w:r>
      <w:bookmarkEnd w:id="86"/>
    </w:p>
    <w:p>
      <w:pPr>
        <w:pStyle w:val="BookText"/>
        <w:rPr/>
      </w:pPr>
      <w:r>
        <w:rPr>
          <w:rFonts w:ascii="Amiri" w:hAnsi="Amiri" w:eastAsia="Amiri" w:cs="Amiri"/>
          <w:color w:val="111111"/>
          <w:sz w:val="28"/>
          <w:sz w:val="28"/>
          <w:szCs w:val="28"/>
          <w:rtl w:val="true"/>
          <w:lang w:bidi="ar-SA"/>
        </w:rPr>
        <w:t>إنّ التحريف بمعنى قلب الحقائق وعرض غير الواقع بصورة الواقع شيمة كثير من المحدّثين والرواة الذين ملئت أسماؤهم ورواياتهم كتب الرجال والحديث، وهذا هو الحاكم يذكر أسماء كبار من المحدّثين رووا عن أُناس ما سمعوا منهم وهم يدّعون السماع بظاهر ألفاظهم، يقول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فليعلم صاحب الحديث انّ الحسن لم يسمع من أبي هريرة ولا من جابر ولا من ابن عمر ولا من ابن عباس شيئاً قطّ، وأنّ الأعمش لم يسمع من أنس، وأنّ الشعبي لم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يسمع من صحابي غير أنس، وانّ الشعبي لم يسمع من عائشة ولا من عبد اللَّه بن مسعود ولا من أُسامة بن زيد ولا من علي إنّما رآه رؤية ولا من معاذ بن جبل ولا من زيد بن ثابت، وأنّ قتادة لم يسمع من صحابي غير أنس، وأنّ عامة حديث عمرو بن دينار عن الصحابة غير مسموعة، وأنّ عامة حديث مكحول عن الصحابة حوالة، وأنّ ذلك كلّه يخفى إلّا على الحفاظ للحديث</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إنّ التدليس نوع من الكذب والدجل يروي الحاكم عن حماد بن زيد 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المدلّس متشبّع بما لم يعط، وينقل عن عبد الصمد بن عبدالوارث يحدث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التدليس ذلُّ،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التدليس والغش والغرور والخداع والكذب، يحشر يوم تبلى السرائر في نَفاذ واحد</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وقال بعد ذكر أقسام التدليس وأسماء طائفة من المدلّسين، 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في هذه الأجناس الستة أنواع التدليس ليتأمّله طالب هذا العلم فيقيس بالأقل على الأكثر ولم استحسن ذكر أسامي من دلّس من أئمّة المسلمين صيانة للحديث ورواته غير انّي أدلّ على جملة يهتدي إليها الباحث عن الأئمّة الذين دلّسوا والذين تورّعوا عن التدليس</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ومع أنّ الذهبي ممّن يكن للحديث والمحدثين احتراماً خاصاً، ويحاول الستر على كثير من معايبهم ومطاعنهم، وعلى الرغم من ذلك فقد ألّف كتاباً في الضعفاء جاء فيه بأسماء </w:t>
      </w:r>
      <w:r>
        <w:rPr>
          <w:rFonts w:eastAsia="Amiri" w:cs="Amiri" w:ascii="Amiri" w:hAnsi="Amiri"/>
          <w:color w:val="111111"/>
          <w:sz w:val="28"/>
          <w:szCs w:val="28"/>
          <w:lang w:bidi="ar-SA"/>
        </w:rPr>
        <w:t>7855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راوياً ومحدّثاً ضعيفاً لا يحتجّ بحديثه ولا يؤخذ به، وكفى في ذلك الرجوع إلى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في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أبي الزهراء حازم القاضي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خصوص الكذّابين والوضّاعين الذين صرح</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أئمة الرجال بوصفهم وكذبهم فحدث عنه ولا حرج، وقد جمع العلّامة الأميني أسماء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ووضّاع في موسوعته الغدير</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ينقل ابن حِبّان في كتابه المجروحين من المحدثين والضعفاء والمتروكين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عن الكذّابين وسجّرنا به التنّور فأخرجنا به خبزاً نضيجاً، ولما توفّي يحيى بن معين في مدينة الرسول صلَّى اللَّه عليه و آله و سلَّم وحمل على نعش، فرأيتهم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هذا ذابُ الكذب عن رسول اللَّهصلَّى اللَّه عليه و آله و سلَّم‌كذا وكذا عاماً</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وما ذكرناه هذا هو الذي خرج من قلم هؤلاءعفواً، ولو كانوا بصدد رفع الستر عن الواقع لوقفت انّ الدجل والكذب والوضع شيمة كثير من الرواة والمحدّثين، غير انّ حبّ الستر حال دون بيان الحقائق</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المعلوم أنّه لابدّ من صون الراوي وستره،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فتحت على نفسي تليين هذا الباب لما سلم معي إلّا القليل، إذ الأكثر لا يدرون ما يروون، ولا يعرفون هذا الشأن، إنّما سُمِّعوا في الصغر، وأُحتيج إلى علوّ سندهم في الكبر، فالعمدة على من قرأ لهم، وعلى من أثبت طباق السماع لهم، كما هو مبسوط في علوم الحديث</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ويقول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الرواة المتكلم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فتحنا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نفوسنا، لدخل فيه عدّة من الصحابة والتابعين والأئمّة، فبعض الصحابة كفّر بعضَهم</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فإذا كتم الحاكم النيسابوري أسامي من دلّس من أئمّة المسلمين، صيانة للحديث، ومنع صونُ الراوي وستره، الباحثَ الكبير مثلَ الذهبي، عن الإصحار</w:t>
      </w:r>
    </w:p>
    <w:p>
      <w:pPr>
        <w:pStyle w:val="BookText"/>
        <w:rPr/>
      </w:pPr>
      <w:r>
        <w:rPr>
          <w:rFonts w:ascii="Amiri" w:hAnsi="Amiri" w:eastAsia="Amiri" w:cs="Amiri"/>
          <w:color w:val="111111"/>
          <w:sz w:val="28"/>
          <w:sz w:val="28"/>
          <w:szCs w:val="28"/>
          <w:rtl w:val="true"/>
          <w:lang w:bidi="ar-SA"/>
        </w:rPr>
        <w:t>بالحقيقة، أو تليين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تبقى ثقة بالصحاح والمسانيد والسنن؟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وذاك ممّا يُلزم الباحث دراسة تاريخ الحديث من جديد، ووضع ضوابط خاصة في تمييز حديث المصطفى وسنّة أبي القاسمصلَّى اللَّه عليه و آله و سلَّم عمّا وضع على لسانه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اللَّه المشتكى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بِنَبأٍ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Style w:val="FootnoteAnchor"/>
          <w:rtl w:val="true"/>
        </w:rPr>
        <w:footnoteReference w:id="71"/>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جولة في دور الكتب الاميركية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تاريخ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إلى غير ذلك من المصادر المتوفرة في المقام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حياة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الطبعة الثالثة عشر، مكتبة النهضة المصرية، 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الناس تبع لقريش من كتاب الإمارة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واليواقيت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طبعة عام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المكتبة الحيدرية، النجف،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دار صادر، بيروت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منه ما مرّ من طروء التحريف إلى تاريخ اليعقوبي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الأذكار النووية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الأذكار النووية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نشر دارالهدى، الرياض، الطبعة الثانية،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تحقيق عبدالقادر الارناؤوط</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نفحات الأزهار في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علي بن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تحقيق محمدباقر المحمودي، الطعبة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باب بعث علي بن أبي‌طاللب و خالد ابن الوليد إلى اليمن قبل حجة الوداع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الصحيحين للحميدي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الجهاد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عمّار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38662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ط مكتبة القاهرة، عام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طبع بيروت، دارالأضواء،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وطبعة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في مانقب علي بن أبي‌طالب في فصل ذكر عدد أولاد،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عام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الصفحة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السطر الأخير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برقم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برقم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الردود على الشبهات السلفية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تبديد الظلام للكوثري، مكتبة الأندلس بمحص، سوريا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الأُمة في الاختلاف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في هامش الميزان للشعراني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العزيز في شرح 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image" Target="media/image2.jpeg"/><Relationship Id="rId81" Type="http://schemas.openxmlformats.org/officeDocument/2006/relationships/image" Target="media/image2.jpeg"/><Relationship Id="rId82" Type="http://schemas.openxmlformats.org/officeDocument/2006/relationships/footer" Target="footer75.xml"/><Relationship Id="rId83" Type="http://schemas.openxmlformats.org/officeDocument/2006/relationships/footnotes" Target="footnotes.xml"/><Relationship Id="rId84" Type="http://schemas.openxmlformats.org/officeDocument/2006/relationships/numbering" Target="numbering.xml"/><Relationship Id="rId85" Type="http://schemas.openxmlformats.org/officeDocument/2006/relationships/fontTable" Target="fontTable.xml"/><Relationship Id="rId86" Type="http://schemas.openxmlformats.org/officeDocument/2006/relationships/settings" Target="settings.xml"/><Relationship Id="rId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Pages>
  <Words>8017</Words>
  <Characters>34543</Characters>
  <CharactersWithSpaces>42173</CharactersWithSpaces>
  <Paragraphs>490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2026-08-16T17:03:32Z</dcterms:created>
  <dc:creator>ghaemiyeh.com</dc:creator>
  <dc:description/>
  <dc:language>en-US</dc:language>
  <cp:lastModifiedBy/>
  <dcterms:modified xsi:type="dcterms:W3CDTF">2026-08-16T20:33:34Z</dcterms:modified>
  <cp:revision>1</cp:revision>
  <dc:subject/>
  <dc:title>ظاهره التحریف فی التراث الاسلامی</dc:title>
</cp:coreProperties>
</file>

<file path=docProps/custom.xml><?xml version="1.0" encoding="utf-8"?>
<Properties xmlns="http://schemas.openxmlformats.org/officeDocument/2006/custom-properties" xmlns:vt="http://schemas.openxmlformats.org/officeDocument/2006/docPropsVTypes"/>
</file>