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التقیه فی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1386_3650668749">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9138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91390_3650668749">
            <w:r>
              <w:rPr>
                <w:webHidden/>
                <w:rStyle w:val="IndexLink"/>
                <w:rtl w:val="true"/>
              </w:rPr>
              <w:t>التقية فى الإسلام</w:t>
            </w:r>
            <w:r>
              <w:rPr>
                <w:rStyle w:val="IndexLink"/>
                <w:rtl w:val="true"/>
              </w:rPr>
              <w:tab/>
            </w:r>
            <w:r>
              <w:rPr>
                <w:rStyle w:val="IndexLink"/>
              </w:rPr>
              <w:t>7</w:t>
            </w:r>
          </w:hyperlink>
        </w:p>
        <w:p>
          <w:pPr>
            <w:pStyle w:val="Contents3"/>
            <w:tabs>
              <w:tab w:val="clear" w:pos="8459"/>
              <w:tab w:val="right" w:pos="9026" w:leader="dot"/>
            </w:tabs>
            <w:rPr/>
          </w:pPr>
          <w:hyperlink w:anchor="__RefHeading___Toc491392_365066874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491394_3650668749">
            <w:r>
              <w:rPr>
                <w:webHidden/>
                <w:rStyle w:val="IndexLink"/>
                <w:rtl w:val="true"/>
              </w:rPr>
              <w:t xml:space="preserve">أولاً </w:t>
            </w:r>
            <w:r>
              <w:rPr>
                <w:rStyle w:val="IndexLink"/>
                <w:rtl w:val="true"/>
              </w:rPr>
              <w:t xml:space="preserve">: </w:t>
            </w:r>
            <w:r>
              <w:rPr>
                <w:rStyle w:val="IndexLink"/>
                <w:rtl w:val="true"/>
              </w:rPr>
              <w:t>التقية في القرآن الكريم</w:t>
            </w:r>
            <w:r>
              <w:rPr>
                <w:rStyle w:val="IndexLink"/>
                <w:rtl w:val="true"/>
              </w:rPr>
              <w:tab/>
            </w:r>
            <w:r>
              <w:rPr>
                <w:rStyle w:val="IndexLink"/>
              </w:rPr>
              <w:t>8</w:t>
            </w:r>
          </w:hyperlink>
        </w:p>
        <w:p>
          <w:pPr>
            <w:pStyle w:val="Contents3"/>
            <w:tabs>
              <w:tab w:val="clear" w:pos="8459"/>
              <w:tab w:val="right" w:pos="9026" w:leader="dot"/>
            </w:tabs>
            <w:rPr/>
          </w:pPr>
          <w:hyperlink w:anchor="__RefHeading___Toc491396_3650668749">
            <w:r>
              <w:rPr>
                <w:webHidden/>
                <w:rStyle w:val="IndexLink"/>
                <w:rtl w:val="true"/>
              </w:rPr>
              <w:t xml:space="preserve">ثانياً </w:t>
            </w:r>
            <w:r>
              <w:rPr>
                <w:rStyle w:val="IndexLink"/>
                <w:rtl w:val="true"/>
              </w:rPr>
              <w:t xml:space="preserve">: </w:t>
            </w:r>
            <w:r>
              <w:rPr>
                <w:rStyle w:val="IndexLink"/>
                <w:rtl w:val="true"/>
              </w:rPr>
              <w:t xml:space="preserve">التقية في السنة النبوية </w:t>
            </w:r>
            <w:r>
              <w:rPr>
                <w:rStyle w:val="IndexLink"/>
                <w:rtl w:val="true"/>
              </w:rPr>
              <w:t>:</w:t>
              <w:tab/>
            </w:r>
            <w:r>
              <w:rPr>
                <w:rStyle w:val="IndexLink"/>
              </w:rPr>
              <w:t>10</w:t>
            </w:r>
          </w:hyperlink>
        </w:p>
        <w:p>
          <w:pPr>
            <w:pStyle w:val="Contents2"/>
            <w:tabs>
              <w:tab w:val="clear" w:pos="8743"/>
              <w:tab w:val="right" w:pos="9026" w:leader="dot"/>
            </w:tabs>
            <w:rPr/>
          </w:pPr>
          <w:hyperlink w:anchor="__RefHeading___Toc491398_3650668749">
            <w:r>
              <w:rPr>
                <w:webHidden/>
                <w:rStyle w:val="IndexLink"/>
                <w:rtl w:val="true"/>
              </w:rPr>
              <w:t>المصادر</w:t>
            </w:r>
            <w:r>
              <w:rPr>
                <w:rStyle w:val="IndexLink"/>
                <w:rtl w:val="true"/>
              </w:rPr>
              <w:tab/>
            </w:r>
            <w:r>
              <w:rPr>
                <w:rStyle w:val="IndexLink"/>
              </w:rPr>
              <w:t>19</w:t>
            </w:r>
          </w:hyperlink>
        </w:p>
        <w:p>
          <w:pPr>
            <w:pStyle w:val="Contents2"/>
            <w:tabs>
              <w:tab w:val="clear" w:pos="8743"/>
              <w:tab w:val="right" w:pos="9026" w:leader="dot"/>
            </w:tabs>
            <w:rPr/>
          </w:pPr>
          <w:hyperlink w:anchor="__RefHeading___Toc491400_3650668749">
            <w:r>
              <w:rPr>
                <w:webHidden/>
                <w:rStyle w:val="IndexLink"/>
                <w:rtl w:val="true"/>
              </w:rPr>
              <w:t>محتويات الكتاب</w:t>
            </w:r>
            <w:r>
              <w:rPr>
                <w:rStyle w:val="IndexLink"/>
                <w:rtl w:val="true"/>
              </w:rPr>
              <w:tab/>
            </w:r>
            <w:r>
              <w:rPr>
                <w:rStyle w:val="IndexLink"/>
              </w:rPr>
              <w:t>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8_11925"/>
      <w:bookmarkStart w:id="1" w:name="pg1518_11925"/>
      <w:bookmarkEnd w:id="1"/>
    </w:p>
    <w:p>
      <w:pPr>
        <w:pStyle w:val="Heading2"/>
        <w:numPr>
          <w:ilvl w:val="1"/>
          <w:numId w:val="1"/>
        </w:numPr>
        <w:rPr/>
      </w:pPr>
      <w:bookmarkStart w:id="2" w:name="pg1518_11925"/>
      <w:bookmarkStart w:id="3" w:name="__RefHeading___Toc491386_3650668749"/>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قزوینی عبد الكريم،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التقيه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عبدالکریم قزوینی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برگزیده،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برگزیده؛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التقيّه فى الاسلام عبد الكريم الحسيني القزويني</w:t>
      </w:r>
    </w:p>
    <w:p>
      <w:pPr>
        <w:pStyle w:val="BookText"/>
        <w:rPr/>
      </w:pPr>
      <w:r>
        <w:rPr>
          <w:rFonts w:ascii="IRNazanin" w:hAnsi="IRNazanin" w:eastAsia="IRNazanin"/>
          <w:color w:val="111111"/>
          <w:sz w:val="28"/>
          <w:sz w:val="28"/>
          <w:szCs w:val="28"/>
          <w:rtl w:val="true"/>
          <w:lang w:bidi="fa-IR"/>
        </w:rPr>
        <w:t xml:space="preserve">تولید و پخش ارزشمند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24500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الشابك الدوره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7745081/7744125</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 الله حسيني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1388_365066874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لماذا الاختلاف بين المذاهب الإسلامية مع وضوح النص القرآني والنبوى</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التقية في الإسلام</w:t>
      </w:r>
    </w:p>
    <w:p>
      <w:pPr>
        <w:pStyle w:val="BookText"/>
        <w:rPr/>
      </w:pPr>
      <w:r>
        <w:rPr>
          <w:rFonts w:ascii="Amiri" w:hAnsi="Amiri" w:eastAsia="Amiri" w:cs="Amiri"/>
          <w:color w:val="111111"/>
          <w:sz w:val="28"/>
          <w:sz w:val="28"/>
          <w:szCs w:val="28"/>
          <w:rtl w:val="true"/>
          <w:lang w:bidi="ar-SA"/>
        </w:rPr>
        <w:t>عبد الكريم الحسينى القزويني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www.Qazvini.org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سيدنا محمّد وآله الطيبين الطاهرين </w:t>
      </w:r>
      <w:bookmarkStart w:id="7" w:name="pg1518_11928"/>
    </w:p>
    <w:p>
      <w:pPr>
        <w:pStyle w:val="Heading2"/>
        <w:numPr>
          <w:ilvl w:val="1"/>
          <w:numId w:val="1"/>
        </w:numPr>
        <w:rPr/>
      </w:pPr>
      <w:bookmarkStart w:id="8" w:name="__RefHeading___Toc491390_3650668749"/>
      <w:bookmarkStart w:id="9" w:name="_Toc3"/>
      <w:bookmarkEnd w:id="7"/>
      <w:bookmarkEnd w:id="8"/>
      <w:r>
        <w:rPr>
          <w:rtl w:val="true"/>
        </w:rPr>
        <w:t>التقية فى الإسلام</w:t>
      </w:r>
      <w:bookmarkEnd w:id="9"/>
    </w:p>
    <w:p>
      <w:pPr>
        <w:pStyle w:val="Heading3"/>
        <w:numPr>
          <w:ilvl w:val="2"/>
          <w:numId w:val="1"/>
        </w:numPr>
        <w:rPr/>
      </w:pPr>
      <w:bookmarkStart w:id="10" w:name="__RefHeading___Toc491392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بعض الناس من ذوي الأقلام المسمومة التي تحاول دائماً تفريق المسلمين وإيجاد العداوة والبغضاء بينهم خلافاً للآية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يسخرون أقلامهم لتكفير المسلمين ونسب التّهم والأباطيل إليهم وهم يظنون بذلك أنّهم يحسنون صنعاً من أمثال ظهير إحسان الباكستانی و عثمان خميس ومحبّ الدين وغيرهم من رجال السوء والباطل والتفرقة فإنّهم يتهمون الشيعة ويكفّرونهم لأنهم يقولون بالتقية والغريب من هؤلاء المفترين يدّعون أنهم من أهل السنّة </w:t>
      </w:r>
      <w:bookmarkStart w:id="12" w:name="pg1518_11929"/>
    </w:p>
    <w:p>
      <w:pPr>
        <w:pStyle w:val="BookText"/>
        <w:rPr/>
      </w:pPr>
      <w:bookmarkEnd w:id="12"/>
      <w:r>
        <w:rPr>
          <w:rFonts w:ascii="IRNazanin" w:hAnsi="IRNazanin" w:eastAsia="IRNazanin"/>
          <w:color w:val="111111"/>
          <w:sz w:val="28"/>
          <w:sz w:val="28"/>
          <w:szCs w:val="28"/>
          <w:rtl w:val="true"/>
          <w:lang w:bidi="fa-IR"/>
        </w:rPr>
        <w:t xml:space="preserve">ولكنّهم لم يفهموا القرآن الكريم ولا السنّة النبوية لأنّهم أتباع سنة معاوية بن أبي سفيان لا سنّة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اصطدم بنا جمع من هؤلاء الغوغائيين في المسجد النبوي الشريف وقد التفّوا من حولنا وهم يقولون أنتم لا دين لكم وإنّما تتظاهرون بالإسلام تقية لأنكم تقولون من لا تقية له لا دين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وأجبتهم على الفور متسائلاً هل أنتم تؤمنون بالإسلام ؟ فأجابوا نعم والحمد لله ، هل أنتم تؤمنون بالقرآن ؟ قالوا نعم ، هل أنتم تؤمنون بالسنّة النبوية ؟ قالوا نعم ، قلت لهم إنّكم من الكاذبين ولو كنتم صادقين لما اعترضتم علينا بالتقية أليس القرآن قد صدع بالتقية أليس الرسول الكريم قال بها ؟ فلماذا تنكرونها وبإنكاركم هذا هو إنكار للقرآن والسنة والذي ينكر القرآن والسنة فهو لا دين له ثم شرحت لهم التقية على ضوء القرآن والسنة النبوية الشريفة ولابد للإنسان المسلم أن يكون اعتقاده مستنداً على ضوئيهما فنقول </w:t>
      </w:r>
      <w:r>
        <w:rPr>
          <w:rFonts w:eastAsia="IRNazanin" w:cs="IRNazanin"/>
          <w:color w:val="111111"/>
          <w:sz w:val="28"/>
          <w:szCs w:val="28"/>
          <w:rtl w:val="true"/>
          <w:lang w:bidi="fa-IR"/>
        </w:rPr>
        <w:t>:</w:t>
      </w:r>
    </w:p>
    <w:p>
      <w:pPr>
        <w:pStyle w:val="Heading3"/>
        <w:numPr>
          <w:ilvl w:val="2"/>
          <w:numId w:val="1"/>
        </w:numPr>
        <w:rPr/>
      </w:pPr>
      <w:bookmarkStart w:id="13" w:name="__RefHeading___Toc491394_3650668749"/>
      <w:bookmarkStart w:id="14" w:name="_Toc5"/>
      <w:bookmarkEnd w:id="13"/>
      <w:r>
        <w:rPr>
          <w:rtl w:val="true"/>
        </w:rPr>
        <w:t xml:space="preserve">أولاً </w:t>
      </w:r>
      <w:r>
        <w:rPr>
          <w:rtl w:val="true"/>
        </w:rPr>
        <w:t xml:space="preserve">: </w:t>
      </w:r>
      <w:r>
        <w:rPr>
          <w:rtl w:val="true"/>
        </w:rPr>
        <w:t>التقية في القرآن الكريم</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أقرّ التقية للإنسان المكره والخائف </w:t>
      </w:r>
    </w:p>
    <w:p>
      <w:pPr>
        <w:pStyle w:val="BookText"/>
        <w:rPr/>
      </w:pPr>
      <w:r>
        <w:rPr>
          <w:rFonts w:ascii="Amiri" w:hAnsi="Amiri" w:eastAsia="Amiri" w:cs="Amiri"/>
          <w:color w:val="111111"/>
          <w:sz w:val="28"/>
          <w:sz w:val="28"/>
          <w:szCs w:val="28"/>
          <w:rtl w:val="true"/>
          <w:lang w:bidi="ar-SA"/>
        </w:rPr>
        <w:t xml:space="preserve">على نفسه وقد بيّن ذلك في آيات بينات فقال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رَجُلٌ مُؤْمِنٌ مِنْ آلِ فِرْعَوْنَ يَكْتُمُ إِيمَانَهُ أَتَقْتُلُونَ رَجُلاً أَنْ يَقُولَ رَبِّى اللهُ وَقَدْ جَاءَكُمْ بِالْبَيِّنَاتِ مِنْ رَبِّكُمْ وَإِنْ يَكُ كَاذِباً فَعَلَيْهِ كَذِبُهُ وَإِنْ يَكُ صَادِقاً يُصِبْكُمْ بَعْضُ الَّذِي يَعِدُكُمْ إِنَّ اللهَ لَا يَهْدِي مَنْ هُوَ مُسْرِفٌ كَذَّابٌ</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تشير إلى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مُؤْمِنٌ مِنْ آلِ فِرْعَوْنَ یَكْتُمُ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فكتمان الإيمان لمصلحة تقتضي ذلك هو التقية بعينه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ثقَاةً وَيُحَذِّرُكُمْ اللهُ نَفْسَهُ وَإِلَى اللهِ الْمَصِيرُ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تحرّم اتخاذ الكافر ولياً من دون </w:t>
      </w:r>
      <w:bookmarkStart w:id="15" w:name="pg1518_11931"/>
    </w:p>
    <w:p>
      <w:pPr>
        <w:pStyle w:val="BookText"/>
        <w:rPr/>
      </w:pPr>
      <w:bookmarkEnd w:id="15"/>
      <w:r>
        <w:rPr>
          <w:rFonts w:ascii="Amiri" w:hAnsi="Amiri" w:eastAsia="Amiri" w:cs="Amiri"/>
          <w:color w:val="111111"/>
          <w:sz w:val="28"/>
          <w:sz w:val="28"/>
          <w:szCs w:val="28"/>
          <w:rtl w:val="true"/>
          <w:lang w:bidi="ar-SA"/>
        </w:rPr>
        <w:t>المؤمنين إلّا إذا كان موقفه هذا يوجب الضرر والخسارة عليه وعلى المؤمنين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درأ المفسدة مقدّم على جلب المصلحة كما يقول الفقهاء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وَلَكِنْ مَنْ شَرَحَ بِالْكُفْرِ صَدْراً فَعَلَيْهِمْ غَضَبٌ مِنْ اللهِ وَلَهُمْ عَذَابٌ عَظِيمٌ﴾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فالإسلام يجيز للمسلم أن يتظاهر كذباً بالكفر كرهاً كما في حالة الخوف على النفس والمخاطر الأُخرى ويجاري الكافرين ولكن قلبه مطمئن بالإيمان والإسلام وقد وردت الرخصة في ذلك وأباحها الإسلام كما في حالات معينة وفي بعض الظروف الخاصة التي حصلت البعض المسلمين من أمثال عمّار بن ياسر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91396_3650668749"/>
      <w:bookmarkStart w:id="17" w:name="_Toc6"/>
      <w:bookmarkEnd w:id="16"/>
      <w:r>
        <w:rPr>
          <w:rtl w:val="true"/>
        </w:rPr>
        <w:t xml:space="preserve">ثانياً </w:t>
      </w:r>
      <w:r>
        <w:rPr>
          <w:rtl w:val="true"/>
        </w:rPr>
        <w:t xml:space="preserve">: </w:t>
      </w:r>
      <w:r>
        <w:rPr>
          <w:rtl w:val="true"/>
        </w:rPr>
        <w:t xml:space="preserve">التقية في السنة النبوية </w:t>
      </w:r>
      <w:r>
        <w:rPr>
          <w:rtl w:val="true"/>
        </w:rPr>
        <w:t>:</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المفسّرون أنّ سبب نزول هذه الآية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المشركين قد عذبوا عمّار وأبيه وأمه وأجبروهم على الكفر وقد مات تحت التعذيب ياسر وزوجته سمية ولكن عمّار أظهر بلسانه ما أرادوا منه فقيل عنه أنه قد كفر فسمع النبي عل الله ذلك فقال وشهد بحق عمّار رادّاً عليهم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عمّار ملئ إيماناً من قرنه إلى قدمه واختلط الإيمان بلحمه ودمه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وجاء عمّار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باكياً فقال له رسول الله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وراءك ؟ فقال شرّ 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تركت حتى نلت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آلهتهم بخير فجعل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عينيه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عادوا لك فعد لهم بما قلت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فهذه التقية في القرآن والسنة النبوية وكيف أنّهما أقراها واعترفا بها ولكن هؤلاء الجهلة لا يقرّون ولا يعترفون بالقرآن ولا السنة النبوية والشيعة هم استناداً إلى القرآن والسنة قالوا بها وركنوا إليها في حالة الخوف على النفس والأموال والأعراض والأديان كما فعلوا في أيام معاوية بن أبي سفيان حينما أصدر بيانه الرسمي في أيام حکومته وعممه على جميع ولاياته وعماله فى الأمصار والبلدان وإليك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من أُقيمت عليه البيئة أنّه يحبّ علياً وأهل بيته فامحوه من الديوان وأسقطوا عطاءه ورزقه ومن اتهمتموه بموالاة هؤلاء القوم فنكلوا به واهدموا داره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فالتقية إذاً بموجب الكتاب والسنة جائزة إلّا إذا اصطدمت بواجب أهم كما هو في حكم الأمر بالمعروف والنهي عن المنكر والجهاد والدفاع عن الإسلام إذا حلّ به خطر كما فعل الإمام الحسين لها في محاربة الحاكم </w:t>
      </w:r>
    </w:p>
    <w:p>
      <w:pPr>
        <w:pStyle w:val="BookText"/>
        <w:rPr/>
      </w:pPr>
      <w:r>
        <w:rPr>
          <w:rFonts w:ascii="Amiri" w:hAnsi="Amiri" w:eastAsia="Amiri" w:cs="Amiri"/>
          <w:color w:val="111111"/>
          <w:sz w:val="28"/>
          <w:sz w:val="28"/>
          <w:szCs w:val="28"/>
          <w:rtl w:val="true"/>
          <w:lang w:bidi="ar-SA"/>
        </w:rPr>
        <w:t xml:space="preserve">المستهتر بأحكام الله كيزيد بن معاوية ونظائره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ما رأيناه من القرآن الكريم والسنة النبوية في جواز استعمالها وإباحتها وقد أجازها رسول الله لعمّار بن ياسر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عادوا لك فعد لهم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هذه الدراسة ثبت لدينا بالدليل القرآني والنبوي بجواز استعمال التقية وأنّها مباحة من قبل الله ورسوله ولكن السلفية وأتباعها ومن دار في فلكها تحرّمها وتتهم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باستعمالها وبعد ما أثبتنا جوازها بالبرهان القرآني والنبوي فإنّهم أخذوا يأوّلون ذلك قائلين بجواز استعمال التقية مع المشرك ولكنّه لا يجوز استعمالها بين المسلمين أنفسهم وهذا القول أغرب من سابقه وأعجب من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يجوز للمسلم أن يظهر الكفر بالله على لسانه ولا يجوز له أن يكفّر يديه أو يسجد على فرش الأرض في صلاته أمام المسلمين المتعصبين فهذا أمر غريب وعجيب لا يقوله عقل سليم ولا يقرّه شرع مبين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معنى التقية التي أجازها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w:t>
      </w:r>
    </w:p>
    <w:p>
      <w:pPr>
        <w:pStyle w:val="BookText"/>
        <w:rPr/>
      </w:pPr>
      <w:r>
        <w:rPr>
          <w:rFonts w:ascii="Amiri" w:hAnsi="Amiri" w:eastAsia="Amiri" w:cs="Amiri"/>
          <w:color w:val="111111"/>
          <w:sz w:val="28"/>
          <w:sz w:val="28"/>
          <w:szCs w:val="28"/>
          <w:rtl w:val="true"/>
          <w:lang w:bidi="ar-SA"/>
        </w:rPr>
        <w:t>صراحة ووضوح، ولكن ابن تيمية ومحب الدين وإحسان ظهير الباكستاني وعثمان خميس وغيرهم من الأعراب الذين لم يفقهوا حرفاً من القرآن ولا السنة النبوية الشريفة ولهذا السبب يحملون على الشيعة ويفترون عليهم لأنّهم يطبقون القرآن الكريم والسنة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النبوية ولا ذنب لهم سوى ذلك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يُؤْمِنُوا بِاللَّهِ الْعَزِيزِ الْحَمِيدِ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وبهذه الدراسة المختصرة قد بيّنا ووضحنا النقاط التي يثيرها أتباع الوهابية والسلفية ، مستندين في إثباتها أو نفيها إلى القرآن الكريم والسنة الشريفة بشكل واضح لا لبس فيه ولا غموض وبلسان عربي مليح وفصيح فإن كانوا يريدون الكتاب والسنّة فهذه الدراسة كفيلة بتوضيح ذلك فإنّ القرآن الكريم دعانا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حكم الله تعالى إليه وليكن فيصلا في الاختلافات التي تثيرونها بين المسلمين فبالكتاب والسنّة نستطيع أن نزيل تلكم الاختلافات ونكون أُمّة واحدة كما أرادها الله ورسولهبذلك نستطيع أن ننشر الإسلام على حقيقته ونبعده عن أفعال الارهابيين من أتباع الوهابية والسلفية التي شوّهت معالم الإسلام بالقتل والإرهاب والتكفير كما تفعله اليوم فى العراق والجزائر وباكستان والسعودية متحدية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Style w:val="FootnoteAnchor"/>
          <w:rtl w:val="true"/>
        </w:rPr>
        <w:footnoteReference w:id="11"/>
      </w:r>
      <w:r>
        <w:rPr>
          <w:rFonts w:ascii="IRNazanin" w:hAnsi="IRNazanin" w:eastAsia="IRNazanin"/>
          <w:color w:val="111111"/>
          <w:sz w:val="28"/>
          <w:sz w:val="28"/>
          <w:szCs w:val="28"/>
          <w:rtl w:val="true"/>
          <w:lang w:bidi="fa-IR"/>
        </w:rPr>
        <w:t xml:space="preserve"> و متحدّية أيضاً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لا إله إلّا الله محمداً رسول الله حقن دمه وعرضه وماله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وأخيراً نقول إنّ الإسلام يمرّ بأسوأ مرحلة تاريخية في هذه الحقبة الزمنية التي نعيشها حيث إنّه تتكالب عليه حملات الأعداء التشويهية في الخارج والداخل وذلك حينما شعر الأعداء أنّ الاسلام أخذ ينتشر في هذا القرن بصورة مذهلة حيث إنّه أصبح الديانة الثانية في امريكا واروپا مما أثار الأعداء وأخذوا يفكرون لو بقي الإسلام على هذا الحال لمدة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الآتية لأصبح الإسلام هو الدين الرسمي الأوّل في البلاد الامريكية والاروبية ففكروا وخططوا كيف يوقفوا هذا الزحف الإسلامي وبأي أُسلوب حتى يشوّهوا سمعة الإسلام ؟ فتوصلوا بتخطيطهم وتفكّرهم أن يخلقوا من داخل العالم الإسلامي أُناساً يقومون بالعملية التشويهية باسم الإسلام فأخذوا يلقون القنابل والمتفجرات على المصلين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المساجد الشريفة والمراقد المقدّسة وفي الشوارع والأسواق وهذا هو الافساد بعينه وهذه هي المحاربة الله ورسوله وقد عناهم الله بقوله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وَرَسُولَهُ وَيَسْعَوْنَ فِي </w:t>
      </w:r>
    </w:p>
    <w:p>
      <w:pPr>
        <w:pStyle w:val="BookText"/>
        <w:rPr/>
      </w:pPr>
      <w:r>
        <w:rPr>
          <w:rFonts w:ascii="Amiri" w:hAnsi="Amiri" w:eastAsia="Amiri" w:cs="Amiri"/>
          <w:color w:val="111111"/>
          <w:sz w:val="28"/>
          <w:sz w:val="28"/>
          <w:szCs w:val="28"/>
          <w:rtl w:val="true"/>
          <w:lang w:bidi="ar-SA"/>
        </w:rPr>
        <w:t xml:space="preserve">الْأَرْضِ فَسَاداً أَنْ يُقَتَلُوا أَوْ يُصَلَّبُوا أَوْ تُقَطَّعَ أَيْدِيهِمْ وَأَرْجُلُهُمْ مِنْ خِلَافٍ أَوْ يُنفَوْا مِنْ الْأَرْضِ ذَلِكَ لَهُمْ خِزْيٌ في الدُّنْيَا وَلَهُمْ فِي الْآخِرَةِ عَذَابٌ عَظِيمٌ﴾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محاربة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رجل من المسلمين لا يدرى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أنّ أهل السماوات والأرض اجتمعوا على مؤمن أو رضوا به لأدخلهم الله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على قتل مؤمن بشطر كلمة لقي الله يوم القيامة مكتوباً بين عينيه آيس من رحمة الله </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على قتل مؤمن أو رضی به ولو بشطر كلمة فكيف بالذين يمدون القتلة والارهابيين بالمال والسلاح والخطط والإيواء والتستّر عليهم فيأتون يوم القيامة مكتوباً بين أعينهم آيسين من رحمة الله فهذا العمل التشويهي من الداخل له ارتباط </w:t>
      </w:r>
    </w:p>
    <w:p>
      <w:pPr>
        <w:pStyle w:val="BookText"/>
        <w:rPr/>
      </w:pPr>
      <w:r>
        <w:rPr>
          <w:rFonts w:ascii="IRNazanin" w:hAnsi="IRNazanin" w:eastAsia="IRNazanin"/>
          <w:color w:val="111111"/>
          <w:sz w:val="28"/>
          <w:sz w:val="28"/>
          <w:szCs w:val="28"/>
          <w:rtl w:val="true"/>
          <w:lang w:bidi="fa-IR"/>
        </w:rPr>
        <w:t xml:space="preserve">وثيق بالأعمال التشويهية بالخارج من نشر الصور المسيئة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الأعمال التشويهية من أجل تفريق الأمة وتمزيق وحدتها التي أرادها الله لها بالوحدة والاتحاد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ومتحدّية إنسانية الإسلام التي عبر عنها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لمالك الأشتر حينما ولاه بلاد مصر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المسلمين الغيارى أن يوحدوا صفوفهم وكلمتهم على البر والتقوى حتّى يردوا على هذا التحدّي الله ولرسوله ويعيدوا للإسلام عزّته وصولته وكرامته وللمسلمين أُخوتهم ووحدتهم </w:t>
      </w:r>
      <w:bookmarkStart w:id="18" w:name="pg1518_11940"/>
    </w:p>
    <w:p>
      <w:pPr>
        <w:pStyle w:val="Heading2"/>
        <w:numPr>
          <w:ilvl w:val="1"/>
          <w:numId w:val="1"/>
        </w:numPr>
        <w:rPr/>
      </w:pPr>
      <w:bookmarkStart w:id="19" w:name="__RefHeading___Toc491398_3650668749"/>
      <w:bookmarkStart w:id="20" w:name="_Toc7"/>
      <w:bookmarkEnd w:id="18"/>
      <w:bookmarkEnd w:id="19"/>
      <w:r>
        <w:rPr>
          <w:rtl w:val="true"/>
        </w:rPr>
        <w:t>المصادر</w:t>
      </w:r>
      <w:bookmarkEnd w:id="2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تفسير مجمع البيان للشيخ الطبرسي</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rtl w:val="true"/>
          <w:lang w:bidi="ar-SA"/>
        </w:rPr>
        <w:t>تفسير الرازي</w:t>
      </w:r>
    </w:p>
    <w:p>
      <w:pPr>
        <w:pStyle w:val="BookText"/>
        <w:rPr/>
      </w:pPr>
      <w:r>
        <w:rPr>
          <w:rFonts w:ascii="Amiri" w:hAnsi="Amiri" w:eastAsia="Amiri" w:cs="Amiri"/>
          <w:color w:val="111111"/>
          <w:sz w:val="28"/>
          <w:sz w:val="28"/>
          <w:szCs w:val="28"/>
          <w:rtl w:val="true"/>
          <w:lang w:bidi="ar-SA"/>
        </w:rPr>
        <w:t>شرح نهج البلاغة لأبن أبي الحديد</w:t>
      </w:r>
    </w:p>
    <w:p>
      <w:pPr>
        <w:pStyle w:val="Heading2"/>
        <w:numPr>
          <w:ilvl w:val="1"/>
          <w:numId w:val="1"/>
        </w:numPr>
        <w:rPr/>
      </w:pPr>
      <w:bookmarkStart w:id="21" w:name="__RefHeading___Toc491400_3650668749"/>
      <w:bookmarkStart w:id="22" w:name="_Toc8"/>
      <w:bookmarkEnd w:id="21"/>
      <w:r>
        <w:rPr>
          <w:rtl w:val="true"/>
        </w:rPr>
        <w:t>محتويات الكتاب</w:t>
      </w:r>
      <w:bookmarkEnd w:id="22"/>
    </w:p>
    <w:p>
      <w:pPr>
        <w:pStyle w:val="BookText"/>
        <w:rPr/>
      </w:pPr>
      <w:r>
        <w:rPr>
          <w:rFonts w:ascii="IRNazanin" w:hAnsi="IRNazanin" w:eastAsia="IRNazanin"/>
          <w:color w:val="111111"/>
          <w:sz w:val="28"/>
          <w:sz w:val="28"/>
          <w:szCs w:val="28"/>
          <w:rtl w:val="true"/>
          <w:lang w:bidi="fa-IR"/>
        </w:rPr>
        <w:t xml:space="preserve">التقیه فی الاسلام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فى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السنة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معاوية يصدر بياناً يهدم بيوت الشيعة وقتل رجالهم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الاسلام يدعوا إلى الوحدة والاتحاد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قتل مؤمن برئ جريمة كبيرة لا تغتفر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الارهاب ليس من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الغافر ،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آية </w:t>
      </w:r>
      <w:r>
        <w:rPr>
          <w:rFonts w:eastAsia="IRNazanin" w:cs="IRNazanin"/>
          <w:b w:val="false"/>
          <w:bCs w:val="false"/>
          <w:i w:val="false"/>
          <w:iCs w:val="false"/>
          <w:color w:val="333333"/>
          <w:sz w:val="20"/>
          <w:szCs w:val="20"/>
        </w:rPr>
        <w:t>106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 آية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2.jpeg"/><Relationship Id="rId23" Type="http://schemas.openxmlformats.org/officeDocument/2006/relationships/image" Target="media/image2.jpeg"/><Relationship Id="rId24" Type="http://schemas.openxmlformats.org/officeDocument/2006/relationships/footer" Target="footer17.xml"/><Relationship Id="rId25" Type="http://schemas.openxmlformats.org/officeDocument/2006/relationships/footnotes" Target="footnotes.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1852</Words>
  <Characters>8168</Characters>
  <CharactersWithSpaces>9922</CharactersWithSpaces>
  <Paragraphs>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2026-08-16T16:50:49Z</dcterms:created>
  <dc:creator>ghaemiyeh.com</dc:creator>
  <dc:description/>
  <dc:language>en-US</dc:language>
  <cp:lastModifiedBy/>
  <dcterms:modified xsi:type="dcterms:W3CDTF">2026-08-16T20:21:23Z</dcterms:modified>
  <cp:revision>1</cp:revision>
  <dc:subject/>
  <dc:title>التقیه فی الاسلام</dc:title>
</cp:coreProperties>
</file>

<file path=docProps/custom.xml><?xml version="1.0" encoding="utf-8"?>
<Properties xmlns="http://schemas.openxmlformats.org/officeDocument/2006/custom-properties" xmlns:vt="http://schemas.openxmlformats.org/officeDocument/2006/docPropsVTypes"/>
</file>