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الوهابیه و اصول الاعتقاد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89843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89845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89847_373438147">
            <w:r>
              <w:rPr>
                <w:webHidden/>
                <w:rStyle w:val="IndexLink"/>
                <w:rtl w:val="true"/>
              </w:rPr>
              <w:t>مقدمة الإعداد</w:t>
            </w:r>
            <w:r>
              <w:rPr>
                <w:rStyle w:val="IndexLink"/>
                <w:rtl w:val="true"/>
              </w:rPr>
              <w:t>:</w:t>
              <w:tab/>
            </w:r>
            <w:r>
              <w:rPr>
                <w:rStyle w:val="IndexLink"/>
              </w:rPr>
              <w:t>5</w:t>
            </w:r>
          </w:hyperlink>
        </w:p>
        <w:p>
          <w:pPr>
            <w:pStyle w:val="Contents3"/>
            <w:tabs>
              <w:tab w:val="clear" w:pos="8459"/>
              <w:tab w:val="right" w:pos="9026" w:leader="dot"/>
            </w:tabs>
            <w:rPr/>
          </w:pPr>
          <w:hyperlink w:anchor="__RefHeading___Toc3389849_373438147">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3389851_373438147">
            <w:r>
              <w:rPr>
                <w:webHidden/>
                <w:rStyle w:val="IndexLink"/>
                <w:rtl w:val="true"/>
              </w:rPr>
              <w:t>ترجمة المؤلف</w:t>
            </w:r>
            <w:r>
              <w:rPr>
                <w:rStyle w:val="IndexLink"/>
                <w:rtl w:val="true"/>
              </w:rPr>
              <w:t>:</w:t>
              <w:tab/>
            </w:r>
            <w:r>
              <w:rPr>
                <w:rStyle w:val="IndexLink"/>
              </w:rPr>
              <w:t>6</w:t>
            </w:r>
          </w:hyperlink>
        </w:p>
        <w:p>
          <w:pPr>
            <w:pStyle w:val="Contents3"/>
            <w:tabs>
              <w:tab w:val="clear" w:pos="8459"/>
              <w:tab w:val="right" w:pos="9026" w:leader="dot"/>
            </w:tabs>
            <w:rPr/>
          </w:pPr>
          <w:hyperlink w:anchor="__RefHeading___Toc3389853_373438147">
            <w:r>
              <w:rPr>
                <w:webHidden/>
                <w:rStyle w:val="IndexLink"/>
                <w:rtl w:val="true"/>
              </w:rPr>
              <w:t>رسالتنا هذه</w:t>
            </w:r>
            <w:r>
              <w:rPr>
                <w:rStyle w:val="IndexLink"/>
                <w:rtl w:val="true"/>
              </w:rPr>
              <w:t>:</w:t>
              <w:tab/>
            </w:r>
            <w:r>
              <w:rPr>
                <w:rStyle w:val="IndexLink"/>
              </w:rPr>
              <w:t>7</w:t>
            </w:r>
          </w:hyperlink>
        </w:p>
        <w:p>
          <w:pPr>
            <w:pStyle w:val="Contents3"/>
            <w:tabs>
              <w:tab w:val="clear" w:pos="8459"/>
              <w:tab w:val="right" w:pos="9026" w:leader="dot"/>
            </w:tabs>
            <w:rPr/>
          </w:pPr>
          <w:hyperlink w:anchor="__RefHeading___Toc3389855_373438147">
            <w:r>
              <w:rPr>
                <w:webHidden/>
                <w:rStyle w:val="IndexLink"/>
                <w:rtl w:val="true"/>
              </w:rPr>
              <w:t>منهج العمل فيها</w:t>
            </w:r>
            <w:r>
              <w:rPr>
                <w:rStyle w:val="IndexLink"/>
                <w:rtl w:val="true"/>
              </w:rPr>
              <w:t>:</w:t>
              <w:tab/>
            </w:r>
            <w:r>
              <w:rPr>
                <w:rStyle w:val="IndexLink"/>
              </w:rPr>
              <w:t>8</w:t>
            </w:r>
          </w:hyperlink>
        </w:p>
        <w:p>
          <w:pPr>
            <w:pStyle w:val="Contents2"/>
            <w:tabs>
              <w:tab w:val="clear" w:pos="8743"/>
              <w:tab w:val="right" w:pos="9026" w:leader="dot"/>
            </w:tabs>
            <w:rPr/>
          </w:pPr>
          <w:hyperlink w:anchor="__RefHeading___Toc3389857_373438147">
            <w:r>
              <w:rPr>
                <w:webHidden/>
                <w:rStyle w:val="IndexLink"/>
                <w:rtl w:val="true"/>
              </w:rPr>
              <w:t>[</w:t>
            </w:r>
            <w:r>
              <w:rPr>
                <w:rStyle w:val="IndexLink"/>
                <w:rtl w:val="true"/>
              </w:rPr>
              <w:t>تمهيد</w:t>
            </w:r>
            <w:r>
              <w:rPr>
                <w:rStyle w:val="IndexLink"/>
                <w:rtl w:val="true"/>
              </w:rPr>
              <w:t>]</w:t>
              <w:tab/>
            </w:r>
            <w:r>
              <w:rPr>
                <w:rStyle w:val="IndexLink"/>
              </w:rPr>
              <w:t>10</w:t>
            </w:r>
          </w:hyperlink>
        </w:p>
        <w:p>
          <w:pPr>
            <w:pStyle w:val="Contents2"/>
            <w:tabs>
              <w:tab w:val="clear" w:pos="8743"/>
              <w:tab w:val="right" w:pos="9026" w:leader="dot"/>
            </w:tabs>
            <w:rPr/>
          </w:pPr>
          <w:hyperlink w:anchor="__RefHeading___Toc3389859_373438147">
            <w:r>
              <w:rPr>
                <w:webHidden/>
                <w:rStyle w:val="IndexLink"/>
                <w:rtl w:val="true"/>
              </w:rPr>
              <w:t>الفصل الأوّل في توحيد اللَّه في العبادة</w:t>
            </w:r>
            <w:r>
              <w:rPr>
                <w:rStyle w:val="IndexLink"/>
                <w:rtl w:val="true"/>
              </w:rPr>
              <w:tab/>
            </w:r>
            <w:r>
              <w:rPr>
                <w:rStyle w:val="IndexLink"/>
              </w:rPr>
              <w:t>19</w:t>
            </w:r>
          </w:hyperlink>
        </w:p>
        <w:p>
          <w:pPr>
            <w:pStyle w:val="Contents3"/>
            <w:tabs>
              <w:tab w:val="clear" w:pos="8459"/>
              <w:tab w:val="right" w:pos="9026" w:leader="dot"/>
            </w:tabs>
            <w:rPr/>
          </w:pPr>
          <w:hyperlink w:anchor="__RefHeading___Toc3389861_373438147">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3389863_373438147">
            <w:r>
              <w:rPr>
                <w:webHidden/>
                <w:rStyle w:val="IndexLink"/>
                <w:rtl w:val="true"/>
              </w:rPr>
              <w:t>[</w:t>
            </w:r>
            <w:r>
              <w:rPr>
                <w:rStyle w:val="IndexLink"/>
                <w:rtl w:val="true"/>
              </w:rPr>
              <w:t>زيارة القبور</w:t>
            </w:r>
            <w:r>
              <w:rPr>
                <w:rStyle w:val="IndexLink"/>
                <w:rtl w:val="true"/>
              </w:rPr>
              <w:t>:]</w:t>
              <w:tab/>
            </w:r>
            <w:r>
              <w:rPr>
                <w:rStyle w:val="IndexLink"/>
              </w:rPr>
              <w:t>24</w:t>
            </w:r>
          </w:hyperlink>
        </w:p>
        <w:p>
          <w:pPr>
            <w:pStyle w:val="Contents3"/>
            <w:tabs>
              <w:tab w:val="clear" w:pos="8459"/>
              <w:tab w:val="right" w:pos="9026" w:leader="dot"/>
            </w:tabs>
            <w:rPr/>
          </w:pPr>
          <w:hyperlink w:anchor="__RefHeading___Toc3389865_373438147">
            <w:r>
              <w:rPr>
                <w:webHidden/>
                <w:rStyle w:val="IndexLink"/>
                <w:rtl w:val="true"/>
              </w:rPr>
              <w:t>[</w:t>
            </w:r>
            <w:r>
              <w:rPr>
                <w:rStyle w:val="IndexLink"/>
                <w:rtl w:val="true"/>
              </w:rPr>
              <w:t>التبرُّك بالقبور</w:t>
            </w:r>
            <w:r>
              <w:rPr>
                <w:rStyle w:val="IndexLink"/>
                <w:rtl w:val="true"/>
              </w:rPr>
              <w:t>:]</w:t>
              <w:tab/>
            </w:r>
            <w:r>
              <w:rPr>
                <w:rStyle w:val="IndexLink"/>
              </w:rPr>
              <w:t>29</w:t>
            </w:r>
          </w:hyperlink>
        </w:p>
        <w:p>
          <w:pPr>
            <w:pStyle w:val="Contents2"/>
            <w:tabs>
              <w:tab w:val="clear" w:pos="8743"/>
              <w:tab w:val="right" w:pos="9026" w:leader="dot"/>
            </w:tabs>
            <w:rPr/>
          </w:pPr>
          <w:hyperlink w:anchor="__RefHeading___Toc3389867_373438147">
            <w:r>
              <w:rPr>
                <w:webHidden/>
                <w:rStyle w:val="IndexLink"/>
                <w:rtl w:val="true"/>
              </w:rPr>
              <w:t>الفصل الثاني في توحيد اللَّه سبحانه في الأفعال</w:t>
            </w:r>
            <w:r>
              <w:rPr>
                <w:rStyle w:val="IndexLink"/>
                <w:rtl w:val="true"/>
              </w:rPr>
              <w:tab/>
            </w:r>
            <w:r>
              <w:rPr>
                <w:rStyle w:val="IndexLink"/>
              </w:rPr>
              <w:t>31</w:t>
            </w:r>
          </w:hyperlink>
        </w:p>
        <w:p>
          <w:pPr>
            <w:pStyle w:val="Contents3"/>
            <w:tabs>
              <w:tab w:val="clear" w:pos="8459"/>
              <w:tab w:val="right" w:pos="9026" w:leader="dot"/>
            </w:tabs>
            <w:rPr/>
          </w:pPr>
          <w:hyperlink w:anchor="__RefHeading___Toc3389869_373438147">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3389871_373438147">
            <w:r>
              <w:rPr>
                <w:webHidden/>
                <w:rStyle w:val="IndexLink"/>
                <w:rtl w:val="true"/>
              </w:rPr>
              <w:t>وبالجملة</w:t>
            </w:r>
            <w:r>
              <w:rPr>
                <w:rStyle w:val="IndexLink"/>
                <w:rtl w:val="true"/>
              </w:rPr>
              <w:t>:</w:t>
              <w:tab/>
            </w:r>
            <w:r>
              <w:rPr>
                <w:rStyle w:val="IndexLink"/>
              </w:rPr>
              <w:t>31</w:t>
            </w:r>
          </w:hyperlink>
        </w:p>
        <w:p>
          <w:pPr>
            <w:pStyle w:val="Contents3"/>
            <w:tabs>
              <w:tab w:val="clear" w:pos="8459"/>
              <w:tab w:val="right" w:pos="9026" w:leader="dot"/>
            </w:tabs>
            <w:rPr/>
          </w:pPr>
          <w:hyperlink w:anchor="__RefHeading___Toc3389873_373438147">
            <w:r>
              <w:rPr>
                <w:webHidden/>
                <w:rStyle w:val="IndexLink"/>
                <w:rtl w:val="true"/>
              </w:rPr>
              <w:t>[</w:t>
            </w:r>
            <w:r>
              <w:rPr>
                <w:rStyle w:val="IndexLink"/>
                <w:rtl w:val="true"/>
              </w:rPr>
              <w:t>التوسّل والاستغاثة والاستشفاع</w:t>
            </w:r>
            <w:r>
              <w:rPr>
                <w:rStyle w:val="IndexLink"/>
                <w:rtl w:val="true"/>
              </w:rPr>
              <w:t>:</w:t>
              <w:tab/>
            </w:r>
            <w:r>
              <w:rPr>
                <w:rStyle w:val="IndexLink"/>
              </w:rPr>
              <w:t>34</w:t>
            </w:r>
          </w:hyperlink>
        </w:p>
        <w:p>
          <w:pPr>
            <w:pStyle w:val="Contents3"/>
            <w:tabs>
              <w:tab w:val="clear" w:pos="8459"/>
              <w:tab w:val="right" w:pos="9026" w:leader="dot"/>
            </w:tabs>
            <w:rPr/>
          </w:pPr>
          <w:hyperlink w:anchor="__RefHeading___Toc3389875_373438147">
            <w:r>
              <w:rPr>
                <w:webHidden/>
                <w:rStyle w:val="IndexLink"/>
                <w:rtl w:val="true"/>
              </w:rPr>
              <w:t>الأُولى</w:t>
            </w:r>
            <w:r>
              <w:rPr>
                <w:rStyle w:val="IndexLink"/>
                <w:rtl w:val="true"/>
              </w:rPr>
              <w:t xml:space="preserve">: </w:t>
            </w:r>
            <w:r>
              <w:rPr>
                <w:rStyle w:val="IndexLink"/>
                <w:rtl w:val="true"/>
              </w:rPr>
              <w:t>دعوى تشريك غير اللَّه معه في الدعاء</w:t>
            </w:r>
            <w:r>
              <w:rPr>
                <w:rStyle w:val="IndexLink"/>
                <w:rtl w:val="true"/>
              </w:rPr>
              <w:t>:</w:t>
              <w:tab/>
            </w:r>
            <w:r>
              <w:rPr>
                <w:rStyle w:val="IndexLink"/>
              </w:rPr>
              <w:t>35</w:t>
            </w:r>
          </w:hyperlink>
        </w:p>
        <w:p>
          <w:pPr>
            <w:pStyle w:val="Contents3"/>
            <w:tabs>
              <w:tab w:val="clear" w:pos="8459"/>
              <w:tab w:val="right" w:pos="9026" w:leader="dot"/>
            </w:tabs>
            <w:rPr/>
          </w:pPr>
          <w:hyperlink w:anchor="__RefHeading___Toc3389877_373438147">
            <w:r>
              <w:rPr>
                <w:webHidden/>
                <w:rStyle w:val="IndexLink"/>
                <w:rtl w:val="true"/>
              </w:rPr>
              <w:t>الجهة الثانية</w:t>
            </w:r>
            <w:r>
              <w:rPr>
                <w:rStyle w:val="IndexLink"/>
                <w:rtl w:val="true"/>
              </w:rPr>
              <w:t xml:space="preserve">: </w:t>
            </w:r>
            <w:r>
              <w:rPr>
                <w:rStyle w:val="IndexLink"/>
                <w:rtl w:val="true"/>
              </w:rPr>
              <w:t>إضافة الدعوة إلى الضرائح</w:t>
            </w:r>
            <w:r>
              <w:rPr>
                <w:rStyle w:val="IndexLink"/>
                <w:rtl w:val="true"/>
              </w:rPr>
              <w:t>:</w:t>
              <w:tab/>
            </w:r>
            <w:r>
              <w:rPr>
                <w:rStyle w:val="IndexLink"/>
              </w:rPr>
              <w:t>36</w:t>
            </w:r>
          </w:hyperlink>
        </w:p>
        <w:p>
          <w:pPr>
            <w:pStyle w:val="Contents3"/>
            <w:tabs>
              <w:tab w:val="clear" w:pos="8459"/>
              <w:tab w:val="right" w:pos="9026" w:leader="dot"/>
            </w:tabs>
            <w:rPr/>
          </w:pPr>
          <w:hyperlink w:anchor="__RefHeading___Toc3389879_373438147">
            <w:r>
              <w:rPr>
                <w:webHidden/>
                <w:rStyle w:val="IndexLink"/>
                <w:rtl w:val="true"/>
              </w:rPr>
              <w:t>وبالجملة</w:t>
            </w:r>
            <w:r>
              <w:rPr>
                <w:rStyle w:val="IndexLink"/>
                <w:rtl w:val="true"/>
              </w:rPr>
              <w:t>:</w:t>
              <w:tab/>
            </w:r>
            <w:r>
              <w:rPr>
                <w:rStyle w:val="IndexLink"/>
              </w:rPr>
              <w:t>36</w:t>
            </w:r>
          </w:hyperlink>
        </w:p>
        <w:p>
          <w:pPr>
            <w:pStyle w:val="Contents3"/>
            <w:tabs>
              <w:tab w:val="clear" w:pos="8459"/>
              <w:tab w:val="right" w:pos="9026" w:leader="dot"/>
            </w:tabs>
            <w:rPr/>
          </w:pPr>
          <w:hyperlink w:anchor="__RefHeading___Toc3389881_373438147">
            <w:r>
              <w:rPr>
                <w:webHidden/>
                <w:rStyle w:val="IndexLink"/>
                <w:rtl w:val="true"/>
              </w:rPr>
              <w:t>[</w:t>
            </w:r>
            <w:r>
              <w:rPr>
                <w:rStyle w:val="IndexLink"/>
                <w:rtl w:val="true"/>
              </w:rPr>
              <w:t>الشفاعة</w:t>
            </w:r>
            <w:r>
              <w:rPr>
                <w:rStyle w:val="IndexLink"/>
                <w:rtl w:val="true"/>
              </w:rPr>
              <w:t>:</w:t>
              <w:tab/>
            </w:r>
            <w:r>
              <w:rPr>
                <w:rStyle w:val="IndexLink"/>
              </w:rPr>
              <w:t>40</w:t>
            </w:r>
          </w:hyperlink>
        </w:p>
        <w:p>
          <w:pPr>
            <w:pStyle w:val="Contents2"/>
            <w:tabs>
              <w:tab w:val="clear" w:pos="8743"/>
              <w:tab w:val="right" w:pos="9026" w:leader="dot"/>
            </w:tabs>
            <w:rPr/>
          </w:pPr>
          <w:hyperlink w:anchor="__RefHeading___Toc3389883_373438147">
            <w:r>
              <w:rPr>
                <w:webHidden/>
                <w:rStyle w:val="IndexLink"/>
                <w:rtl w:val="true"/>
              </w:rPr>
              <w:t>الفصل الثالث في البناء على القبور</w:t>
            </w:r>
            <w:r>
              <w:rPr>
                <w:rStyle w:val="IndexLink"/>
                <w:rtl w:val="true"/>
              </w:rPr>
              <w:tab/>
            </w:r>
            <w:r>
              <w:rPr>
                <w:rStyle w:val="IndexLink"/>
              </w:rPr>
              <w:t>45</w:t>
            </w:r>
          </w:hyperlink>
        </w:p>
        <w:p>
          <w:pPr>
            <w:pStyle w:val="Contents2"/>
            <w:tabs>
              <w:tab w:val="clear" w:pos="8743"/>
              <w:tab w:val="right" w:pos="9026" w:leader="dot"/>
            </w:tabs>
            <w:rPr/>
          </w:pPr>
          <w:hyperlink w:anchor="__RefHeading___Toc3389885_373438147">
            <w:r>
              <w:rPr>
                <w:webHidden/>
                <w:rStyle w:val="IndexLink"/>
                <w:rtl w:val="true"/>
              </w:rPr>
              <w:t>الفصل الرابع في الصلاة عند القبور وإيقاد السُرُج عليها</w:t>
            </w:r>
            <w:r>
              <w:rPr>
                <w:rStyle w:val="IndexLink"/>
                <w:rtl w:val="true"/>
              </w:rPr>
              <w:tab/>
            </w:r>
            <w:r>
              <w:rPr>
                <w:rStyle w:val="IndexLink"/>
              </w:rPr>
              <w:t>55</w:t>
            </w:r>
          </w:hyperlink>
        </w:p>
        <w:p>
          <w:pPr>
            <w:pStyle w:val="Contents3"/>
            <w:tabs>
              <w:tab w:val="clear" w:pos="8459"/>
              <w:tab w:val="right" w:pos="9026" w:leader="dot"/>
            </w:tabs>
            <w:rPr/>
          </w:pPr>
          <w:hyperlink w:anchor="__RefHeading___Toc3389887_373438147">
            <w:r>
              <w:rPr>
                <w:webHidden/>
                <w:rStyle w:val="IndexLink"/>
                <w:rtl w:val="true"/>
              </w:rPr>
              <w:t>[</w:t>
            </w:r>
            <w:r>
              <w:rPr>
                <w:rStyle w:val="IndexLink"/>
                <w:rtl w:val="true"/>
              </w:rPr>
              <w:t>الصلاة عند القبور</w:t>
            </w:r>
            <w:r>
              <w:rPr>
                <w:rStyle w:val="IndexLink"/>
                <w:rtl w:val="true"/>
              </w:rPr>
              <w:t>:]</w:t>
              <w:tab/>
            </w:r>
            <w:r>
              <w:rPr>
                <w:rStyle w:val="IndexLink"/>
              </w:rPr>
              <w:t>55</w:t>
            </w:r>
          </w:hyperlink>
        </w:p>
        <w:p>
          <w:pPr>
            <w:pStyle w:val="Contents3"/>
            <w:tabs>
              <w:tab w:val="clear" w:pos="8459"/>
              <w:tab w:val="right" w:pos="9026" w:leader="dot"/>
            </w:tabs>
            <w:rPr/>
          </w:pPr>
          <w:hyperlink w:anchor="__RefHeading___Toc3389889_373438147">
            <w:r>
              <w:rPr>
                <w:webHidden/>
                <w:rStyle w:val="IndexLink"/>
                <w:rtl w:val="true"/>
              </w:rPr>
              <w:t>[</w:t>
            </w:r>
            <w:r>
              <w:rPr>
                <w:rStyle w:val="IndexLink"/>
                <w:rtl w:val="true"/>
              </w:rPr>
              <w:t>إيقاد السُرُج</w:t>
            </w:r>
            <w:r>
              <w:rPr>
                <w:rStyle w:val="IndexLink"/>
                <w:rtl w:val="true"/>
              </w:rPr>
              <w:t>:]</w:t>
              <w:tab/>
            </w:r>
            <w:r>
              <w:rPr>
                <w:rStyle w:val="IndexLink"/>
              </w:rPr>
              <w:t>56</w:t>
            </w:r>
          </w:hyperlink>
        </w:p>
        <w:p>
          <w:pPr>
            <w:pStyle w:val="Contents2"/>
            <w:tabs>
              <w:tab w:val="clear" w:pos="8743"/>
              <w:tab w:val="right" w:pos="9026" w:leader="dot"/>
            </w:tabs>
            <w:rPr/>
          </w:pPr>
          <w:hyperlink w:anchor="__RefHeading___Toc3389891_373438147">
            <w:r>
              <w:rPr>
                <w:webHidden/>
                <w:rStyle w:val="IndexLink"/>
                <w:rtl w:val="true"/>
              </w:rPr>
              <w:t>الفصل الخامس في الذبائح والنذور</w:t>
            </w:r>
            <w:r>
              <w:rPr>
                <w:rStyle w:val="IndexLink"/>
                <w:rtl w:val="true"/>
              </w:rPr>
              <w:tab/>
            </w:r>
            <w:r>
              <w:rPr>
                <w:rStyle w:val="IndexLink"/>
              </w:rPr>
              <w:t>60</w:t>
            </w:r>
          </w:hyperlink>
        </w:p>
        <w:p>
          <w:pPr>
            <w:pStyle w:val="Contents2"/>
            <w:tabs>
              <w:tab w:val="clear" w:pos="8743"/>
              <w:tab w:val="right" w:pos="9026" w:leader="dot"/>
            </w:tabs>
            <w:rPr/>
          </w:pPr>
          <w:hyperlink w:anchor="__RefHeading___Toc3389893_373438147">
            <w:r>
              <w:rPr>
                <w:webHidden/>
                <w:rStyle w:val="IndexLink"/>
                <w:rtl w:val="true"/>
              </w:rPr>
              <w:t>هوامش</w:t>
            </w:r>
            <w:r>
              <w:rPr>
                <w:rStyle w:val="IndexLink"/>
                <w:rtl w:val="true"/>
              </w:rPr>
              <w:tab/>
            </w:r>
            <w:r>
              <w:rPr>
                <w:rStyle w:val="IndexLink"/>
              </w:rPr>
              <w:t>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3_5462"/>
      <w:bookmarkStart w:id="1" w:name="pg1293_5462"/>
      <w:bookmarkEnd w:id="1"/>
    </w:p>
    <w:p>
      <w:pPr>
        <w:pStyle w:val="Heading2"/>
        <w:numPr>
          <w:ilvl w:val="1"/>
          <w:numId w:val="1"/>
        </w:numPr>
        <w:rPr/>
      </w:pPr>
      <w:bookmarkStart w:id="2" w:name="pg1293_5462"/>
      <w:bookmarkStart w:id="3" w:name="__RefHeading___Toc3389843_37343814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الوهابية و أصول الاعتقاد</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محمد جواد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الحكيم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89845_373438147"/>
      <w:bookmarkStart w:id="6" w:name="_Toc2"/>
      <w:bookmarkEnd w:id="5"/>
      <w:r>
        <w:rPr>
          <w:rtl w:val="true"/>
        </w:rPr>
        <w:t>اشارة</w:t>
      </w:r>
      <w:bookmarkStart w:id="7" w:name="pg1293_5468"/>
      <w:bookmarkEnd w:id="6"/>
    </w:p>
    <w:p>
      <w:pPr>
        <w:pStyle w:val="Heading2"/>
        <w:numPr>
          <w:ilvl w:val="1"/>
          <w:numId w:val="1"/>
        </w:numPr>
        <w:rPr/>
      </w:pPr>
      <w:bookmarkStart w:id="8" w:name="__RefHeading___Toc3389847_373438147"/>
      <w:bookmarkStart w:id="9" w:name="_Toc3"/>
      <w:bookmarkEnd w:id="7"/>
      <w:bookmarkEnd w:id="8"/>
      <w:r>
        <w:rPr>
          <w:rtl w:val="true"/>
        </w:rPr>
        <w:t>مقدمة الإعداد</w:t>
      </w:r>
      <w:r>
        <w:rPr>
          <w:rtl w:val="true"/>
        </w:rPr>
        <w:t>:</w:t>
      </w:r>
      <w:bookmarkEnd w:id="9"/>
    </w:p>
    <w:p>
      <w:pPr>
        <w:pStyle w:val="Heading3"/>
        <w:numPr>
          <w:ilvl w:val="2"/>
          <w:numId w:val="1"/>
        </w:numPr>
        <w:rPr/>
      </w:pPr>
      <w:bookmarkStart w:id="10" w:name="__RefHeading___Toc3389849_37343814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الحمد للَّه‌ربّ العالمين، والصلاة والسلام على عباده الّذين اصطفى، محمد وآله الطيّبين الشرفا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أصدر الشيخ عبد اللَّه ابن بليهد قاضي القضاة في الحجاز فتوى في بعض المسائل التي لها صلة بزيارة القبور والشفاعة وغيرهما، ممّا أثار موجة من الأخذ والردّ بين علماء المسلمين في وسائل الإعلام كافّة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فألّف الكثير من العلماء من مختلف المذاهب الإسلامية كثيراً</w:t>
      </w:r>
      <w:bookmarkStart w:id="12" w:name="pg1293_5469"/>
    </w:p>
    <w:p>
      <w:pPr>
        <w:pStyle w:val="BookText"/>
        <w:rPr/>
      </w:pPr>
      <w:bookmarkEnd w:id="12"/>
      <w:r>
        <w:rPr>
          <w:rFonts w:ascii="Amiri" w:hAnsi="Amiri" w:eastAsia="Amiri" w:cs="Amiri"/>
          <w:color w:val="111111"/>
          <w:sz w:val="28"/>
          <w:sz w:val="28"/>
          <w:szCs w:val="28"/>
          <w:rtl w:val="true"/>
          <w:lang w:bidi="ar-SA"/>
        </w:rPr>
        <w:t>من الكتب والرسائل بشتّى اللغات حول هذه الفتوى، وكانت إحداها هذه الرسالة التي نقدّمها إلى القارئ العزيز، فقد انتقيناها للنشر لاشتمالها على جوانب البحث كافة، ولسلاسة عبارتها ووجازتها وقوّة الأدلّة المعتمدة فيها</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3389851_373438147"/>
      <w:bookmarkStart w:id="14" w:name="_Toc5"/>
      <w:bookmarkEnd w:id="13"/>
      <w:r>
        <w:rPr>
          <w:rtl w:val="true"/>
        </w:rPr>
        <w:t>ترجمة المؤلف</w:t>
      </w:r>
      <w:r>
        <w:rPr>
          <w:rtl w:val="true"/>
        </w:rPr>
        <w:t>:</w:t>
      </w:r>
      <w:bookmarkEnd w:id="14"/>
    </w:p>
    <w:p>
      <w:pPr>
        <w:pStyle w:val="BookText"/>
        <w:rPr/>
      </w:pPr>
      <w:r>
        <w:rPr>
          <w:rFonts w:ascii="Amiri" w:hAnsi="Amiri" w:eastAsia="Amiri" w:cs="Amiri"/>
          <w:color w:val="111111"/>
          <w:sz w:val="28"/>
          <w:sz w:val="28"/>
          <w:szCs w:val="28"/>
          <w:rtl w:val="true"/>
          <w:lang w:bidi="ar-SA"/>
        </w:rPr>
        <w:t>هو الشيخ محمد جواد بن حسن بن طالب البلاغي النجفي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النجف الأشرف سنة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بيت من أقدم بيوتاتها وأعرقها في العلم والفضل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 حيث وُلد، وتتلمذ على يد أعلام النجف الأشرف، ثمّ هاجر إلى سامرّاء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فحضر درس الميرزا الشيرازي عشر سنين، وألّف هناك عدّة كتب، وغادرها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احتلالها من قبل الجيش الانكليزي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الكاظمية فمكث بها سنتين مؤازراً للعلماء في التبليغ لدفع الكافرين وجهاد الظالمين المستعمرين، ومحرّضاً لهم على طلب الاستقلال</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 إلى النجف الأشرف وواصل نشاطه في التأليف، فكان من أُولئك الّذين ندر وجودهم على مرّ الأزمان، فقد أوقف حياته لخدمة الدين والحقيقة، فلم يُرَ إلّاوهو يجيب عن سؤال، أو يحرّر</w:t>
      </w:r>
      <w:bookmarkStart w:id="15" w:name="pg1293_5470"/>
    </w:p>
    <w:p>
      <w:pPr>
        <w:pStyle w:val="BookText"/>
        <w:rPr/>
      </w:pPr>
      <w:bookmarkEnd w:id="15"/>
      <w:r>
        <w:rPr>
          <w:rFonts w:ascii="Amiri" w:hAnsi="Amiri" w:eastAsia="Amiri" w:cs="Amiri"/>
          <w:color w:val="111111"/>
          <w:sz w:val="28"/>
          <w:sz w:val="28"/>
          <w:szCs w:val="28"/>
          <w:rtl w:val="true"/>
          <w:lang w:bidi="ar-SA"/>
        </w:rPr>
        <w:t>رسالة يكشف فيها ما التبس على المرسل من شكّ، أو يكتب في أحد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وقف بوجه النصارى وأمام تيّار الغرب الجارف، وقد ألّف في ذلك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ورسالة، فبرع في الردّ عليهم، فمثّل لهم سموّ الإسلام على جميع الملل والأديان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تصدّى للفرق المنحرفة الهدّامة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كالبابية والقاديانية والإلحادية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في ردّهم ودحض شبهاتهم وفضح توافه مبانيهم ومعائب أفكارهم، عدّة كتب ورسائل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 خلوص النيّة وإخلاص العمل بمكان حتّى أنّه كان لا يرضى أن يوضع اسمه على تأليفاته عند طبعها، ومع كل هذا أصبح اسمه ناراً على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ليلة الاثنين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النجف الأشرف، ودفن في إحدى حجرات الصحن الشريف لمرقد الإمام أمير المؤمنين عليّ بن أبي طالب عليه السلام</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389853_373438147"/>
      <w:bookmarkStart w:id="17" w:name="_Toc6"/>
      <w:bookmarkEnd w:id="16"/>
      <w:r>
        <w:rPr>
          <w:rtl w:val="true"/>
        </w:rPr>
        <w:t>رسالتنا هذه</w:t>
      </w:r>
      <w:r>
        <w:rPr>
          <w:rtl w:val="true"/>
        </w:rPr>
        <w:t>:</w:t>
      </w:r>
      <w:bookmarkEnd w:id="17"/>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أغلب المترجمين للعلّامة البلاغي رحمه الله أنّ له رسالتين اثنتين</w:t>
      </w:r>
      <w:bookmarkStart w:id="18" w:name="pg1293_5471"/>
    </w:p>
    <w:p>
      <w:pPr>
        <w:pStyle w:val="BookText"/>
        <w:rPr/>
      </w:pPr>
      <w:bookmarkEnd w:id="18"/>
      <w:r>
        <w:rPr>
          <w:rFonts w:ascii="Amiri" w:hAnsi="Amiri" w:eastAsia="Amiri" w:cs="Amiri"/>
          <w:color w:val="111111"/>
          <w:sz w:val="28"/>
          <w:sz w:val="28"/>
          <w:szCs w:val="28"/>
          <w:rtl w:val="true"/>
          <w:lang w:bidi="ar-SA"/>
        </w:rPr>
        <w:t xml:space="preserve">مطبوعتين في مناقشة فتوى الشيخ ابن بليهد، وقد عثرت على نسخة منها مطبوعة على الحجر في النجف الأشرف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ولمّا لم يكن على النسخة المطبوعة أيّ إشارة إلى اسم الرسالة، ارتأينا أن نختار لها اسماً مناسباً لغرضها، فانتقينا لها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 وأُصول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المؤلف رحمه الله قد بحث فيها ابتداءً موضوع توحيد اللَّه في العبادة، ثمّ توحيد اللَّه سبحانه في الأفعال، وما يتفرع عليها من التبرك بالقبور وزيارتها والصلاة عندها وايقاد السُرُج عليها والتوسّل والاستغاثة والاستشفاع والشفاعة، والذبائح والنذور، فجاءت هذه الرسالة صغيرة الحجم، كبيرة المحتوى، فهي بعيدة عن التطويل المملّ أو الاختصار المخلّ، فقد اشتملت على جلّ المباحث اللازمة حول تلك المطالب المهمّة، فأوفت الموضوع حقّه، بالحجّة القاطعة، والدليل النقلي الثابت القوي، والبرهان العقلي المقنع، إضافة إلى دماثة الأخلاق والأدب السامي الرفيع في المناقشة والمناظرة</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3389855_373438147"/>
      <w:bookmarkStart w:id="20" w:name="_Toc7"/>
      <w:bookmarkEnd w:id="19"/>
      <w:r>
        <w:rPr>
          <w:rtl w:val="true"/>
        </w:rPr>
        <w:t>منهج العمل فيها</w:t>
      </w:r>
      <w:r>
        <w:rPr>
          <w:rtl w:val="true"/>
        </w:rPr>
        <w:t>:</w:t>
      </w:r>
      <w:bookmarkEnd w:id="20"/>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تخريج المنقولات عن المصادر الأصلية قدر الإمكان، وعضّدت التخريجات بمصادر إضافية زيادة في تقوية الحجّة وإثباتها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وأصلحت الأغلاط الإملائية والطباعية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تخلو منها أيّ طبعة لأيّ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أُشر إلى ذلك إلّافي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وضعته بين معقوفتين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أُشر إليه في الهامش، فهو أحد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عنوان وضعته بين الفقرات والمطالب لزيادة الإيضاح، أو إضافة من المصدر المنقول عنه يقتضيها نسق المطلب ربّما سقطت أثناء الطبع، أو زيادة منّي يقتضيها السياق، ربّما سطرها يراع المؤلّف رحمه الله وسقطت أثناء الطبع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أن ينفع بها، فما هي إلّامن حسن توفيقه وفضله، وآخر دعوانا أن الحمد للَّه‌ربّ العالمين، والصلاة والسلام على محمد وآله الطاهرين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علي الحكيم</w:t>
      </w:r>
      <w:bookmarkStart w:id="21" w:name="pg1293_5474"/>
    </w:p>
    <w:p>
      <w:pPr>
        <w:pStyle w:val="Heading2"/>
        <w:numPr>
          <w:ilvl w:val="1"/>
          <w:numId w:val="1"/>
        </w:numPr>
        <w:rPr/>
      </w:pPr>
      <w:bookmarkStart w:id="22" w:name="__RefHeading___Toc3389857_373438147"/>
      <w:bookmarkStart w:id="23" w:name="_Toc8"/>
      <w:bookmarkEnd w:id="21"/>
      <w:bookmarkEnd w:id="22"/>
      <w:r>
        <w:rPr>
          <w:rtl w:val="true"/>
        </w:rPr>
        <w:t>[</w:t>
      </w:r>
      <w:r>
        <w:rPr>
          <w:rtl w:val="true"/>
        </w:rPr>
        <w:t>تمهيد</w:t>
      </w:r>
      <w:r>
        <w:rPr>
          <w:rtl w:val="true"/>
        </w:rPr>
        <w:t>]</w:t>
      </w:r>
      <w:bookmarkEnd w:id="23"/>
    </w:p>
    <w:p>
      <w:pPr>
        <w:pStyle w:val="BookText"/>
        <w:rPr/>
      </w:pPr>
      <w:r>
        <w:rPr>
          <w:rFonts w:ascii="Amiri" w:hAnsi="Amiri" w:eastAsia="Amiri" w:cs="Amiri"/>
          <w:color w:val="111111"/>
          <w:sz w:val="28"/>
          <w:sz w:val="28"/>
          <w:szCs w:val="28"/>
          <w:rtl w:val="true"/>
          <w:lang w:bidi="ar-SA"/>
        </w:rPr>
        <w:t>الحمد للَّه‌ربّ العالمين، والصلاة على محمّد سيّد الأوّلين والآخرين، صلّى اللَّه عليه وسلّم، وعلى آله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p>
    <w:p>
      <w:pPr>
        <w:pStyle w:val="BookText"/>
        <w:rPr/>
      </w:pPr>
      <w:r>
        <w:rPr>
          <w:rFonts w:ascii="Amiri" w:hAnsi="Amiri" w:eastAsia="Amiri" w:cs="Amiri"/>
          <w:color w:val="111111"/>
          <w:sz w:val="28"/>
          <w:sz w:val="28"/>
          <w:szCs w:val="28"/>
          <w:rtl w:val="true"/>
          <w:lang w:bidi="ar-SA"/>
        </w:rPr>
        <w:t>فقد عثرتُ في بعض الجرائد</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وهذا ممّا أفادني به سماحة العلّامة المحقّق السيّد عبد العزيز الطباطبائي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سؤال نصّه هذا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غادر مكّة في شهر رمضان الماضي الشيخ عبد اللَّه بن بليهد،</w:t>
      </w:r>
    </w:p>
    <w:p>
      <w:pPr>
        <w:pStyle w:val="BookText"/>
        <w:rPr/>
      </w:pPr>
      <w:r>
        <w:rPr>
          <w:rFonts w:ascii="Amiri" w:hAnsi="Amiri" w:eastAsia="Amiri" w:cs="Amiri"/>
          <w:color w:val="111111"/>
          <w:sz w:val="28"/>
          <w:sz w:val="28"/>
          <w:szCs w:val="28"/>
          <w:rtl w:val="true"/>
          <w:lang w:bidi="ar-SA"/>
        </w:rPr>
        <w:t>قاضي قضاة الوهّابيّين في الحجاز، قاصداً المدينة المنوَّرة، وقد تلقّت جريدة أُمّ القرى من مكاتبها في المدينة أنّ الشيخ ابن بليهد اجتمع بعلماء المدينة وباحثهم في أُمور كثيرة، ثمّ وجّه إليهم السؤال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ما قول علماء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زادهم اللَّه فهماً وعلماً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البناء على القبور واتّخاذها مساجد، هل هو جائز أم لا؟</w:t>
      </w:r>
    </w:p>
    <w:p>
      <w:pPr>
        <w:pStyle w:val="BookText"/>
        <w:rPr/>
      </w:pPr>
      <w:r>
        <w:rPr>
          <w:rFonts w:ascii="Amiri" w:hAnsi="Amiri" w:eastAsia="Amiri" w:cs="Amiri"/>
          <w:color w:val="111111"/>
          <w:sz w:val="28"/>
          <w:sz w:val="28"/>
          <w:szCs w:val="28"/>
          <w:rtl w:val="true"/>
          <w:lang w:bidi="ar-SA"/>
        </w:rPr>
        <w:t>وإذا كان غير جائز، بل ممنوعٌ منهيٌّ عنه نهياً شديداً، فهل يجب هدمها ومنع الصلاة عندها أم لا؟</w:t>
      </w:r>
    </w:p>
    <w:p>
      <w:pPr>
        <w:pStyle w:val="BookText"/>
        <w:rPr/>
      </w:pPr>
      <w:r>
        <w:rPr>
          <w:rFonts w:ascii="Amiri" w:hAnsi="Amiri" w:eastAsia="Amiri" w:cs="Amiri"/>
          <w:color w:val="111111"/>
          <w:sz w:val="28"/>
          <w:sz w:val="28"/>
          <w:szCs w:val="28"/>
          <w:rtl w:val="true"/>
          <w:lang w:bidi="ar-SA"/>
        </w:rPr>
        <w:t>وإذا كان البناء في مسبلة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مانع من الانتفاع بالمقدار المبنيّ عليه، فهل هو غصب يجب رفعه، لِما فيه من ظلم المستحقّين ومنعهم استحقاقهم، أم لا؟</w:t>
      </w:r>
    </w:p>
    <w:p>
      <w:pPr>
        <w:pStyle w:val="BookText"/>
        <w:rPr/>
      </w:pPr>
      <w:r>
        <w:rPr>
          <w:rFonts w:ascii="Amiri" w:hAnsi="Amiri" w:eastAsia="Amiri" w:cs="Amiri"/>
          <w:color w:val="111111"/>
          <w:sz w:val="28"/>
          <w:sz w:val="28"/>
          <w:szCs w:val="28"/>
          <w:rtl w:val="true"/>
          <w:lang w:bidi="ar-SA"/>
        </w:rPr>
        <w:t>وما يفعله الجُهّال عند هذه الضرائح، مِن التمسّح بها، ودعائها مع اللَّه، والتقرُّب بالذبح والنذر لها، وإيقاد السُرُج عليها، هل هو جائز أم لا؟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يُفعل عند حجرة النبيّ صلى الله عليه و سلم، مِن التوجّه إليها عند الدعاء وغيره، والطواف بها وتقبيلها والتمسّح بها، وكذلك ما يفعل في المسجد الشريف، من الترحيم والتذكير بين الأَذان والإقامة وقبل الفجر ويوم الجمعة، هل هو مشروع أم لا؟</w:t>
      </w:r>
    </w:p>
    <w:p>
      <w:pPr>
        <w:pStyle w:val="BookText"/>
        <w:rPr/>
      </w:pPr>
      <w:r>
        <w:rPr>
          <w:rFonts w:ascii="Amiri" w:hAnsi="Amiri" w:eastAsia="Amiri" w:cs="Amiri"/>
          <w:color w:val="111111"/>
          <w:sz w:val="28"/>
          <w:sz w:val="28"/>
          <w:szCs w:val="28"/>
          <w:rtl w:val="true"/>
          <w:lang w:bidi="ar-SA"/>
        </w:rPr>
        <w:t>أفتونا مأجورين، وبيّنوا لنا الْأَدلة المستند إليها، لا زلتم ملجأً للمستفيدين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نصّ 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البناء على القبور فهو ممنوع إجماعاً؛ لصحّة الْأَحاديث الواردة في منعه، وبهذا أفتى كثير من العلماء بوجوب هدمه، مستندين على ذلك بحديث عليّ رضى الله عنه أنّه قال لأَبي الهيّاج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أبعثك على ما بعثني عليه رسول اللَّه صلى الله عليه و سلم، أن لا تدع تمثالًا إلّا طمسته، ولا قبراً مشرفاً إلّاسوّيته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اتّخاذ القبور مساجد والصلاة فيها فممنوع مطلقاً، وإيقاد السُرُج عليه ممنوع أيضاً؛ لحديث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زائرات القبور، والمتّخذين عليها المساجد والسُرُج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أهل السُنن</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يفعله الجهّال عند الضرائح، مِن التمسّح بها، والتقرُّب إليها بالذبائح والنذور، ودعاء أهلها مع اللَّه، فهو حرامٌ، ممنوع</w:t>
      </w:r>
    </w:p>
    <w:p>
      <w:pPr>
        <w:pStyle w:val="BookText"/>
        <w:rPr/>
      </w:pPr>
      <w:r>
        <w:rPr>
          <w:rFonts w:ascii="Amiri" w:hAnsi="Amiri" w:eastAsia="Amiri" w:cs="Amiri"/>
          <w:color w:val="111111"/>
          <w:sz w:val="28"/>
          <w:sz w:val="28"/>
          <w:szCs w:val="28"/>
          <w:rtl w:val="true"/>
          <w:lang w:bidi="ar-SA"/>
        </w:rPr>
        <w:t>شرعاً، لا يجوز فعله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التوجّه إلى حجرة النبيّ صلى الله عليه و سلم عند الدعاء، فالْأَوْلى منعه، كما هو معروف من فقرات كتب المذهب؛ ولأَنّ أفضل الجهات جهة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الطواف بها والتمسّح بها وتقبيلها، فهو ممنوع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يُفعل من التذكير والترحيم والتسليم في الْأَوقات المذكورة، فهو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وصل إليه علمنا السقيم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ويلي ذلك توقيع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علّقت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الفتوى بمقالة افتتاحية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الحكومة ستسير في تنفيذ أحكام الدين، رضي الناس أم كرهوا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واطّلعتُ أيضاً على مقالة في بعض الجرائد المصرية</w:t>
      </w:r>
      <w:r>
        <w:rPr>
          <w:rStyle w:val="FootnoteAnchor"/>
          <w:rtl w:val="true"/>
        </w:rPr>
        <w:footnoteReference w:id="5"/>
      </w:r>
      <w:r>
        <w:rPr>
          <w:rFonts w:ascii="Amiri" w:hAnsi="Amiri" w:eastAsia="Amiri" w:cs="Amiri"/>
          <w:color w:val="111111"/>
          <w:sz w:val="28"/>
          <w:sz w:val="28"/>
          <w:szCs w:val="28"/>
          <w:rtl w:val="true"/>
          <w:lang w:bidi="ar-SA"/>
        </w:rPr>
        <w:t>، وهذا نصّها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 الوهّابيّون على الحجاز، فأوفدت حكومة إيران وفداً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رأسه حضرات أصحاب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غفّار خان جلال السلطنة، وزيرها المفوَّض في مصر، وميرزا حبيب اللَّه خان هوَيدا عين الملك، قنصلها الجنرال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الحجاز، ليتبيّنوا وجه الحقيقة في ما أُذيع على العالم الإِسلامي أجمع من فظائع الوهّابيّين في البلاد المقدّسة، وأتمّ هذا الوفد الرسميّ مهمّته، ورفع تقريره إلى حكومته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تجدّد نشر الإِشاعات بأنّ الوهّابيّين هم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التطوّر الذي غَشِي العالَمَ أجمع لم يصلح من فساد تطرّفهم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هدموا القباب والمزارات المبارَكةَ المنبثّة في أرجاء ذلك الوادي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ضيّقوا الحرّيّة المذهبيّة الإِسلامية، نشراً لمذهبهم، وتوسيعاً لنطاق نحلتهم، في الوقت الذي تقوم فيه جميع حكومات العالَم على رعاية الحرّيّات المذهبيّة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أَصْدَرَتْ</w:t>
      </w:r>
      <w:r>
        <w:rPr>
          <w:rStyle w:val="FootnoteAnchor"/>
          <w:rtl w:val="true"/>
        </w:rPr>
        <w:footnoteReference w:id="6"/>
      </w:r>
      <w:r>
        <w:rPr>
          <w:rFonts w:ascii="Amiri" w:hAnsi="Amiri" w:eastAsia="Amiri" w:cs="Amiri"/>
          <w:color w:val="111111"/>
          <w:sz w:val="28"/>
          <w:sz w:val="28"/>
          <w:szCs w:val="28"/>
          <w:rtl w:val="true"/>
          <w:lang w:bidi="ar-SA"/>
        </w:rPr>
        <w:t>أَمْرَها بوقف التصريح بالسفر للحجاز، حماية لرعاياها، وحفظاً لهم من قصدِ بلادٍ لم يُعْرَف تماماً كُنه الحكم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وعادت فأوفدت سعادة ميرزا حبيب‌اللَّه خان هوَيدا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قنصلها الجنرال</w:t>
      </w:r>
      <w:r>
        <w:rPr>
          <w:rStyle w:val="FootnoteAnchor"/>
          <w:rtl w:val="true"/>
        </w:rPr>
        <w:footnoteReference w:id="7"/>
      </w:r>
      <w:r>
        <w:rPr>
          <w:rFonts w:ascii="Amiri" w:hAnsi="Amiri" w:eastAsia="Amiri" w:cs="Amiri"/>
          <w:color w:val="111111"/>
          <w:sz w:val="28"/>
          <w:sz w:val="28"/>
          <w:szCs w:val="28"/>
          <w:rtl w:val="true"/>
          <w:lang w:bidi="ar-SA"/>
        </w:rPr>
        <w:t>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 للتحقّق من مبلغ صدق تلك الإِشاعات، فإذا بها صحيحة في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تمنع الحكومة الإِيرانية رعاياها من السفر إلى الحجاز لِأَنّ حكومته وهّابيّة فحسب، ولكنّ الإِيرانيّين أَلِفوا في الحجّ والزيارة شؤوناً يعتقدون أنّها من مستلزمات أداء ذلك الركن، ويشاركهم في ذلك جمهور المسلمين من غير الوهّابيّين، كزيارة مشاهد أهل البيت، والاستمداد من نفحاتهم، وزيارة مسجد منسوب للإِمام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قضى الوهّابيُّ على تلك الآثار جملةً، وقضى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فرد منهم حكومة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الحرّيّة المذهبيّة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قرأ الفاتحة على مشهد من المشاهد، 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دخَّن سيجارة أو نرجيلة، أُهينَ وَضُرِبَ وزُجَّ في السجن، في الوقت الذي تحصّل فيه إدارة الجمارك الحجازيّة رسوماً على واردات البلاد من الدخان والتمباك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استنجد بالرسول المجتبى عليه صلوات اللَّه وسلامه بقوله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أقسم بالنبيّ أو بآله، عُدَّ خارجاً عن سياج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حادثة السيّد أحمد الشريف السنوسيّ</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علم من أعلام المسلمين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ببعيدة، إذ كان وقوفه وقراءته الفاتحة على ضريح السيّدة خديجة رضوان اللَّه عليها، سبباً كافياً في نظر الوهّابيّين لإِخراجه من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حاصلٌ في الحجاز لاينكره أحد، ولا يستطيع الوهّابيُّ ولا دعاتُه ولا جنودُه أن يكذِّبوه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أردنا نقله من تلك الجريدة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أن أتكلّم معهم بكلمات وجيزة، جارية في نهج الإِنصاف، خالية عن الجور والتعصّب والاعتساف، سالكاً سبيل الرفق والاعتدال، ناكباً عن طريق الخرق والجدال، فما المقصود إلّا هداية العباد، واللَّه وليُّ الرشاد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إنّا نتكلّم في ما طعن به الوهّابيّون على سائر المسلمين في</w:t>
      </w:r>
    </w:p>
    <w:p>
      <w:pPr>
        <w:pStyle w:val="BookText"/>
        <w:rPr/>
      </w:pPr>
      <w:r>
        <w:rPr>
          <w:rFonts w:ascii="IRNazanin" w:hAnsi="IRNazanin" w:eastAsia="IRNazanin"/>
          <w:color w:val="111111"/>
          <w:sz w:val="28"/>
          <w:sz w:val="28"/>
          <w:szCs w:val="28"/>
          <w:rtl w:val="true"/>
          <w:lang w:bidi="fa-IR"/>
        </w:rPr>
        <w:t>ضمن فصول، واللَّه المستعان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واجتنبت فيه عن الفحش في المقال، والطعن والوقيعة والجدال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والجرح لَمّا يندمل، وإنّ القلوب لحرّى، والعيون لعبرى، على الرزيّة التي عمّت الإِسلام والمسلمين، فإنّا للَّه‌وإنّا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لها من رزيّة 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ومصيبة فاظعة</w:t>
      </w:r>
      <w:r>
        <w:rPr>
          <w:rStyle w:val="FootnoteAnchor"/>
          <w:rtl w:val="true"/>
        </w:rPr>
        <w:footnoteReference w:id="9"/>
      </w:r>
      <w:r>
        <w:rPr>
          <w:rFonts w:ascii="Amiri" w:hAnsi="Amiri" w:eastAsia="Amiri" w:cs="Amiri"/>
          <w:color w:val="111111"/>
          <w:sz w:val="28"/>
          <w:sz w:val="28"/>
          <w:szCs w:val="28"/>
          <w:rtl w:val="true"/>
          <w:lang w:bidi="ar-SA"/>
        </w:rPr>
        <w:t>فادحة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وثلمة عظيمة في الإسلام أليمة فجيعة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كُحِلَتْ بِمِقْطَرِكَ العُيُونُ عَمايَةًوَأَجَلَّ وَقْعَكَ كُلُّ أُذْنٍ تَسْمَعُ</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كُحِلَتْ بِمَنْظَرِكَ العُيُونُ عَمايَةًوَأَصَمَّ نْعيُكَ كُلَّ أُذْنٍ تَسْمَعُ</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هدموا شعائرَ الدين، وجرحوا قلوبَ المسلمين، بفتوى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دعبل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 قائله هنا، الحماسة البصرية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خمسة عشر، تشهد القرائن بأنّهم مجبورون مضطرّون على هاتيك 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نفس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حيث إنّ السائل يعلِّمُهُمُ الجواب في ضمن السؤال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غير جائز، بل ممنوع منهيٌّ عنه نهياً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ويومئ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الجريدة، أنّه اجتمع إليهم أوّلًا، وباحثهم ثانياً، ومن بعد ذلك وجّه إليهم السؤال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حدّثني بعض الثقات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رجوعه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علمائها،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الوهّابيّة أوعدوني وعالِمَين غيري بالقتل والنهب والنفي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نساعدهم</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في الجواب، فلم نفعل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هذِي المَنازِلُ بِالغَمِيمِ فَنادِهاوَاسْكُبْ سَخِيَّ العَيْنِ بَعْدَ جَمادِها</w:t>
      </w:r>
      <w:r>
        <w:rPr>
          <w:rStyle w:val="FootnoteAnchor"/>
          <w:rtl w:val="true"/>
        </w:rPr>
        <w:footnoteReference w:id="12"/>
      </w:r>
      <w:bookmarkStart w:id="24" w:name="pg1293_5483"/>
    </w:p>
    <w:p>
      <w:pPr>
        <w:pStyle w:val="Heading2"/>
        <w:numPr>
          <w:ilvl w:val="1"/>
          <w:numId w:val="1"/>
        </w:numPr>
        <w:rPr/>
      </w:pPr>
      <w:bookmarkStart w:id="25" w:name="__RefHeading___Toc3389859_373438147"/>
      <w:bookmarkStart w:id="26" w:name="_Toc9"/>
      <w:bookmarkEnd w:id="24"/>
      <w:bookmarkEnd w:id="25"/>
      <w:r>
        <w:rPr>
          <w:rtl w:val="true"/>
        </w:rPr>
        <w:t>الفصل الأوّل في توحيد اللَّه في العبادة</w:t>
      </w:r>
      <w:bookmarkEnd w:id="26"/>
    </w:p>
    <w:p>
      <w:pPr>
        <w:pStyle w:val="Heading3"/>
        <w:numPr>
          <w:ilvl w:val="2"/>
          <w:numId w:val="1"/>
        </w:numPr>
        <w:rPr/>
      </w:pPr>
      <w:bookmarkStart w:id="27" w:name="__RefHeading___Toc3389861_373438147"/>
      <w:bookmarkStart w:id="28" w:name="_Toc10"/>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إعلم أنّ من ضروريّات الدين، والمتّفق عليه بين جميع طبقات المسلمين، بل من أعظم أركان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العبادة باللَّه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يستحقّها غيره، ولا يجوز إيقاعها لغيره، ومَن عَبَدَ غيرَه فهو كافرٌ مشرك، سواءً عَبَدَ الأصنام، أو عَبَدَ أشرفَ الملائكةِ، أو أفضلَ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يرتاب فيه أحدٌ ممّن عرف دينَ الإسلام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يقرأ في كلّ يوم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p>
    <w:p>
      <w:pPr>
        <w:pStyle w:val="BookText"/>
        <w:rPr/>
      </w:pP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أَنْتُمْ عابِدُونَ ما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عابِدٌ ما عَبَدْتُمْ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أنْتُمْ عابِدُونَ ما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ويقرأ في سورة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إلّاللَّهِ أَمَرَ ألّا تَعبُدُوا إلّا إيّاهُ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ويقرأ في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أَشْرَكُوا لَوْ شاءَ اللَّهُ ما عَبَدْنا مِنْ دُونِهِ مِنْ شَي‌ءٍ نَحْنُ وَلا آباؤنا وَلا حَرَّمْنا مِنْ دُوْنِهِ مِنْ شَي‌ءٍ كَذلِكَ فَعَلَ الّذِينَ مِنْ قَبْلِهِمْ فَهَلْ عَلى الرُّسُل إلّاالبَلاغُ المُبِينُ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ويقرأ في سورة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إلّالِيَعْبُدُوا إلهاً واحِداً لا إلهَ إلّا هُوَ سُبْحانَهُ عَمّا يُشْرِكُونَ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ويقرأ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كُنْتُمْ شُهَداءَ إذْ حَضَرَ يَعْقُوبَ المَوْتُ إذْ قالَ لِبَنيهِ ما تَعْبُدُونَ مِن بَعْدي قالُوا نَعْبُدُ إلهَكَ وَإلهَ آبائِكَ إبْراهِيمَ وَإسْماعِيلَ وَإسْحاق إلهاً واحِداً وَنَحْنُ لَهُ مُسْلِمُونَ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ويقرأ في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عادٍ أخاهُمْ 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أَجئتَنا لِنَعْبُدَ اللَّهَ وَحدَهُ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اتّخَذُوا مِن دُوْنِهِ أَوْلِياءَ ما نَعْبُدُهُمْ إلّالِيُقَرِّبُونا إلى اللَّهِ زُلْفى إنّ اللَّه يَحْكُمُ بَيْنَهُمْ في ما هُمْ فِيهِ يَخْتَلِفُونَ إنّ اللَّهَ لا يَهْدِي مَنْ هُوَ كاذِبٌ كَفّارٌ</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ويقرأ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 وَكُن مِنَ الشّاكِرِينَ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ويقرأ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أَعبُدُ مُخْلِصاً لَهُ دِينِي</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ويقرأ في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وَلا تُشْرِكُوا بِهِ شَيئاً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ويقرأ في سورة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تَعْبُدُوا إلّااللَّهَ إنّني لَكُمْ مِنْهُ نَذِيرٌ وَبَشيرٌ</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ويقرأ في سورة 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آمَنُوا إنّ أرضِي واسِعَةٌ فَإيّايَ فَاعبُدُونِ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الفرقانيّة، والأحاديث المتواترة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المفسّر في لسان المفسِّرين، وأهل العربيّة، وعلماء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الخضوع؛ كالسجود، والركوع، ووَضع الخدِّ على التراب والرماد تواضعاً، وأشباه ذلك، كما يفعله عبّاد الأصنام لأصنامهم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زيارة القبور والتمسّح بها وتقبيلها والتبرّك بها، فليس من ذلك في شي‌ء كما هو واضحٌ، بل ليس فيها شي‌ء من الخضوع فضلًا عن كونها غاية الخضوع</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مطلق 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بعبادة، وإلّا لكان جميع الناس مشركين حتّى 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يخضعون للرؤساء</w:t>
      </w:r>
    </w:p>
    <w:p>
      <w:pPr>
        <w:pStyle w:val="BookText"/>
        <w:rPr/>
      </w:pPr>
      <w:r>
        <w:rPr>
          <w:rFonts w:ascii="Amiri" w:hAnsi="Amiri" w:eastAsia="Amiri" w:cs="Amiri"/>
          <w:color w:val="111111"/>
          <w:sz w:val="28"/>
          <w:sz w:val="28"/>
          <w:szCs w:val="28"/>
          <w:rtl w:val="true"/>
          <w:lang w:bidi="ar-SA"/>
        </w:rPr>
        <w:t>والأُمراء والكبراء بعضَ الخضوع، ويخضع الأبناء للآباء، والخدم للمخدومين، والعبيد للموالي، وكلُّ طبقة من طبقات الناس لِلّتي فوقها، فيخضعون إليهم بعض الخضوع، ويتواضعون لهم بعض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قال اللَّه عزّ من قائل في تعليم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أترى اللَّهَ حين أمر بالخضوع للوالِدَين أمَرَ بعبادتهما؟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تَرفَعُوا أصواتَكُمْ فَوقَ صَوتِ النَّبيِّ وَلا تَجَهرُوا لَهُ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هذا خضوعاً وتواضعاً؟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أَتَرى اللَّهَ سبحانه أمَرَ بعبادة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أَوَليس التواضع من الأخلاق الجميلة الزكيّة، وهو متضمّن لشي‌ء من الخضوع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أَوَترى اللَّهَ نهى أن يُصنع بأنبيائه وأوليائه نظير ما أمر أن يصنع بسائر المسلمين من والتواضع والخضوع؟</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الصحابة يتواضعون للنبيّ صلى الله عليه و سلم، ويخضعون له، وذلك</w:t>
      </w:r>
      <w:bookmarkStart w:id="29" w:name="pg1293_5488"/>
    </w:p>
    <w:p>
      <w:pPr>
        <w:pStyle w:val="BookText"/>
        <w:rPr/>
      </w:pPr>
      <w:bookmarkEnd w:id="29"/>
      <w:r>
        <w:rPr>
          <w:rFonts w:ascii="Amiri" w:hAnsi="Amiri" w:eastAsia="Amiri" w:cs="Amiri"/>
          <w:color w:val="111111"/>
          <w:sz w:val="28"/>
          <w:sz w:val="28"/>
          <w:szCs w:val="28"/>
          <w:rtl w:val="true"/>
          <w:lang w:bidi="ar-SA"/>
        </w:rPr>
        <w:t>من المسلَّمات بين أهل السِيَر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روى البخاري في 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سلم بالهاجرة إلى البطحاء، فتوضّأ، ثمّ صلّى الظهر ركعتين، والعصر ركعتين، وبين يديه عَنَزَة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تمرُّ</w:t>
      </w:r>
      <w:r>
        <w:rPr>
          <w:rStyle w:val="FootnoteAnchor"/>
          <w:rtl w:val="true"/>
        </w:rPr>
        <w:footnoteReference w:id="30"/>
      </w:r>
      <w:r>
        <w:rPr>
          <w:rFonts w:ascii="Amiri" w:hAnsi="Amiri" w:eastAsia="Amiri" w:cs="Amiri"/>
          <w:color w:val="111111"/>
          <w:sz w:val="28"/>
          <w:sz w:val="28"/>
          <w:szCs w:val="28"/>
          <w:rtl w:val="true"/>
          <w:lang w:bidi="ar-SA"/>
        </w:rPr>
        <w:t>من ورائها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الناس فجعلوا يأخذون يده</w:t>
      </w:r>
      <w:r>
        <w:rPr>
          <w:rStyle w:val="FootnoteAnchor"/>
          <w:rtl w:val="true"/>
        </w:rPr>
        <w:footnoteReference w:id="31"/>
      </w:r>
      <w:r>
        <w:rPr>
          <w:rFonts w:ascii="Amiri" w:hAnsi="Amiri" w:eastAsia="Amiri" w:cs="Amiri"/>
          <w:color w:val="111111"/>
          <w:sz w:val="28"/>
          <w:sz w:val="28"/>
          <w:szCs w:val="28"/>
          <w:rtl w:val="true"/>
          <w:lang w:bidi="ar-SA"/>
        </w:rPr>
        <w:t>فيمسحون بها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بيده فوضعتها على وجهي، فإذا هي أبرد من الثلج، وأطيب رائحة من المسك</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3389863_373438147"/>
      <w:bookmarkStart w:id="31" w:name="_Toc11"/>
      <w:bookmarkEnd w:id="30"/>
      <w:r>
        <w:rPr>
          <w:rtl w:val="true"/>
        </w:rPr>
        <w:t>[</w:t>
      </w:r>
      <w:r>
        <w:rPr>
          <w:rtl w:val="true"/>
        </w:rPr>
        <w:t>زيارة القبور</w:t>
      </w:r>
      <w:r>
        <w:rPr>
          <w:rtl w:val="true"/>
        </w:rPr>
        <w:t>:]</w:t>
      </w:r>
      <w:bookmarkEnd w:id="3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الأخبار الدالّة على زيارة القبور فنذكر عدّة منها، وإن كان لا حاجة إلى ذكرها لوضوح المسألة، حتّى أنّ 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مانعين عن أصل الزيارة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فروى البخاري عنه صلى الله عليه و سلم،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يوماً فصلّى على أهل أُحُد صلاته على الميّت، ثمّ انصرف إلى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فيه عن أنس،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النبيّ صلى الله عليه و سلم بامرأة تبكي عند 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اتقي اللَّه واصبري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34"/>
      </w:r>
      <w:r>
        <w:rPr>
          <w:rFonts w:ascii="Amiri" w:hAnsi="Amiri" w:eastAsia="Amiri" w:cs="Amiri"/>
          <w:color w:val="111111"/>
          <w:sz w:val="28"/>
          <w:sz w:val="28"/>
          <w:szCs w:val="28"/>
          <w:rtl w:val="true"/>
          <w:lang w:bidi="ar-SA"/>
        </w:rPr>
        <w:t>ولم ينهها عن زيارة القبر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الدارقطني في السنن وغيرها، والبيهقي، وغيرهما، من طريق موسى بن هلال العبدي، عن عبد اللَّه العمري، عن نافع،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نافع، عن سالم، عن ابن عمر، مرفوعاً، عن النبيّ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جاءني زائراً ليس له حاجة إلّازيارتي، كان حقّاً عَلَيَّ أن</w:t>
      </w:r>
    </w:p>
    <w:p>
      <w:pPr>
        <w:pStyle w:val="BookText"/>
        <w:rPr/>
      </w:pPr>
      <w:r>
        <w:rPr>
          <w:rFonts w:ascii="Amiri" w:hAnsi="Amiri" w:eastAsia="Amiri" w:cs="Amiri"/>
          <w:color w:val="111111"/>
          <w:sz w:val="28"/>
          <w:sz w:val="28"/>
          <w:szCs w:val="28"/>
          <w:rtl w:val="true"/>
          <w:lang w:bidi="ar-SA"/>
        </w:rPr>
        <w:t>أكون له شفيعاً يوم القيامة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ليث ومجاهد،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مرفوعاً، 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وزار قبري بعد وفاتي، كان كمن زارني في حياتي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نافع، عن ابن عمر،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كنتُ له شهيداً أو شفيعاً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نافع، عن ابن عمر،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يزرني فقد جفاني</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هريرة، مرفوعاً،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w:t>
      </w:r>
    </w:p>
    <w:p>
      <w:pPr>
        <w:pStyle w:val="BookText"/>
        <w:rPr/>
      </w:pPr>
      <w:r>
        <w:rPr>
          <w:rFonts w:ascii="Amiri" w:hAnsi="Amiri" w:eastAsia="Amiri" w:cs="Amiri"/>
          <w:color w:val="111111"/>
          <w:sz w:val="28"/>
          <w:sz w:val="28"/>
          <w:szCs w:val="28"/>
          <w:rtl w:val="true"/>
          <w:lang w:bidi="ar-SA"/>
        </w:rPr>
        <w:t>موتي فكأنّما زارني حيّاً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مرفوعاً،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ميّتاً كمن زارني حيّاً، ومَن زار قبري وجبت له شفاعتي يوم القيامة</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في مماتي كان كمن زارني في حياتي، ومَن لم يزرني فقد جفاني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الأحاديث التي يجوزُ مجموعُها حدّ المتواتر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 كان يقف عند قبر النبيّ صلى الله عليه و سلم، فيسلّم عليه وعند أبي بكر وعمر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يسلّم على قبر النبي صلى الله عليه و سلم؟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مائة مرّة أو أكثر يسلّم على النبيّ وعلى أبي بكر</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 رسول اللَّه صلى الله عليه و سلم سُنّةٌ أجمعَ عليها المسلمون</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بريدة، عن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نهيتكم عن زيارة القبور فزوروها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بريدة، أنّ النبيّ صلى الله عليه و سلم إذا خرج إلى المقابر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أهلَ الديار مِنَ المؤمنين والمسلمين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مسلم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إلى البقيع آخر الليل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مسلم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bookmarkStart w:id="32" w:name="pg1293_5493"/>
    </w:p>
    <w:p>
      <w:pPr>
        <w:pStyle w:val="Heading3"/>
        <w:numPr>
          <w:ilvl w:val="2"/>
          <w:numId w:val="1"/>
        </w:numPr>
        <w:rPr/>
      </w:pPr>
      <w:bookmarkStart w:id="33" w:name="__RefHeading___Toc3389865_373438147"/>
      <w:bookmarkStart w:id="34" w:name="_Toc12"/>
      <w:bookmarkEnd w:id="32"/>
      <w:bookmarkEnd w:id="33"/>
      <w:r>
        <w:rPr>
          <w:rtl w:val="true"/>
        </w:rPr>
        <w:t>[</w:t>
      </w:r>
      <w:r>
        <w:rPr>
          <w:rtl w:val="true"/>
        </w:rPr>
        <w:t>التبرُّك بالقبور</w:t>
      </w:r>
      <w:r>
        <w:rPr>
          <w:rtl w:val="true"/>
        </w:rPr>
        <w:t>:]</w:t>
      </w:r>
      <w:bookmarkEnd w:id="34"/>
    </w:p>
    <w:p>
      <w:pPr>
        <w:pStyle w:val="BookText"/>
        <w:rPr/>
      </w:pPr>
      <w:r>
        <w:rPr>
          <w:rFonts w:ascii="Amiri" w:hAnsi="Amiri" w:eastAsia="Amiri" w:cs="Amiri"/>
          <w:color w:val="111111"/>
          <w:sz w:val="28"/>
          <w:sz w:val="28"/>
          <w:szCs w:val="28"/>
          <w:rtl w:val="true"/>
          <w:lang w:bidi="ar-SA"/>
        </w:rPr>
        <w:t>وأمّا التبرُّك بالقبور وتقبيلها والتمسّح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نقل عبد اللَّه بن أحمد بن حنبل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والسؤالات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الرجل يمسّ منبر رسول اللَّه يتبرّك بمسّه وتقبيله، ويفعل بالقبر ذلك رجاءَ ثوابِ اللَّه،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عن مالك التبرّك بالقبر</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حينما أراد الخروج إلى العراق جاء إلى المنبر وتمسّح به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السبكي روايةً ليحيى بن الحسن عن عمر بن خالد، عن أبي نباتة، عن كثير بن يزيد، عن المطّلب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مروان بن الحكم وإذا رَجلٌ ملتزم القبر، فأخذ مروان برقبته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آتِ الحجرَ ولا اللبن، إنّما جئت رسولَ اللَّه صلى الله عليه و سلم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رواية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أبا أيّوب الأنصاري</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هذه الرواية أحمد، وزاد فيها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على الدِين إذا ولوه اهله، وابكوا عليه إذا وليه غير أهله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حمّاد أنّ عمر كان يضع يده اليمنى على القبر</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رمنا ذكر جميع الأحاديث لخرجنا من حدّ الاختصار، وفي ما ذُكر كفاية، فضلًا عن سيرة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عرفتَ من أنّ تلك الأُمور خارجة عن حقيقة العبادة، فإذاً لا وجه للمنع عنها وإن لم يكن دليل عليها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35" w:name="pg1293_5495"/>
    </w:p>
    <w:p>
      <w:pPr>
        <w:pStyle w:val="Heading2"/>
        <w:numPr>
          <w:ilvl w:val="1"/>
          <w:numId w:val="1"/>
        </w:numPr>
        <w:rPr/>
      </w:pPr>
      <w:bookmarkStart w:id="36" w:name="__RefHeading___Toc3389867_373438147"/>
      <w:bookmarkStart w:id="37" w:name="_Toc13"/>
      <w:bookmarkEnd w:id="35"/>
      <w:bookmarkEnd w:id="36"/>
      <w:r>
        <w:rPr>
          <w:rtl w:val="true"/>
        </w:rPr>
        <w:t>الفصل الثاني في توحيد اللَّه سبحانه في الأفعال</w:t>
      </w:r>
      <w:bookmarkEnd w:id="37"/>
    </w:p>
    <w:p>
      <w:pPr>
        <w:pStyle w:val="Heading3"/>
        <w:numPr>
          <w:ilvl w:val="2"/>
          <w:numId w:val="1"/>
        </w:numPr>
        <w:rPr/>
      </w:pPr>
      <w:bookmarkStart w:id="38" w:name="__RefHeading___Toc3389869_373438147"/>
      <w:bookmarkStart w:id="39" w:name="_Toc14"/>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إعلم أنّ من ضروريّات دين الإسلام، والُمجمَع عليه بين جميع الفرق المنتحلة لدين سيّد الأنام، بل ومن أعظم أركان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توحيد اللَّه عزّ وجلّ في تدبير العالَم، كالخلق والرزق والإماتة والإحياء، إلى غير ذلك ممّا يرجع إلى تدبير العالَم، كتسخير الكواكب، وجعلِ الليل والنهار، والظُلَمِ والأنوار، وإجراء البحار، وإنزال الأمطار، وغير ذلك ممّا لا نحصيه ولا نحيط به</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3389871_373438147"/>
      <w:bookmarkStart w:id="41" w:name="_Toc15"/>
      <w:bookmarkEnd w:id="40"/>
      <w:r>
        <w:rPr>
          <w:rtl w:val="true"/>
        </w:rPr>
        <w:t>وبالجملة</w:t>
      </w:r>
      <w:r>
        <w:rPr>
          <w:rtl w:val="true"/>
        </w:rPr>
        <w:t>:</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كلام بين طوائف أهل الإسلام، أنّ المدبّر لهذا النظام، هو اللَّه</w:t>
      </w:r>
    </w:p>
    <w:p>
      <w:pPr>
        <w:pStyle w:val="BookText"/>
        <w:rPr/>
      </w:pPr>
      <w:r>
        <w:rPr>
          <w:rFonts w:ascii="Amiri" w:hAnsi="Amiri" w:eastAsia="Amiri" w:cs="Amiri"/>
          <w:color w:val="111111"/>
          <w:sz w:val="28"/>
          <w:sz w:val="28"/>
          <w:szCs w:val="28"/>
          <w:rtl w:val="true"/>
          <w:lang w:bidi="ar-SA"/>
        </w:rPr>
        <w:t>المَلِك العلّام، وحده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يرتاب مسلم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يقرأ في كلّ يوم مراراً من الفرقان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ويقرأ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كُلَّ شَي‌ءٍ وَهُوَ بِكُلِّ شَي‌ءٍ عَلِيمٌ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وَالأَمرُ</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يَرْزُقُكُمْ مِنَ السَّماءِ وَالأرضِ أَمَّن يَملِكُ السَّمْعَ والأبصارَ وَمَن يُخرِجُ الحَيَّ مِنَ المَيِّتِ وَيُخرِجُ المَيِّتَ مِنَ الحَيِّ وَمَن يُدَبّرُ الأمْرَ فَسَيَقُولُونَ اللَّهُ فَقُلْ أَفَلا تَتَّقُونَ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لَهُ مُلْكُ السَّمواتِ وَالأرضِ يُحْيِي وَيُميتُ وَما لَكُم مِن دُوْنِ اللَّهِ مِن وَلِيّ وَلا نَصِيرٍ</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عظُم سلطانه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نُوحُ قَدْ جادَلْتَنا فَأَكْثَرْتَ جِدالَنا فَأتِنا بِما تَعِدُنا 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يَأتِيكُم بِهِ اللَّهُ إن شاء</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جلّ شانه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جَعَلُوا للَّهِ شُركاءَ خَلَقُوا كَخَلْقِهِ فَتَشابَهَ الخَلْقُ عَلَيْهِمْ قُلِ اللَّهُ خالِقُ كُلِّ شَي‌ءٍ</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 جبروته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خَلَقَنِي فَهُوَ 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يُطعِمُنِي وَيَسقِينِ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مَرِضتُ فَهُوَ يَشفِينِ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يُمِيتُنِي ثُمَّ يُحْيِينِ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السَّمواتِ وَالأرْضَ وَسَخَّرَ الشَّمسَ وَالقَمَرَ لَيَقُولُنَّ اللَّهُ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عمّ إحسانه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نَّزَّلَ مِنَ السَّماءِ مآءً فَأَحْيا بِهِ الأرضَ مِن بَعْدِ مَوْتِها لَيَقُولُنَّ اللَّهُ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جلّت قدرته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خَلَقَكُمْ ثُمَّ رَزَقَكُمْ ثُمَّ يُمِيتُكُمْ ثُمَّ يُحْيِيكُمْ</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السَّمواتُ بِغَيْرِ عَمَدٍ تَرَوْنَها وَأَلْقى في الأرْضِ رَواسِيَ أَنْ تَمِيدَ بِكُمْ وَبَثَّ فِيها مِن كُلِّ دابَّةٍ وَأَنْزَلْنا مِنَ السَّماءِ ماءً</w:t>
      </w:r>
      <w:bookmarkStart w:id="42" w:name="pg1293_5498"/>
    </w:p>
    <w:p>
      <w:pPr>
        <w:pStyle w:val="BookText"/>
        <w:rPr/>
      </w:pPr>
      <w:bookmarkEnd w:id="42"/>
      <w:r>
        <w:rPr>
          <w:rFonts w:ascii="Amiri" w:hAnsi="Amiri" w:eastAsia="Amiri" w:cs="Amiri"/>
          <w:color w:val="111111"/>
          <w:sz w:val="28"/>
          <w:sz w:val="28"/>
          <w:szCs w:val="28"/>
          <w:rtl w:val="true"/>
          <w:lang w:bidi="ar-SA"/>
        </w:rPr>
        <w:t>فَأَنبَتْنا فِيها مِن كُلِّ زَوْجٍ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خَلْقُ اللَّهِ فَأَرُونِي مَاذا خَلَقَ الَّذِينَ مِن دُونِهِ بَلِ الظّالِمُونَ في ضَلالٍ مُبِينٍ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كُلِّ شَي‌ءٍ وَهُوَ عَلَى كُلِّ شَي‌ءٍ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مَقالِيدُ السَّمواتِ والأرضِ</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هُوَ أَضْحَكَ وَأَبْكَى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هُوَ أَماتَ وَأَحْيا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خَلَقَ الزَّوْجَينِ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إذا 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عَلَيْهِ النَّشْأَةَ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هُوَ أَغْنى وَأَقْنى</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الكريمة</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3389873_373438147"/>
      <w:bookmarkStart w:id="44" w:name="_Toc16"/>
      <w:bookmarkEnd w:id="43"/>
      <w:r>
        <w:rPr>
          <w:rtl w:val="true"/>
        </w:rPr>
        <w:t>[</w:t>
      </w:r>
      <w:r>
        <w:rPr>
          <w:rtl w:val="true"/>
        </w:rPr>
        <w:t>التوسّل والاستغاثة والاستشفاع</w:t>
      </w:r>
      <w:r>
        <w:rPr>
          <w:rtl w:val="true"/>
        </w:rPr>
        <w:t>:</w:t>
      </w:r>
      <w:bookmarkEnd w:id="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التوسّل بغير اللَّه سبحانه، والاستغاثة، والاستشفاع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المعمولة عند المسلمين، في جميع الأزمان، بالنسبة إلى الأنبياء والأَولياء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بمعنى التشريك في أفعال اللَّه تعالى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الغرض أن يفعل اللَّهُ فعله ويقضي الحاجة ببركتهم وشفاعتهم، حيث إنّهم مقرَّبون لديه، مكرمون عنده، ولا مانع من أن يكونوا سبباً ووسيلة لجريان فيضه</w:t>
      </w:r>
      <w:r>
        <w:rPr>
          <w:rFonts w:eastAsia="Amiri" w:cs="Amiri" w:ascii="Amiri" w:hAnsi="Amiri"/>
          <w:color w:val="111111"/>
          <w:sz w:val="28"/>
          <w:szCs w:val="28"/>
          <w:rtl w:val="true"/>
          <w:lang w:bidi="ar-SA"/>
        </w:rPr>
        <w:t>.</w:t>
      </w:r>
      <w:bookmarkStart w:id="45" w:name="pg1293_5499"/>
    </w:p>
    <w:p>
      <w:pPr>
        <w:pStyle w:val="BookText"/>
        <w:rPr/>
      </w:pPr>
      <w:bookmarkEnd w:id="45"/>
      <w:r>
        <w:rPr>
          <w:rFonts w:ascii="Amiri" w:hAnsi="Amiri" w:eastAsia="Amiri" w:cs="Amiri"/>
          <w:color w:val="111111"/>
          <w:sz w:val="28"/>
          <w:sz w:val="28"/>
          <w:szCs w:val="28"/>
          <w:rtl w:val="true"/>
          <w:lang w:bidi="ar-SA"/>
        </w:rPr>
        <w:t>هذا، ومن المركوز في طباع البشر توسّلهم في حوائجهم التي يطلبونها من العظماء والملوك والأُمراء إلى المخصوصين بحضرتهم، ويرون هذا وسيلة لنجح حاجتهم، وليس ذلك تشريكاً لذلك المخصوص مع ذاك الأمير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يُعْزَل أنبياء اللَّه والأَولياء مِن مثل ما يُصنع بمخصوصي العظماء؟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إلّااختلاق،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إلّابِإذْنِهِ</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فاستثنى،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يَشْفَعُونَ إلّا لِمَنِ ارْتَضَى</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ذُكر ظهر أنّ قول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ودعائها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الضرائح، افتراءٌ على المسلمين من جهتين</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3389875_373438147"/>
      <w:bookmarkStart w:id="47" w:name="_Toc17"/>
      <w:bookmarkEnd w:id="46"/>
      <w:r>
        <w:rPr>
          <w:rtl w:val="true"/>
        </w:rPr>
        <w:t>الأُولى</w:t>
      </w:r>
      <w:r>
        <w:rPr>
          <w:rtl w:val="true"/>
        </w:rPr>
        <w:t xml:space="preserve">: </w:t>
      </w:r>
      <w:r>
        <w:rPr>
          <w:rtl w:val="true"/>
        </w:rPr>
        <w:t>دعوى تشريك غير اللَّه معه في الدعاء</w:t>
      </w:r>
      <w:r>
        <w:rPr>
          <w:rtl w:val="true"/>
        </w:rPr>
        <w:t>:</w:t>
      </w:r>
      <w:bookmarkEnd w:id="47"/>
    </w:p>
    <w:p>
      <w:pPr>
        <w:pStyle w:val="BookText"/>
        <w:rPr/>
      </w:pPr>
      <w:r>
        <w:rPr>
          <w:rFonts w:ascii="Amiri" w:hAnsi="Amiri" w:eastAsia="Amiri" w:cs="Amiri"/>
          <w:color w:val="111111"/>
          <w:sz w:val="28"/>
          <w:sz w:val="28"/>
          <w:szCs w:val="28"/>
          <w:rtl w:val="true"/>
          <w:lang w:bidi="ar-SA"/>
        </w:rPr>
        <w:t>مع أنّهم لا يدعون إلّااللَّه الواحد القهّار، ويتوسّلون بأوليائه إليه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أنّهم يدعون اللَّه عزّ وجلّ لقضاء الحاجات، ويدعون أولياءَه ليكونوا شفعاء لديه سبحانه، فاختلفت جهتا</w:t>
      </w:r>
      <w:bookmarkStart w:id="48" w:name="pg1293_5500"/>
    </w:p>
    <w:p>
      <w:pPr>
        <w:pStyle w:val="BookText"/>
        <w:rPr/>
      </w:pPr>
      <w:bookmarkEnd w:id="48"/>
      <w:r>
        <w:rPr>
          <w:rFonts w:ascii="Amiri" w:hAnsi="Amiri" w:eastAsia="Amiri" w:cs="Amiri"/>
          <w:color w:val="111111"/>
          <w:sz w:val="28"/>
          <w:sz w:val="28"/>
          <w:szCs w:val="28"/>
          <w:rtl w:val="true"/>
          <w:lang w:bidi="ar-SA"/>
        </w:rPr>
        <w:t>الدعوة، فهذا حقّ وصدق، ولا مانع منه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الوهّابيّة ما قدروا اللَّه حقّ قدره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ضرورة في استنجاح الحاجة عنده إلى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حسن في ذلك، ويَرَون ذلك أمراً مرغوباً مطلوباً بالنسبة إلى غيره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لهم حاجة إلى الناس، يتوسّلون في نجاحها إلى المقرَّبين لديهم، ولا يَرَون في ذلك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 اللَّه عزّ وجلّ يقصر به عمّا يُصنع بعباده؟</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3389877_373438147"/>
      <w:bookmarkStart w:id="50" w:name="_Toc18"/>
      <w:bookmarkEnd w:id="49"/>
      <w:r>
        <w:rPr>
          <w:rtl w:val="true"/>
        </w:rPr>
        <w:t>الجهة الثانية</w:t>
      </w:r>
      <w:r>
        <w:rPr>
          <w:rtl w:val="true"/>
        </w:rPr>
        <w:t xml:space="preserve">: </w:t>
      </w:r>
      <w:r>
        <w:rPr>
          <w:rtl w:val="true"/>
        </w:rPr>
        <w:t>إضافة الدعوة إلى الضرائح</w:t>
      </w:r>
      <w:r>
        <w:rPr>
          <w:rtl w:val="true"/>
        </w:rPr>
        <w:t>:</w:t>
      </w:r>
      <w:bookmarkEnd w:id="50"/>
    </w:p>
    <w:p>
      <w:pPr>
        <w:pStyle w:val="BookText"/>
        <w:rPr/>
      </w:pPr>
      <w:r>
        <w:rPr>
          <w:rFonts w:ascii="Amiri" w:hAnsi="Amiri" w:eastAsia="Amiri" w:cs="Amiri"/>
          <w:color w:val="111111"/>
          <w:sz w:val="28"/>
          <w:sz w:val="28"/>
          <w:szCs w:val="28"/>
          <w:rtl w:val="true"/>
          <w:lang w:bidi="ar-SA"/>
        </w:rPr>
        <w:t xml:space="preserve">والحال أنّهم لا يدعون الضريح للشفاعة، بل يدعون صاحب الضريح؛ لأَنّه ذو مكان مكين عند اللَّه وإن كان 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آتيهُمُ اللَّهُ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3389879_373438147"/>
      <w:bookmarkStart w:id="52" w:name="_Toc19"/>
      <w:bookmarkEnd w:id="51"/>
      <w:r>
        <w:rPr>
          <w:rtl w:val="true"/>
        </w:rPr>
        <w:t>وبالجملة</w:t>
      </w:r>
      <w:r>
        <w:rPr>
          <w:rtl w:val="true"/>
        </w:rPr>
        <w:t>:</w:t>
      </w:r>
      <w:bookmarkEnd w:id="5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فالتوسّل وطلب الشفاعة من أولياء اللَّه أمر مرغوب فيه عقلًا وشرعاً، وقد جرت سيرة المسلمين عليه قديماً وحديثاً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أنس بن مالك،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هَلَكت المواشي وتقطّعت السبل، فادع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اللَّهَ، فمُطِرنا من الجمعة إلى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رجل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تهدّمت البيوت وتقطّعت السبل وهَلكت المواشي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على ظهور الجبال والآكام وبطون الأودية ومنابت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فانجابت عن المدينة انجياب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البخاري في الصحيح</w:t>
      </w:r>
      <w:r>
        <w:rPr>
          <w:rStyle w:val="FootnoteAnchor"/>
          <w:rtl w:val="true"/>
        </w:rPr>
        <w:footnoteReference w:id="70"/>
      </w:r>
      <w:r>
        <w:rPr>
          <w:rFonts w:ascii="Amiri" w:hAnsi="Amiri" w:eastAsia="Amiri" w:cs="Amiri"/>
          <w:color w:val="111111"/>
          <w:sz w:val="28"/>
          <w:sz w:val="28"/>
          <w:szCs w:val="28"/>
          <w:rtl w:val="true"/>
          <w:lang w:bidi="ar-SA"/>
        </w:rPr>
        <w:t>، وروى عدّة أحاديث في هذا المعنى يشبه بعضها بعضاً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أبي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قتادة، عن أنس بن مالك رضى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خادمك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ادعُ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أَكثِر مالَه وولَده، وبارك له في ما أعطيته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سعيدن حدّثنا حاتم، عن</w:t>
      </w:r>
    </w:p>
    <w:p>
      <w:pPr>
        <w:pStyle w:val="BookText"/>
        <w:rPr/>
      </w:pPr>
      <w:r>
        <w:rPr>
          <w:rFonts w:ascii="Amiri" w:hAnsi="Amiri" w:eastAsia="Amiri" w:cs="Amiri"/>
          <w:color w:val="111111"/>
          <w:sz w:val="28"/>
          <w:sz w:val="28"/>
          <w:szCs w:val="28"/>
          <w:rtl w:val="true"/>
          <w:lang w:bidi="ar-SA"/>
        </w:rPr>
        <w:t>الجعد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السائب بن يزيد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بي خالتي إلى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ابن أُختي 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فمسح رأسي، ودعا لي بالبركة، ثمّ توضّأ فشربت من وَضُوئه، ثمّ قمت خلف ظهره فنظرت إلى خاتمه بين كتفيه مثل زرّ الحَجَلة</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البيهقي، أنّه جاء رجل إلى قبر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استقِ لأُمّتك؛ فَسُقوا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الطبراني وابن المقرئ وأبو الشيخ، أنّهم كانوا جياعاً، فجاؤا إلى قبر النبي صلى الله عليه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الجوع الجوع؛ فأُشبِعوا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أنّ آدم لَمّا اقترف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 أسألك بحقّ محمّد لَمّا غفرتَ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كيف عرفتَه؟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لَمّا خلقتني نظرتُ إلى العرش فوجدت مكتوباً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اسمه مقروناً مع اسمك، فعرفتُه أحبّ الخلق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صحّحه الحاكم</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عثمان بن حنيف، أنّ رجلًا ضرير البصر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يعافيني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صبرتَ فهو خير لك، وإن شئتَ دعوتُ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فأمره أن يتوضّأ ويدعو بهذا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وأتوجّه إليك بنبيّك محمّد، نبيّ الرحمة، يا محمّدُ، إنّني توجّهت بك إلى ربّي في حاجتي ليقضيها لي؛ اللّهمّ شفِّعه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الترمذي والنسائي</w:t>
      </w:r>
      <w:r>
        <w:rPr>
          <w:rStyle w:val="FootnoteAnchor"/>
          <w:rtl w:val="true"/>
        </w:rPr>
        <w:footnoteReference w:id="77"/>
      </w:r>
      <w:r>
        <w:rPr>
          <w:rFonts w:ascii="Amiri" w:hAnsi="Amiri" w:eastAsia="Amiri" w:cs="Amiri"/>
          <w:color w:val="111111"/>
          <w:sz w:val="28"/>
          <w:sz w:val="28"/>
          <w:szCs w:val="28"/>
          <w:rtl w:val="true"/>
          <w:lang w:bidi="ar-SA"/>
        </w:rPr>
        <w:t>، وصحّحه البيهقي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وأبصر</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53" w:name="pg1293_5504"/>
    </w:p>
    <w:p>
      <w:pPr>
        <w:pStyle w:val="BookText"/>
        <w:rPr/>
      </w:pPr>
      <w:bookmarkEnd w:id="5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الطبراني، عن عثمان بن حنيف، أنّ رجلًا كان يختلف إلى عثمان بن عفّان في حاجة، فكان لا يلتفت إليه، فشكا ذلك لابن حنيف،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وتوضّأ وقل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 ما ذكر الضرير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ذلك، فجاء البوّاب فأخذه وأدخله إلى عثمان، فأمسكه على الطنفسة وقضى حاجته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الحافط، عن ابن عبّاس،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نستسقيك بعمّ نبيّنا، ونستشفع بشيبته؛ فَسُقوا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3389881_373438147"/>
      <w:bookmarkStart w:id="55" w:name="_Toc20"/>
      <w:bookmarkEnd w:id="54"/>
      <w:r>
        <w:rPr>
          <w:rtl w:val="true"/>
        </w:rPr>
        <w:t>[</w:t>
      </w:r>
      <w:r>
        <w:rPr>
          <w:rtl w:val="true"/>
        </w:rPr>
        <w:t>الشفاعة</w:t>
      </w:r>
      <w:r>
        <w:rPr>
          <w:rtl w:val="true"/>
        </w:rPr>
        <w:t>:</w:t>
      </w:r>
      <w:bookmarkEnd w:id="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الشفاعة متواترة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البخاري، عن النبيّ صلى الله عليه و سلم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الأذان ودعا بكذا حلّت له شفاعتي يوم القيامة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مسلم، عنه صلى الله عليه و سلم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ميّت يموت يُصلّي عليه أُمّة من الناس يبلغون مائة، كلّهم يشفعون له، إلّاشُفّعوا فيه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الترمذي والدارمي، عنه صلى الله عليه و سلم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بشفاعتي رجال من أُمّتي أكثر من بني تميم</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الترمذي، عن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سلم أن يشفع لي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أطلبك؟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الحوض، فإنّي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أُخطئ هذه المواضع</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عن الصحابة، بطرق عديدة أنّ الصحابة كانوا يلجأُون إلى قبر النبي صلى الله عليه و آله و سلم، ويندبونه في الاستسقاء ومواقع الشدائد وسائر الأمراض</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وفاة المتوسَّل به لا تنافي التوسّل أصلًا، فإنّ مكانه عند اللَّه لا يزول بالموت،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أنّهم في الحقيقة أحياء كما ذكر اللَّه عزّ وجلّ في حال الشهداء، فالشهداء إذا كانوا أحياءً فالأنبياء والأولياء أحقّ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 الأرواح لا تفنى بالموت، والعبرة بها لا بالأجساد، وإن كان أجساد الأنبياء لا تبلى كما نُصَّ عليه في الأَخبار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النسائي وغيره،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للَّه‌ملائكة سيّاحين في الأرض يبلّغونني من أُمّتي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في هذا الباب كثيرة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في مسجد رسول اللَّه فما يأتي وقت صلاة إلّاسمعت الأذان من القبر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أنّه كان يلازم المسجد أيّام الحرّة، فإذا جاء الصبح سمع أذاناً من القبر الشريف</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أسمع الأذان والإقامة من قبر رسول اللَّه صلى الله عليه و سلم أيّام الحرّة حتّى عاد الناس</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ابو عبد اللَّه البخاري، أنّ الشهداء وسائر المؤمنين إذا زارهم المسلم وسلّم عليهم عرفوه وردّوا عليه السلام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الثعلبي في تفسيره، وابن المغازلي الشافعي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وأصحابه لَمّا حملهم البساط وصلوا إلى موضع أهل الكهف،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عليهم، فسلَّموا عليهم، فلم يردّوا، فسلّم النبيّ صلى الله عليه و سلم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وبركاته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أبو بكر محمّد بن عبد اللَّه الشافعي، أنّ عيسى عليه السلام لمّا دفن مريم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أُمّاه؛ فأجابته من جوف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 السلام حبيبي وقرّة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الحاكم، عن سالم بن أبي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أخٌ لي فوضعته في القبر وسوَّيتُ عليه الترابَ، ثمّ وضعت أُذني على لحده فسمعت قائلًا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فسمعت أخي يقول بصوت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التي يُستدلُّ بها على الدعوى أكثر من أن تحصى</w:t>
      </w:r>
      <w:r>
        <w:rPr>
          <w:rFonts w:eastAsia="Amiri" w:cs="Amiri" w:ascii="Amiri" w:hAnsi="Amiri"/>
          <w:color w:val="111111"/>
          <w:sz w:val="28"/>
          <w:szCs w:val="28"/>
          <w:rtl w:val="true"/>
          <w:lang w:bidi="ar-SA"/>
        </w:rPr>
        <w:t>.</w:t>
      </w:r>
      <w:bookmarkStart w:id="56" w:name="pg1293_5509"/>
    </w:p>
    <w:p>
      <w:pPr>
        <w:pStyle w:val="Heading2"/>
        <w:numPr>
          <w:ilvl w:val="1"/>
          <w:numId w:val="1"/>
        </w:numPr>
        <w:rPr/>
      </w:pPr>
      <w:bookmarkStart w:id="57" w:name="__RefHeading___Toc3389883_373438147"/>
      <w:bookmarkStart w:id="58" w:name="_Toc21"/>
      <w:bookmarkEnd w:id="56"/>
      <w:bookmarkEnd w:id="57"/>
      <w:r>
        <w:rPr>
          <w:rtl w:val="true"/>
        </w:rPr>
        <w:t>الفصل الثالث في البناء على القبور</w:t>
      </w:r>
      <w:bookmarkEnd w:id="58"/>
    </w:p>
    <w:p>
      <w:pPr>
        <w:pStyle w:val="BookText"/>
        <w:rPr/>
      </w:pPr>
      <w:r>
        <w:rPr>
          <w:rFonts w:ascii="Amiri" w:hAnsi="Amiri" w:eastAsia="Amiri" w:cs="Amiri"/>
          <w:color w:val="111111"/>
          <w:sz w:val="28"/>
          <w:sz w:val="28"/>
          <w:szCs w:val="28"/>
          <w:rtl w:val="true"/>
          <w:lang w:bidi="ar-SA"/>
        </w:rPr>
        <w:t>إعلم أنّ البناء على قبور الأنبياء والعباد المصطفَين تعظيمٌ لشعائر اللَّه، وهو من تقوى القلوب، ومن السنن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إنّه احترامٌ لصاحب القبر، وباعثٌ على زيارته، وعلى عبادة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والقراءة والذِكر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وملجأٌ للزائرين والغرباء والمساكين والتالين والمصلّين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إعلاء لشأن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 فله أجرها وأجر مَن</w:t>
      </w:r>
    </w:p>
    <w:p>
      <w:pPr>
        <w:pStyle w:val="BookText"/>
        <w:rPr/>
      </w:pPr>
      <w:r>
        <w:rPr>
          <w:rFonts w:ascii="IRNazanin" w:hAnsi="IRNazanin" w:eastAsia="IRNazanin"/>
          <w:color w:val="111111"/>
          <w:sz w:val="28"/>
          <w:sz w:val="28"/>
          <w:szCs w:val="28"/>
          <w:rtl w:val="true"/>
          <w:lang w:bidi="fa-IR"/>
        </w:rPr>
        <w:t>عمل بها</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بُني على مراقد الأنبياء قبل ظهور الإسلام وبعده، فلم ينكره النبيّ صلى الله عليه و آله و سلم، ولا أحدٌ من الصحابة والخلفاء، كالقباب المبنيّة على قبر دانيال عليه السلام في شوشتر</w:t>
      </w:r>
      <w:r>
        <w:rPr>
          <w:rStyle w:val="FootnoteAnchor"/>
          <w:rtl w:val="true"/>
        </w:rPr>
        <w:footnoteReference w:id="93"/>
      </w:r>
      <w:r>
        <w:rPr>
          <w:rFonts w:ascii="Amiri" w:hAnsi="Amiri" w:eastAsia="Amiri" w:cs="Amiri"/>
          <w:color w:val="111111"/>
          <w:sz w:val="28"/>
          <w:sz w:val="28"/>
          <w:szCs w:val="28"/>
          <w:rtl w:val="true"/>
          <w:lang w:bidi="ar-SA"/>
        </w:rPr>
        <w:t>، وهود وصالح ويونس وذي الكفل عليهم السلام، والأنبياء في بيت المقدس وما يليها، كالجبل الذي دُفن فيه موسى عليه السلام، وبلد الخليل مدفن سيّدنا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الحجر المبنيّ على قبر إسماعيل عليه السلام وأُمّه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أوّل مَن بنى حجرة قبر النبيّ صلى الله عليه و آله و سلم باللبن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كانت مقوّمة بجريد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على ما نصّ عليه السمهودي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ثمّ تناوب الخلفاء على تعميرها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البنّائي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واعظ أهل الحجاز، عن جعفر بن محمد، عن أبيه، عن جدّه الحسين، عن أبيه عليّ، أنّ رسول اللَّه صلى الله عليه و سلم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لَتُقتلَنّ في أرض العراق وتُدفن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لمن زار قبورنا وعمّرها وتعاهدها؟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اللَّه جعل قبرك وقبر ولدَيك بقاعاً من بقاع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وعرصة من عرصاتها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اللَّه جعل قلوب نجباء من خلقه، وصفوة من عباده، تحنّ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وتحتمل المذلّة والأذى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فيعمرون قبوركم، ويكثرون زيارتها تقرُّباً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ومودّة منهم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يا عليّ المخصوصون بشفاعتي، الواردون حوضي، وهم زوّاري غداً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مَن عمّر قبوركم وتعاهدها فكأنّما أعان سليمان بن داود على بناء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جعل معمِّر قبورهم كالمُعين على بناء بيت المقدس، دالٌّ على أنّ تعظيم مراقدهم تعظيم لشعائر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حديثين مُعْتَبَرَيْن، نقل أحدهما الوزير السعيد</w:t>
      </w:r>
      <w:r>
        <w:rPr>
          <w:rStyle w:val="FootnoteAnchor"/>
          <w:rtl w:val="true"/>
        </w:rPr>
        <w:footnoteReference w:id="97"/>
      </w:r>
      <w:r>
        <w:rPr>
          <w:rFonts w:ascii="Amiri" w:hAnsi="Amiri" w:eastAsia="Amiri" w:cs="Amiri"/>
          <w:color w:val="111111"/>
          <w:sz w:val="28"/>
          <w:sz w:val="28"/>
          <w:szCs w:val="28"/>
          <w:rtl w:val="true"/>
          <w:lang w:bidi="ar-SA"/>
        </w:rPr>
        <w:t>بسندٍ، وثانيهما بسند آخر</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والسيرة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قاطبة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المستمرّة، والإجماع،</w:t>
      </w:r>
    </w:p>
    <w:p>
      <w:pPr>
        <w:pStyle w:val="BookText"/>
        <w:rPr/>
      </w:pPr>
      <w:r>
        <w:rPr>
          <w:rFonts w:ascii="Amiri" w:hAnsi="Amiri" w:eastAsia="Amiri" w:cs="Amiri"/>
          <w:color w:val="111111"/>
          <w:sz w:val="28"/>
          <w:sz w:val="28"/>
          <w:szCs w:val="28"/>
          <w:rtl w:val="true"/>
          <w:lang w:bidi="ar-SA"/>
        </w:rPr>
        <w:t>يغنيان عن ذِكر الأحاديث الدالّة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أعجب قول المفتين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البناء على القبور فممنوع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مذهب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فئة قليلة بالنسبة إلى سائر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إلّاقريباً من قرن واحد، ولا يتفوّه أحد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البناء، فأين الإجماع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ورود الأحاديث الصحيحة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مُجْدٍ لإثبات الحرمة؛ لأنّ أخبار الآحاد لا تنهض لدفع السيرة والإجماع القطعي، مع أنّ أصل الدعوى ممنوع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مثل رواية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أن تُجَصّص القبور، وأن يُكتب عليها، وأن يُبنى عليها، وأن توطأ</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لا تدّل على التحريم؛ لعدم حرمة الكتابة على القبور ووطئها، فذلك من أقوى القرائن على أنّ النهي في الرواية غير دالّ على الحرمة، ولا نمنع الكراهة في غير قبور مخصوصة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بناء كالجدار على نفس القبر، فإنّ بناء القبّة وجدرانها بعيدة عن القبر، ليس بناءً على القبر على الحقيقة، وإنّما هو نوع من المجاز، وحمل اللفظ على</w:t>
      </w:r>
    </w:p>
    <w:p>
      <w:pPr>
        <w:pStyle w:val="BookText"/>
        <w:rPr/>
      </w:pPr>
      <w:r>
        <w:rPr>
          <w:rFonts w:ascii="Amiri" w:hAnsi="Amiri" w:eastAsia="Amiri" w:cs="Amiri"/>
          <w:color w:val="111111"/>
          <w:sz w:val="28"/>
          <w:sz w:val="28"/>
          <w:szCs w:val="28"/>
          <w:rtl w:val="true"/>
          <w:lang w:bidi="ar-SA"/>
        </w:rPr>
        <w:t>الحقيقة حيث لا صارف عنها معيّن، مع أنّ النهي عن الوطء يؤكّد هذا المعنى، لا الذي فهموه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على وجوب هدم القباب بحديث أبي الهيّاج، فغير تامّ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مخالفته للإجماع والسيرة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مضطرب المتن والسند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يذكر عن أبي الهيّاج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أحمد عن عبد الرحمن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وتارة يذكر عن أبي وائل، أنّ عليّاً قال لأبي الهيّاج</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عبد اللَّه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لَأبعثنّك في ما بعثني فيه رسول اللَّه صلى الله عليه و سلم، أنْ أُسوّي كلّ قبر، وأنْ أطمسَ كلّ صنم</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فالاضطراب المزبور يسقطه عن الحجّيّة والاعتبار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الواضح أنّ المأمور به في الرواية لم يكن هدم جميع قبور العالَم، بل الحديث وارد في بعث خاصّ وواقعة</w:t>
      </w:r>
    </w:p>
    <w:p>
      <w:pPr>
        <w:pStyle w:val="BookText"/>
        <w:rPr/>
      </w:pPr>
      <w:r>
        <w:rPr>
          <w:rFonts w:ascii="Amiri" w:hAnsi="Amiri" w:eastAsia="Amiri" w:cs="Amiri"/>
          <w:color w:val="111111"/>
          <w:sz w:val="28"/>
          <w:sz w:val="28"/>
          <w:szCs w:val="28"/>
          <w:rtl w:val="true"/>
          <w:lang w:bidi="ar-SA"/>
        </w:rPr>
        <w:t>مخصوصة، فلعلّ البعث قد كان إلى قبور المشركين لطمس آثار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يؤيِّده ذِكر الصنم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غيرها ممّا لا نعرف وجه مصلحتها، فكيف يُتمسّك بمثل هذه الرواية لقبور الأنبياء والأولياء؟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علماء الشيعة من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المقصود من تلك القبور، التي أمرَ عليٌّ عليه السلام بتسويتها، ليست هي إلّاتلك القبور التي كانت تُتّخذ قِبلةً عند بعض أهل الملل الباطلة، وتقام عليها صور الموتى وتماثيلهم، فيعبدونها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وليت شِعري لو كان المقصود من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أمرَ عليٌّ عليه السلام بتسويتها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عامّة القبور على الإطلاق، فأين كان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الحاكم المطلق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قبور الأنبياء التي كانت مشيَّدة على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تزال مشيَّدة إلى اليوم في فلسطين وسورية والعراق وإيران، ولوشاءتسويتها لقضى عليها بأقصر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ترى أنّ عليّاً عليه السلام يأمر أبا الهيّاج بالحقّ وهو يروغ عنه فلا يفعله؟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 ما أردنا نقله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المعاصرين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من اللغة والعُرف أنّ تسوية الشي‌ء من دون ذِكر القرين المساوي معه، إنّما هو جَعْلُ الشي‌ء متساوياً في نفسه، فليس لتسوية القبر في الحديث معنى إلّاجعله متساوياً في نفسه، وما ذلك إلّا جعلُ سطحه متساوياً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المراد تسوية القبر مع الأرض، لكان الواجب في صحيح الكلام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إلّاسوّيته مع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التسوية بين الشيئين المتغايرين لا بُدّ فيها من أن يُذكر الشيئان اللذان تُراد مُساواتهما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ظاهر لكلّ من يعطي الكلام حقّه من النظر، فلا دلالة في الحديث إلّاعلى أحد أمرين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تسطيح القبور وجعلها متساوية برفع سنامها، ولا نظر في الحديث إلى علوّها، ولا تشبُّث فيه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الشُرَف إنْ ذُكِرَ أنّه بمعنى العلوّ، فقد ذُكر أنّه من البعير سنامُه، كما في القاموس وغيره</w:t>
      </w:r>
      <w:r>
        <w:rPr>
          <w:rStyle w:val="FootnoteAnchor"/>
          <w:rtl w:val="true"/>
        </w:rPr>
        <w:footnoteReference w:id="103"/>
      </w:r>
      <w:r>
        <w:rPr>
          <w:rFonts w:ascii="Amiri" w:hAnsi="Amiri" w:eastAsia="Amiri" w:cs="Amiri"/>
          <w:color w:val="111111"/>
          <w:sz w:val="28"/>
          <w:sz w:val="28"/>
          <w:szCs w:val="28"/>
          <w:rtl w:val="true"/>
          <w:lang w:bidi="ar-SA"/>
        </w:rPr>
        <w:t xml:space="preserve">،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ذو السنام، ومعنى تسويته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سنامه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 التي يجعل لها شُرَف من جوانب سطحها، والمراد من تسويته أن تُهدم شُرَفُه ويُجعل مسطّحاً أجمّ، كما في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نبنيَ المدائن شُرَفاً والمساجد جُمّاً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فلا يمكن في اللغة والاستعمال أن يُراد من التسوية في الحديث أن يُساوى القبرُ مع الأرض، بل لا بُدّ أن يُراد منه أحد المعنَيَين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المراد مساواة القبر مع الأرض، مع أنّ سيرة المسلمين المتسلسلة على رفع القبور عن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 كتاب الجنائز من جامع البخاري، مسنداً عن سفيان التمّار، أنّه رأى قبر رسول اللَّه صلى الله عليه و سلم مسنَّماً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وأسند أبو داود في كتاب الجنائز عن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اكشفي لي عن قبر رسول اللَّه صلى الله عليه و سلم وصاحبَيه؛ فكشفت عن ثلاثة قبور لا مشرَّفة ولا لاطئة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وأسند ابن جرير، عن الشعبي، أنّ كلّ قبور الشهداء مسنَّمة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 ما أردنا نقله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عالياً، فليس يعمّ كلّ قبر ارتفع عن الأرض ولو بمقدار قليل، فإنّه لا يصدق عليه القبر العالي، فإنّ العلوّ في كلّ قبر إنّما هو بالإضافة إلى سائر القبور، فلا يبعد أن يكون أمراً بتسوية القبور العالية فوق القدر المتعارف المعهود في ذلك الزمان إلى حدّ المتعارف، وقد أفتى جمع من العلماء بكراهة رفع القبر أزيد من أربع أصابع</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ولتخصيص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قبور الأنبياء والمصطفَين من الأولياء 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أيّ دلالة في الرواية، فلا ربط لها ببناء السقوف والقباب ووجوب هدمها،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البناء في مسبلة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أجاب بعض المعاصرين عنه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أرض البقيع ليست وقفاً، بل هي باقية على إباحتها الأصلية، ولو شككنا في وقفيّتها يكفينا استصحاب إباحتها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وقفيّتها غير مانع عن البناء؛ لأنّها موقوفةٌ مقبرةً على جميع الشؤون المرعيّة في المقابر،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قبور أشخاص مخصوصين كالأصفياء، فإنّ البناء على القبور ليس أمراً حديثاً، بل كان أمراً متعارفاً من قديم الأيّام</w:t>
      </w:r>
      <w:r>
        <w:rPr>
          <w:rFonts w:eastAsia="Amiri" w:cs="Amiri" w:ascii="Amiri" w:hAnsi="Amiri"/>
          <w:color w:val="111111"/>
          <w:sz w:val="28"/>
          <w:szCs w:val="28"/>
          <w:rtl w:val="true"/>
          <w:lang w:bidi="ar-SA"/>
        </w:rPr>
        <w:t>.</w:t>
      </w:r>
      <w:bookmarkStart w:id="59" w:name="pg1293_5519"/>
    </w:p>
    <w:p>
      <w:pPr>
        <w:pStyle w:val="Heading2"/>
        <w:numPr>
          <w:ilvl w:val="1"/>
          <w:numId w:val="1"/>
        </w:numPr>
        <w:rPr/>
      </w:pPr>
      <w:bookmarkStart w:id="60" w:name="__RefHeading___Toc3389885_373438147"/>
      <w:bookmarkStart w:id="61" w:name="_Toc22"/>
      <w:bookmarkEnd w:id="59"/>
      <w:bookmarkEnd w:id="60"/>
      <w:r>
        <w:rPr>
          <w:rtl w:val="true"/>
        </w:rPr>
        <w:t>الفصل الرابع في الصلاة عند القبور وإيقاد السُرُج عليها</w:t>
      </w:r>
      <w:bookmarkEnd w:id="61"/>
    </w:p>
    <w:p>
      <w:pPr>
        <w:pStyle w:val="Heading3"/>
        <w:numPr>
          <w:ilvl w:val="2"/>
          <w:numId w:val="1"/>
        </w:numPr>
        <w:rPr/>
      </w:pPr>
      <w:bookmarkStart w:id="62" w:name="__RefHeading___Toc3389887_373438147"/>
      <w:bookmarkStart w:id="63" w:name="_Toc23"/>
      <w:bookmarkEnd w:id="62"/>
      <w:r>
        <w:rPr>
          <w:rtl w:val="true"/>
        </w:rPr>
        <w:t>[</w:t>
      </w:r>
      <w:r>
        <w:rPr>
          <w:rtl w:val="true"/>
        </w:rPr>
        <w:t>الصلاة عند القبور</w:t>
      </w:r>
      <w:r>
        <w:rPr>
          <w:rtl w:val="true"/>
        </w:rPr>
        <w:t>:]</w:t>
      </w:r>
      <w:bookmarkEnd w:id="63"/>
    </w:p>
    <w:p>
      <w:pPr>
        <w:pStyle w:val="BookText"/>
        <w:rPr/>
      </w:pPr>
      <w:r>
        <w:rPr>
          <w:rFonts w:ascii="Amiri" w:hAnsi="Amiri" w:eastAsia="Amiri" w:cs="Amiri"/>
          <w:color w:val="111111"/>
          <w:sz w:val="28"/>
          <w:sz w:val="28"/>
          <w:szCs w:val="28"/>
          <w:rtl w:val="true"/>
          <w:lang w:bidi="ar-SA"/>
        </w:rPr>
        <w:t>وقد جرت سيرة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صلى الله عليه و سلم زائرات القبور، والمتّخذين عليها المساجد والسُرُج</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فالظاهر والمتبادر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اتّخاذ المسجد على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على نفس القبر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غير الصلاة عند القبر</w:t>
      </w:r>
      <w:r>
        <w:rPr>
          <w:rFonts w:eastAsia="Amiri" w:cs="Amiri" w:ascii="Amiri" w:hAnsi="Amiri"/>
          <w:color w:val="111111"/>
          <w:sz w:val="28"/>
          <w:szCs w:val="28"/>
          <w:rtl w:val="true"/>
          <w:lang w:bidi="ar-SA"/>
        </w:rPr>
        <w:t>.</w:t>
      </w:r>
      <w:bookmarkStart w:id="64" w:name="pg1293_5520"/>
    </w:p>
    <w:p>
      <w:pPr>
        <w:pStyle w:val="BookText"/>
        <w:rPr/>
      </w:pPr>
      <w:bookmarkEnd w:id="64"/>
      <w:r>
        <w:rPr>
          <w:rFonts w:ascii="Amiri" w:hAnsi="Amiri" w:eastAsia="Amiri" w:cs="Amiri"/>
          <w:color w:val="111111"/>
          <w:sz w:val="28"/>
          <w:sz w:val="28"/>
          <w:szCs w:val="28"/>
          <w:rtl w:val="true"/>
          <w:lang w:bidi="ar-SA"/>
        </w:rPr>
        <w:t>هذا لو حملنا المساجد على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حملناه على المعنى الاصطلاحي، فالمذموم اتّخاذ المسجد عند القبور، لا مجرّد إيقاع الصلاة، كما هو المتعارف بين المسلمين، فإنّهم لا يتّخذون المساجد على المراقد، فإنّ اتّخاذ المسجد ينافي الغرض في إعداد ما حول القبر إعانة للزوّار على الجلوس لتلاوة القرآن وذِكر اللَّه والدعاء والاستغفار، بل يُصَلُّون عندها، كما يأتون بسائر العبادات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اللعن غير دالّ على الحرمة، بل يجامع الكراهةَ أيضاً</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3389889_373438147"/>
      <w:bookmarkStart w:id="66" w:name="_Toc24"/>
      <w:bookmarkEnd w:id="65"/>
      <w:r>
        <w:rPr>
          <w:rtl w:val="true"/>
        </w:rPr>
        <w:t>[</w:t>
      </w:r>
      <w:r>
        <w:rPr>
          <w:rtl w:val="true"/>
        </w:rPr>
        <w:t>إيقاد السُرُج</w:t>
      </w:r>
      <w:r>
        <w:rPr>
          <w:rtl w:val="true"/>
        </w:rPr>
        <w:t>:]</w:t>
      </w:r>
      <w:bookmarkEnd w:id="66"/>
    </w:p>
    <w:p>
      <w:pPr>
        <w:pStyle w:val="BookText"/>
        <w:rPr/>
      </w:pPr>
      <w:r>
        <w:rPr>
          <w:rFonts w:ascii="Amiri" w:hAnsi="Amiri" w:eastAsia="Amiri" w:cs="Amiri"/>
          <w:color w:val="111111"/>
          <w:sz w:val="28"/>
          <w:sz w:val="28"/>
          <w:szCs w:val="28"/>
          <w:rtl w:val="true"/>
          <w:lang w:bidi="ar-SA"/>
        </w:rPr>
        <w:t>وأمّا إيقاد السُرُج، فإنّ الروايةُ لا تدُلّ إلّاعلى ذمّ الإسراج لمجرّد إضاءة القبر، وأمّا الإسراج لإعانة الزائرين على التلاوة والصلاة والزيارة وغيرها، فلا دلالة في الرواية على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توضيح ذلك فارجع إلى هذا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لو أضعت شيئاً عند قبر، فأسرجت هنالك لطلب ضالَّتك، فهل في‌تلك الرواية دلالة على ذمّ هذا العمل؟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فكذلك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عرفتَ أنّ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البعدُ من الرحمة، ولايستلزم الحرمة، فإنّ عمل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مبعِّدٌ من اللَّه، كما أنّ فعل المستحبّ مقرِّبٌ إليه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وذكر بعض العلماء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النهي عن اتّخاذ القبور مساجد، أن لا تُتّخذ قِبلةً يُصلّى إليها باستقبال أيّ جهة منها، كما كان يفعله بعض أهل الملل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عليه ما رواه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إذا كان فيهم الرجل الصالح فمات بنوا على قبره مسجداً وصوّروا فيه تلك الصورة، أُولئك شرار الخلق عند اللَّه عزّ وجلّ يوم القيامة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الّذين اتّخذوا قبور أنبيائهم مساجد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من المعلوم لدى الخبراء بتقاليد أُولئك المبطلين، أنّهم كانوا يتّخذون قبور أنبيائهم وصلحائهم مساجد على الوجه المذكور، وذلك بجعل ما برز من أثر القبر قِبلةً، وما دار حوله من الأرض مصلّىً، ولذلك قالت أُمّ 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لأبرز قبره، غير إنّه خشي أن يُتّخذ مسجداً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اتّخاذه مسجداً على معنى إيقاع الصلاة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التوجُّه بها إلى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الإبراز سبباً لحصول الخشية، فإنّ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موقوفة على أن يكون للقبر أثر بارز، وإنّما الذي يتوقّف على بروز الأثر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إليه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استشهد بكلام النووي في شرح صحيح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نهى النبيّ صلى الله عليه و سلم عن اتّخاذ قبره وقبر غيره مسجداً خوفاً من الافتتان به، فربما أدّى ذلك إلى الكفر كما جرى لكثير من الأُمم الخالية، ولمّا احتاجت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والتابعون إلى الزيادة في مسجد رسول اللَّه صلى الله عليه و سلم حين كثر المسلمون، وامتدّت الزيادة إلى أن دخلت بيوت أُمّهات المؤمنين فيه، ومنها حجرة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 على القبر حيطاناً مرتفعة مستديرة حوله، لئلّا يظهرَ في المسجد فيصلّي إليه العوامُّ ويؤدّي إلى المحذور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بنوا جدارين من ركني القبر الشماليَّين وحرَّفوهما حتّى التقيا، حتّى لا يتمكّن أحد من استقبال القبر، ولهذا قال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ذلك لأبرز قبره، غير إنّه خشي أن يتّخذ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بالصواب</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استظهر العالِم المومى إليه أن يكون الإِسراج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الإِسراج على قبور أُولئك المبطلين الّذين كانوا يتّخذونها قِبلة، كما ربّما يشهد بذلك سياق الحديث المومى إليه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الإِسراج الّذي يتّخذه بعض جهلة المسلمين على مقابر موتاهم في ليالٍ مخصوصة، لأَجل إقامة المناجاة عليها والنوح على أهلها بالباطل</w:t>
      </w:r>
      <w:r>
        <w:rPr>
          <w:rFonts w:eastAsia="Amiri" w:cs="Amiri" w:ascii="Amiri" w:hAnsi="Amiri"/>
          <w:color w:val="111111"/>
          <w:sz w:val="28"/>
          <w:szCs w:val="28"/>
          <w:rtl w:val="true"/>
          <w:lang w:bidi="ar-SA"/>
        </w:rPr>
        <w:t>.</w:t>
      </w:r>
      <w:bookmarkStart w:id="67" w:name="pg1293_5524"/>
    </w:p>
    <w:p>
      <w:pPr>
        <w:pStyle w:val="Heading2"/>
        <w:numPr>
          <w:ilvl w:val="1"/>
          <w:numId w:val="1"/>
        </w:numPr>
        <w:rPr/>
      </w:pPr>
      <w:bookmarkStart w:id="68" w:name="__RefHeading___Toc3389891_373438147"/>
      <w:bookmarkStart w:id="69" w:name="_Toc25"/>
      <w:bookmarkEnd w:id="67"/>
      <w:bookmarkEnd w:id="68"/>
      <w:r>
        <w:rPr>
          <w:rtl w:val="true"/>
        </w:rPr>
        <w:t>الفصل الخامس في الذبائح والنذور</w:t>
      </w:r>
      <w:bookmarkEnd w:id="69"/>
    </w:p>
    <w:p>
      <w:pPr>
        <w:pStyle w:val="BookText"/>
        <w:rPr/>
      </w:pPr>
      <w:r>
        <w:rPr>
          <w:rFonts w:ascii="Amiri" w:hAnsi="Amiri" w:eastAsia="Amiri" w:cs="Amiri"/>
          <w:color w:val="111111"/>
          <w:sz w:val="28"/>
          <w:sz w:val="28"/>
          <w:szCs w:val="28"/>
          <w:rtl w:val="true"/>
          <w:lang w:bidi="ar-SA"/>
        </w:rPr>
        <w:t>إعلم أنّ من المسائل المسلّمة الواضحة الضرورية عند طوائف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الذبح والتقرّب بالقربان به سبحانه، فلا يصحّ الذبح إلّاللَّه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أمر النذر، فمن المؤكّد المتّفق عليه بين طوائف المسلمين أنّ النذر لايصحّ إلّاللَّه، ولذا يُذكر في صيغته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كذا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الذبح عن الأموات، فلا بُدّ أن يكون للَّه‌وحده وإنْ كان عن الميّت، وكم بين الذبح عن الميّت والذبح له، والممنوع هو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العلماء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ذبح عن الأنبياء والأوصياء والمؤمنين، ليصِلَ الثواب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نقرأُ القرآن ونهدي إليهم، ونصلّي لهم، وندعو لهم، ونفعل جميع الخيرات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أجر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قصد أحدٍ مِن الذابحين للأنبياء أو لغير اللَّه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العارفون منهم فلا كلام، وأمّا الجهّال فهُم على نحو عرفائهم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النبيّ صلى الله عليه و سلم أنّه ذبح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عنّي وعن مَن لم يُضحِّ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وأبو داود والترمذي</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 المعاصرين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التقرّب إلى الضرائح بالنذور ودعاء أهلها مع اللَّه، فلا نعهد واحداً من أوباش المسلمين</w:t>
      </w:r>
      <w:r>
        <w:rPr>
          <w:rStyle w:val="FootnoteAnchor"/>
          <w:rtl w:val="true"/>
        </w:rPr>
        <w:footnoteReference w:id="116"/>
      </w:r>
      <w:r>
        <w:rPr>
          <w:rFonts w:ascii="Amiri" w:hAnsi="Amiri" w:eastAsia="Amiri" w:cs="Amiri"/>
          <w:color w:val="111111"/>
          <w:sz w:val="28"/>
          <w:sz w:val="28"/>
          <w:szCs w:val="28"/>
          <w:rtl w:val="true"/>
          <w:lang w:bidi="ar-SA"/>
        </w:rPr>
        <w:t>وغيرهم يفعل ذلك، وإنّما ينذرون للَّه بالنذر المشروع، فيجعلون المنذور في سبيل إعانة الزائرين على البرّ، أو للإِنفاق على الفقراء والمحاويج، لإهداء ثوابه لصاحب</w:t>
      </w:r>
    </w:p>
    <w:p>
      <w:pPr>
        <w:pStyle w:val="BookText"/>
        <w:rPr/>
      </w:pPr>
      <w:r>
        <w:rPr>
          <w:rFonts w:ascii="Amiri" w:hAnsi="Amiri" w:eastAsia="Amiri" w:cs="Amiri"/>
          <w:color w:val="111111"/>
          <w:sz w:val="28"/>
          <w:sz w:val="28"/>
          <w:szCs w:val="28"/>
          <w:rtl w:val="true"/>
          <w:lang w:bidi="ar-SA"/>
        </w:rPr>
        <w:t xml:space="preserve">القبر، لكونه من أهل الكرامة في الدين والقُربى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أوان اختتام الرسالة، وأرجو أن ينفع اللَّه بها، إنّه هو المتفضّل المنّان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حصل الفراغ منه بيد مؤلّفه الفقير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أحد طلبة العراق، في ليلة الرابع عشر من شهر ربيع الأوّل، سنة خمس وأربعين بعد ألف وثلاثمائة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آلاء الرحمن في تفسير القرآن، للشيخ محمّد جواد البلاغي، ط مكتبة الوجداني،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لخير الدين الزركلي، ط دار العلم للملايين،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 للسيّد محسن الأمين العاملي، ط دار التعارف للمطبوعات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في شمائل النبيّ المختار، للحسين بن مسعود البغوي، ط دار الضياء،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للشيخ محمّد باقر المجلسي، ط مؤسّسة الوفاء،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التجربة الرمز في 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لعليّ الكعبي، مقال منشور في محلّة رسالة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العدد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في تفسير القرآن، للسيّد أبوالقاسم الموسوي الخوئي، ط المطبعة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 لشيخ الطائفة أبي جعفر محمّد بن الحسن الطوسي، ط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 للفخر الرازي،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اللغة، لمحمّد بن أحمد الأزهري، ط المؤسّسة المصرية العامة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للشيخ أبي جعفر محمّد بن عليّ الصدوق، ط 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لمحمّد بن جرير الطبري، ط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 لمحمّد بن أحمد القرطبي، ط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التوسّل والوسيلة، لموسى محمّد عليّ، ط عالم الكتب، بيروت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الحماسة البصرية، لصدر الدين عليّ بن الحسن البصري،</w:t>
      </w:r>
    </w:p>
    <w:p>
      <w:pPr>
        <w:pStyle w:val="BookText"/>
        <w:rPr/>
      </w:pPr>
      <w:r>
        <w:rPr>
          <w:rFonts w:ascii="Amiri" w:hAnsi="Amiri" w:eastAsia="Amiri" w:cs="Amiri"/>
          <w:color w:val="111111"/>
          <w:sz w:val="28"/>
          <w:sz w:val="28"/>
          <w:szCs w:val="28"/>
          <w:rtl w:val="true"/>
          <w:lang w:bidi="ar-SA"/>
        </w:rPr>
        <w:t>ط عالم الكتب،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في التفسير بالمأثور، لجلال الدين عبد الرحمن السيوطي، ط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 لأبي نعيم الأصبهاني، ط دار ابن كثير في بيروت ومكتبة التراث الإسلامي في حلب</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الوهابية و أصول الاعتقاد ؛ ؛ ص</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لأحمد بن الحسين البيهقي، ط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دعبل بن عليّ الخزاعي، ط دار الكتاب اللبناني،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السيّد رضا الموسوي الهندي، ط دار الكتاب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الشريف الرضي، ط مطبعة وزارة الثقافة والإرشاد الإسلامي،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إلى تصانيف الشيعة، للشيخ آقا بزرك الطهراني، ط دار الأضواء،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الأدب، لمحمّد عليّ التبريزي المدرّس، ط مطبعة شركت سهامي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 لمحمّد بن يزيد القزويني، ط دار الفكر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 لأبي داود سليمان بن الأشعث السجستاني، ط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لمحمّد بن عيسى بن سورة، ط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الدارقطني، لعليّ بن عمر الدارقطني، ط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 لعبد اللَّه بن عبد الرحمن الدارمي، ط دار الفكر،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لأحمد بن الحسين البيهقي، ط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 لأحمد بن شعيب النسائي، طبع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نسيم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لأحمد شهاب الدين الخفاجي المصري، ط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المواهب اللدنيّة، المواهب للقسطلاني والشرح للزرقاني المالكي، وبهامشه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القيّم، ط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النووي على صحيح مسلم، ط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 لأحمد بن الحسين البيهقي، ط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الغريّ، لعليّ الخاقاني، ط المكتبة العامة لآية اللَّه المرعشي، قم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محسن الفيض الكاشاني،</w:t>
      </w:r>
    </w:p>
    <w:p>
      <w:pPr>
        <w:pStyle w:val="BookText"/>
        <w:rPr/>
      </w:pPr>
      <w:r>
        <w:rPr>
          <w:rFonts w:ascii="Amiri" w:hAnsi="Amiri" w:eastAsia="Amiri" w:cs="Amiri"/>
          <w:color w:val="111111"/>
          <w:sz w:val="28"/>
          <w:sz w:val="28"/>
          <w:szCs w:val="28"/>
          <w:rtl w:val="true"/>
          <w:lang w:bidi="ar-SA"/>
        </w:rPr>
        <w:t>ط مؤسّسة الأعلمي،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لمحمّد بن إسماعيل الجعفي البخاري، ط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لمسلم بن الحجّاج النيسابوري، ط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الصِلات والبِشَر في الصَلاة على خير البَشَر، لمحمّد بن يعقوب الفيروزآبادي، ط دار الكتب،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الكبير، لمحمّد بن سعد، ط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ومعرفة الرجال، لأحمد بن حنبل، ط المكتب الإسلامي، بيروت، ودار الخاني،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معاصرين، للملّا عليّ الواعظ الخياباني التبريزي، طبعة حجرية،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للشيخ عبد الحسين الأميني، ط مكتبة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 لأبي عبيد القاسم بن سلام الهروي، ط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الفائق في غريب الحديث، لمحمود بن عمر الزمخشري، ط دار المعرفة، بيروت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الغريّ في تعيين قبر أمير المؤمنين عليّ عليه السلام، للسيّد عبد الكريم بن طاووس الحلّي، ط المطبعة الحيدرية، النجف</w:t>
      </w:r>
    </w:p>
    <w:p>
      <w:pPr>
        <w:pStyle w:val="BookText"/>
        <w:rPr/>
      </w:pPr>
      <w:r>
        <w:rPr>
          <w:rFonts w:ascii="IRNazanin" w:hAnsi="IRNazanin" w:eastAsia="IRNazanin"/>
          <w:color w:val="111111"/>
          <w:sz w:val="28"/>
          <w:sz w:val="28"/>
          <w:szCs w:val="28"/>
          <w:rtl w:val="true"/>
          <w:lang w:bidi="fa-IR"/>
        </w:rPr>
        <w:t>الأشرف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لمحمّد بن يعقوب الفيروزآبادي، ط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لثقة الإسلام أبي جعفر محمّد بن يعقوب الكليني، ط المكتبة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الضعفاء، لعبد اللَّه بن عديّ الجرجاني، ط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الارتياب في أتباع محمّد بن عبد الوهّاب، للسيّد محسن الأمين العاملي، ط مكتبة اليمن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الخفاء ومزيل الإلباس، لإسماعيل بن محمّد العجلوني، ط مؤسّسة الرسالة،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الدقائق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للميرزا محمّد بن محمّد رضا المشهدي القمي، ط 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لعليّ بن حسام الدين المتّقي الهندي، ط مؤسّسة الرسالة،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والأسماء، لأحمد بن حمّاد الدولابي، ط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والألقاب، للشيخ عبّاس القمي، ط مطبعة العرفان، صيدا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لابن منظور المصري، ط أدب الحوزة،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النجف وحاضرها، للشيخ جعفر باقر آل محبوبة، ط دار الأضواء،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 للشيخ الفضل بن الحسن الطبرسي، ط المكتبة العامة لآية اللَّه المرعشي،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 ومنبع الفوائد، لعليّ بن أبي بكر الهيثمي، ط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تاريخ دمشق لابن عساكر، لابن منظور محمّد بن مكرّم، ط دار الفكر،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لمحمّد بن عبد اللَّه الحاكم النيسابوري، ط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بن حنبل، ط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الآثار، لأبي جعفر الطحاوي، ط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لعبد الرزّاق بن همّام الصنعاني، ط المجلس العلمي،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الرجال، للشيخ محمّد حرز الدين، ط المكتبة العامة لآية اللَّه المرعشي،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الأُدباء، لياقوت بن عبد اللَّه الحموي، ط دار الفكر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 لياقوت بن عبد اللَّه الحموي، ط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لسليمان بن أحمد الطبراني، ط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ألّفه علماء الامّة الإسلامية للردّ على خرافات الدعوة الوهّابية، للسيّد عبد اللَّه محمّد عليّ، مقال منشور في مجلّة 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العدد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المطبوعات العربية والمعرّبة، ليوسف إليان سركيس، ط المكتبة العامة لآية اللَّه المرعشي،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 لعمر رضا كحّالة، ط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 العراقيّين، لكوركيس عوّاد، ط مطبعة الإرشاد،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الإمام عليّ بن أبي طالب عليه السلام، لابن المغازلي عليّ بن محمد الشافعي، ط دار الأضواء،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المطلب في تحقيق المذهب، للعلّامة الحلّي أبي منصور الحسن بن يوسف بن المطهّر، طبعة حجرية،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عاش بعد الموت، لابن أبي الدنيا، ط عالم الكتب،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الرشاد لمن أراد السداد، للشيخ جعفر بن خضر الجناجي النجفي، ط المجمع العالمي لإهل البيت عليهم السلام، قم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الموطّأ، لمالك بن أنس، ط دار إحياء التراث العربي،</w:t>
      </w:r>
      <w:bookmarkStart w:id="70" w:name="pg1293_5535"/>
    </w:p>
    <w:p>
      <w:pPr>
        <w:pStyle w:val="BookText"/>
        <w:rPr/>
      </w:pPr>
      <w:bookmarkEnd w:id="70"/>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محمّد جواد البلاغي، للشيخ ناصر الدين الأنصاري القمي، مقال منشور في مجلّة نور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العدد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نقباء البشر في القرن الرابع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آقا بزرك الطهراني، ط دار المرتضى،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للشيخ عبد عليّ بن جمعة العروسي الحويزي، ط المطبعة العلمية،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إلى دين المصطفى، للشيخ محمّد جواد البلاغي، ط دار الكتب الإسلامية،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 بأحوال المصطفى، لأبي الفرج عبد الرحمن بن الجوزي، ط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الوفا، لعليّ بن أحمد المصري السمهودي، ط دار إحياء التراث العربي، بيروت</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 w:name="__RefHeading___Toc3389893_373438147"/>
      <w:bookmarkStart w:id="72" w:name="_Toc26"/>
      <w:bookmarkEnd w:id="71"/>
      <w:r>
        <w:rPr>
          <w:rtl w:val="true"/>
        </w:rPr>
        <w:t>هوامش</w:t>
      </w:r>
      <w:bookmarkEnd w:id="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أفادني به سماحة العلّامة المحقّق السيّد عبد العزيز الطباطبائي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كما ورد الحديث باختلاف يسير في بعض ألفاظه في المصادر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3218</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3236</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عددها الصادر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القنصل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القنصل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أحمد الشريف بن محمّد بن محمّد بن عليّ السنوسي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وتفقَّه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الجغبوب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ليبيا، قاتل الإِيطاليّين في حربهم مع الدولة العثمانية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دُعي إلى إسلامبول بعد عقد الصلح بين إيطاليا والعثمانيّين، ثمّ رحل منها إلى الحجاز، كان من أنبل الناس جلالة قدر وسراوة حال ورجاحة عقل، وكان على علم غزير، وقد صنَّف في أوقات فراغه كتباً عديدة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الأَصل، ولعلّها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والأصوب لغةً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قصيدة لدعبل الخزاعي، يرثي بها سيّد الشهداء الإِمام أبي عبد اللَّه الحسين بن عليّ بن أبي طالب عليهم السلام، وقد ورد البيت باختلاف في بعض ألفاظه في الديوان المطبوع ومصادر أُخرى 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كُحِلَتْ بِمَنْظَرِكَ العُيُونُ عَمايَةً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وَأَصَمَّ نْعيُكَ كُلَّ أُذْنٍ تَسْمَعُ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z\E\E</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دعبل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 قائله هنا، الحماسة البصرية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مساعدتهم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أثبتناه هو المناسب للسياق</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 قصيدة للشريف الرضيّ، يرثي بها سيّد الشهداء الإمام أبي عبد اللَّه الحسين بن عليّ ابن أبي طالب عليهم السلام، في يوم عاشوراء سنة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الشريف الرضيّ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الفاتحة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الكافرون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ذلك في تفسير الآيات الكريمة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في مختلف التفاسير، ولاحظ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والكافي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مجمع البيان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الصافي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كنز الدقائق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نور الثقلين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آلاء الرحمن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الجامع لأحكام القرآن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جامع البيان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التفسير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ومادّة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والعَنَزَة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أطول من العصا وأقصر من الرمح، فيها سنان كسنان الرمح، وربّما في أسفلها زُجّ كَزُجّ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في بعض الألفاظ، وفي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في بعض الألفاظ أيضاً،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في شمائل النبي المختار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والمصادر الأُخرى التي في هامشه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شعب الإيمان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4159</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الصلات والبشر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42583</w:t>
      </w:r>
      <w:r>
        <w:rPr>
          <w:rFonts w:ascii="Amiri" w:hAnsi="Amiri" w:eastAsia="Amiri" w:cs="Amiri"/>
          <w:color w:val="111111"/>
          <w:sz w:val="28"/>
          <w:sz w:val="28"/>
          <w:szCs w:val="28"/>
          <w:rtl w:val="true"/>
          <w:lang w:bidi="ar-SA"/>
        </w:rPr>
        <w:t xml:space="preserve">، الكنى والأسماء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2350</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الحديث باختلاف يسير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13149</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الصلات والبشر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34928</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شعب الإيمان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4154</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13497</w:t>
      </w:r>
      <w:r>
        <w:rPr>
          <w:rFonts w:ascii="Amiri" w:hAnsi="Amiri" w:eastAsia="Amiri" w:cs="Amiri"/>
          <w:color w:val="111111"/>
          <w:sz w:val="28"/>
          <w:sz w:val="28"/>
          <w:szCs w:val="28"/>
          <w:rtl w:val="true"/>
          <w:lang w:bidi="ar-SA"/>
        </w:rPr>
        <w:t>، الصلات والبشر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42582</w:t>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الحديث باختلاف يسير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4153</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12371</w:t>
      </w:r>
      <w:r>
        <w:rPr>
          <w:rFonts w:ascii="Amiri" w:hAnsi="Amiri" w:eastAsia="Amiri" w:cs="Amiri"/>
          <w:color w:val="111111"/>
          <w:sz w:val="28"/>
          <w:sz w:val="28"/>
          <w:szCs w:val="28"/>
          <w:rtl w:val="true"/>
          <w:lang w:bidi="ar-SA"/>
        </w:rPr>
        <w:t>، كما ورد مضمونه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شعب الإيمان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4157</w:t>
      </w:r>
      <w:r>
        <w:rPr>
          <w:rFonts w:ascii="Amiri" w:hAnsi="Amiri" w:eastAsia="Amiri" w:cs="Amiri"/>
          <w:color w:val="111111"/>
          <w:sz w:val="28"/>
          <w:sz w:val="28"/>
          <w:szCs w:val="28"/>
          <w:rtl w:val="true"/>
          <w:lang w:bidi="ar-SA"/>
        </w:rPr>
        <w:t>، الصلات والبشر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الصلات والبشر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12369</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2480</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الحديث باختلاف في سنده وبعض ألفاظه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الصلات والبشر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12372</w:t>
      </w:r>
      <w:r>
        <w:rPr>
          <w:rFonts w:ascii="Amiri" w:hAnsi="Amiri" w:eastAsia="Amiri" w:cs="Amiri"/>
          <w:color w:val="111111"/>
          <w:sz w:val="28"/>
          <w:sz w:val="28"/>
          <w:szCs w:val="28"/>
          <w:rtl w:val="true"/>
          <w:lang w:bidi="ar-SA"/>
        </w:rPr>
        <w:t xml:space="preserve">، المواهب اللدنيّة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ومصادره، وقد روي فيها عن حاطب بن أبي بلتعة مرفوعاً، و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الصلات والبشر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كشف الخفاء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2489</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ومصادره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تاريخ دمشق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وفاء الوفا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ومصادره، وقد روي فيها عن أمير المؤمنين الإمام عليّ عليه السلام مرفوعاً بدلًا من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شعب الإيمان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4161</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وفاء الوفا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التوسّل والوسيلة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وقال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الإمام عبد اللَّه بن دينار عن ابن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الشفا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وفاء الوفا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1054</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3235</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 المصنَّف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وسنن الترمذي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ومعرفة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3243</w:t>
      </w:r>
      <w:r>
        <w:rPr>
          <w:rFonts w:ascii="Amiri" w:hAnsi="Amiri" w:eastAsia="Amiri" w:cs="Amiri"/>
          <w:color w:val="111111"/>
          <w:sz w:val="28"/>
          <w:sz w:val="28"/>
          <w:szCs w:val="28"/>
          <w:rtl w:val="true"/>
          <w:lang w:bidi="ar-SA"/>
        </w:rPr>
        <w:t xml:space="preserve">، وعنه في وفاء الوفا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 وانظر مؤدّاه أيضاً في ص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مؤدّاه في وفاء الوفا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السقام عن مسند أحمد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السقام عن مسند أحمد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السقام عن مسند أحمد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وفاء الوفا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سوة الإخلاص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والحَجَلة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كالقُبّة يُستر بالثياب ويكون له أزرار 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قريباً منه في وفاء الوفا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ووفاء الوفا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ورواه النسائي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947</w:t>
      </w:r>
      <w:r>
        <w:rPr>
          <w:rFonts w:ascii="Amiri" w:hAnsi="Amiri" w:eastAsia="Amiri" w:cs="Amiri"/>
          <w:color w:val="111111"/>
          <w:sz w:val="28"/>
          <w:sz w:val="28"/>
          <w:szCs w:val="28"/>
          <w:rtl w:val="true"/>
          <w:lang w:bidi="ar-SA"/>
        </w:rPr>
        <w:t>، باختلاف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2438</w:t>
      </w:r>
      <w:r>
        <w:rPr>
          <w:rFonts w:ascii="Amiri" w:hAnsi="Amiri" w:eastAsia="Amiri" w:cs="Amiri"/>
          <w:color w:val="111111"/>
          <w:sz w:val="28"/>
          <w:sz w:val="28"/>
          <w:szCs w:val="28"/>
          <w:rtl w:val="true"/>
          <w:lang w:bidi="ar-SA"/>
        </w:rPr>
        <w:t xml:space="preserve">، وسنن الدارمي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باختلاف يسير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2433</w:t>
      </w:r>
      <w:r>
        <w:rPr>
          <w:rFonts w:ascii="Amiri" w:hAnsi="Amiri" w:eastAsia="Amiri" w:cs="Amiri"/>
          <w:color w:val="111111"/>
          <w:sz w:val="28"/>
          <w:sz w:val="28"/>
          <w:szCs w:val="28"/>
          <w:rtl w:val="true"/>
          <w:lang w:bidi="ar-SA"/>
        </w:rPr>
        <w:t xml:space="preserve">، الوفا بأحوال المصطفى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سنن الدارمي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الإمام عليّ بن أبي‌طالب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على تخريج له في المصادر المتوفّرة 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قريب منه وبسند آخر وباختلاف يسير في كتاب من عاش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الحديث باختلاف يسير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سنَّ سُنّة حسنة أو سيّئة، مشكل الآثار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إحدى مدن مقاطعة خوزستان في إيران، ومُعَرَّبُها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معجم‌البلدان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نصيرالدين الطوسي أبوجعفر محمدبن محمد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علماء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وعنه في بحار الأنوار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تهذيب اللغة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الفائق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والجُمّ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لا شُرَف لها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3220</w:t>
      </w:r>
      <w:r>
        <w:rPr>
          <w:rFonts w:ascii="Amiri" w:hAnsi="Amiri" w:eastAsia="Amiri" w:cs="Amiri"/>
          <w:color w:val="111111"/>
          <w:sz w:val="28"/>
          <w:sz w:val="28"/>
          <w:szCs w:val="28"/>
          <w:rtl w:val="true"/>
          <w:lang w:bidi="ar-SA"/>
        </w:rPr>
        <w:t>؛ ولاطئة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لازقة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المطلب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3236</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النووي على صحيح مسلم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مضمونه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ونحوه في سنن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بسطاؤهم وجهّالهم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محمد جواد البلاغي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الحكيم، على مائدة الكتاب و السنة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الوهابية و أصول الاعتقاد،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محمد جواد البلاغي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الحكيم، على مائدة الكتاب و السنة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الوهابية و أصول الاعتقاد،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بتاريخ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كما ورد الحديث باختلاف يسير في بعض ألفاظه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3218</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عددها الصادر في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القنصل العامّ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أحمد الشريف بن محمّد بن محمّد بن عليّ السنوسي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وُلد وتفقَّه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الجغبوب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أعمال ليبيا، قاتل الإِيطاليّين في حربهم مع الدولة العثمانية سنة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دُعي إلى إسلامبول بعد عقد الصلح بين إيطاليا والعثمانيّين، ثمّ رحل منها إلى الحجاز، كان من أنبل الناس جلالة قدر وسراوة حال ورجاحة عقل، وكان على علم غزير، وقد صنَّف في أوقات فراغه كتباً عديدة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والأصوب لغةً أن تكون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فظيعة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لدعبل الخزاعي، يرثي بها سيّد الشهداء الإِمام أبي عبد اللَّه الحسين بن عليّ بن أبي طالب عليهم السلام، وقد ورد البيت باختلاف في بعض ألفاظه في الديوان المطبوع ومصادر أُخرى هكذا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مساعدتهم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المناسب للسياق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قصيدة للشريف الرضيّ، يرثي بها سيّد الشهداء الإمام أبي عبد اللَّه الحسين بن عليّ ابن أبي طالب عليهم السلام، في يوم عاشوراء سنة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الكافرون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ذلك في تفسير الآيات الكريمة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في مختلف التفاسير، ولاحظ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والكافي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 نَعْبُدُ وإيّاكَ نَسْتَعِينُ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كنز الدقائق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آلاء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ومادّة عَبَدَ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والعَنَزَة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أطول من العصا وأقصر من الرمح، فيها سنان كسنان الرمح، وربّما في أسفلها زُجّ كَزُجّ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انصرف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في بعض الألفاظ، 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بعض الألفاظ أيضاً،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في شمائل النبي المختار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 الأُخرى التي في هامشه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الصلات والبشر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42583</w:t>
      </w:r>
      <w:r>
        <w:rPr>
          <w:rFonts w:ascii="IRNazanin" w:hAnsi="IRNazanin" w:eastAsia="IRNazanin"/>
          <w:b w:val="false"/>
          <w:b w:val="false"/>
          <w:bCs w:val="false"/>
          <w:i w:val="false"/>
          <w:i w:val="false"/>
          <w:iCs w:val="false"/>
          <w:color w:val="333333"/>
          <w:sz w:val="20"/>
          <w:sz w:val="20"/>
          <w:szCs w:val="20"/>
          <w:rtl w:val="true"/>
        </w:rPr>
        <w:t xml:space="preserve">، الكنى والأسماء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الحديث باختلاف يسير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13149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الصلات والبشر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34928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الحديث باختلاف يسير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12371</w:t>
      </w:r>
      <w:r>
        <w:rPr>
          <w:rFonts w:ascii="IRNazanin" w:hAnsi="IRNazanin" w:eastAsia="IRNazanin"/>
          <w:b w:val="false"/>
          <w:b w:val="false"/>
          <w:bCs w:val="false"/>
          <w:i w:val="false"/>
          <w:i w:val="false"/>
          <w:iCs w:val="false"/>
          <w:color w:val="333333"/>
          <w:sz w:val="20"/>
          <w:sz w:val="20"/>
          <w:szCs w:val="20"/>
          <w:rtl w:val="true"/>
        </w:rPr>
        <w:t>، كما ورد مضمونه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4157</w:t>
      </w:r>
      <w:r>
        <w:rPr>
          <w:rFonts w:ascii="IRNazanin" w:hAnsi="IRNazanin" w:eastAsia="IRNazanin"/>
          <w:b w:val="false"/>
          <w:b w:val="false"/>
          <w:bCs w:val="false"/>
          <w:i w:val="false"/>
          <w:i w:val="false"/>
          <w:iCs w:val="false"/>
          <w:color w:val="333333"/>
          <w:sz w:val="20"/>
          <w:sz w:val="20"/>
          <w:szCs w:val="20"/>
          <w:rtl w:val="true"/>
        </w:rPr>
        <w:t>، الصلات والبشر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الصلات والبشر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12369</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الحديث باختلاف في سنده وبعض ألفاظه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الصلات والبشر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12372</w:t>
      </w:r>
      <w:r>
        <w:rPr>
          <w:rFonts w:ascii="IRNazanin" w:hAnsi="IRNazanin" w:eastAsia="IRNazanin"/>
          <w:b w:val="false"/>
          <w:b w:val="false"/>
          <w:bCs w:val="false"/>
          <w:i w:val="false"/>
          <w:i w:val="false"/>
          <w:iCs w:val="false"/>
          <w:color w:val="333333"/>
          <w:sz w:val="20"/>
          <w:sz w:val="20"/>
          <w:szCs w:val="20"/>
          <w:rtl w:val="true"/>
        </w:rPr>
        <w:t xml:space="preserve">، المواهب اللدنيّة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ومصادره، وقد روي فيها عن حاطب بن أبي بلتعة مرفوعاً، و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مرفوعاً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الصلات والبشر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التوسّل والوسيلة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وقال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الإمام عبد اللَّه بن دينار عن ابن عمر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 وعنه في 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وانظر مؤدّاه أيضاً في ص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مؤدّاه في 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عن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عن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سوة الإخلاص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والحَجَلة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كالقُبّة يُستر بالثياب ويكون له أزرار كبار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قريباً منه في 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ورواه النسائي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 والليلة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أيضاً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xml:space="preserve">، وسنن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باختلاف يسير فيهما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 الوفا بأحوال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عليّ بن أبي‌طالب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 صلى الله عليه و سلم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تخريج له في المصادر المتوفّرة لديّ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الحديث باختلاف يسير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سنَّ سُنّة حسنة أو سيّئة، مشكل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إحدى مدن مقاطعة خوزستان في إيران، ومُعَرَّبُها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نصيرالدين الطوسي أبوجعفر محمدبن محمد بن الحسن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كبار علماء الإمامية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مادّة شرف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تهذيب اللغة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والجُمّ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لا شُرَف لها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3220</w:t>
      </w:r>
      <w:r>
        <w:rPr>
          <w:rFonts w:ascii="IRNazanin" w:hAnsi="IRNazanin" w:eastAsia="IRNazanin"/>
          <w:b w:val="false"/>
          <w:b w:val="false"/>
          <w:bCs w:val="false"/>
          <w:i w:val="false"/>
          <w:i w:val="false"/>
          <w:iCs w:val="false"/>
          <w:color w:val="333333"/>
          <w:sz w:val="20"/>
          <w:sz w:val="20"/>
          <w:szCs w:val="20"/>
          <w:rtl w:val="true"/>
        </w:rPr>
        <w:t>؛ ولاطئة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لازقة بالأرض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مضمونه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ونحوه في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بسطاؤهم وجهّالهم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الشيخ محمد جواد البلاغي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الحكيم، على مائدة الكتاب و السنة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الوهابية و أصول الاعتقاد،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الشيخ محمد جواد البلاغي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الحكيم، على مائدة الكتاب و السنة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الوهابية و أصول الاعتقاد،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image" Target="media/image2.jpeg"/><Relationship Id="rId82" Type="http://schemas.openxmlformats.org/officeDocument/2006/relationships/image" Target="media/image2.jpeg"/><Relationship Id="rId83" Type="http://schemas.openxmlformats.org/officeDocument/2006/relationships/footer" Target="footer76.xml"/><Relationship Id="rId84" Type="http://schemas.openxmlformats.org/officeDocument/2006/relationships/footnotes" Target="footnotes.xml"/><Relationship Id="rId85" Type="http://schemas.openxmlformats.org/officeDocument/2006/relationships/numbering" Target="numbering.xml"/><Relationship Id="rId86" Type="http://schemas.openxmlformats.org/officeDocument/2006/relationships/fontTable" Target="fontTable.xml"/><Relationship Id="rId87" Type="http://schemas.openxmlformats.org/officeDocument/2006/relationships/settings" Target="settings.xml"/><Relationship Id="rId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Pages>
  <Words>11284</Words>
  <Characters>48417</Characters>
  <CharactersWithSpaces>58963</CharactersWithSpaces>
  <Paragraphs>884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2026-08-16T13:29:37Z</dcterms:created>
  <dc:creator>ghaemiyeh.com</dc:creator>
  <dc:description/>
  <dc:language>en-US</dc:language>
  <cp:lastModifiedBy/>
  <dcterms:modified xsi:type="dcterms:W3CDTF">2026-08-16T16:59:40Z</dcterms:modified>
  <cp:revision>1</cp:revision>
  <dc:subject/>
  <dc:title>الوهابیه و اصول الاعتقاد</dc:title>
</cp:coreProperties>
</file>

<file path=docProps/custom.xml><?xml version="1.0" encoding="utf-8"?>
<Properties xmlns="http://schemas.openxmlformats.org/officeDocument/2006/custom-properties" xmlns:vt="http://schemas.openxmlformats.org/officeDocument/2006/docPropsVTypes"/>
</file>