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39.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العباده حدها و مفهومها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47704_37343814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147706_37343814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147708_373438147">
            <w:r>
              <w:rPr>
                <w:webHidden/>
                <w:rStyle w:val="IndexLink"/>
                <w:rtl w:val="true"/>
              </w:rPr>
              <w:t>المقدمه‌</w:t>
            </w:r>
            <w:r>
              <w:rPr>
                <w:rStyle w:val="IndexLink"/>
                <w:rtl w:val="true"/>
              </w:rPr>
              <w:tab/>
            </w:r>
            <w:r>
              <w:rPr>
                <w:rStyle w:val="IndexLink"/>
              </w:rPr>
              <w:t>5</w:t>
            </w:r>
          </w:hyperlink>
        </w:p>
        <w:p>
          <w:pPr>
            <w:pStyle w:val="Contents2"/>
            <w:tabs>
              <w:tab w:val="clear" w:pos="8743"/>
              <w:tab w:val="right" w:pos="9026" w:leader="dot"/>
            </w:tabs>
            <w:rPr/>
          </w:pPr>
          <w:hyperlink w:anchor="__RefHeading___Toc3147710_373438147">
            <w:r>
              <w:rPr>
                <w:webHidden/>
                <w:rStyle w:val="IndexLink"/>
                <w:rtl w:val="true"/>
              </w:rPr>
              <w:t>تقديم‌</w:t>
            </w:r>
            <w:r>
              <w:rPr>
                <w:rStyle w:val="IndexLink"/>
                <w:rtl w:val="true"/>
              </w:rPr>
              <w:tab/>
            </w:r>
            <w:r>
              <w:rPr>
                <w:rStyle w:val="IndexLink"/>
              </w:rPr>
              <w:t>7</w:t>
            </w:r>
          </w:hyperlink>
        </w:p>
        <w:p>
          <w:pPr>
            <w:pStyle w:val="Contents2"/>
            <w:tabs>
              <w:tab w:val="clear" w:pos="8743"/>
              <w:tab w:val="right" w:pos="9026" w:leader="dot"/>
            </w:tabs>
            <w:rPr/>
          </w:pPr>
          <w:hyperlink w:anchor="__RefHeading___Toc3147712_373438147">
            <w:r>
              <w:rPr>
                <w:webHidden/>
                <w:rStyle w:val="IndexLink"/>
                <w:rtl w:val="true"/>
              </w:rPr>
              <w:t>تخصيص العبادة والاستعانة باللَّه سبحانه‌</w:t>
            </w:r>
            <w:r>
              <w:rPr>
                <w:rStyle w:val="IndexLink"/>
                <w:rtl w:val="true"/>
              </w:rPr>
              <w:tab/>
            </w:r>
            <w:r>
              <w:rPr>
                <w:rStyle w:val="IndexLink"/>
              </w:rPr>
              <w:t>10</w:t>
            </w:r>
          </w:hyperlink>
        </w:p>
        <w:p>
          <w:pPr>
            <w:pStyle w:val="Contents2"/>
            <w:tabs>
              <w:tab w:val="clear" w:pos="8743"/>
              <w:tab w:val="right" w:pos="9026" w:leader="dot"/>
            </w:tabs>
            <w:rPr/>
          </w:pPr>
          <w:hyperlink w:anchor="__RefHeading___Toc3147714_373438147">
            <w:r>
              <w:rPr>
                <w:webHidden/>
                <w:rStyle w:val="IndexLink"/>
                <w:rtl w:val="true"/>
              </w:rPr>
              <w:t>المسألة الاولى</w:t>
            </w:r>
            <w:r>
              <w:rPr>
                <w:rStyle w:val="IndexLink"/>
                <w:rtl w:val="true"/>
              </w:rPr>
              <w:t>:</w:t>
              <w:tab/>
            </w:r>
            <w:r>
              <w:rPr>
                <w:rStyle w:val="IndexLink"/>
              </w:rPr>
              <w:t>12</w:t>
            </w:r>
          </w:hyperlink>
        </w:p>
        <w:p>
          <w:pPr>
            <w:pStyle w:val="Contents3"/>
            <w:tabs>
              <w:tab w:val="clear" w:pos="8459"/>
              <w:tab w:val="right" w:pos="9026" w:leader="dot"/>
            </w:tabs>
            <w:rPr/>
          </w:pPr>
          <w:hyperlink w:anchor="__RefHeading___Toc3147716_373438147">
            <w:r>
              <w:rPr>
                <w:webHidden/>
                <w:rStyle w:val="IndexLink"/>
                <w:rtl w:val="true"/>
              </w:rPr>
              <w:t>مفهوم العبادة وحدّها</w:t>
            </w:r>
            <w:r>
              <w:rPr>
                <w:rStyle w:val="IndexLink"/>
                <w:rtl w:val="true"/>
              </w:rPr>
              <w:tab/>
            </w:r>
            <w:r>
              <w:rPr>
                <w:rStyle w:val="IndexLink"/>
              </w:rPr>
              <w:t>12</w:t>
            </w:r>
          </w:hyperlink>
        </w:p>
        <w:p>
          <w:pPr>
            <w:pStyle w:val="Contents4"/>
            <w:tabs>
              <w:tab w:val="clear" w:pos="8176"/>
              <w:tab w:val="right" w:pos="9026" w:leader="dot"/>
            </w:tabs>
            <w:rPr/>
          </w:pPr>
          <w:hyperlink w:anchor="__RefHeading___Toc3147718_373438147">
            <w:r>
              <w:rPr>
                <w:webHidden/>
                <w:rStyle w:val="IndexLink"/>
                <w:rtl w:val="true"/>
              </w:rPr>
              <w:t>اشارة</w:t>
            </w:r>
            <w:r>
              <w:rPr>
                <w:rStyle w:val="IndexLink"/>
                <w:rtl w:val="true"/>
              </w:rPr>
              <w:tab/>
            </w:r>
            <w:r>
              <w:rPr>
                <w:rStyle w:val="IndexLink"/>
              </w:rPr>
              <w:t>12</w:t>
            </w:r>
          </w:hyperlink>
        </w:p>
        <w:p>
          <w:pPr>
            <w:pStyle w:val="Contents4"/>
            <w:tabs>
              <w:tab w:val="clear" w:pos="8176"/>
              <w:tab w:val="right" w:pos="9026" w:leader="dot"/>
            </w:tabs>
            <w:rPr/>
          </w:pPr>
          <w:hyperlink w:anchor="__RefHeading___Toc3147720_373438147">
            <w:r>
              <w:rPr>
                <w:webHidden/>
                <w:rStyle w:val="IndexLink"/>
                <w:rtl w:val="true"/>
              </w:rPr>
              <w:t>ليست العبادة نفس الخضوع أو نهايته‌</w:t>
            </w:r>
            <w:r>
              <w:rPr>
                <w:rStyle w:val="IndexLink"/>
                <w:rtl w:val="true"/>
              </w:rPr>
              <w:tab/>
            </w:r>
            <w:r>
              <w:rPr>
                <w:rStyle w:val="IndexLink"/>
              </w:rPr>
              <w:t>16</w:t>
            </w:r>
          </w:hyperlink>
        </w:p>
        <w:p>
          <w:pPr>
            <w:pStyle w:val="Contents4"/>
            <w:tabs>
              <w:tab w:val="clear" w:pos="8176"/>
              <w:tab w:val="right" w:pos="9026" w:leader="dot"/>
            </w:tabs>
            <w:rPr/>
          </w:pPr>
          <w:hyperlink w:anchor="__RefHeading___Toc3147722_373438147">
            <w:r>
              <w:rPr>
                <w:webHidden/>
                <w:rStyle w:val="IndexLink"/>
                <w:rtl w:val="true"/>
              </w:rPr>
              <w:t>توجيه غير سديد</w:t>
            </w:r>
            <w:r>
              <w:rPr>
                <w:rStyle w:val="IndexLink"/>
                <w:rtl w:val="true"/>
              </w:rPr>
              <w:tab/>
            </w:r>
            <w:r>
              <w:rPr>
                <w:rStyle w:val="IndexLink"/>
              </w:rPr>
              <w:t>20</w:t>
            </w:r>
          </w:hyperlink>
        </w:p>
        <w:p>
          <w:pPr>
            <w:pStyle w:val="Contents5"/>
            <w:tabs>
              <w:tab w:val="clear" w:pos="7892"/>
              <w:tab w:val="right" w:pos="9026" w:leader="dot"/>
            </w:tabs>
            <w:rPr/>
          </w:pPr>
          <w:hyperlink w:anchor="__RefHeading___Toc3147724_373438147">
            <w:r>
              <w:rPr>
                <w:webHidden/>
                <w:rStyle w:val="IndexLink"/>
                <w:rtl w:val="true"/>
              </w:rPr>
              <w:t>اشارة</w:t>
            </w:r>
            <w:r>
              <w:rPr>
                <w:rStyle w:val="IndexLink"/>
                <w:rtl w:val="true"/>
              </w:rPr>
              <w:tab/>
            </w:r>
            <w:r>
              <w:rPr>
                <w:rStyle w:val="IndexLink"/>
              </w:rPr>
              <w:t>20</w:t>
            </w:r>
          </w:hyperlink>
        </w:p>
        <w:p>
          <w:pPr>
            <w:pStyle w:val="Contents5"/>
            <w:tabs>
              <w:tab w:val="clear" w:pos="7892"/>
              <w:tab w:val="right" w:pos="9026" w:leader="dot"/>
            </w:tabs>
            <w:rPr/>
          </w:pPr>
          <w:hyperlink w:anchor="__RefHeading___Toc3147726_373438147">
            <w:r>
              <w:rPr>
                <w:webHidden/>
                <w:rStyle w:val="IndexLink"/>
              </w:rPr>
              <w:t>1</w:t>
            </w:r>
            <w:r>
              <w:rPr>
                <w:rStyle w:val="IndexLink"/>
                <w:rtl w:val="true"/>
              </w:rPr>
              <w:t xml:space="preserve">- </w:t>
            </w:r>
            <w:r>
              <w:rPr>
                <w:rStyle w:val="IndexLink"/>
                <w:rtl w:val="true"/>
              </w:rPr>
              <w:t>نظرية صاحب المنار في تفسير العبادة</w:t>
            </w:r>
            <w:r>
              <w:rPr>
                <w:rStyle w:val="IndexLink"/>
                <w:rtl w:val="true"/>
              </w:rPr>
              <w:tab/>
            </w:r>
            <w:r>
              <w:rPr>
                <w:rStyle w:val="IndexLink"/>
              </w:rPr>
              <w:t>21</w:t>
            </w:r>
          </w:hyperlink>
        </w:p>
        <w:p>
          <w:pPr>
            <w:pStyle w:val="Contents5"/>
            <w:tabs>
              <w:tab w:val="clear" w:pos="7892"/>
              <w:tab w:val="right" w:pos="9026" w:leader="dot"/>
            </w:tabs>
            <w:rPr/>
          </w:pPr>
          <w:hyperlink w:anchor="__RefHeading___Toc3147728_373438147">
            <w:r>
              <w:rPr>
                <w:webHidden/>
                <w:rStyle w:val="IndexLink"/>
              </w:rPr>
              <w:t>2</w:t>
            </w:r>
            <w:r>
              <w:rPr>
                <w:rStyle w:val="IndexLink"/>
                <w:rtl w:val="true"/>
              </w:rPr>
              <w:t xml:space="preserve">- </w:t>
            </w:r>
            <w:r>
              <w:rPr>
                <w:rStyle w:val="IndexLink"/>
                <w:rtl w:val="true"/>
              </w:rPr>
              <w:t>نظرية الشيخ شلتوت، زعيم الأزهر</w:t>
            </w:r>
            <w:r>
              <w:rPr>
                <w:rStyle w:val="IndexLink"/>
                <w:rtl w:val="true"/>
              </w:rPr>
              <w:tab/>
            </w:r>
            <w:r>
              <w:rPr>
                <w:rStyle w:val="IndexLink"/>
              </w:rPr>
              <w:t>23</w:t>
            </w:r>
          </w:hyperlink>
        </w:p>
        <w:p>
          <w:pPr>
            <w:pStyle w:val="Contents5"/>
            <w:tabs>
              <w:tab w:val="clear" w:pos="7892"/>
              <w:tab w:val="right" w:pos="9026" w:leader="dot"/>
            </w:tabs>
            <w:rPr/>
          </w:pPr>
          <w:hyperlink w:anchor="__RefHeading___Toc3147730_373438147">
            <w:r>
              <w:rPr>
                <w:webHidden/>
                <w:rStyle w:val="IndexLink"/>
              </w:rPr>
              <w:t>3</w:t>
            </w:r>
            <w:r>
              <w:rPr>
                <w:rStyle w:val="IndexLink"/>
                <w:rtl w:val="true"/>
              </w:rPr>
              <w:t xml:space="preserve">- </w:t>
            </w:r>
            <w:r>
              <w:rPr>
                <w:rStyle w:val="IndexLink"/>
                <w:rtl w:val="true"/>
              </w:rPr>
              <w:t>تعريف ابن تيمية</w:t>
            </w:r>
            <w:r>
              <w:rPr>
                <w:rStyle w:val="IndexLink"/>
                <w:rtl w:val="true"/>
              </w:rPr>
              <w:tab/>
            </w:r>
            <w:r>
              <w:rPr>
                <w:rStyle w:val="IndexLink"/>
              </w:rPr>
              <w:t>24</w:t>
            </w:r>
          </w:hyperlink>
        </w:p>
        <w:p>
          <w:pPr>
            <w:pStyle w:val="Contents3"/>
            <w:tabs>
              <w:tab w:val="clear" w:pos="8459"/>
              <w:tab w:val="right" w:pos="9026" w:leader="dot"/>
            </w:tabs>
            <w:rPr/>
          </w:pPr>
          <w:hyperlink w:anchor="__RefHeading___Toc3147732_373438147">
            <w:r>
              <w:rPr>
                <w:webHidden/>
                <w:rStyle w:val="IndexLink"/>
                <w:rtl w:val="true"/>
              </w:rPr>
              <w:t>التعريف الأوّل</w:t>
            </w:r>
            <w:r>
              <w:rPr>
                <w:rStyle w:val="IndexLink"/>
                <w:rtl w:val="true"/>
              </w:rPr>
              <w:t xml:space="preserve">: </w:t>
            </w:r>
            <w:r>
              <w:rPr>
                <w:rStyle w:val="IndexLink"/>
                <w:rtl w:val="true"/>
              </w:rPr>
              <w:t>العبادة هي الخضوع للشي‌ء بما أنّه إله‌</w:t>
            </w:r>
            <w:r>
              <w:rPr>
                <w:rStyle w:val="IndexLink"/>
                <w:rtl w:val="true"/>
              </w:rPr>
              <w:tab/>
            </w:r>
            <w:r>
              <w:rPr>
                <w:rStyle w:val="IndexLink"/>
              </w:rPr>
              <w:t>26</w:t>
            </w:r>
          </w:hyperlink>
        </w:p>
        <w:p>
          <w:pPr>
            <w:pStyle w:val="Contents4"/>
            <w:tabs>
              <w:tab w:val="clear" w:pos="8176"/>
              <w:tab w:val="right" w:pos="9026" w:leader="dot"/>
            </w:tabs>
            <w:rPr/>
          </w:pPr>
          <w:hyperlink w:anchor="__RefHeading___Toc3147734_373438147">
            <w:r>
              <w:rPr>
                <w:webHidden/>
                <w:rStyle w:val="IndexLink"/>
                <w:rtl w:val="true"/>
              </w:rPr>
              <w:t>اشارة</w:t>
            </w:r>
            <w:r>
              <w:rPr>
                <w:rStyle w:val="IndexLink"/>
                <w:rtl w:val="true"/>
              </w:rPr>
              <w:tab/>
            </w:r>
            <w:r>
              <w:rPr>
                <w:rStyle w:val="IndexLink"/>
              </w:rPr>
              <w:t>26</w:t>
            </w:r>
          </w:hyperlink>
        </w:p>
        <w:p>
          <w:pPr>
            <w:pStyle w:val="Contents4"/>
            <w:tabs>
              <w:tab w:val="clear" w:pos="8176"/>
              <w:tab w:val="right" w:pos="9026" w:leader="dot"/>
            </w:tabs>
            <w:rPr/>
          </w:pPr>
          <w:hyperlink w:anchor="__RefHeading___Toc3147736_373438147">
            <w:r>
              <w:rPr>
                <w:webHidden/>
                <w:rStyle w:val="IndexLink"/>
                <w:rtl w:val="true"/>
              </w:rPr>
              <w:t>ترادف الإله ولفظ الجلالة</w:t>
            </w:r>
            <w:r>
              <w:rPr>
                <w:rStyle w:val="IndexLink"/>
                <w:rtl w:val="true"/>
              </w:rPr>
              <w:tab/>
            </w:r>
            <w:r>
              <w:rPr>
                <w:rStyle w:val="IndexLink"/>
              </w:rPr>
              <w:t>31</w:t>
            </w:r>
          </w:hyperlink>
        </w:p>
        <w:p>
          <w:pPr>
            <w:pStyle w:val="Contents3"/>
            <w:tabs>
              <w:tab w:val="clear" w:pos="8459"/>
              <w:tab w:val="right" w:pos="9026" w:leader="dot"/>
            </w:tabs>
            <w:rPr/>
          </w:pPr>
          <w:hyperlink w:anchor="__RefHeading___Toc3147738_373438147">
            <w:r>
              <w:rPr>
                <w:webHidden/>
                <w:rStyle w:val="IndexLink"/>
                <w:rtl w:val="true"/>
              </w:rPr>
              <w:t>التعريف الثاني</w:t>
            </w:r>
            <w:r>
              <w:rPr>
                <w:rStyle w:val="IndexLink"/>
                <w:rtl w:val="true"/>
              </w:rPr>
              <w:t xml:space="preserve">: </w:t>
            </w:r>
            <w:r>
              <w:rPr>
                <w:rStyle w:val="IndexLink"/>
                <w:rtl w:val="true"/>
              </w:rPr>
              <w:t>العبادة عبارة عن الخضوع للشي‌ء على أنّه ربّ‌</w:t>
            </w:r>
            <w:r>
              <w:rPr>
                <w:rStyle w:val="IndexLink"/>
                <w:rtl w:val="true"/>
              </w:rPr>
              <w:tab/>
            </w:r>
            <w:r>
              <w:rPr>
                <w:rStyle w:val="IndexLink"/>
              </w:rPr>
              <w:t>35</w:t>
            </w:r>
          </w:hyperlink>
        </w:p>
        <w:p>
          <w:pPr>
            <w:pStyle w:val="Contents4"/>
            <w:tabs>
              <w:tab w:val="clear" w:pos="8176"/>
              <w:tab w:val="right" w:pos="9026" w:leader="dot"/>
            </w:tabs>
            <w:rPr/>
          </w:pPr>
          <w:hyperlink w:anchor="__RefHeading___Toc3147740_373438147">
            <w:r>
              <w:rPr>
                <w:webHidden/>
                <w:rStyle w:val="IndexLink"/>
                <w:rtl w:val="true"/>
              </w:rPr>
              <w:t>اشارة</w:t>
            </w:r>
            <w:r>
              <w:rPr>
                <w:rStyle w:val="IndexLink"/>
                <w:rtl w:val="true"/>
              </w:rPr>
              <w:tab/>
            </w:r>
            <w:r>
              <w:rPr>
                <w:rStyle w:val="IndexLink"/>
              </w:rPr>
              <w:t>35</w:t>
            </w:r>
          </w:hyperlink>
        </w:p>
        <w:p>
          <w:pPr>
            <w:pStyle w:val="Contents4"/>
            <w:tabs>
              <w:tab w:val="clear" w:pos="8176"/>
              <w:tab w:val="right" w:pos="9026" w:leader="dot"/>
            </w:tabs>
            <w:rPr/>
          </w:pPr>
          <w:hyperlink w:anchor="__RefHeading___Toc3147742_373438147">
            <w:r>
              <w:rPr>
                <w:webHidden/>
                <w:rStyle w:val="IndexLink"/>
                <w:rtl w:val="true"/>
              </w:rPr>
              <w:t>نتيجة البحث‌</w:t>
            </w:r>
            <w:r>
              <w:rPr>
                <w:rStyle w:val="IndexLink"/>
                <w:rtl w:val="true"/>
              </w:rPr>
              <w:tab/>
            </w:r>
            <w:r>
              <w:rPr>
                <w:rStyle w:val="IndexLink"/>
              </w:rPr>
              <w:t>38</w:t>
            </w:r>
          </w:hyperlink>
        </w:p>
        <w:p>
          <w:pPr>
            <w:pStyle w:val="Contents4"/>
            <w:tabs>
              <w:tab w:val="clear" w:pos="8176"/>
              <w:tab w:val="right" w:pos="9026" w:leader="dot"/>
            </w:tabs>
            <w:rPr/>
          </w:pPr>
          <w:hyperlink w:anchor="__RefHeading___Toc3147744_373438147">
            <w:r>
              <w:rPr>
                <w:webHidden/>
                <w:rStyle w:val="IndexLink"/>
                <w:rtl w:val="true"/>
              </w:rPr>
              <w:t>الفوضى في التطبيق بين الإمام والمأموم‌</w:t>
            </w:r>
            <w:r>
              <w:rPr>
                <w:rStyle w:val="IndexLink"/>
                <w:rtl w:val="true"/>
              </w:rPr>
              <w:tab/>
            </w:r>
            <w:r>
              <w:rPr>
                <w:rStyle w:val="IndexLink"/>
              </w:rPr>
              <w:t>41</w:t>
            </w:r>
          </w:hyperlink>
        </w:p>
        <w:p>
          <w:pPr>
            <w:pStyle w:val="Contents2"/>
            <w:tabs>
              <w:tab w:val="clear" w:pos="8743"/>
              <w:tab w:val="right" w:pos="9026" w:leader="dot"/>
            </w:tabs>
            <w:rPr/>
          </w:pPr>
          <w:hyperlink w:anchor="__RefHeading___Toc3147746_373438147">
            <w:r>
              <w:rPr>
                <w:webHidden/>
                <w:rStyle w:val="IndexLink"/>
                <w:rtl w:val="true"/>
              </w:rPr>
              <w:t>المسألة الثانية</w:t>
            </w:r>
            <w:r>
              <w:rPr>
                <w:rStyle w:val="IndexLink"/>
                <w:rtl w:val="true"/>
              </w:rPr>
              <w:t>:</w:t>
              <w:tab/>
            </w:r>
            <w:r>
              <w:rPr>
                <w:rStyle w:val="IndexLink"/>
              </w:rPr>
              <w:t>47</w:t>
            </w:r>
          </w:hyperlink>
        </w:p>
        <w:p>
          <w:pPr>
            <w:pStyle w:val="Contents3"/>
            <w:tabs>
              <w:tab w:val="clear" w:pos="8459"/>
              <w:tab w:val="right" w:pos="9026" w:leader="dot"/>
            </w:tabs>
            <w:rPr/>
          </w:pPr>
          <w:hyperlink w:anchor="__RefHeading___Toc3147748_373438147">
            <w:r>
              <w:rPr>
                <w:webHidden/>
                <w:rStyle w:val="IndexLink"/>
                <w:rtl w:val="true"/>
              </w:rPr>
              <w:t>حصر الاستعانة في اللَّه‌</w:t>
            </w:r>
            <w:r>
              <w:rPr>
                <w:rStyle w:val="IndexLink"/>
                <w:rtl w:val="true"/>
              </w:rPr>
              <w:tab/>
            </w:r>
            <w:r>
              <w:rPr>
                <w:rStyle w:val="IndexLink"/>
              </w:rPr>
              <w:t>47</w:t>
            </w:r>
          </w:hyperlink>
        </w:p>
        <w:p>
          <w:pPr>
            <w:pStyle w:val="Contents4"/>
            <w:tabs>
              <w:tab w:val="clear" w:pos="8176"/>
              <w:tab w:val="right" w:pos="9026" w:leader="dot"/>
            </w:tabs>
            <w:rPr/>
          </w:pPr>
          <w:hyperlink w:anchor="__RefHeading___Toc3147750_373438147">
            <w:r>
              <w:rPr>
                <w:webHidden/>
                <w:rStyle w:val="IndexLink"/>
                <w:rtl w:val="true"/>
              </w:rPr>
              <w:t>اشارة</w:t>
            </w:r>
            <w:r>
              <w:rPr>
                <w:rStyle w:val="IndexLink"/>
                <w:rtl w:val="true"/>
              </w:rPr>
              <w:tab/>
            </w:r>
            <w:r>
              <w:rPr>
                <w:rStyle w:val="IndexLink"/>
              </w:rPr>
              <w:t>47</w:t>
            </w:r>
          </w:hyperlink>
        </w:p>
        <w:p>
          <w:pPr>
            <w:pStyle w:val="Contents4"/>
            <w:tabs>
              <w:tab w:val="clear" w:pos="8176"/>
              <w:tab w:val="right" w:pos="9026" w:leader="dot"/>
            </w:tabs>
            <w:rPr/>
          </w:pPr>
          <w:hyperlink w:anchor="__RefHeading___Toc3147752_373438147">
            <w:r>
              <w:rPr>
                <w:webHidden/>
                <w:rStyle w:val="IndexLink"/>
                <w:rtl w:val="true"/>
              </w:rPr>
              <w:t>الآيات التي تنسب الظواهر الكونية إلى اللَّه وإلى غيره</w:t>
            </w:r>
            <w:r>
              <w:rPr>
                <w:rStyle w:val="IndexLink"/>
                <w:rtl w:val="true"/>
              </w:rPr>
              <w:t>:</w:t>
              <w:tab/>
            </w:r>
            <w:r>
              <w:rPr>
                <w:rStyle w:val="IndexLink"/>
              </w:rPr>
              <w:t>49</w:t>
            </w:r>
          </w:hyperlink>
        </w:p>
        <w:p>
          <w:pPr>
            <w:pStyle w:val="Contents4"/>
            <w:tabs>
              <w:tab w:val="clear" w:pos="8176"/>
              <w:tab w:val="right" w:pos="9026" w:leader="dot"/>
            </w:tabs>
            <w:rPr/>
          </w:pPr>
          <w:hyperlink w:anchor="__RefHeading___Toc3147754_373438147">
            <w:r>
              <w:rPr>
                <w:webHidden/>
                <w:rStyle w:val="IndexLink"/>
                <w:rtl w:val="true"/>
              </w:rPr>
              <w:t>حصيلة البحث</w:t>
            </w:r>
            <w:r>
              <w:rPr>
                <w:rStyle w:val="IndexLink"/>
                <w:rtl w:val="true"/>
              </w:rPr>
              <w:t>:</w:t>
              <w:tab/>
            </w:r>
            <w:r>
              <w:rPr>
                <w:rStyle w:val="IndexLink"/>
              </w:rPr>
              <w:t>51</w:t>
            </w:r>
          </w:hyperlink>
        </w:p>
        <w:p>
          <w:pPr>
            <w:pStyle w:val="Contents4"/>
            <w:tabs>
              <w:tab w:val="clear" w:pos="8176"/>
              <w:tab w:val="right" w:pos="9026" w:leader="dot"/>
            </w:tabs>
            <w:rPr/>
          </w:pPr>
          <w:hyperlink w:anchor="__RefHeading___Toc3147756_373438147">
            <w:r>
              <w:rPr>
                <w:webHidden/>
                <w:rStyle w:val="IndexLink"/>
                <w:rtl w:val="true"/>
              </w:rPr>
              <w:t>اجابة على سؤال‌</w:t>
            </w:r>
            <w:r>
              <w:rPr>
                <w:rStyle w:val="IndexLink"/>
                <w:rtl w:val="true"/>
              </w:rPr>
              <w:tab/>
            </w:r>
            <w:r>
              <w:rPr>
                <w:rStyle w:val="IndexLink"/>
              </w:rPr>
              <w:t>57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63_7278"/>
      <w:bookmarkStart w:id="1" w:name="pg1263_7278"/>
      <w:bookmarkEnd w:id="1"/>
    </w:p>
    <w:p>
      <w:pPr>
        <w:pStyle w:val="Heading2"/>
        <w:numPr>
          <w:ilvl w:val="1"/>
          <w:numId w:val="1"/>
        </w:numPr>
        <w:rPr/>
      </w:pPr>
      <w:bookmarkStart w:id="2" w:name="pg1263_7278"/>
      <w:bookmarkStart w:id="3" w:name="__RefHeading___Toc3147704_373438147"/>
      <w:bookmarkStart w:id="4" w:name="_Toc1"/>
      <w:bookmarkEnd w:id="2"/>
      <w:bookmarkEnd w:id="3"/>
      <w:r>
        <w:rPr>
          <w:rtl w:val="true"/>
        </w:rPr>
        <w:t>اشارة</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سبحاني تبريزي، جعفر، </w:t>
      </w:r>
      <w:r>
        <w:rPr>
          <w:rFonts w:ascii="Amiri" w:hAnsi="Amiri" w:eastAsia="Amiri" w:cs="Amiri"/>
          <w:color w:val="111111"/>
          <w:sz w:val="28"/>
          <w:sz w:val="28"/>
          <w:szCs w:val="28"/>
          <w:lang w:bidi="ar-SA"/>
        </w:rPr>
        <w:t>۱۳۰۸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العباده حدها و مفهومها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السبحاني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مائده العقيده؛ </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 صورت زيرنويس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۱۸۵</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۱۳۷۴</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۲۹۳۵۶۰۱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47706_373438147"/>
      <w:bookmarkStart w:id="6" w:name="_Toc2"/>
      <w:bookmarkEnd w:id="5"/>
      <w:r>
        <w:rPr>
          <w:rtl w:val="true"/>
        </w:rPr>
        <w:t>اشارة</w:t>
      </w:r>
      <w:bookmarkStart w:id="7" w:name="pg1263_7281"/>
      <w:bookmarkEnd w:id="6"/>
    </w:p>
    <w:p>
      <w:pPr>
        <w:pStyle w:val="Heading2"/>
        <w:numPr>
          <w:ilvl w:val="1"/>
          <w:numId w:val="1"/>
        </w:numPr>
        <w:rPr/>
      </w:pPr>
      <w:bookmarkStart w:id="8" w:name="__RefHeading___Toc3147708_373438147"/>
      <w:bookmarkStart w:id="9" w:name="_Toc3"/>
      <w:bookmarkEnd w:id="7"/>
      <w:bookmarkEnd w:id="8"/>
      <w:r>
        <w:rPr>
          <w:rtl w:val="true"/>
        </w:rPr>
        <w:t>المقدمه‌</w:t>
      </w:r>
      <w:bookmarkEnd w:id="9"/>
    </w:p>
    <w:p>
      <w:pPr>
        <w:pStyle w:val="BookText"/>
        <w:rPr/>
      </w:pP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 وَإِيَّاكَ نَسْتَعِينَ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وبه وحده نستعين وعليه وحده نتوكل</w:t>
      </w:r>
    </w:p>
    <w:p>
      <w:pPr>
        <w:pStyle w:val="BookText"/>
        <w:rPr/>
      </w:pPr>
      <w:r>
        <w:rPr>
          <w:rFonts w:ascii="Amiri" w:hAnsi="Amiri" w:eastAsia="Amiri" w:cs="Amiri"/>
          <w:color w:val="111111"/>
          <w:sz w:val="28"/>
          <w:sz w:val="28"/>
          <w:szCs w:val="28"/>
          <w:rtl w:val="true"/>
          <w:lang w:bidi="ar-SA"/>
        </w:rPr>
        <w:t>والحمد للَّه‌ربّ العالمين، والصَّلاة والسلام على سيد رُسُله، وخاتم أنبيائه وآله ومن سار على خطاهم وتبعهم بإحسان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يهتم المسلمون اهتماماً كبيراً بالعقيدة الصحيحة لأنّها تشكّل حجر الزاوية في سلوكهم ومناراً يضي‌ءُ دروبهم وزاداً لمعادهم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كرّسَ رسُولُ اللَّه صلى الله عليه و آله و سلم في الفترة المكيّة من حياته الرسالية نفسه لإرساء أُسس التوحيد الخالص، ومكافحة الشرك والوثنية، ثم بنى عليها في الفترة المدنية صَرحَ النظامِ الأخلاقي والاجتماعي والاقتصادي والسياسيّ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ونظراً للحاجةِ المتزايدة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أن نقدّم للأُمةِ الإسلاميّة الكريمة دراسات عقائدية عابرة مستمدَّةٍ من كتاب اللَّهِ العزيز، والسُنّةِ الشريفة الصحيحة، والعقل السليم، وما اتَّفق عليه علماءُ الأُمةِ الكرام، واللَّه الموفِّق</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معاونيّة التعليم والبحوث الإسلاميّة</w:t>
      </w:r>
      <w:bookmarkStart w:id="10" w:name="pg1263_7284"/>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1" w:name="__RefHeading___Toc3147710_373438147"/>
      <w:bookmarkStart w:id="12" w:name="_Toc4"/>
      <w:bookmarkEnd w:id="11"/>
      <w:r>
        <w:rPr>
          <w:rtl w:val="true"/>
        </w:rPr>
        <w:t>تقديم‌</w:t>
      </w:r>
      <w:bookmarkEnd w:id="12"/>
    </w:p>
    <w:p>
      <w:pPr>
        <w:pStyle w:val="BookText"/>
        <w:rPr/>
      </w:pPr>
      <w:r>
        <w:rPr>
          <w:rFonts w:ascii="Amiri" w:hAnsi="Amiri" w:eastAsia="Amiri" w:cs="Amiri"/>
          <w:color w:val="111111"/>
          <w:sz w:val="28"/>
          <w:sz w:val="28"/>
          <w:szCs w:val="28"/>
          <w:rtl w:val="true"/>
          <w:lang w:bidi="ar-SA"/>
        </w:rPr>
        <w:t>العبادة من الموضوعات التي تطرق إليها الذكر الحكيم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حثَّ عليها في أكثر من سورةٍ وآية وخصَّها باللَّه سبحانه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وقَضى ربُّكَ ألّا تَعبُدوا إلّاإيّاهُ وبِالوالِدَينِ إحساناً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ونهى عن عبادة غيره من الأنداد المزعومة والطواغيت والشياطين، وجعلها الأصل الأصيل بين الشرائع السماوية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الكِتابِ تَعالَوْا إلى كَلِمةٍ سَواءٍ بَينَنا وبَينَكمْ ألّا نَعْبدَ إلّاإيّاهُ ولا نُشرِكَ بهِ شَيئاً ولا يَتَّخذَ بَعضُنا بَعضاً أرباباً مِنْ دُونَ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جعلها الرسالة المشتركة بين الرسل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بَعثنا في كُلِّ امَّةٍ رَسولًا أنِ اعبدُوا اللَّهَ واجْتنِبوا الطّاغوتَ فمِنهُمْ مَنْ هَدَى اللَّهُ ومِنهمْ مَنْ حَقَّتْ عَليهِ الضَّلالةُ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لهذا الموضوع تلك العناية الكبيرة فجدير</w:t>
      </w:r>
    </w:p>
    <w:p>
      <w:pPr>
        <w:pStyle w:val="BookText"/>
        <w:rPr/>
      </w:pPr>
      <w:r>
        <w:rPr>
          <w:rFonts w:ascii="Amiri" w:hAnsi="Amiri" w:eastAsia="Amiri" w:cs="Amiri"/>
          <w:color w:val="111111"/>
          <w:sz w:val="28"/>
          <w:sz w:val="28"/>
          <w:szCs w:val="28"/>
          <w:rtl w:val="true"/>
          <w:lang w:bidi="ar-SA"/>
        </w:rPr>
        <w:t>بالباحث المسلم أن يتناولها بالبحث والتحقيق العلمي، حتى يتميّز هذا الموضوع عن غيره تميزاً منطقياً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يُضفي على الدراسة، أهمية أكثر، هو أنّ التوحيد في العبادة أحد مراتب التوحيد التي لا محيص للمسلم من تعلّمه، ثم عقد القلب عليه، والتحرر عن أيّ لوم من الوان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تُنال تلك الامنيةُ في مجالي العقيدة والعمل إلّابمعرفة الموضوع معرفة صحيحة، مدعمة بالدليل حتى لا يقع في مغبَّة الشرك، وعبادة غيره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ورغم المكانة الرفيعة للموضوع لم نعثر على بحث جامع حول مفهوم العبادة يتكفّل بيان مفهومها، وحدّها الذي يُفصله عن التكريم والتعظيم أو الخضوع والتذلل، وكأنَّ السلف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تلقّوها مفهوماً واضحاً، واكتفوا فيها بما توحي إليهم فطرتُهم</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صحّ ذلك فإنّما يصح في الأزمنة السالفة، دون اليوم الذي استفحل عند بعض الناسِ أمر ادّعاء الشرك في العبادة، فيما درج عليه المسلمون منذ قرون إلى أن ينتهي إلى عصر التابعين والصحابة فأصبح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بادعائهم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تعظيم</w:t>
      </w:r>
    </w:p>
    <w:p>
      <w:pPr>
        <w:pStyle w:val="BookText"/>
        <w:rPr/>
      </w:pPr>
      <w:r>
        <w:rPr>
          <w:rFonts w:ascii="Amiri" w:hAnsi="Amiri" w:eastAsia="Amiri" w:cs="Amiri"/>
          <w:color w:val="111111"/>
          <w:sz w:val="28"/>
          <w:sz w:val="28"/>
          <w:szCs w:val="28"/>
          <w:rtl w:val="true"/>
          <w:lang w:bidi="ar-SA"/>
        </w:rPr>
        <w:t xml:space="preserve">وتكريم للنبيّ، عبادة له، وكلّ خضوع أمام الرسول شرك، فلا يلتفت الزائر يميناً وشمالًا في المسجد الحرام والمسجد النبوي إلّاوتوقر سمعه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شرك يا حاج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وكأنّه ليس لديهم إلّاتلك اللفظة، أو لا يستطيعون تكريم ضيوف الرحمن إلّابذلك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فاللازم على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يعدون مظاهر الحبّ والودّ، والتكريم والتعظيم شركاً وعبادة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حدٍّ منطقيّ للعبادة، يُميَّز بها، مصاديقُها عن غيرها حتى يتّخذه الوافدون من أقاص العالم وأدانيه، ضابطة كلّية في المشاهد والمواقف، 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تجد بحثاً حول مفهوم العبادة وتبيينها في كتبهم ونشرياتهم ودورياتهم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فلأجل ذلك قمنا في هذه الرسالة، بمعالجة هذا الموضوع، بشرح مفهومها لغة وقرآناً، حيث بيّنا أنّ حقيقة الشرك في تعاليم الأنبياء أخصّ ممّا ورد في المعاجم وكتب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تحريراً 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bookmarkStart w:id="13" w:name="pg1263_7287"/>
    </w:p>
    <w:p>
      <w:pPr>
        <w:pStyle w:val="Heading2"/>
        <w:numPr>
          <w:ilvl w:val="1"/>
          <w:numId w:val="1"/>
        </w:numPr>
        <w:rPr/>
      </w:pPr>
      <w:bookmarkStart w:id="14" w:name="__RefHeading___Toc3147712_373438147"/>
      <w:bookmarkStart w:id="15" w:name="_Toc5"/>
      <w:bookmarkEnd w:id="13"/>
      <w:bookmarkEnd w:id="14"/>
      <w:r>
        <w:rPr>
          <w:rtl w:val="true"/>
        </w:rPr>
        <w:t>تخصيص العبادة والاستعانة باللَّه سبحانه‌</w:t>
      </w:r>
      <w:bookmarkEnd w:id="15"/>
    </w:p>
    <w:p>
      <w:pPr>
        <w:pStyle w:val="BookText"/>
        <w:rPr/>
      </w:pPr>
      <w:r>
        <w:rPr>
          <w:rFonts w:ascii="Amiri" w:hAnsi="Amiri" w:eastAsia="Amiri" w:cs="Amiri"/>
          <w:color w:val="111111"/>
          <w:sz w:val="28"/>
          <w:sz w:val="28"/>
          <w:szCs w:val="28"/>
          <w:rtl w:val="true"/>
          <w:lang w:bidi="ar-SA"/>
        </w:rPr>
        <w:t>إنّ المسلم في شرق الأرض وغربها، يخصّ العبادة والاستعانة باللَّه سبحانه في كلّ يوم في صلواته الخمس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 وإيّاكَ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خلاف بين المسلمين في هذه الضابطة الكلّية، أي أنّ العبادة مختصّة باللَّه سبحانه، ولا يصحّ إصدار هوية إسلامية لشخص إلّابعد الاعتراف بهذه الكُبرى، وإنّما الخلاف بينهم في بعض الأُمور والأحوال الخارجية، فهل هي عبادة أو لا؟ فلو صحّت كونها عبادة فلا يجوز الإتيان بها لغيره سبحانه وإن أتى بها لغيره يُعدّ مشركاً</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تقبيل الأضرحة هل هو عبادة لصاحب القبر أو تكريم وتعظيم له؟ وهكذا الصلاة في المشاهد وعند قبور الأنبياء، فهل هي عبادة لصاحب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 الصلاة</w:t>
      </w:r>
    </w:p>
    <w:p>
      <w:pPr>
        <w:pStyle w:val="BookText"/>
        <w:rPr/>
      </w:pP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هي عبادة للَّه‌ولكن تتضمّن التبرّك بصاحب القبر؟</w:t>
      </w:r>
    </w:p>
    <w:p>
      <w:pPr>
        <w:pStyle w:val="BookText"/>
        <w:rPr/>
      </w:pPr>
      <w:r>
        <w:rPr>
          <w:rFonts w:ascii="Amiri" w:hAnsi="Amiri" w:eastAsia="Amiri" w:cs="Amiri"/>
          <w:color w:val="111111"/>
          <w:sz w:val="28"/>
          <w:sz w:val="28"/>
          <w:szCs w:val="28"/>
          <w:rtl w:val="true"/>
          <w:lang w:bidi="ar-SA"/>
        </w:rPr>
        <w:t>ومثل ذلك مسألة الاستعانة في نفس الآية، فمع الاعتراف بحصر الاستعانة باللَّه سبحانه، فلا شكّ عند العقلاء عامة أنّه تجوز الاستعانة بالأحياء في الأُمور الدنيوية، ولكن إذا استعان بإنسان حيّ فيما يرجع إلى الأُمور الغيبية، كردّ ضالته وبرء مرضه فهل هو استعانة تخالف الحصر المذكور في الآية أو لا؟</w:t>
      </w:r>
    </w:p>
    <w:p>
      <w:pPr>
        <w:pStyle w:val="BookText"/>
        <w:rPr/>
      </w:pPr>
      <w:r>
        <w:rPr>
          <w:rFonts w:ascii="Amiri" w:hAnsi="Amiri" w:eastAsia="Amiri" w:cs="Amiri"/>
          <w:color w:val="111111"/>
          <w:sz w:val="28"/>
          <w:sz w:val="28"/>
          <w:szCs w:val="28"/>
          <w:rtl w:val="true"/>
          <w:lang w:bidi="ar-SA"/>
        </w:rPr>
        <w:t>وهناك صورة ثالثة أبهم من الصورة الثانية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استعان بميّت بنحو من الأنحاء كما إذا طلب منه الدعاء والاستغفار في حقّه فهل هي استعانة تخالف الحصر أو لا؟ وقس على ذلك بعض ما يرد عليك من الصور المردّدة بين العبادة والتكريم، أو بين الاستعانة الجائزة والمحرّمة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أن يكون البحث أكثر علمية وموضوعية علينا أولًا البحث في مسألتين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مفهوم العبادة حتى تتميّز عن التكريم والتبجيل والتبرّك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الاستعانة المختصة باللَّه وفصلها عن الاستعانة الجائزة</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ذلك في ضوء القرآن الكريم</w:t>
      </w:r>
      <w:r>
        <w:rPr>
          <w:rFonts w:eastAsia="Amiri" w:cs="Amiri" w:ascii="Amiri" w:hAnsi="Amiri"/>
          <w:color w:val="111111"/>
          <w:sz w:val="28"/>
          <w:szCs w:val="28"/>
          <w:rtl w:val="true"/>
          <w:lang w:bidi="ar-SA"/>
        </w:rPr>
        <w:t>.</w:t>
      </w:r>
      <w:bookmarkStart w:id="16" w:name="pg1263_7289"/>
    </w:p>
    <w:p>
      <w:pPr>
        <w:pStyle w:val="Heading2"/>
        <w:numPr>
          <w:ilvl w:val="1"/>
          <w:numId w:val="1"/>
        </w:numPr>
        <w:rPr/>
      </w:pPr>
      <w:bookmarkStart w:id="17" w:name="__RefHeading___Toc3147714_373438147"/>
      <w:bookmarkStart w:id="18" w:name="_Toc6"/>
      <w:bookmarkEnd w:id="16"/>
      <w:bookmarkEnd w:id="17"/>
      <w:r>
        <w:rPr>
          <w:rtl w:val="true"/>
        </w:rPr>
        <w:t>المسألة الاولى</w:t>
      </w:r>
      <w:r>
        <w:rPr>
          <w:rtl w:val="true"/>
        </w:rPr>
        <w:t>:</w:t>
      </w:r>
      <w:bookmarkEnd w:id="18"/>
    </w:p>
    <w:p>
      <w:pPr>
        <w:pStyle w:val="Heading3"/>
        <w:numPr>
          <w:ilvl w:val="2"/>
          <w:numId w:val="1"/>
        </w:numPr>
        <w:rPr/>
      </w:pPr>
      <w:bookmarkStart w:id="19" w:name="__RefHeading___Toc3147716_373438147"/>
      <w:bookmarkStart w:id="20" w:name="_Toc7"/>
      <w:bookmarkEnd w:id="19"/>
      <w:r>
        <w:rPr>
          <w:rtl w:val="true"/>
        </w:rPr>
        <w:t>مفهوم العبادة وحدّها</w:t>
      </w:r>
      <w:bookmarkEnd w:id="20"/>
    </w:p>
    <w:p>
      <w:pPr>
        <w:pStyle w:val="Heading4"/>
        <w:numPr>
          <w:ilvl w:val="3"/>
          <w:numId w:val="1"/>
        </w:numPr>
        <w:rPr/>
      </w:pPr>
      <w:bookmarkStart w:id="21" w:name="__RefHeading___Toc3147718_373438147"/>
      <w:bookmarkStart w:id="22" w:name="_Toc8"/>
      <w:bookmarkEnd w:id="21"/>
      <w:r>
        <w:rPr>
          <w:rtl w:val="true"/>
        </w:rPr>
        <w:t>اشارة</w:t>
      </w:r>
      <w:bookmarkEnd w:id="22"/>
    </w:p>
    <w:p>
      <w:pPr>
        <w:pStyle w:val="BookText"/>
        <w:rPr/>
      </w:pPr>
      <w:r>
        <w:rPr>
          <w:rFonts w:ascii="Amiri" w:hAnsi="Amiri" w:eastAsia="Amiri" w:cs="Amiri"/>
          <w:color w:val="111111"/>
          <w:sz w:val="28"/>
          <w:sz w:val="28"/>
          <w:szCs w:val="28"/>
          <w:rtl w:val="true"/>
          <w:lang w:bidi="ar-SA"/>
        </w:rPr>
        <w:t>بالرغم من عناية اللغويين والمفسّرين بتفسير لفظ العبادة وتبيينها، لكن لا تجد في كلماتهم ما يشفي الغليل، وذلك لأنّهم فسّروه بأعمّ المعاني وأوسعها وليس مرادفاً للعبادة طرداً وعكساً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الراغب في المفردات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التذلّل، والعبادة أبلغ منها، لأنّها غاية التذلّل، ولا يستحقّ إلّا من له غاية الإفضال وهو اللَّه تعالى ولهذا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وقَضى ربُّكَ ألَّا تَعبُدوا إلّاإيّاهُ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منظور في 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 العبودية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الخضوع والتذلل</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الفيروز آبادي في القاموس المحيط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فارس في المقاييس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أصل العبادة، له أصلان متضادّان، والأول من ذينك الأصلين، يدلّ على لين وذل، والآخر على شدّة وغلظ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أقوال أصحاب المعاجم ولا تشذّ عنها أقوال أصحاب التفاسير وهم يفسّرونه بنفس ما فسّر به أهل اللغة، غير مكترثين بأنّ تفسيرهم، تفسير لها بالمعنى الأعم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الطبري في تفسير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نخشع ونذلّ ونستكين إقراراً لكَ يا ربّنا بالربوبية لا لغيرك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العبودية عند جميع العرب أصلها الذلّة وأنّها تسمّى الطريق المذلّل الذي قد وطئته الأقدام وذلّلته السابلة معبَّداً، ومن ذلك قيل للبعير المذلّل بالركوب للحوائج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معبَّد، ومنه سمّي العبد عبداً، لذلّته لمولاه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مع الخضوع،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طريق معبّد إذا كان مذلّلًا لكثرة الوطء، وبعير معبّد إذا كان مطليا بالقطران، 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w:t>
      </w:r>
    </w:p>
    <w:p>
      <w:pPr>
        <w:pStyle w:val="BookText"/>
        <w:rPr/>
      </w:pPr>
      <w:r>
        <w:rPr>
          <w:rFonts w:ascii="Amiri" w:hAnsi="Amiri" w:eastAsia="Amiri" w:cs="Amiri"/>
          <w:color w:val="111111"/>
          <w:sz w:val="28"/>
          <w:sz w:val="28"/>
          <w:szCs w:val="28"/>
          <w:rtl w:val="true"/>
          <w:lang w:bidi="ar-SA"/>
        </w:rPr>
        <w:t xml:space="preserve">نطيع، الطاعة التي نخضع منها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أقصى غاية الخضوع والتذلّل، ومنه ثوب ذو عبدة أي في غاية الصفافة، وقوة النسج، ولذلك لم تستعمل إلّافي الخضوع للَّه‌تعالى لأنّه مولى أعظم النعم فكان حقيقاً بأقصى غاية الخضوع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مع التذلل والخضوع وسمّي العبد عبداً لذلّته وانقياده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معبّد، أي مذلّل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بهذه العبادة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وابن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الطاعة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تَعبُدِ الشَّيطانَ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الدعاء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البيضاوي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أقصى غاية الخضوع والتذلّل، ومنه الطريق المعبّد أي مذلّل، وثوب ذو عبدة، إذا كان في غاية الصفافة، ولذلك لا تستعمل إلّافي الخضوع</w:t>
      </w:r>
    </w:p>
    <w:p>
      <w:pPr>
        <w:pStyle w:val="BookText"/>
        <w:rPr/>
      </w:pPr>
      <w:r>
        <w:rPr>
          <w:rFonts w:ascii="Amiri" w:hAnsi="Amiri" w:eastAsia="Amiri" w:cs="Amiri"/>
          <w:color w:val="111111"/>
          <w:sz w:val="28"/>
          <w:sz w:val="28"/>
          <w:szCs w:val="28"/>
          <w:rtl w:val="true"/>
          <w:lang w:bidi="ar-SA"/>
        </w:rPr>
        <w:t xml:space="preserve">للَّه تعالى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وسيأتي أنّ تفسير العبادة بغاية الخضوع ربّما يكون تفسيراً بالأخص، إذ لا تشترط في صدقها غاية الخضوع، ولذلك يعدُّ الخضوع المتعارف الذي يقوم به أبناء الدنيا أمام اللَّه سبحانه عبادة، وإن لم يكن بصورة غاية التعظيم، وربّما يكون تفسيراً بالأعم، فإنّ خضوع العاشق لمعشوقه ربّما يبلغ نهايته ولا يكون 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نعبُد، معناه نطيع، والعبادة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الطاعة والتذلّل، وطريق معبّد إذا كان مذلّلًا للسالكين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عبارة عن الفعل الذي يؤتى به لغرض تعظيم الغير وهو مأخوذ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مُعبَّد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قصّرنا النظر في تفسير العبادة، على هذه التعاريف وقلنا بأنّها تعاريف تامّة جامعة للأفراد ومانعة للاغيار، لزم رَمي الأنبياء والمرسلين، والشهداء</w:t>
      </w:r>
      <w:bookmarkStart w:id="23" w:name="pg1263_7293"/>
    </w:p>
    <w:p>
      <w:pPr>
        <w:pStyle w:val="BookText"/>
        <w:rPr/>
      </w:pPr>
      <w:bookmarkEnd w:id="23"/>
      <w:r>
        <w:rPr>
          <w:rFonts w:ascii="Amiri" w:hAnsi="Amiri" w:eastAsia="Amiri" w:cs="Amiri"/>
          <w:color w:val="111111"/>
          <w:sz w:val="28"/>
          <w:sz w:val="28"/>
          <w:szCs w:val="28"/>
          <w:rtl w:val="true"/>
          <w:lang w:bidi="ar-SA"/>
        </w:rPr>
        <w:t>والصدّيقين بالشرك وأنّهم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نستعيذ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يتخلّصوا من مصائد الشرك، ولزم ألّا يصحّ تسجيل أحد من الناس في قائمة الموحّدين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هذه التعاريف تفسّر العبادة بأنّها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إظهار التذلّل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إظهار الخضوع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والخشوع والخضوع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أقصى غاية الخضوع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على أديم الأرض من لا يتذلّل أو لا يخشع ولا يخضع لغير اللَّه سبحانه وإليك بيان ذلك</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3147720_373438147"/>
      <w:bookmarkStart w:id="25" w:name="_Toc9"/>
      <w:bookmarkEnd w:id="24"/>
      <w:r>
        <w:rPr>
          <w:rtl w:val="true"/>
        </w:rPr>
        <w:t>ليست العبادة نفس الخضوع أو نهايته‌</w:t>
      </w:r>
      <w:bookmarkEnd w:id="25"/>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الخضوع والتذلّل حتى إظهار نهاية التذلّل لا يساوي العبادة ولا يعدّ حداً منطقياً لها، بشهادة أنّ خضوع الولد أمام والده، والتلميذ أمام استاذه، والجنديُّ أمام قائده، ليس عبادة لهم وإن بالغوا في الخضوع والتذلّل حتى ولو قبّل الولدُ قدمَ الوالدين، فلا يعد عمله عبادة، لأنّ اللَّه</w:t>
      </w:r>
    </w:p>
    <w:p>
      <w:pPr>
        <w:pStyle w:val="BookText"/>
        <w:rPr/>
      </w:pPr>
      <w:r>
        <w:rPr>
          <w:rFonts w:ascii="Amiri" w:hAnsi="Amiri" w:eastAsia="Amiri" w:cs="Amiri"/>
          <w:color w:val="111111"/>
          <w:sz w:val="28"/>
          <w:sz w:val="28"/>
          <w:szCs w:val="28"/>
          <w:rtl w:val="true"/>
          <w:lang w:bidi="ar-SA"/>
        </w:rPr>
        <w:t>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واخْفِضْ لَهُما جَناحَ الذُّلِّ مِنَ الرَّحمةٍ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وأوضح دليل على أنّ الخضوع المطلق وإن بلغ النهاية لا يعدّ عبادة هو أنّه سبحانه أمر الملائكة بالسجود لآدم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قُلنا لِلمَلائِكةِ اسْجُدوا لآدَمَ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وآدم كان مسجوداً له ككونه سبحانه مسجوداً له، مع أنّ الأول لم يكن عبادة وإلّا لم يأمر بها سبحانه، إذ كيف يأمر بعبادة غيره وفي‌الوقت نفسه ينهى عنها بتاتاً في جميع الشرائع من لدن آدم عليه السلام إلى الخاتم صلى الله عليه و آله، ولكن الثاني أي الخضوع للَّه، عبادة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سبحانه يصرّح في أكثر من آية بأنّ الدعوة إلى عبادة اللَّه سبحانه والنهي عن عبادة غيره، كانت أصلًا مشتركاً بين جميع الأنبياء،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بَعثنا في كُلِّ امَّةٍ رَسولًا أنِ اعبدُوا اللَّهَ واجْتنِبوا الطّاغوتَ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قَبلِكَ مِنْ رَسولٍ إلّانُوحي إليهِ أنَّهُ لا إلهَ إلّا أنَا فَاعْبُدونِ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موضع آخر من الكتاب يعد سبحانه التوحيد في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المشترك بين جميع الشرائع السماوية،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أهْلَ الكِتابِ تَعالَوْا</w:t>
      </w:r>
    </w:p>
    <w:p>
      <w:pPr>
        <w:pStyle w:val="BookText"/>
        <w:rPr/>
      </w:pPr>
      <w:r>
        <w:rPr>
          <w:rFonts w:ascii="Amiri" w:hAnsi="Amiri" w:eastAsia="Amiri" w:cs="Amiri"/>
          <w:color w:val="111111"/>
          <w:sz w:val="28"/>
          <w:sz w:val="28"/>
          <w:szCs w:val="28"/>
          <w:rtl w:val="true"/>
          <w:lang w:bidi="ar-SA"/>
        </w:rPr>
        <w:t>إلى كَلِمةٍ سَواءٍ بَينَنا وبَينَكمْ ألّا نَعْبدَ إلّااللَّهُ ولا نُشرِكَ بهِ 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ومعه كيف يأمر بسجود الملائكة لآدم الذي هو من مصاديق الخضوع النهائي؟ وهذا الاشكال لايندفع إلّا بنفي كون الخضوع عبادة، ببيان أنّ للعبادة مقوّماً لم يكن موجوداً في سجود الملائكة لآدم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آدم فحسب هو المسجود له بأمره سبحانه، بل يوسف الصديق كان نظيره، فقد سجد له أبواه وإخوته، وتحقّق تأويل رؤياه بنفس ذلك العمل، قال سبحانه حاكياً عن لسان 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رأيتُ أحدَ عشَر كوكباً والشَّمسَ والقَمَر رأَيتُهُمْ لي ساجِدِينَ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يحكي تحققه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ورَفعَ أبَويهِ عَلَى العَرشِ وخَرُّوا لَهُ سُجَّداً وقالَ يا أبَتِ هذا تَأْويلُ رُؤْيايَ مِنْ قَبْلُ قَدْ جَعَلها رَبِّي حَقّاً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كيف يصحّ تفسير العبادة بالخضوع أو نهايته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سبحانه أمر جميع المسلمين بالطواف بالبيت، الذي ليس هو إلّاحجراً وطيناً، كما أمر بالسعي بين الصفا والمروة،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وَلْيَطَّوَّفُوا بِالبَيتِ العَتِيقِ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الصَّفا والمَرْوَةَ مِنْ شَعائِرِ اللَّهِ فَمَنْ حَجَّ البَيتَ أوِ</w:t>
      </w:r>
    </w:p>
    <w:p>
      <w:pPr>
        <w:pStyle w:val="BookText"/>
        <w:rPr/>
      </w:pPr>
      <w:r>
        <w:rPr>
          <w:rFonts w:ascii="Amiri" w:hAnsi="Amiri" w:eastAsia="Amiri" w:cs="Amiri"/>
          <w:color w:val="111111"/>
          <w:sz w:val="28"/>
          <w:sz w:val="28"/>
          <w:szCs w:val="28"/>
          <w:rtl w:val="true"/>
          <w:lang w:bidi="ar-SA"/>
        </w:rPr>
        <w:t>اعْتَمَر فَلا جُناحَ عَلَيهِ أنْ يَطَّوَّفَ بِهِما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ترى أنّ الطواف حول التراب والجبال والحجر عبادة لهذه الأشياء بحجّة أنّه خضوع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شعار المسلم الواقعي هو التذلّل للمؤمن والتعزّز على الكافر،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فَسَوْفَ يأْتِي اللَّهُ بِقَوْمٍ يُحِبُّهُمْ ويُحِبُّونَهُ أذِلَّةٍ عَلَى المُؤْمِنينَ أعِزَّةٍ عَلى الكافِرينَ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فمجموع هذه الآيات وجميع مناسك الحج، يدلّان بوضوح على أنّ مطلق الخضوع والتذلّل ليس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فسّرها أئمة اللغة بالخضوع والتذلّل، فقد فسّروها بالمعنى الأوسع، فلا محيص حينئذٍ عن القول بأنّ العبادة ليست إلّا نوعاً خاصاً من الخضوع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سُميت في بعض الموارد مطلق الخضوع عبادة، فإنّما سُميت من باب المبالغة والمجاز،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 مَنِ اتَّخَذَ إلهَهُ هَواهُ أفأَنتَ تَكونُ عَليهِ وَكيلًا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إطلاق اسم الإله على الهوى مجاز فكذا تسمية متابعة الهوى عبادة لها، ضرب من المجاز</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يعلم مفاد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أعْهَدْ إلَيكُمْ يا بَني آدمَ أنْ لا تَعبُدوا الشَّيطانَ إنَّهُ لَكُمْ عَدُوٌّ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اعْبُدُونِي هذا</w:t>
      </w:r>
      <w:bookmarkStart w:id="26" w:name="pg1263_7297"/>
    </w:p>
    <w:p>
      <w:pPr>
        <w:pStyle w:val="BookText"/>
        <w:rPr/>
      </w:pPr>
      <w:bookmarkEnd w:id="26"/>
      <w:r>
        <w:rPr>
          <w:rFonts w:ascii="Amiri" w:hAnsi="Amiri" w:eastAsia="Amiri" w:cs="Amiri"/>
          <w:color w:val="111111"/>
          <w:sz w:val="28"/>
          <w:sz w:val="28"/>
          <w:szCs w:val="28"/>
          <w:rtl w:val="true"/>
          <w:lang w:bidi="ar-SA"/>
        </w:rPr>
        <w:t>صِراطٌ مُستقيمٌ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مَنْ يتَّبِع قولَ الشَّيطان فيتساهل في الصلاة والصيام، ويترك الفرائض أو يشرب الخمر ويرتكب الزنا، فإنّه بعمله هذا يقترف المعاصي لأنّه يعبده كعبادة اللَّه، أو كعبادة المشركين للأصنام ولأجل ذلك، لا يكون مشركاً محكوماً عليه بأحكام الشرك، وخارجاً عن عداد المسلمين، مع أنّه من عبدة الشيطان لكن بالمعنى الوسيع الأعم من الحقيقي والمجازيّ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يتوسع في إطلاق العبادة فتطلق على مطلق الإصغاء لكلام الغير،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أصغى إلى ناطق فقد عبده، فإن كان الناطق يؤدي عن اللَّه عزّ وجلّ فقد عبد اللَّه، وإن كان الناطق يؤدي عن الشيطان فقد عبد الشيطان</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 w:name="__RefHeading___Toc3147722_373438147"/>
      <w:bookmarkStart w:id="28" w:name="_Toc10"/>
      <w:bookmarkEnd w:id="27"/>
      <w:r>
        <w:rPr>
          <w:rtl w:val="true"/>
        </w:rPr>
        <w:t>توجيه غير سديد</w:t>
      </w:r>
      <w:bookmarkEnd w:id="28"/>
    </w:p>
    <w:p>
      <w:pPr>
        <w:pStyle w:val="Heading5"/>
        <w:numPr>
          <w:ilvl w:val="4"/>
          <w:numId w:val="1"/>
        </w:numPr>
        <w:rPr/>
      </w:pPr>
      <w:bookmarkStart w:id="29" w:name="__RefHeading___Toc3147724_373438147"/>
      <w:bookmarkStart w:id="30" w:name="_Toc11"/>
      <w:bookmarkEnd w:id="29"/>
      <w:r>
        <w:rPr>
          <w:rtl w:val="true"/>
        </w:rPr>
        <w:t>اشارة</w:t>
      </w:r>
      <w:bookmarkEnd w:id="30"/>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بعض من يفسّر العبادة بالخضوع والتذلّل عندما يقف أمام هذه الدلائل الوافرة، يحاول أن يجيب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bookmarkStart w:id="31" w:name="pg1263_7298"/>
    </w:p>
    <w:p>
      <w:pPr>
        <w:pStyle w:val="BookText"/>
        <w:rPr/>
      </w:pPr>
      <w:bookmarkEnd w:id="31"/>
      <w:r>
        <w:rPr>
          <w:rFonts w:ascii="Amiri" w:hAnsi="Amiri" w:eastAsia="Amiri" w:cs="Amiri"/>
          <w:color w:val="111111"/>
          <w:sz w:val="28"/>
          <w:sz w:val="28"/>
          <w:szCs w:val="28"/>
          <w:rtl w:val="true"/>
          <w:lang w:bidi="ar-SA"/>
        </w:rPr>
        <w:t>سجود الملائكة لآدم أو سجود يعقوب وأبنائه ليوسف، لم يكن عبادة له ولا ليوسف، لأنّ ذلك كان بأمر اللَّه سبحانه ولولا أمره لانقلب عملهم عبادة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التوجيه بمعزِل عن التحقيق، لأنّ معنى ذلك أنّ أمر اللَّه يُغيّر الموضوع، ويبدل واقعه إلى غير ما كان عليه، مع أنّ الحكم لا يغيِّر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نفترض أنّه سبحانه أمر بسبِّ المشرك والمنافق فأمره سبحانه لايخرج السبَّ عن كونه سباً، فلو كان مطلقُ الخضوع المتجلّى في صورة السجود لآدم، أو ليوسف، عبادة لكان معنى ذلك أنّه سبحانه أمر بعبادة غيره، مع أنّها فحشاء بتصريح الذكر الحكيم لا يأمر بها سبحانه،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يَأْمُرُ بِالفَحشاءِ أتَقُولونَ عَلَى اللَّهِ ما لا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تعاريف للعبادة لجملة من المحققين نأتي بها واحداً بعد الآخر</w:t>
      </w:r>
      <w:r>
        <w:rPr>
          <w:rFonts w:eastAsia="Amiri" w:cs="Amiri" w:ascii="Amiri" w:hAnsi="Amiri"/>
          <w:color w:val="111111"/>
          <w:sz w:val="28"/>
          <w:szCs w:val="28"/>
          <w:rtl w:val="true"/>
          <w:lang w:bidi="ar-SA"/>
        </w:rPr>
        <w:t>:</w:t>
      </w:r>
    </w:p>
    <w:p>
      <w:pPr>
        <w:pStyle w:val="Heading5"/>
        <w:numPr>
          <w:ilvl w:val="4"/>
          <w:numId w:val="1"/>
        </w:numPr>
        <w:rPr/>
      </w:pPr>
      <w:bookmarkStart w:id="32" w:name="__RefHeading___Toc3147726_373438147"/>
      <w:bookmarkStart w:id="33" w:name="_Toc12"/>
      <w:bookmarkEnd w:id="32"/>
      <w:r>
        <w:rPr/>
        <w:t>1</w:t>
      </w:r>
      <w:r>
        <w:rPr>
          <w:rtl w:val="true"/>
        </w:rPr>
        <w:t xml:space="preserve">- </w:t>
      </w:r>
      <w:r>
        <w:rPr>
          <w:rtl w:val="true"/>
        </w:rPr>
        <w:t>نظرية صاحب المنار في تفسير العبادة</w:t>
      </w:r>
      <w:bookmarkEnd w:id="33"/>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صاحب المنار لمّا وقف على بعض ما ذكرناه</w:t>
      </w:r>
    </w:p>
    <w:p>
      <w:pPr>
        <w:pStyle w:val="BookText"/>
        <w:rPr/>
      </w:pPr>
      <w:r>
        <w:rPr>
          <w:rFonts w:ascii="Amiri" w:hAnsi="Amiri" w:eastAsia="Amiri" w:cs="Amiri"/>
          <w:color w:val="111111"/>
          <w:sz w:val="28"/>
          <w:sz w:val="28"/>
          <w:szCs w:val="28"/>
          <w:rtl w:val="true"/>
          <w:lang w:bidi="ar-SA"/>
        </w:rPr>
        <w:t>حاولَ أن يُفسّر العبادة بشكل يبعده عن بعض ما ذكرنا، لذلك أخذ في التعريف قيوداً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ضرب من الخضوع بالِغٌ حدَّ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ناشئ عن استشعار القلب عظمة المعبود، لا يعرف منشأها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واعتقاده بسلطة لا يُدرَك كنهها وماهيتها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على هذا 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التعريف غير جامع، وذلك لأنّه إذا كان مقوُّم العبادة، الخضوعَ البالغَ حدّ النهاية فلا يشمل العبادة الفاقدة للخشوع والخضوع التي يؤديها أكثر المتساهلين في أمر الصلاة، وربما يكون خضوع الجندي لقائده أشدّ من هؤلاء المتساهلين الذين يتصوّرون الصلاة عبادة وجهداً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يريد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استشعار القلب عظمة المعبود لا يعرف منشأها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يعتقد أنّ الأنبياء كانوا يستشعرون عظمة المعبود ولكن لا يعرفون منشأها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غيرهم يستشعر عظمة المعبود ويعرف منشأها، وهو</w:t>
      </w:r>
      <w:bookmarkStart w:id="34" w:name="pg1263_7300"/>
    </w:p>
    <w:p>
      <w:pPr>
        <w:pStyle w:val="BookText"/>
        <w:rPr/>
      </w:pPr>
      <w:bookmarkEnd w:id="34"/>
      <w:r>
        <w:rPr>
          <w:rFonts w:ascii="Amiri" w:hAnsi="Amiri" w:eastAsia="Amiri" w:cs="Amiri"/>
          <w:color w:val="111111"/>
          <w:sz w:val="28"/>
          <w:sz w:val="28"/>
          <w:szCs w:val="28"/>
          <w:rtl w:val="true"/>
          <w:lang w:bidi="ar-SA"/>
        </w:rPr>
        <w:t>أنّه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الخالق البارئ، المصوّر، أو أنّه سبحانه هو الملك القدّوس، السلام، المؤمن، المهيمن العزيز الجبار المتكبر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يريد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واعتقاده بسلطة لا يدرك كنهها وماهيتها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أراد شرطية هذا الاعتقاد في تحقق العبادة، فلازم ذلك عدم صدقها على عبادة الأصنام والأوثان، فإنّ عُبّاد الأوثان يعبدونها وكانوا يعتقدون بكونهم شفعاء عند اللَّه سبحانه فقط لا أنّ لهم سلطة لا يدرك كنهُها وماهيتُها</w:t>
      </w:r>
      <w:r>
        <w:rPr>
          <w:rFonts w:eastAsia="Amiri" w:cs="Amiri" w:ascii="Amiri" w:hAnsi="Amiri"/>
          <w:color w:val="111111"/>
          <w:sz w:val="28"/>
          <w:szCs w:val="28"/>
          <w:rtl w:val="true"/>
          <w:lang w:bidi="ar-SA"/>
        </w:rPr>
        <w:t>.</w:t>
      </w:r>
    </w:p>
    <w:p>
      <w:pPr>
        <w:pStyle w:val="Heading5"/>
        <w:numPr>
          <w:ilvl w:val="4"/>
          <w:numId w:val="1"/>
        </w:numPr>
        <w:rPr/>
      </w:pPr>
      <w:bookmarkStart w:id="35" w:name="__RefHeading___Toc3147728_373438147"/>
      <w:bookmarkStart w:id="36" w:name="_Toc13"/>
      <w:bookmarkEnd w:id="35"/>
      <w:r>
        <w:rPr/>
        <w:t>2</w:t>
      </w:r>
      <w:r>
        <w:rPr>
          <w:rtl w:val="true"/>
        </w:rPr>
        <w:t xml:space="preserve">- </w:t>
      </w:r>
      <w:r>
        <w:rPr>
          <w:rtl w:val="true"/>
        </w:rPr>
        <w:t>نظرية الشيخ شلتوت، زعيم الأزهر</w:t>
      </w:r>
      <w:bookmarkEnd w:id="36"/>
    </w:p>
    <w:p>
      <w:pPr>
        <w:pStyle w:val="BookText"/>
        <w:rPr/>
      </w:pPr>
      <w:r>
        <w:rPr>
          <w:rFonts w:ascii="Amiri" w:hAnsi="Amiri" w:eastAsia="Amiri" w:cs="Amiri"/>
          <w:color w:val="111111"/>
          <w:sz w:val="28"/>
          <w:sz w:val="28"/>
          <w:szCs w:val="28"/>
          <w:rtl w:val="true"/>
          <w:lang w:bidi="ar-SA"/>
        </w:rPr>
        <w:t>وقد عرّف شيخ الأزهر الأسبق العبادة بنفس ما عرّفها به صاحب المنار، ولكنّه يختلف عنه لفظاً ويتّحد معه معنىً،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العبادة خضوع لا يحدُّ، لعظمة لا تحد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التعريف يشترك مع سابقه نقداً واشكالًا، وذلك أنّ العبادة ليست منحصرة في خضوع لا يحدّ بل الخضوع المحدّد أيضاً ربّما يعد عبادة، كما إذا كان الخضوع بأقل</w:t>
      </w:r>
      <w:bookmarkStart w:id="37" w:name="pg1263_7301"/>
    </w:p>
    <w:p>
      <w:pPr>
        <w:pStyle w:val="BookText"/>
        <w:rPr/>
      </w:pPr>
      <w:bookmarkEnd w:id="37"/>
      <w:r>
        <w:rPr>
          <w:rFonts w:ascii="Amiri" w:hAnsi="Amiri" w:eastAsia="Amiri" w:cs="Amiri"/>
          <w:color w:val="111111"/>
          <w:sz w:val="28"/>
          <w:sz w:val="28"/>
          <w:szCs w:val="28"/>
          <w:rtl w:val="true"/>
          <w:lang w:bidi="ar-SA"/>
        </w:rPr>
        <w:t>مراتبه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لا يشترط كون الخضوع لعظمة لا تحدّ، إذ ربما تكون عظمة المعبود محدودة في زعم العابد كما هو الحال في عبادة الأصنام، الذي كان الدافع إلى عبادتها كونها شفعاء عند اللَّه</w:t>
      </w:r>
      <w:r>
        <w:rPr>
          <w:rFonts w:eastAsia="Amiri" w:cs="Amiri" w:ascii="Amiri" w:hAnsi="Amiri"/>
          <w:color w:val="111111"/>
          <w:sz w:val="28"/>
          <w:szCs w:val="28"/>
          <w:rtl w:val="true"/>
          <w:lang w:bidi="ar-SA"/>
        </w:rPr>
        <w:t>.</w:t>
      </w:r>
    </w:p>
    <w:p>
      <w:pPr>
        <w:pStyle w:val="Heading5"/>
        <w:numPr>
          <w:ilvl w:val="4"/>
          <w:numId w:val="1"/>
        </w:numPr>
        <w:rPr/>
      </w:pPr>
      <w:bookmarkStart w:id="38" w:name="__RefHeading___Toc3147730_373438147"/>
      <w:bookmarkStart w:id="39" w:name="_Toc14"/>
      <w:bookmarkEnd w:id="38"/>
      <w:r>
        <w:rPr/>
        <w:t>3</w:t>
      </w:r>
      <w:r>
        <w:rPr>
          <w:rtl w:val="true"/>
        </w:rPr>
        <w:t xml:space="preserve">- </w:t>
      </w:r>
      <w:r>
        <w:rPr>
          <w:rtl w:val="true"/>
        </w:rPr>
        <w:t>تعريف ابن تيمية</w:t>
      </w:r>
      <w:bookmarkEnd w:id="39"/>
    </w:p>
    <w:p>
      <w:pPr>
        <w:pStyle w:val="BookText"/>
        <w:rPr/>
      </w:pPr>
      <w:r>
        <w:rPr>
          <w:rFonts w:ascii="Amiri" w:hAnsi="Amiri" w:eastAsia="Amiri" w:cs="Amiri"/>
          <w:color w:val="111111"/>
          <w:sz w:val="28"/>
          <w:sz w:val="28"/>
          <w:szCs w:val="28"/>
          <w:rtl w:val="true"/>
          <w:lang w:bidi="ar-SA"/>
        </w:rPr>
        <w:t>وأكثر التعاريف عرضة للإشكال هو تعريف ابن تيمية إذ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 اسم جامع لكلّ ما يحبّه اللَّه ويرضاه من الأقوال والأعمال الباطنية والظاهرية كالصلاة والزكاة والصيام، والحج، وصدق الحديث وأداء الأمانة، وبرّ الوالدين وصلة الأرحام</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الكاتب لم يفرّق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العبادة والتقرّب، وتصوّر أنّ كلّ عمل يوجب القربى إلى اللَّه، فهو عبادة له تعالى أيضاً، في حين أنّ الأمر ليس كذلك، فهناك أُمور توجب رضا اللَّه، وتستوجب ثوابَه لكنها قد تكون عبادة كالصوم والصلاة والحج، وقد تكون موجبة للقرب</w:t>
      </w:r>
    </w:p>
    <w:p>
      <w:pPr>
        <w:pStyle w:val="BookText"/>
        <w:rPr/>
      </w:pPr>
      <w:r>
        <w:rPr>
          <w:rFonts w:ascii="Amiri" w:hAnsi="Amiri" w:eastAsia="Amiri" w:cs="Amiri"/>
          <w:color w:val="111111"/>
          <w:sz w:val="28"/>
          <w:sz w:val="28"/>
          <w:szCs w:val="28"/>
          <w:rtl w:val="true"/>
          <w:lang w:bidi="ar-SA"/>
        </w:rPr>
        <w:t xml:space="preserve">إليه دون أن تعدّ عبادة، كالإحسان إلى الوالدين، وإعطاء الزكاة، والخمس، فكل هذه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توجب القربى إلى اللَّه في حين لا تكون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سمّيت في مصطلح أهل الحديث عبادة، فيراد منها كونها نظير العبادة في ترتّب الثواب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الإتيان بهذه الأعمال يعدّ طاعة للَّه ولكن ليس طاعة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أُموراً عباديّة وأُموراً قربية، وكل عبادة مقرِّبة، وليس كل مقرِّب عبادة، فدعوة الفقير إلى الطعام، والعطف على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توجب القرب ولكنّها ليست عبادة بمعنى أن يكون الآتي بها عابداً بعمله للَّه تعالى</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وقفت على قصور هذه التعاريف هنا نذكر في المقام تعريفين، كلّ يلازم الآخر</w:t>
      </w:r>
      <w:r>
        <w:rPr>
          <w:rFonts w:eastAsia="Amiri" w:cs="Amiri" w:ascii="Amiri" w:hAnsi="Amiri"/>
          <w:color w:val="111111"/>
          <w:sz w:val="28"/>
          <w:szCs w:val="28"/>
          <w:rtl w:val="true"/>
          <w:lang w:bidi="ar-SA"/>
        </w:rPr>
        <w:t>.</w:t>
      </w:r>
      <w:bookmarkStart w:id="40" w:name="pg1263_7303"/>
    </w:p>
    <w:p>
      <w:pPr>
        <w:pStyle w:val="Heading3"/>
        <w:numPr>
          <w:ilvl w:val="2"/>
          <w:numId w:val="1"/>
        </w:numPr>
        <w:rPr/>
      </w:pPr>
      <w:bookmarkStart w:id="41" w:name="__RefHeading___Toc3147732_373438147"/>
      <w:bookmarkStart w:id="42" w:name="_Toc15"/>
      <w:bookmarkEnd w:id="40"/>
      <w:bookmarkEnd w:id="41"/>
      <w:r>
        <w:rPr>
          <w:rtl w:val="true"/>
        </w:rPr>
        <w:t>التعريف الأوّل</w:t>
      </w:r>
      <w:r>
        <w:rPr>
          <w:rtl w:val="true"/>
        </w:rPr>
        <w:t xml:space="preserve">: </w:t>
      </w:r>
      <w:r>
        <w:rPr>
          <w:rtl w:val="true"/>
        </w:rPr>
        <w:t>العبادة هي الخضوع للشي‌ء بما أنّه إله‌</w:t>
      </w:r>
      <w:bookmarkEnd w:id="42"/>
    </w:p>
    <w:p>
      <w:pPr>
        <w:pStyle w:val="Heading4"/>
        <w:numPr>
          <w:ilvl w:val="3"/>
          <w:numId w:val="1"/>
        </w:numPr>
        <w:rPr/>
      </w:pPr>
      <w:bookmarkStart w:id="43" w:name="__RefHeading___Toc3147734_373438147"/>
      <w:bookmarkStart w:id="44" w:name="_Toc16"/>
      <w:bookmarkEnd w:id="43"/>
      <w:r>
        <w:rPr>
          <w:rtl w:val="true"/>
        </w:rPr>
        <w:t>اشارة</w:t>
      </w:r>
      <w:bookmarkEnd w:id="44"/>
    </w:p>
    <w:p>
      <w:pPr>
        <w:pStyle w:val="BookText"/>
        <w:rPr/>
      </w:pPr>
      <w:r>
        <w:rPr>
          <w:rFonts w:ascii="Amiri" w:hAnsi="Amiri" w:eastAsia="Amiri" w:cs="Amiri"/>
          <w:color w:val="111111"/>
          <w:sz w:val="28"/>
          <w:sz w:val="28"/>
          <w:szCs w:val="28"/>
          <w:rtl w:val="true"/>
          <w:lang w:bidi="ar-SA"/>
        </w:rPr>
        <w:t xml:space="preserve">إنّ لفظ العبادة من المفاهيم الواضحة، وربّما يكون ظهور معناها الواضح مانعاً عن التحديد الدقيق لها غير أنّه يمكن تحديدها من خلال الإمعان في الموارد التي تستعمل فيها تلك اللفظة، فقد استعملها القرآن في مورد الموحّدين والمشركين، وقال سبحانه في الدعوة إلى عبادة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أعبدُ اللَّهَ الَّذي يَتَوفّاكُمْ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إنِّي أُمِرْتُ أنْ أعبُدَ اللَّهَ مُخلِصاً لَهُ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النهي عن عبادة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تَعْبُدونَ مِنْ دُونِ اللَّهِ أوْثاناً وَتَخْلُقونَ إفْكاً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أتَعبُدونَ ما تَنْحِتُونَ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الباحث أن يقتنصَ معنى العبادة بالدقة في أفعال العباد، وعقائدهم من غير فرق بين</w:t>
      </w:r>
    </w:p>
    <w:p>
      <w:pPr>
        <w:pStyle w:val="BookText"/>
        <w:rPr/>
      </w:pPr>
      <w:r>
        <w:rPr>
          <w:rFonts w:ascii="Amiri" w:hAnsi="Amiri" w:eastAsia="Amiri" w:cs="Amiri"/>
          <w:color w:val="111111"/>
          <w:sz w:val="28"/>
          <w:sz w:val="28"/>
          <w:szCs w:val="28"/>
          <w:rtl w:val="true"/>
          <w:lang w:bidi="ar-SA"/>
        </w:rPr>
        <w:t>عبادة الموحّدين وعبادة المشركين فيجعله حدّاً منطقياً للعبادة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الإمعان في ذلك المجال يدفعنا إلى القول بأنّ العبادة عندهم عبارة عن الفعل الدالّ على الخضوع المقترن مع عقيدة خاصة في حقّ المخضوع له، فالعنصر المقوّم للعبادة حينئذٍ 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المنبني عن الخضوع والتذلّل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العقيدة الخاصة التي تدفعه إلى عبادة المخضوع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الفعل، فلا يتجاوز عن قول أو عمل دالّ على الخضوع والتذلّل بأيّ مرتبة من مراتبها، كالتكلّم بكلام يؤدي إلى الخضوع له أو بعمل خارجي كالركوع والسجود بل الانحناء بالرأس، أو غير ذلك مما يدلّ على ذلّته وخضوعه أمام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العقيدة التي تدفعه إلى الخضوع والتذلّل فهي عبارة عن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بإلوهيته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بربوبيته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 فالإلوهية منسوبة إلى اللَّه وهو ليس بمعنى</w:t>
      </w:r>
    </w:p>
    <w:p>
      <w:pPr>
        <w:pStyle w:val="BookText"/>
        <w:rPr/>
      </w:pPr>
      <w:r>
        <w:rPr>
          <w:rFonts w:ascii="Amiri" w:hAnsi="Amiri" w:eastAsia="Amiri" w:cs="Amiri"/>
          <w:color w:val="111111"/>
          <w:sz w:val="28"/>
          <w:sz w:val="28"/>
          <w:szCs w:val="28"/>
          <w:rtl w:val="true"/>
          <w:lang w:bidi="ar-SA"/>
        </w:rPr>
        <w:t>المعبود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اشتهر في الألسن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كونه معبوداً من لوازم كونه إلها لا أنّه نفس معناه، بل إلاله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يشهد عليه الذكر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مرادف، للفظ الجلالة ويختلف معه في الكلّية والجزئية، فاللَّه كلّي ولفظ الجلالة علم جزئي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ذلك أنّ الموحّدين عامة والوثنيين كلّهم، وعبدة الشمس والكواكب يعتقدون بإلوهية معبوداتهم إمّا لكون المعبود إلهاً كبيراً أو إلهاً صغيراً، إمّا إلهاً صادقاً أو إلهاً كاذباً، فالاعتقاد بإلوهية المعبود بهذا المعنى هو المقوّم لصدق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أنّه لا يستحق العبادة إلّامن كان إلهاً لذلك يؤكّد القرآنَ بأنّه لا إله إلّااللَّه ومع ذلك فكيف تعبدون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يَجْعَلونَ مَعَ اللَّهِ إلهاً آخَرَ فَسوفَ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لا يَدْعُونَ مَعَ اللَّهِ إلهاً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وَاتَّخَذُوا مِنْ دُونِ اللَّهِ آلِهةً لِيكُونُوا لَهُمْ عِزّاً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أئِنَّكُمْ لَتَشْهَدُونَ أنَّ معَ اللَّهِ آلِهةً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 الآيات أنّ غيره سبحانه لا يستحق العبادة</w:t>
      </w:r>
    </w:p>
    <w:p>
      <w:pPr>
        <w:pStyle w:val="BookText"/>
        <w:rPr/>
      </w:pPr>
      <w:r>
        <w:rPr>
          <w:rFonts w:ascii="Amiri" w:hAnsi="Amiri" w:eastAsia="Amiri" w:cs="Amiri"/>
          <w:color w:val="111111"/>
          <w:sz w:val="28"/>
          <w:sz w:val="28"/>
          <w:szCs w:val="28"/>
          <w:rtl w:val="true"/>
          <w:lang w:bidi="ar-SA"/>
        </w:rPr>
        <w:t>لأنّها من شؤون الإلوهية وهي من خصائص اللَّه سبحانه لا غير، فيتحصّل من ذلك أنّ العبادة عبارة عن الخضوع أمام موجود للاعتقاد بأنّه إله حقيقيّ أو مجازيّ، ولو لا ذلك الاعتقاد لا يوصف الخضوع بالعبادة، والشاهد عليه أنّ العاشق الولهان إذا خضع لمعشوقته، خضوعاً بالغاً لا يعد عبادة لها، لأنّه لم يصدر عن الاعتقاد بإلوهيتها وأنّها إله، وإنّما صدر عن اعتقاد بأنّها جميلة تجذب الإنسان بنفسيتها وجمالها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ما ذكرنا من أنّ دعوة المشركين وخضوعهم ونداءهم وسؤالهم كانت مصحوبة بالاعتقاد بإلوهية أصنامهم، أنّه سبحانه يفسّر الشرك في بعض الآيات باتّخاذ إله مع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وأَعْرِضْ عَنِ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كَفَيْناكَ المُستَهزِئِينَ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يَجْعَلونَ مَعَ اللَّهِ إلهاً آخَرَ فَسوفَ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الآيات يندّد بالمشركين بأنّه ليس لهم إله غير اللَّه فكيف يعبدون غيره،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لَهُمْ إلهٌ غَيرُ اللَّهِ سُبحانَ اللَّهِ عَمّا يُشْرِكُونَ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والإمعان في هذه الآيات ونظائرها يؤكد أنّ اندفاع</w:t>
      </w:r>
    </w:p>
    <w:p>
      <w:pPr>
        <w:pStyle w:val="BookText"/>
        <w:rPr/>
      </w:pPr>
      <w:r>
        <w:rPr>
          <w:rFonts w:ascii="Amiri" w:hAnsi="Amiri" w:eastAsia="Amiri" w:cs="Amiri"/>
          <w:color w:val="111111"/>
          <w:sz w:val="28"/>
          <w:sz w:val="28"/>
          <w:szCs w:val="28"/>
          <w:rtl w:val="true"/>
          <w:lang w:bidi="ar-SA"/>
        </w:rPr>
        <w:t>المشركين إلى عبادة الأصنام أو اندفاع الموحّدين إلى عبادة اللَّه هو اعتقادهم بكونهم آلهة أو كونه إلهاً، فهذا الاعتقاد كان يدفعهم إلى العبادة، ولأجل ذلك كانوا يقدّمون لمعبوداتهم النذور والقرابين وغيرهما من التقاليد والسنن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كانت كلمة التوحيد تهدِّم عقيدتهم بإلوهية غيره سبحانه لذلك كانوا يستكبرون عند سماعها،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كانُوا إذا قِيلَ لَهُمْ لا إلهَ إلّااللَّهُ يَسْتَكْبِرُونَ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الاعتقاد بإلوهية الأصنام لا يلازم الاعتقاد بكون المعبود خالقاً للعالم حتى يقال بأنّ المشركين في الجاهلية كانوا موحدين في الخالقية، كما يدل على ذلك أكثر من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سَأَلْتَهُمْ مَنْ خَلَقَ السَّمواتِ والأرضَ لَيَقُولُنَّ خَلَقَهُنَّ العَزِيزُ العَلِيمُ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للإلوهية شؤون عندهم يقوم ببعضها الإله الأعلى كخلق السماوات والأرض، وبعضها الآخر الآلهة المزعومة المتخيّلة عندهم، كغفران الذنوب والشفاعة المطلقة المقبولة بلا قيد وشرط، وبما أنّ هذين الأمرين</w:t>
      </w:r>
      <w:bookmarkStart w:id="45" w:name="pg1263_7308"/>
    </w:p>
    <w:p>
      <w:pPr>
        <w:pStyle w:val="BookText"/>
        <w:rPr/>
      </w:pPr>
      <w:bookmarkEnd w:id="45"/>
      <w:r>
        <w:rPr>
          <w:rFonts w:ascii="Amiri" w:hAnsi="Amiri" w:eastAsia="Amiri" w:cs="Amiri"/>
          <w:color w:val="111111"/>
          <w:sz w:val="28"/>
          <w:sz w:val="28"/>
          <w:szCs w:val="28"/>
          <w:rtl w:val="true"/>
          <w:lang w:bidi="ar-SA"/>
        </w:rPr>
        <w:t>الأخيرين من شؤون الإله الأعلى أيضاً وليس للآلهة المزعومة فيها حظّ ولا نصيب، يركّز القرآن على إثباتهما للَّه سبحانه فقط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يَغْفِرُ الذُّنُوبَ إلّااللَّهُ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للَّهِ الشَّفاعَةُ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ضوء ذلك فالمشركون كانوا معتقدين بالإله الأعلى الأكبر وفي الوقت نفسه يعتقدون بآلهة شتّى ليس لهم من الشؤون ماللإله الأعلى منها، وفي الوقت نفسه كانت الآلهة عندهم مخلوقين للَّه‌سبحانه، مفوّضين إليهم بعض الشؤون كما عرفت</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3147736_373438147"/>
      <w:bookmarkStart w:id="47" w:name="_Toc17"/>
      <w:bookmarkEnd w:id="46"/>
      <w:r>
        <w:rPr>
          <w:rtl w:val="true"/>
        </w:rPr>
        <w:t>ترادف الإله ولفظ الجلالة</w:t>
      </w:r>
      <w:bookmarkEnd w:id="47"/>
    </w:p>
    <w:p>
      <w:pPr>
        <w:pStyle w:val="BookText"/>
        <w:rPr/>
      </w:pPr>
      <w:r>
        <w:rPr>
          <w:rFonts w:ascii="Amiri" w:hAnsi="Amiri" w:eastAsia="Amiri" w:cs="Amiri"/>
          <w:color w:val="111111"/>
          <w:sz w:val="28"/>
          <w:sz w:val="28"/>
          <w:szCs w:val="28"/>
          <w:rtl w:val="true"/>
          <w:lang w:bidi="ar-SA"/>
        </w:rPr>
        <w:t>إنّ الدليل الواضح على أنّ الإله يرادف لفظ الجلالة ولكن يفترق عنها بالجزئية والكلية الأُمور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المادة، إذ الأصل للفظ الجلالة هو الإله، فحذفت الهمزة وعوّض اللام، ولذلك قيل في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اللَّه، بالقطع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إله</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التي استدلّ فيها على وحدة الإله صريحة</w:t>
      </w:r>
    </w:p>
    <w:p>
      <w:pPr>
        <w:pStyle w:val="BookText"/>
        <w:rPr/>
      </w:pPr>
      <w:r>
        <w:rPr>
          <w:rFonts w:ascii="Amiri" w:hAnsi="Amiri" w:eastAsia="Amiri" w:cs="Amiri"/>
          <w:color w:val="111111"/>
          <w:sz w:val="28"/>
          <w:sz w:val="28"/>
          <w:szCs w:val="28"/>
          <w:rtl w:val="true"/>
          <w:lang w:bidi="ar-SA"/>
        </w:rPr>
        <w:t>في أنّ المراد من الإله هو المتصرّف المدبّر، أو من بيده أزمّة الأُمور أو ما يقرب من ذلك، ولا يصح تفسير الإله بالمعبود وإلّا لفسد الاستدلال، وإليك الآيات الواردة في ذلك المجال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آلِهَةٌ إلّااللَّهُ لَفَسدَتا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البرهان على نفي تعدّد الآلهة لا يتم إلّاإذا جعلنا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بمعنى المتصرّف المدبّر أو من بيده أزمّة الأُمور أو ما يقرب من هذين، ولو جعلنا الإله بمعنى المعبود لانتقص البرهان لبداهة تعدّد المعبودين في هذا العالم، مع عدم فساد النظام الكوني وقد كانت الحجاز يوم نزول هذه الآية مزدحمة بالآلهة بل ومركزها مع انتظام العالم وعدم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وعندئذ يجب على من 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المعبود أن يقيّده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كان فيهما معبودات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لفسدتا، ولمّا كان المعبود بالحقّ مدبراً أو متصرّفاً لزم من تعدّده فساد النظام وهذا كلّه تكلّف لا مبرّر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اتَّخَذَ اللَّهُ مِنْ وَلَدٍ وما كانَ مَعَهُ مِنْ إلهٍ إذاً لَذَهَبَ كُلُّ إلهٍ بِما خَلَقَ وَلَعَلا بَعْضُهُمْ عَلى 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ويتمّ هذا البرهان أيضاً لو فسّرنا الإله بما ذكرنا من أنّه</w:t>
      </w:r>
    </w:p>
    <w:p>
      <w:pPr>
        <w:pStyle w:val="BookText"/>
        <w:rPr/>
      </w:pPr>
      <w:r>
        <w:rPr>
          <w:rFonts w:ascii="Amiri" w:hAnsi="Amiri" w:eastAsia="Amiri" w:cs="Amiri"/>
          <w:color w:val="111111"/>
          <w:sz w:val="28"/>
          <w:sz w:val="28"/>
          <w:szCs w:val="28"/>
          <w:rtl w:val="true"/>
          <w:lang w:bidi="ar-SA"/>
        </w:rPr>
        <w:t>كلّيّ، ما يطلق عليه لفظ الجلالة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كناية عن الخالق أو المدبّر المتصرّف أو من يقوم بأفعاله وشؤونه، والمناسب في هذا المقام هو الخالق، ويلزم من تعدّده ما رتّب عليه في الآية من ذهاب كلّ إله بما خلق واعتلاء بعضهم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جعلناه بمعنى المعبود لانتقص البرهان، ولا يلزم من تعدّده أيّ اختلال في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وأدلّ دليل على ذلك هو المشاهدة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العالم آلهة متعدّدة، وقد كان في أطراف الكعبة المشرّفة ثلاثمائة وستون إلهاً ومع ذلك لم يقع أيّ فساد أو اختلال في الكون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فيلزم من يفسّر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بالمعبود ارتكاب التكلّف بما ذكرناه في الآية المتقدمة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كانَ مَعهُ آلِهَةٌ كَما يَقُولونَ إذاً لَابْتَغَوْا إلى ذِي العَرْشِ سَبِيلًا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ابتغاء السبيل إلى ذي العرش من لوازم تعدّد الخالق المدبّر المتصرف، أو من بيده أزمّة أُمور الكون أو غير ذلك ممّا يرسمه في ذهننا معنى الإلوهية، وأمّا تعدّد المعبود فلا يلازم ذلك إلّابالتكلّف الذي أشرنا إليه فيما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وما تَعْبُدُونَ مِنْ دُونِ اللَّهِ حَصَبُ جَهَنَّمَ أنْتُمْ لَها وارِدُونَ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هؤُلاءِ آلِهَةً ما وَرَدُوها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تستدل بورود الأصنام والأوثان في النار، على بطلان كونها آلهة إذ لو كانت آلهة ما وردوا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والاستدلال إنّما يتم لو فسّرنا الآلهة بما أشرنا إليه، فإنّ خالق العالم أو مدبّره والمتصرّف فيه أو من فوّض إليه أفعال اللَّه أجلّ من أن يحكم عليه بالنار وأن يكون حصب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ما إذا جعلناه بمعنى المعبود فلا يتم البرهان، لأنّ المفروض أنّها كانت معبودات وقد جعلت حصب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أمعنت في الآيات التي ورد فيها لفظ الإله والآلهة لقدرت على استظهار ما اخترناه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العبادة عبارة عن الخضوع الصادر عمّن يتّخذه الخاضع إلهاً، وما ذكرناه على وجه التفصيل هو الذي أفرغه الشيخ جواد البلاغي في قالب التعريف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العبادة ما يرونه مشعراً بالخضوع لمن يتّخذه الخاضع إلهاً، ليوفيه بذلك ما يراه له من حقّ الامتياز بالإلوهية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bookmarkStart w:id="48" w:name="pg1263_7312"/>
    </w:p>
    <w:p>
      <w:pPr>
        <w:pStyle w:val="Heading3"/>
        <w:numPr>
          <w:ilvl w:val="2"/>
          <w:numId w:val="1"/>
        </w:numPr>
        <w:rPr/>
      </w:pPr>
      <w:bookmarkStart w:id="49" w:name="__RefHeading___Toc3147738_373438147"/>
      <w:bookmarkStart w:id="50" w:name="_Toc18"/>
      <w:bookmarkEnd w:id="48"/>
      <w:bookmarkEnd w:id="49"/>
      <w:r>
        <w:rPr>
          <w:rtl w:val="true"/>
        </w:rPr>
        <w:t>التعريف الثاني</w:t>
      </w:r>
      <w:r>
        <w:rPr>
          <w:rtl w:val="true"/>
        </w:rPr>
        <w:t xml:space="preserve">: </w:t>
      </w:r>
      <w:r>
        <w:rPr>
          <w:rtl w:val="true"/>
        </w:rPr>
        <w:t>العبادة عبارة عن الخضوع للشي‌ء على أنّه ربّ‌</w:t>
      </w:r>
      <w:bookmarkEnd w:id="50"/>
    </w:p>
    <w:p>
      <w:pPr>
        <w:pStyle w:val="Heading4"/>
        <w:numPr>
          <w:ilvl w:val="3"/>
          <w:numId w:val="1"/>
        </w:numPr>
        <w:rPr/>
      </w:pPr>
      <w:bookmarkStart w:id="51" w:name="__RefHeading___Toc3147740_373438147"/>
      <w:bookmarkStart w:id="52" w:name="_Toc19"/>
      <w:bookmarkEnd w:id="51"/>
      <w:r>
        <w:rPr>
          <w:rtl w:val="true"/>
        </w:rPr>
        <w:t>اشارة</w:t>
      </w:r>
      <w:bookmarkEnd w:id="5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واللغويون وإن ذكروا للربّ معاني مختلفة كالخالق والمالك والصاحب والمصلح، ولكن الظاهر أنّ أكثر هذه المعاني من لوازم المعنى الواحد، ويمكن تصويره بأنّه من فوّض إليه أمر الشي‌ء من حيث الإصلاح والتدبير والتربية، فلو أُطلق الربّ على الخالق فلأنّه يقوم بإصلاح مخلوقه وتدبيره، وتربيته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أُطلق على صاحب المزرعة ربّ الضيعة، أو على سائس القوم أنّه ربّهم، فلأنّ الأوّلَ يقوم بتصليح أُمور المزرعة، والثاني بتدبير أُمور القوم وشؤونهم وقس على ذلك سائر الأُمور، فاللَّه سبحانه ربّ العالمين،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السَّمواتِ والأرضِ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رَبُ</w:t>
      </w:r>
    </w:p>
    <w:p>
      <w:pPr>
        <w:pStyle w:val="BookText"/>
        <w:rPr/>
      </w:pPr>
      <w:r>
        <w:rPr>
          <w:rFonts w:ascii="Amiri" w:hAnsi="Amiri" w:eastAsia="Amiri" w:cs="Amiri"/>
          <w:color w:val="111111"/>
          <w:sz w:val="28"/>
          <w:sz w:val="28"/>
          <w:szCs w:val="28"/>
          <w:rtl w:val="true"/>
          <w:lang w:bidi="ar-SA"/>
        </w:rPr>
        <w:t>الشِّعْرى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فلأجل أنّه سبحانه مدبّر ومدير ومتصرّف في شؤونها والقائم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أُطلق الربّ على مالك الدابة فلأجل أنّه فُوِّض إليه إصلاح المملوك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جانب، ومن جانب آخر نرى اللَّه سبحانه يعلّل في بعض الآيات حصر العبادة في اللَّه سبحانه حيث حصر الربوبية به دون غيره، فتدلّ بصراحة على أنّ العبادة من شؤون الربوبية، وإليك بعض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المسيح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إسْرائيلَ اعْبُدوا اللَّهَ رَبِّي وَرَبَّكُمْ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أُمَّتُكُمْ أُمَّةً واحِدَةً وأنَا رَبُّكُمْ فَاعْبُدُونِ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رَبِّي ورَبُّكُمْ فَاعْبُدُوهُ هذا صِراطٌ مُسْتقِيمٌ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عرفت هذين الأمرين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 من فوّض إليه تدبير الشي‌ء وإصلاحه وتربيته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الآيات تعلّل حصر العبادة في اللَّه بكونه ربّاً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فستعرف أنّ اتّسام الخضوع، والسؤال والدعاء بالعبادة من شؤون الاعتقاد بكون المخضوع له ربّاً بيده مسير الخاضع ومصيره، 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شأن أو</w:t>
      </w:r>
    </w:p>
    <w:p>
      <w:pPr>
        <w:pStyle w:val="BookText"/>
        <w:rPr/>
      </w:pPr>
      <w:r>
        <w:rPr>
          <w:rFonts w:ascii="Amiri" w:hAnsi="Amiri" w:eastAsia="Amiri" w:cs="Amiri"/>
          <w:color w:val="111111"/>
          <w:sz w:val="28"/>
          <w:sz w:val="28"/>
          <w:szCs w:val="28"/>
          <w:rtl w:val="true"/>
          <w:lang w:bidi="ar-SA"/>
        </w:rPr>
        <w:t>شؤون مَن حياته الدنيوية أو الأُخروية بيده، فالخضوع المقرون بهذا الاعتقاد يُضفي عليه عنوان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وليعلم أنّ المراد من كون الرب مالكاً لشأن من شؤون حياته ليس المراد هو المالكية القانونية والوضعية التي تُعطى للإنسان حيناً وتسلَب عنه حيناً آخر، بل المراد المالكية التكوينية المستمدّة من الخالقية كما في الإله الأعلى أو من تفويض الإله الأعلى لها، كما هو الحال عند آلهة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زعمهم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يعتقدون بأنّه سبحانه فوّض إليهم بعضَ شؤون حياتهم، كغفران الذنوب والشفاعة، بل يظهر ممّا نقله ابن هشام في سيرته أنّ الشرك دخل مكّة في صورة الشرك في الربوبية فيما يرجع إلى الاستمطار، يقول ابن هشام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عمرو بن 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أدخل الوثنية إلى مكّة ونواحيها، فقد رأى في سفره إلى البلقاء من أراضي الشام أُناساً يعبدون الأوثانَ وعندما سألهم عمّا يفعلون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هذه الأصنام التي أراكم تعبدونها؟</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أصنام نعبدها فنستمطرها فتمطرنا، ونستنصرها فتنصرنا</w:t>
      </w:r>
      <w:r>
        <w:rPr>
          <w:rFonts w:eastAsia="IRNazanin" w:cs="IRNazanin"/>
          <w:color w:val="111111"/>
          <w:sz w:val="28"/>
          <w:szCs w:val="28"/>
          <w:rtl w:val="true"/>
          <w:lang w:bidi="fa-IR"/>
        </w:rPr>
        <w:t>!</w:t>
      </w:r>
      <w:bookmarkStart w:id="53" w:name="pg1263_7315"/>
    </w:p>
    <w:p>
      <w:pPr>
        <w:pStyle w:val="BookText"/>
        <w:rPr/>
      </w:pPr>
      <w:bookmarkEnd w:id="53"/>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تعطوني منها فأسير به إلى أرض العرب فيعبدونه؟</w:t>
      </w:r>
    </w:p>
    <w:p>
      <w:pPr>
        <w:pStyle w:val="BookText"/>
        <w:rPr/>
      </w:pPr>
      <w:r>
        <w:rPr>
          <w:rFonts w:ascii="Amiri" w:hAnsi="Amiri" w:eastAsia="Amiri" w:cs="Amiri"/>
          <w:color w:val="111111"/>
          <w:sz w:val="28"/>
          <w:sz w:val="28"/>
          <w:szCs w:val="28"/>
          <w:rtl w:val="true"/>
          <w:lang w:bidi="ar-SA"/>
        </w:rPr>
        <w:t xml:space="preserve">وهكذا استحسن طريقتهم واستصحب معه إلى مكة صنماً كبيراً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ووضعه على سطح الكعبة المشرّفة ودعا الناس إلى عبادتها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فاستمطار المطر من هذه الأوثان والاستعانة بها يكشف عن أنّ بعض المشركين كانوا يعتقدون بأنّ لهذه الأوثان دخلًا في تدبير شؤون الكون وحياة الإنسان</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3147742_373438147"/>
      <w:bookmarkStart w:id="55" w:name="_Toc20"/>
      <w:bookmarkEnd w:id="54"/>
      <w:r>
        <w:rPr>
          <w:rtl w:val="true"/>
        </w:rPr>
        <w:t>نتيجة البحث‌</w:t>
      </w:r>
      <w:bookmarkEnd w:id="5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عرفنا أنّ مقومّ العبادة عبارة عن اعتقاد السائل والخاضع والداعي أو المنادي بأنّ المسؤول والمخضوع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شيئاً ممّا يرجع إليه في عاجله أو آجله، في مسيره ومصيره، وإنّه يقوم بذلك لكونه خالقاً أو مفوَّضاً إليه من قبل الخالق، فيقوم على وجه الاستقلال والأصالة، تستطيع أن تقضي في الأعمال التي يقوم بها اشياع الأنبياء ومحبّوهم، بأنّها ليست عبادة أبداً وإنّما هي</w:t>
      </w:r>
    </w:p>
    <w:p>
      <w:pPr>
        <w:pStyle w:val="BookText"/>
        <w:rPr/>
      </w:pPr>
      <w:r>
        <w:rPr>
          <w:rFonts w:ascii="Amiri" w:hAnsi="Amiri" w:eastAsia="Amiri" w:cs="Amiri"/>
          <w:color w:val="111111"/>
          <w:sz w:val="28"/>
          <w:sz w:val="28"/>
          <w:szCs w:val="28"/>
          <w:rtl w:val="true"/>
          <w:lang w:bidi="ar-SA"/>
        </w:rPr>
        <w:t>من مصاديق التكريم والاحترام وإن بلغت نهاية التذلّل، لأنّها لا تنطلق من اعتقاد الخاضع بإلوهية النبي، ولا ربوبيته بل تنطلق عن الاعتقاد بكونهم عباد اللَّه الصالحين، وعباده المكرمين الذين لا يعصون اللَّه وهم بأمره يعملون، نظير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تقبيل الأضرحة وأبواب المشاهد التي تضمّ أجساد الأنبياء والأولياء، فإنّ ذلك ليس عبادة لصاحب القبر والمشهد، لفقدان عنصر العبادة فيما يفعله الإنسان من التقبيل واللّمس وما شابه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الصلاة في مشاهد الأولياء تبركاً بالأرض التي تضمنت جسد النبي أو الإمام، كما تبرّك بالصلاة عند مقام إبراهيم اتّباعاً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وَاتَّخِذُوا مِنْ مَقامِ إبراهِيمَ مُصَلّى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التوسّل بالنبي سواء كان توسلًا بذاته وشخصه، أو بمقامه وشخصيته أو بدعائه في حال حياته ومماته، فإنّ ذلك كلّه لا يكون عبادة لعدم الاعتقاد بإلوهية النبيّ ولا ربوبيته، ويعدّ من التوسّل بالأسباب، سواء كان المدعوّ قادراً على إنجاز العمل أو عاجزاً، غاية الأمر يكون التوسّل</w:t>
      </w:r>
    </w:p>
    <w:p>
      <w:pPr>
        <w:pStyle w:val="BookText"/>
        <w:rPr/>
      </w:pPr>
      <w:r>
        <w:rPr>
          <w:rFonts w:ascii="Amiri" w:hAnsi="Amiri" w:eastAsia="Amiri" w:cs="Amiri"/>
          <w:color w:val="111111"/>
          <w:sz w:val="28"/>
          <w:sz w:val="28"/>
          <w:szCs w:val="28"/>
          <w:rtl w:val="true"/>
          <w:lang w:bidi="ar-SA"/>
        </w:rPr>
        <w:t>في صورة العجز غير مفيد، لا متّسماً بالشرك، فلو افترضنا أنّ الأنبياء والأئمة في حال الممات غير قادرين على شي‌ء فالدعاء والتوسّل بهم مع كونهم عاجزين لا يجعل العمل شركاً، بل يجعله لغواً، مع أنّ أصل المبنى باطل أي أنّهم غير قادرين في حال الممات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الشفاعة من الأنبياء أو النبيّ الأكرم ليس شركاً لأنّه يطلبها منه بقيد أنّه عبد مأذون لا أنّه مفوّض إليه أمرها، وفي الواقع إمّا أن يكون مأذوناً فيشفع وإما أن يكون الطلب لغواً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الاستغاثة بالأرواح المقدّسة ليس إلّاكالاستغاثة بهم في حال حياتهم، فهي على وجه يتّسم بالشرك من غير فرق بين حالي الحياة والممات ولا يتّسم به على وجه آخر، كذلك فلو استغاث به بما أنّه عبد أقدره اللَّه تعالى على الإجابة حياً وميتاً، يكون من قبيل التوسّل بالأسباب، وإن استغاث به بما أنّه إله أو ربّ يقوم بالاستغاثة أصالة واستقلالًا وأنّه فوّض إليه حياة المستغيث عاجلًا وآجلًا، فهو شرك من غير فرق بين الحالتين</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خلاصة البحث حول حصر العبادة باللَّه سبحانه،</w:t>
      </w:r>
      <w:bookmarkStart w:id="56" w:name="pg1263_7318"/>
    </w:p>
    <w:p>
      <w:pPr>
        <w:pStyle w:val="BookText"/>
        <w:rPr/>
      </w:pPr>
      <w:bookmarkEnd w:id="56"/>
      <w:r>
        <w:rPr>
          <w:rFonts w:ascii="Amiri" w:hAnsi="Amiri" w:eastAsia="Amiri" w:cs="Amiri"/>
          <w:color w:val="111111"/>
          <w:sz w:val="28"/>
          <w:sz w:val="28"/>
          <w:szCs w:val="28"/>
          <w:rtl w:val="true"/>
          <w:lang w:bidi="ar-SA"/>
        </w:rPr>
        <w:t>وإذا أمعنت فيما ذكرنا يمكنك على بعض ما أثارته بعض المناهج الفكرية في الأوساط الإسلامية حول هذه الأُمور، التي نسبت جلّ المسلمين إلى الشرك في العبادة مع أنّهم بمنأى عن الشرك</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3147744_373438147"/>
      <w:bookmarkStart w:id="58" w:name="_Toc21"/>
      <w:bookmarkEnd w:id="57"/>
      <w:r>
        <w:rPr>
          <w:rtl w:val="true"/>
        </w:rPr>
        <w:t>الفوضى في التطبيق بين الإمام والمأموم‌</w:t>
      </w:r>
      <w:bookmarkEnd w:id="58"/>
    </w:p>
    <w:p>
      <w:pPr>
        <w:pStyle w:val="BookText"/>
        <w:rPr/>
      </w:pPr>
      <w:r>
        <w:rPr>
          <w:rFonts w:ascii="Amiri" w:hAnsi="Amiri" w:eastAsia="Amiri" w:cs="Amiri"/>
          <w:color w:val="111111"/>
          <w:sz w:val="28"/>
          <w:sz w:val="28"/>
          <w:szCs w:val="28"/>
          <w:rtl w:val="true"/>
          <w:lang w:bidi="ar-SA"/>
        </w:rPr>
        <w:t xml:space="preserve">لقد ترك الإهمال في تفسير العبادة تفسيراً منطقياً، فوضى كبيرة في مقام التطبيق بين الإمام والمأموم فنرى أنّ إمام الحنابلة أحمد بن حنبل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عن فطرة سليمة في تفسير العبادة، وأفتى بجواز مسِّ منبر النبيّ صلى الله عليه و آله والتبرّك به وبقبره وتقبيلهما عندما سأله ولده عبد اللَّه بن أحمد،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يمسُّ منبرَ النبيِّ صلى الله عليه و آله ويتبرّك بمسِّه، ويُقَبّله، ويفعل بالقبر مثل ذلك، يريد بذلك التقرّب إلى اللَّه عزّ وجلّ؟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 بذلك</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فتوى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يفتخر بمنهجه أحمد بن تيمية، وبعده محمد بن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 بأساً بذلك،</w:t>
      </w:r>
    </w:p>
    <w:p>
      <w:pPr>
        <w:pStyle w:val="BookText"/>
        <w:rPr/>
      </w:pPr>
      <w:r>
        <w:rPr>
          <w:rFonts w:ascii="Amiri" w:hAnsi="Amiri" w:eastAsia="Amiri" w:cs="Amiri"/>
          <w:color w:val="111111"/>
          <w:sz w:val="28"/>
          <w:sz w:val="28"/>
          <w:szCs w:val="28"/>
          <w:rtl w:val="true"/>
          <w:lang w:bidi="ar-SA"/>
        </w:rPr>
        <w:t>لما عرفت من أنّ العبادة ليست مجرّد الخضوع، فلا يكون مجرّد التوجّه إلى الأجسام والجمادات عبادة، بل هي عبارة عن الخضوع نحو الشي، باعتبار أنّه إله أو ربّ، أو بيده مصير الخاضع في عاجله وآجله، وأمّا مسّ المنبر أو القبر وتقبيلهما، كل ذلك لغاية التكريم والتعظيم لنبيّ التوحيد، وإن كان لغاية التبرّك فلا يتجاوز التبرّك في المقام عن تبرّك يعقوب بقميص ابنه يوسف، ولم يخطر بخلد أحد من المسلمين إلى اليوم الذي جاء فيه ابن تيمية بالبدع الجديدة، أنّها عبادة لصاحب القميص والمنبر والقبر أو لنفس تلك الأشياء</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كانت فتوى الإمام ثقيلة على محقق الكتاب، أو من علق عليه لأنها تتناقض مع ما عليه الوهابية وتبطل أحلام ابن تيمية، ومن لفَّ لفَّه، حاول ذلك الكاتب أن يوفّق بين جواب الإمام وما عليه الوهابية في العصر الحاضر،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مسّ منبر النبيّ فقد أثبت الإمام ابن تيمية في الجواب الباهر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فعله عن ابن عمر دون غيره من الصحابة، ورى أبو بكر بن أبي شيبة في المصنف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الحباب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مودود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يزيد بن عبد الملك بن قسيط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نفراً من أصحاب النبيّ إذا خلا لهم المسجد قاموا إلى زمانة المنبر القرعاء فمسحوها، ودعوا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يزيد يفعل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لما كان منبره الذي لامس جسمه الشريف، أمّا الآن بعد ما تغيّر لا يقال بمشروعية مسحه تبركاً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على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وجود التناقض بين ما نقل عن ابن تيمية من تخصيص المسّ بمنبر النبيّ با بن عمر، وما نقله عن المصنف لابن أبي شيبة من مسح نفر من أصحاب النبيّ زمانة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جواز المسّ مختصّاً بالمنبر الذي لامسه جسم النبي الشريف دون ما لايمس كان على الإمام المفتي أن يذكر القيدَ، ولا يُطلق كلامَه، حتى ولو افترضنا أنّ المنبر الموجود في المسجد النبوي في عصره كان نفسَ المنبر الذي لامسَه جسمُ النبيّ الأكرم، وهذا لا يغيب عن ذهن المفتي، إذ لو كان تقبيل أحد المنبرين نفس التوحيد، وتقبيل المنبر الآخر عينَ الشرك، لما جاز للمفتي أن يغفل التقسيم والتصنيف</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يفسده هذا التحليل أكثر ممّا يصلحه،</w:t>
      </w:r>
    </w:p>
    <w:p>
      <w:pPr>
        <w:pStyle w:val="BookText"/>
        <w:rPr/>
      </w:pPr>
      <w:r>
        <w:rPr>
          <w:rFonts w:ascii="Amiri" w:hAnsi="Amiri" w:eastAsia="Amiri" w:cs="Amiri"/>
          <w:color w:val="111111"/>
          <w:sz w:val="28"/>
          <w:sz w:val="28"/>
          <w:szCs w:val="28"/>
          <w:rtl w:val="true"/>
          <w:lang w:bidi="ar-SA"/>
        </w:rPr>
        <w:t>وذلك لأنّ معناه أنّ لجسمه الشريف تأثيراً في المنبر وما تبرّك به، وهذا يناقض التوحيد الربوبي من أنّه لا مؤثّر في الكون إلّااللَّه سبحانه، فكيف يعترف الوهابي بأنّ لجسمه الشريف في الجسم الجامد تأثيراً وأنّه يجوز للمسلمين أن يتأثروا به عبر القرون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المعلّق استثنى مسّ قبر النبي صلى الله عليه و آله والتبرك به، ومنعهما وقال في وجهه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جواز مسّ قبر النبيّ والتبرّك به فهذا القول غريب جداً لم أر أحداً نقله عن الإمام، وقال ابن تيمية في الجواب الباهر لزوار المقابر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الأئمة على أنّه لا يمسّ قبر النبي ولا يقبله، وهذا كلّه محافظة على التوحيد، فإنّ من أُصول الشرك باللَّه اتّخاذ القبور مساجد</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أحداً نقله عن الإمام، أوَ ليس ولده أبو عبد اللَّه راوية أبيه وكتبه يروي هذه الفتوى؟ وهو ثقة عند الحنابلة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التفريق بين مسّ المنبر والقبر بجعل الأول نفس</w:t>
      </w:r>
    </w:p>
    <w:p>
      <w:pPr>
        <w:pStyle w:val="BookText"/>
        <w:rPr/>
      </w:pPr>
      <w:r>
        <w:rPr>
          <w:rFonts w:ascii="Amiri" w:hAnsi="Amiri" w:eastAsia="Amiri" w:cs="Amiri"/>
          <w:color w:val="111111"/>
          <w:sz w:val="28"/>
          <w:sz w:val="28"/>
          <w:szCs w:val="28"/>
          <w:rtl w:val="true"/>
          <w:lang w:bidi="ar-SA"/>
        </w:rPr>
        <w:t>التوحيد، والثاني أساس الشرك، فمن غرائب الأُمور، لأنّ الأمرين يشتركان في التوجّه إلى غير اللَّه سبحانه، فلو كان هذا محرز الشرك، فالموضوعات سيّان، وإن فرّق بينهما بأنّ الماسّ، ينتفع بالأول دون الثاني لعدم مسّ جسده بالثاني فلازمه كون الأول نافعاً والثاني أمراً باطلًا دون أن يكون شركاً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رجع المحقق إلى الصحاح والمسانيد وكتب السيرة والتاريخ، لوقف على أنّ التبرّك بالقبر ومسّه، كان أمراً رائجاً بين المسلمين في عصر الصحابة والتابعين، ولأجل إيقاف القارئ على صحة ما نقول نذكر نموذجين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الزهراء سيدة نساء العالمين بنت رسول اللَّه حضرت عند قبر أبيها صلى الله عليه و آله وأخذت قبضة من تراب القبر تشمّه وتبكي وتقول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ماذا على من شمّ تربة أحمد ألّا يشمّ مدَى الزمان غَواليا</w:t>
      </w:r>
    </w:p>
    <w:p>
      <w:pPr>
        <w:pStyle w:val="BookText"/>
        <w:rPr/>
      </w:pPr>
      <w:r>
        <w:rPr>
          <w:rFonts w:ascii="Amiri" w:hAnsi="Amiri" w:eastAsia="Amiri" w:cs="Amiri"/>
          <w:color w:val="111111"/>
          <w:sz w:val="28"/>
          <w:sz w:val="28"/>
          <w:szCs w:val="28"/>
          <w:rtl w:val="true"/>
          <w:lang w:bidi="ar-SA"/>
        </w:rPr>
        <w:t xml:space="preserve">صُبَّت عليَّ مصائب لو أنّها صُبَّت على الأيّامِ صِرنَ لَياليا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إنّ هذا التصرّف من السيدة الزهراء المعصومة يدل على جواز التبرّك بقبر رسول اللَّه وتربته الطاهرة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مؤذّن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في الشام في عهد عمر بن الخطاب فرأى في منامه النبيّ صلى الله عليه و آله وهو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الجفوة يا بلال؟ أما آنَ لك أن تزورني يا بلال؟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فانتبه حزيناً وَجِلًا خائفاً، فركب راحلته وقصد المدينة فأتى قبر النبيّ صلى الله عليه و آله فجعل يبكي عنده ويمرغ وجهه عليه، فأقبل الحسن والحسين عليهما السلام فجعل يضمّهما ويقبّلهما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الخبر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bookmarkStart w:id="59" w:name="pg1263_7324"/>
    </w:p>
    <w:p>
      <w:pPr>
        <w:pStyle w:val="Heading2"/>
        <w:numPr>
          <w:ilvl w:val="1"/>
          <w:numId w:val="1"/>
        </w:numPr>
        <w:rPr/>
      </w:pPr>
      <w:bookmarkStart w:id="60" w:name="__RefHeading___Toc3147746_373438147"/>
      <w:bookmarkStart w:id="61" w:name="_Toc22"/>
      <w:bookmarkEnd w:id="59"/>
      <w:bookmarkEnd w:id="60"/>
      <w:r>
        <w:rPr>
          <w:rtl w:val="true"/>
        </w:rPr>
        <w:t>المسألة الثانية</w:t>
      </w:r>
      <w:r>
        <w:rPr>
          <w:rtl w:val="true"/>
        </w:rPr>
        <w:t>:</w:t>
      </w:r>
      <w:bookmarkEnd w:id="61"/>
    </w:p>
    <w:p>
      <w:pPr>
        <w:pStyle w:val="Heading3"/>
        <w:numPr>
          <w:ilvl w:val="2"/>
          <w:numId w:val="1"/>
        </w:numPr>
        <w:rPr/>
      </w:pPr>
      <w:bookmarkStart w:id="62" w:name="__RefHeading___Toc3147748_373438147"/>
      <w:bookmarkStart w:id="63" w:name="_Toc23"/>
      <w:bookmarkEnd w:id="62"/>
      <w:r>
        <w:rPr>
          <w:rtl w:val="true"/>
        </w:rPr>
        <w:t>حصر الاستعانة في اللَّه‌</w:t>
      </w:r>
      <w:bookmarkEnd w:id="63"/>
    </w:p>
    <w:p>
      <w:pPr>
        <w:pStyle w:val="Heading4"/>
        <w:numPr>
          <w:ilvl w:val="3"/>
          <w:numId w:val="1"/>
        </w:numPr>
        <w:rPr/>
      </w:pPr>
      <w:bookmarkStart w:id="64" w:name="__RefHeading___Toc3147750_373438147"/>
      <w:bookmarkStart w:id="65" w:name="_Toc24"/>
      <w:bookmarkEnd w:id="64"/>
      <w:r>
        <w:rPr>
          <w:rtl w:val="true"/>
        </w:rPr>
        <w:t>اشارة</w:t>
      </w:r>
      <w:bookmarkEnd w:id="65"/>
    </w:p>
    <w:p>
      <w:pPr>
        <w:pStyle w:val="BookText"/>
        <w:rPr/>
      </w:pPr>
      <w:r>
        <w:rPr>
          <w:rFonts w:ascii="Amiri" w:hAnsi="Amiri" w:eastAsia="Amiri" w:cs="Amiri"/>
          <w:color w:val="111111"/>
          <w:sz w:val="28"/>
          <w:sz w:val="28"/>
          <w:szCs w:val="28"/>
          <w:rtl w:val="true"/>
          <w:lang w:bidi="ar-SA"/>
        </w:rPr>
        <w:t>هذه هي المسألة الثانية التي طرحت في صدر المقال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المسلمين في أقطار العالم يَحصرون الاستعانة في اللَّه سبحانه ومع ذلك يستعينون بالأسباب العادية، جرياً على القاعدة السائدة بين العقلاء، ولا يرونه مخالفاً للحصر، كما أنّ المتوسّلين بأرواح الأنبياء يستعينون بهم في مشاهدهم ومزاراتهم ولا يرون تعارض ذلك مع حصر الاستعانة باللَّه سبحانه، وذلك لأنَّ الاستعانة بغير اللَّه يمكن أن تتحقق بصورتين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نستعين بعامل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أكان طبيعياً أم غير 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الاعتقاد بأنّ علمه مستند إلى اللَّه، بمعنى أنّه قادر على أن يعين العباد ويزيل مشاكلهم بقدرته المكتسبة من اللَّه</w:t>
      </w:r>
    </w:p>
    <w:p>
      <w:pPr>
        <w:pStyle w:val="BookText"/>
        <w:rPr/>
      </w:pPr>
      <w:r>
        <w:rPr>
          <w:rFonts w:ascii="IRNazanin" w:hAnsi="IRNazanin" w:eastAsia="IRNazanin"/>
          <w:color w:val="111111"/>
          <w:sz w:val="28"/>
          <w:sz w:val="28"/>
          <w:szCs w:val="28"/>
          <w:rtl w:val="true"/>
          <w:lang w:bidi="fa-IR"/>
        </w:rPr>
        <w:t>وإذنه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النوع من الاستعانة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ينفك عن الاستعانة باللَّه ذاته، لأنّه ينطوي على الاعتراف بأنّه هو الذي منح تلك العوامل، ذلك الأثر، وأذن بها، وإن شاء سلبها وجرّدها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استعان الزارع بعوامل طبيعية كالشمس والماء وحرث الأرض، فقد استعان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تعالى هوالذي منح هذه‌العوامل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إنماء ماأودع في بطن الأرض من بذر ومن ثم إنباته والوصول به إلى حدّ الكمال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استعان بإنسان أو عامل طبيعي مع الاعتقاد بأنّه مستقلّ في وجوده، أو في فعله عن اللَّه، فلا شك أنّ ذلك الاعتقاد يصير شركاً والاستعانة به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استعان زارع بالعوامل المذكورة وهو يعتقد بأنّها مستقلّة في تأثيرها أو أنّها مستقلّة في وجودها ومادتها كما في فعلها وقدرتها، فالاعتقاد شرك والطلب عبادة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يظهر أنّ الاستعانة المنحصرة في اللَّه المنصوص عليها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الاستعانة بالمعونة المستقلّة النابعة من ذات المستعان به،</w:t>
      </w:r>
      <w:bookmarkStart w:id="66" w:name="pg1263_7326"/>
    </w:p>
    <w:p>
      <w:pPr>
        <w:pStyle w:val="BookText"/>
        <w:rPr/>
      </w:pPr>
      <w:bookmarkEnd w:id="66"/>
      <w:r>
        <w:rPr>
          <w:rFonts w:ascii="Amiri" w:hAnsi="Amiri" w:eastAsia="Amiri" w:cs="Amiri"/>
          <w:color w:val="111111"/>
          <w:sz w:val="28"/>
          <w:sz w:val="28"/>
          <w:szCs w:val="28"/>
          <w:rtl w:val="true"/>
          <w:lang w:bidi="ar-SA"/>
        </w:rPr>
        <w:t>غير المتوقّفة على شي‌ء، فهذا هو المنحصر في اللَّه تعالى، وأمّا الاستعانة بالإنسان الذي لا يقوم بشي‌ء إلّابحول اللَّه وقوّته وإذنه ومشيئته، فهي غير منحصرة باللَّه سبحانه، بل إنّ الحياة قائمة على هذا الأساس، فإنّ الحياة البشرية مليئة بالاستعانة بالأسباب التي تؤثّر وتعمل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لا مانع من حصر الاستعانة في اللَّه سبحانه بمعنى، وتجويزها بغيره بمعنى آخر وهو ما له نظر في الكتاب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ولإيقاف القارئ على هذه الحقيقة نلفت نظره إلى آيات تحصر جملة من الأفعال الكونية في اللَّه تارة، مع أنّها تنسب نفس الأفعال في آيات أُخرى إلى غير اللَّه أيضاً، وما هذا إلّالعدم التنافي بين النسبتين لاختلاف نوعيتهما فهي محصورة في اللَّه سبحانه مع قيد الاستقلال، ومع ذلك تنسب إلى غير اللَّه مع قيد التبعية والعرضية</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3147752_373438147"/>
      <w:bookmarkStart w:id="68" w:name="_Toc25"/>
      <w:bookmarkEnd w:id="67"/>
      <w:r>
        <w:rPr>
          <w:rtl w:val="true"/>
        </w:rPr>
        <w:t>الآيات التي تنسب الظواهر الكونية إلى اللَّه وإلى غيره</w:t>
      </w:r>
      <w:r>
        <w:rPr>
          <w:rtl w:val="true"/>
        </w:rPr>
        <w:t>:</w:t>
      </w:r>
      <w:bookmarkEnd w:id="68"/>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مَرِضْتُ فَهُوَ يَشْفِينِ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يقول سبحانه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العسل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شِفاءٌ</w:t>
      </w:r>
    </w:p>
    <w:p>
      <w:pPr>
        <w:pStyle w:val="BookText"/>
        <w:rPr/>
      </w:pP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هُوَ الرَّزّاقُ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وارْزُقُوهُمْ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أَأَنْتُمْ تَزْرَعُونَهُ أمْ نَحْنُ الزّارِعُونَ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يُعْجِبُ الزُّرّاعَ لِيَغِظَ بِهِمُ الكُفّارُ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يَكْتُبُ ما يُبَيِّتُونَ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ورُسُلُنا لَدَيْهِمْ يَكْتُبُونَ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اسْتَوى عَلَى العَرْشِ يُدَبِّرُ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فالمُدَبِّراتِ أَمراً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 حِينَ مَوْتِها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تَتَوَفّاهُمُ المَلائِكَةُ طَيِّبينَ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الآيات التي تنسب الظواهر الكونية تارة إلى اللَّه، وتارة إلى غيره تعالى</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المحصور باللَّه تعالى هو انتساب هذه الأُمور على نحو الاستقلال، وأمّا المنسوب إلى غيره فهو على نحو التبعية، وبإذنه تعالى، ولا تعارض بين</w:t>
      </w:r>
      <w:bookmarkStart w:id="69" w:name="pg1263_7328"/>
    </w:p>
    <w:p>
      <w:pPr>
        <w:pStyle w:val="BookText"/>
        <w:rPr/>
      </w:pPr>
      <w:bookmarkEnd w:id="69"/>
      <w:r>
        <w:rPr>
          <w:rFonts w:ascii="Amiri" w:hAnsi="Amiri" w:eastAsia="Amiri" w:cs="Amiri"/>
          <w:color w:val="111111"/>
          <w:sz w:val="28"/>
          <w:sz w:val="28"/>
          <w:szCs w:val="28"/>
          <w:rtl w:val="true"/>
          <w:lang w:bidi="ar-SA"/>
        </w:rPr>
        <w:t>النسبتين ولا بين الاعتقاد بكليهما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اعتقد بأنّ هذه الظواهر الكونية مستندة إلى غير اللَّه على وجه التبعية لا الاستقلال لم يكن مخطئاً ولا مشركاً، وكذا من استعان بالنبيّ أو الإمام على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أنّه تعالى الذي يعلّمنا أن نستعين به 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 وإيّاكَ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يحثُّنا في آية أُخرى على الاستعانة بالصبر والصلاة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وَاسْتَعِينُوا بِالصَّبْرِ والصَّلاةِ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الصبر والصلاة إلّافعل الإنسان نفسه</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3147754_373438147"/>
      <w:bookmarkStart w:id="71" w:name="_Toc26"/>
      <w:bookmarkEnd w:id="70"/>
      <w:r>
        <w:rPr>
          <w:rtl w:val="true"/>
        </w:rPr>
        <w:t>حصيلة البحث</w:t>
      </w:r>
      <w:r>
        <w:rPr>
          <w:rtl w:val="true"/>
        </w:rPr>
        <w:t>:</w:t>
      </w:r>
      <w:bookmarkEnd w:id="71"/>
    </w:p>
    <w:p>
      <w:pPr>
        <w:pStyle w:val="BookText"/>
        <w:rPr/>
      </w:pPr>
      <w:r>
        <w:rPr>
          <w:rFonts w:ascii="Amiri" w:hAnsi="Amiri" w:eastAsia="Amiri" w:cs="Amiri"/>
          <w:color w:val="111111"/>
          <w:sz w:val="28"/>
          <w:sz w:val="28"/>
          <w:szCs w:val="28"/>
          <w:rtl w:val="true"/>
          <w:lang w:bidi="ar-SA"/>
        </w:rPr>
        <w:t>إنّ الآيات الواردة حول الاستعانة على صنفين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يحصر الاستعانة في اللَّه فقط ويعتبره الناصر والمعين الوحيد دون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والصنف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يدعونا إلى سلسلة من الأُمور المعينة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ويعتبرها ناصرة ومعينة، إلى جانب اللَّه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اتضح من البيان السابق وجه الجمع بين هذين النوعين من الآيات، وتبيّن أنّه لا تعارض بين الصنفين</w:t>
      </w:r>
    </w:p>
    <w:p>
      <w:pPr>
        <w:pStyle w:val="BookText"/>
        <w:rPr/>
      </w:pPr>
      <w:r>
        <w:rPr>
          <w:rFonts w:ascii="Amiri" w:hAnsi="Amiri" w:eastAsia="Amiri" w:cs="Amiri"/>
          <w:color w:val="111111"/>
          <w:sz w:val="28"/>
          <w:sz w:val="28"/>
          <w:szCs w:val="28"/>
          <w:rtl w:val="true"/>
          <w:lang w:bidi="ar-SA"/>
        </w:rPr>
        <w:t xml:space="preserve">مطلقاً، إلّاأنّ فريقاً نجدهم يتمسّكون بالصنف الأوّل من الآيات فيخطِّئون أيّ نوع من الاستعانة بغير اللَّه، ثم يضطرّون إلى إخراج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الاستعانة بالقدرة الإنسانية والأسباب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عموم تلك الآيات الحاصرة للاستعانة باللَّه بنحو التخصيص، بمعنى أنّهم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الاستعانة لا تجوز إلّاباللَّه إلّافي الموارد التي أذن اللَّه بها، وأجاز أن يستعان فيها بغيره، فتكون الاستعانة بالقدرة الإنسانية والعوامل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استعانة بغير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جائزة ومشروعة على وجه التخصيص، وهذا ممّا لا يرتضيه الموحّد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 أنّ هدف الآيات هو غير هذا تماماً، فإنّ مجموع الآيات يدعو إلى أمر واحد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الاستعانة بغير اللَّه، وأنّ الاستعانة بالعوامل الأُخرى يجب أن تكون بنحو لا يتنافى مع حصر الاستعانة في اللَّه بل تكون بحيث تعدّ استعانة باللَّه لا استعانة بغيره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الآيات تريد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المعين والناصر الوحيد والذي يستمدّ منه كلّ معين وناصر، قدرته وتأثيره، ليس إلّااللَّه سبحانه، ولكنّه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w:t>
      </w:r>
    </w:p>
    <w:p>
      <w:pPr>
        <w:pStyle w:val="BookText"/>
        <w:rPr/>
      </w:pPr>
      <w:r>
        <w:rPr>
          <w:rFonts w:ascii="Amiri" w:hAnsi="Amiri" w:eastAsia="Amiri" w:cs="Amiri"/>
          <w:color w:val="111111"/>
          <w:sz w:val="28"/>
          <w:sz w:val="28"/>
          <w:szCs w:val="28"/>
          <w:rtl w:val="true"/>
          <w:lang w:bidi="ar-SA"/>
        </w:rPr>
        <w:t>هذا الكون على سلسلة من الأسباب والعلل التي تعمل بقدرته وأمر باستمداد الفرع من الأصل، ولذلك تكون الاستعانة به كالاستعانة باللَّه، ذلك لأنّ الاستعانة بالفرع استعانة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فيما يلي إشارة إلى بعض الآيات من الصنفين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النَّصرُ إلّامِنْ عِنْدِ اللَّهِ العَزيزِ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 وإيّاكَ نَستَعِينُ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النَّصْرُ إلّامِنْ عِنْدِ اللَّهِ إنَّ اللَّهَ عَزِيزٌ 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الآيات نماذج من الصنف الأول وإليك فيما يأتي نماذج من الصنف الآخر الذي يدعونا إلى الاستعانة بغير اللَّه من العوامل والأسباب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وَاسْتَعِينُوا بِالصَّبْرِ والصَّلاةِ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وتَعاوَنُوا عَلَى البِرِّ وَالتَّقْوى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مَكَّنِّي فِيهِ رَبِّي خَيرٌ فَأعِينُونِي بِقُوَّةٍ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اسْتَنْصَرُوكُمْ فِي الدِّينِ فَعَليْكُمُ النَّصْرُ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ومفتاح حلّ التعارض بين هذين الصنفين من الآيات هو ما ذكرناه وملخّصه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في الكون مؤثراً تاماً، ومستقلًا واحداً، غير معتمد</w:t>
      </w:r>
    </w:p>
    <w:p>
      <w:pPr>
        <w:pStyle w:val="BookText"/>
        <w:rPr/>
      </w:pPr>
      <w:r>
        <w:rPr>
          <w:rFonts w:ascii="Amiri" w:hAnsi="Amiri" w:eastAsia="Amiri" w:cs="Amiri"/>
          <w:color w:val="111111"/>
          <w:sz w:val="28"/>
          <w:sz w:val="28"/>
          <w:szCs w:val="28"/>
          <w:rtl w:val="true"/>
          <w:lang w:bidi="ar-SA"/>
        </w:rPr>
        <w:t>على غيره لا في وجوده ولا في فعله وهو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العوامل الأُخر فجميعها مفتقرة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وجودها وفعلها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وهي تؤدي ما تؤدي بإذنه ومشيئته وقدرته، ولو لم يعط سبحانه تلك العوامل ما أعطاها من القدرة ولم تجر مشيئته على الاستمداد منها لما كانت لها أيّة قدرة على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فالمعين الحقيقي في كل المراحل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النحو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فلا يمكن الاستعانة بأحد باعتباره معيناً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الجهة حصر هنا الاستعانة في اللَّه وحده، ولكن هذا لا يمنع بتاتاً من الاستعانة بغير اللَّه باعتباره غير مستقلّ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باعتباره معيناً بالاعتماد على القدرة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أنّ استعانة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تنافي حصر الاستعانة في اللَّه سبحانه لسببين</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الاستعانة المخصوصة باللَّه هي غير الاستعانة بالعوامل الأُخرى، فالاستعانة المخصوصة باللَّه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تكون باعتقاد أنّه قادر على إعانتنا بالذات، وبدون الاعتماد على غيرها، في حين أنّ الاستعانة بغير اللَّه سبحانه إمّا هي على نحو آخر، أي مع الاعتقاد بأنّ المستعان قادر</w:t>
      </w:r>
    </w:p>
    <w:p>
      <w:pPr>
        <w:pStyle w:val="BookText"/>
        <w:rPr/>
      </w:pPr>
      <w:r>
        <w:rPr>
          <w:rFonts w:ascii="Amiri" w:hAnsi="Amiri" w:eastAsia="Amiri" w:cs="Amiri"/>
          <w:color w:val="111111"/>
          <w:sz w:val="28"/>
          <w:sz w:val="28"/>
          <w:szCs w:val="28"/>
          <w:rtl w:val="true"/>
          <w:lang w:bidi="ar-SA"/>
        </w:rPr>
        <w:t>على الإعانة مستنداً على القدرة الإلهية، لا بالذات، وبنحو الاستقلال، فإذا كانت الاستعانة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النحول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باللَّه تعالى فإنّ ذلك لا يدل على أنّ الاستعانة بصورتها الثانية مخصوصة 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منفكّة عن الاستعانة باللَّه، بل هي عين الاستعانة به تعالى، وليس في نظر الموحّد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يرى أنّ الكون كلّه من فعل اللَّه ومستنداً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مناص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نذكّر القارئ الكريم بأنّ مؤلّف المنار حيث إنّه لم يتصوّر للاستعانة بالأرواح إلّاصورة واحدة لذلك اعتبرها ملازمة للشرك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يستعينون بأصحاب الأضرحة والقبور على قضاء حوائجهم وتيسير أُمورهم وشفاء أمراضهم ونماء حرثهم وزرعهم، وهلاك أعدائهم وغير ذلك من المصالح هم عن صراط التوحيد ناكبون، وعن ذكر اللَّه معرضون</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الاستعانة بغير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كالاستعانة</w:t>
      </w:r>
    </w:p>
    <w:p>
      <w:pPr>
        <w:pStyle w:val="BookText"/>
        <w:rPr/>
      </w:pPr>
      <w:r>
        <w:rPr>
          <w:rFonts w:ascii="Amiri" w:hAnsi="Amiri" w:eastAsia="Amiri" w:cs="Amiri"/>
          <w:color w:val="111111"/>
          <w:sz w:val="28"/>
          <w:sz w:val="28"/>
          <w:szCs w:val="28"/>
          <w:rtl w:val="true"/>
          <w:lang w:bidi="ar-SA"/>
        </w:rPr>
        <w:t>بالعوامل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 عين التوحيد، والأُخرى موجبة للشرك، إحداهما مذكّرة باللَّه، والأُخرى مبعدة عن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حدّ التوحيد والشرك ليس هو كون الأسباب ظاهرية أو غير ظاهرية وإنّما هو استقلال المعين وعدم استقلاله، وبعبارة أُخرى المقياس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الغنى والفقر، هو الأصالة وعدم الأصالة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الاستعانة بالعوامل غير المستقلّة المستندة إلى اللَّه، التي‌لا تعمل ولا تؤثر إلّا بإذنه تعالى غير موجبة للغفلة عن اللَّه، بل هو خير موجّه، ومذكّر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انقطاع كلّ الأسباب وانتهاء كلّ العلل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هذا كيف يقول صاحب المنار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عن ذكر اللَّه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هذا النوع من الاستعانة موجباً لنسيان اللَّه والغفلة عنه للزم أن تكون الاستعانة بالأسباب المادية الطبيعية هي أيضاً موجبة للغفلة عنه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الأعجب من ذلك هو شيخ الأزهر الشيخ محمود شلتوت الذي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كلمات عبده دون زيادة ونقصان، وختم المسألة بذلك، وأخذ</w:t>
      </w:r>
      <w:bookmarkStart w:id="72" w:name="pg1263_7334"/>
    </w:p>
    <w:p>
      <w:pPr>
        <w:pStyle w:val="BookText"/>
        <w:rPr/>
      </w:pPr>
      <w:bookmarkEnd w:id="72"/>
      <w:r>
        <w:rPr>
          <w:rFonts w:ascii="Amiri" w:hAnsi="Amiri" w:eastAsia="Amiri" w:cs="Amiri"/>
          <w:color w:val="111111"/>
          <w:sz w:val="28"/>
          <w:sz w:val="28"/>
          <w:szCs w:val="28"/>
          <w:rtl w:val="true"/>
          <w:lang w:bidi="ar-SA"/>
        </w:rPr>
        <w:t xml:space="preserve">بالحصر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نَسْنَعِين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غافلًا عن حقيقة الآية وعن الآيات الأُخرى المتعرّضة لمسألة الاستعانة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 w:name="__RefHeading___Toc3147756_373438147"/>
      <w:bookmarkStart w:id="74" w:name="_Toc27"/>
      <w:bookmarkEnd w:id="73"/>
      <w:r>
        <w:rPr>
          <w:rtl w:val="true"/>
        </w:rPr>
        <w:t>اجابة على سؤال‌</w:t>
      </w:r>
      <w:bookmarkEnd w:id="74"/>
    </w:p>
    <w:p>
      <w:pPr>
        <w:pStyle w:val="BookText"/>
        <w:rPr/>
      </w:pPr>
      <w:r>
        <w:rPr>
          <w:rFonts w:ascii="Amiri" w:hAnsi="Amiri" w:eastAsia="Amiri" w:cs="Amiri"/>
          <w:color w:val="111111"/>
          <w:sz w:val="28"/>
          <w:sz w:val="28"/>
          <w:szCs w:val="28"/>
          <w:rtl w:val="true"/>
          <w:lang w:bidi="ar-SA"/>
        </w:rPr>
        <w:t>إذا كانت الاستعانة بالغير على النحو الذي بينّاه جائزة فهي تستلزم نداء أولياء اللَّه والاستغاثة بهم في الشدائد والمكاره، وهي غير جائزة وذلك لأنّ نداء غير اللَّه في المصائب والحوائج تشريك الغير مع اللَّه، يقول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الْمَسَاجِدَ للَّهِ فَلَا تَدْعُوا مَعَ اللَّهِ أَحَداً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تَدْعُونَ مِنْ دُونِهِ لَايَسْتَطِيعُونَ نَصْرَكُمْ وَلَا أَنْفُسَهُمْ يَنْصُرُونَ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عزّ من 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تَدْعُونَ مِنْ دُونِهِ مَا يَمْلِكُونَ مِنْ قِطْمِيرٍ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الآيات التي تخص الدعاء للَّه‌ولا تسيغ دعوة غيره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طرح هذا السؤال الشيخ الصنعاني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سمّى اللَّه الدعاء عبادة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 إِنَّ الَّذِينَ يَسْتَكْبِرُونَ عَنْ عِبَادَتِي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هتف باسم نبيّ أو صالح بشي‌ء</w:t>
      </w:r>
    </w:p>
    <w:p>
      <w:pPr>
        <w:pStyle w:val="BookText"/>
        <w:rPr/>
      </w:pPr>
      <w:r>
        <w:rPr>
          <w:rFonts w:ascii="Amiri" w:hAnsi="Amiri" w:eastAsia="Amiri" w:cs="Amiri"/>
          <w:color w:val="111111"/>
          <w:sz w:val="28"/>
          <w:sz w:val="28"/>
          <w:szCs w:val="28"/>
          <w:rtl w:val="true"/>
          <w:lang w:bidi="ar-SA"/>
        </w:rPr>
        <w:t xml:space="preserve">فقد دعا النبي والصالح، والدعاء عبادة بل مخُّها فقد عبد غير اللَّه وصار مشركاً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النقطة الحاسمة في الموضوع تكمن في تفسير الدعاء وهل كل دعاء عبادة وبينهما من النسب الأربع هي التساوي حتى يصح لنا أن نقول كل دعاء عبادة، وكل عبادة دعاء، أو أنّ الدعاء أعمّ من العبادة وأنّ قسماً من الدعاء عبادة وقسماً منه ليس كذلك؟ والكتاب العزيز يوافق الثاني لا الأول، وإليك التوضيح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استعمل القرآن لفظ الدعاء في مواضع عديدة ولا يصح وضع لفظ العبادة مكانه، يقول سبحانه حاكياً عن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إِنِّي دَعَوْتُ قَوْمِي لَيْلًا وَنَهَاراً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سبحانه حاكياً عن لسان إبليس في خطابه للمذنبين يوم القيامة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لِي عَلَيْكُمْ مِنْ سُلْطَانٍ إِلَّا أَنْ دَعَوْتُكُمْ فَاسْتَجَبْتُمْ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غيرهما من الآيات التي ورد فيها لفظ الدعاء، أفيصح القول بأنّ نوحاً دعا قومه أي عبدهم، أو أنّ الشيطان دعا المذنبين أي عبدهم؟ كل ذلك يحفزنا إلى أن</w:t>
      </w:r>
    </w:p>
    <w:p>
      <w:pPr>
        <w:pStyle w:val="BookText"/>
        <w:rPr/>
      </w:pPr>
      <w:r>
        <w:rPr>
          <w:rFonts w:ascii="Amiri" w:hAnsi="Amiri" w:eastAsia="Amiri" w:cs="Amiri"/>
          <w:color w:val="111111"/>
          <w:sz w:val="28"/>
          <w:sz w:val="28"/>
          <w:szCs w:val="28"/>
          <w:rtl w:val="true"/>
          <w:lang w:bidi="ar-SA"/>
        </w:rPr>
        <w:t>نقف في تفسير الدعاء وقفة تمعّن حتى نميّز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عبادة عمّا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والإمعان فيما تقدم في تفسير العبادة يميِّز بين القسمين فلو كان الداعي والمستعين بالغير معتقداً بألوهية المستعان ولو ألوهية صغيرة كان دعاؤه عبادة ولأجل ذلك كان دعاء عبدة الأصنام عبادة لاعتقادهم بألوهيتها،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أَغْنَتْ عَنْهُمْ آلِهَتُهُمُ الَّتِي يَدْعُونَ مِنْ دُونِ اللَّهِ مِنْ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ورد من الآيات في السؤال كلها من هذا القبيل فأنها وردت في حق المشركين القائلين بألوهية أصنامهم وأوثانهم باعتقاد استقلالهم في التصرف والشفاعة وتفويض الأُمور إليهم ولو في بعض الشؤون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هذا المجال يعود كل دعاء عبادة، ويفسر الدعاء في الآيات الماضية والتالية بالعبادة،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تَدْعُونَ مِنْ دُونِ اللَّهِ عِبَادٌ أَمْثَالُكُمْ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ادْعُوا الَّذِينَ زَعَمْتُمْ مِنْ دُونِهِ فَلَا يَمْلِكُونَ كَشْفَ الضُّرِّ عَنْكُمْ وَلَا تَحْوِيلَا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يَدعُونَ يَبْتَغُونَ إِلَى رَبِّهِمُ الوَسِيلَةُ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تَدْعُ مِنْ دُونِ اللَّهِ مَا لَايَنْفَعُكَ وَلَإ</w:t>
      </w:r>
    </w:p>
    <w:p>
      <w:pPr>
        <w:pStyle w:val="BookText"/>
        <w:rPr/>
      </w:pPr>
      <w:r>
        <w:rPr>
          <w:rFonts w:ascii="Amiri" w:hAnsi="Amiri" w:eastAsia="Amiri" w:cs="Amiri"/>
          <w:color w:val="111111"/>
          <w:sz w:val="28"/>
          <w:sz w:val="28"/>
          <w:szCs w:val="28"/>
          <w:rtl w:val="true"/>
          <w:lang w:bidi="ar-SA"/>
        </w:rPr>
        <w:t>يَضُرُّكَ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تَدْعُوهُمْ لَايَسْمَعُوا دُعَاءَكُمْ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ورد في الأثر من أنّ الدعاء مُخّ العبادة، أُريد منه دعاء اللَّه أو دعاء الآلهة لا مطلق الدعاء وإن كان المدعوّ غير إله لا حقيقةً أو اعتقاداً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روايات أئمة أهل البيت إلماع إلى ذلك، يقول الإمام زين العابدين في ضمن دعائه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فسميت دعاءك عبادة وتركه استكباراً وتوعّدت على تركه دخول جهنم داخرين</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وهو يشير في كلامه هذا إلى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رَبُّكُمُ ادْعُونِي أَسْتَجِبْ لَكُمْ إِنَّ الَّذِينَ يَسْتَكْبِرُونَ عَنْ عِبَادَتِي سَيَدْخُلُونَ جَهَنَّمَ دَاخِرِينَ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الدعاء المساوي للعبادة وهناك قسم آخر منه لا صلة بينه وبين العبادة وهو فيما إذا دعا شخصاً بما أنه إنسان وعبد من عباد اللَّه غير أنه قادر على إنجاز طلبه باقدار منه تعالى وإذن منه، فليس مثل هذه الدعوة عبادة بل سنة من السنن الإلهية في الكون، هذا هو ذو القرنين يواجه قوماً مضطهدين يطلبون منه أن يجعل بينهم وبين يأجوج ومأجوج سداً فعند ذلك يخاطبهم ذو القرنين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p>
    <w:p>
      <w:pPr>
        <w:pStyle w:val="BookText"/>
        <w:rPr/>
      </w:pPr>
      <w:r>
        <w:rPr>
          <w:rFonts w:ascii="Amiri" w:hAnsi="Amiri" w:eastAsia="Amiri" w:cs="Amiri"/>
          <w:color w:val="111111"/>
          <w:sz w:val="28"/>
          <w:sz w:val="28"/>
          <w:szCs w:val="28"/>
          <w:rtl w:val="true"/>
          <w:lang w:bidi="ar-SA"/>
        </w:rPr>
        <w:t>مَكَّنِّي فِيهِ ربِّي خَيْرٌ فَأَعِينُونِي بِقُوَّةٍ أَجْعَلْ بَيْنَكُمْ وَبَيْنَهُمْ رَدْماً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هو الذي من شيعة موسى يستغيث به،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فَاسْتَغَاثَهُ الَّذِي مِنْ شِيعَتِهِ عَلَى الَّذِي مِنْ عَدُوِّهِ فَوَكَزَهُ مُوسَى فَقَضَى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النبي الأكرم صلى الله عليه و آله يدعو قومه للذبِّ عن الإسلام في غزوة أُحد وقد تولوا عنه،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تُصْعِدُونَ وَلَا تَلْوُونَ عَلَى أَحَدٍ وَالرَّسُولُ يَدْعُوكُمْ فِي أُخْرَاكُمْ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النوع من الدعاء قامت عليه الحياة البشرية، فليس هو عبادة وإنّما هو توسل بالأسباب، فإن كان السبب قادراً على إنجاز المطلوب كان الدعاء أمراً عقلائياً وإلّا يكون لغواً وعبثاً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القائلين بأنّ دعاء الصالحين عبادة، عند مواجهتهم لهذا القسم من الآيات وما تقتضيه الحياة الاجتماعية، يتشبثون بكلّ طحلب حتى ينجيهم من الغرق ويقولون إنّ هذه الآيات تعود على الأحياء ولا صلة لها بدعاء الأموات، فكون القسم الأول جائزاً وانّه غير عبادة؛ لا يلازم جواز القسم الثاني وكونه غير عبادة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عزب عن هؤلاء انّ الحياة والموت ليسا حدين للتوحيد والشرك ولا ملاكين لهما، بل هما حدان لكون</w:t>
      </w:r>
    </w:p>
    <w:p>
      <w:pPr>
        <w:pStyle w:val="BookText"/>
        <w:rPr/>
      </w:pPr>
      <w:r>
        <w:rPr>
          <w:rFonts w:ascii="Amiri" w:hAnsi="Amiri" w:eastAsia="Amiri" w:cs="Amiri"/>
          <w:color w:val="111111"/>
          <w:sz w:val="28"/>
          <w:sz w:val="28"/>
          <w:szCs w:val="28"/>
          <w:rtl w:val="true"/>
          <w:lang w:bidi="ar-SA"/>
        </w:rPr>
        <w:t>الدعاء مفيداً أو لا، وبتعبير آخر ملاكان للجدوائية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الصالح المدعو غير قادر لأجل موته مثلًا تكون الدعوة أمراً غير مفيد لا عبادة له، ومن الغريب أن يكون طلب شي‌ء من الحيِّ نفس التوحيد ومن الميت نفس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يوقفنا على أنّ القوم لم يدرسوا ملاكات التوحيد والشرك بل لم يدرسوا الآيات الواردة في النهي عن دعاء غيره، فأخذوا بحرفية الآيات من دون تدبر مع أنّه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أَنْزَلْنَاهُ إِلَيْكَ مُبَارَكٌ لِيدَّبَّرُوا آيَاتِهِ وَليتذكَّرَ أُولُوا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الكلام في أنّ دعاء الصالحين بعد انتقالهم إلى رحمة اللَّه مفيد أو لا، يتطلب مجالًا آخراً وسوف نستوفي الكلام عنه في رسالة خاصة حول وجود الصلة بيننا وبين أولياء اللَّه في ضوء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تحريراً في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المظفر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التفسير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ط دار المعرفة، بيروت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الزجاج، معاني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البغوي، التفسير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زاد المستنير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البيضاوي، أنوار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جامع أحكام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في تفسير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إيّاكَ نعبدُ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البحوث الإسلامية، العدد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نقلا عن كتاب العبودية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البلاغي، آلاء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ط صيدا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حنبل، العلل ومعرفة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3243</w:t>
      </w:r>
      <w:r>
        <w:rPr>
          <w:rFonts w:ascii="IRNazanin" w:hAnsi="IRNazanin" w:eastAsia="IRNazanin"/>
          <w:b w:val="false"/>
          <w:b w:val="false"/>
          <w:bCs w:val="false"/>
          <w:i w:val="false"/>
          <w:i w:val="false"/>
          <w:iCs w:val="false"/>
          <w:color w:val="333333"/>
          <w:sz w:val="20"/>
          <w:sz w:val="20"/>
          <w:szCs w:val="20"/>
          <w:rtl w:val="true"/>
        </w:rPr>
        <w:t xml:space="preserve">، تحقيق الدكتور وصي اللَّه عباس، ط بيروت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المحقق، نفس الصفحة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ذكر هذه القضية جمع كثير من المؤرخين، منهم السمهودي في وفاء الوفا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والخالدي في صلح الاخوان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وغيرهما</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وغيره من المصادر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شلتوت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الصنعاني، تنزيه الاعتقاد كما في كشف الارتياب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دعاؤه برقم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image" Target="media/image2.jpeg"/><Relationship Id="rId66" Type="http://schemas.openxmlformats.org/officeDocument/2006/relationships/image" Target="media/image2.jpeg"/><Relationship Id="rId67" Type="http://schemas.openxmlformats.org/officeDocument/2006/relationships/footer" Target="footer60.xml"/><Relationship Id="rId68" Type="http://schemas.openxmlformats.org/officeDocument/2006/relationships/footnotes" Target="footnotes.xml"/><Relationship Id="rId69" Type="http://schemas.openxmlformats.org/officeDocument/2006/relationships/numbering" Target="numbering.xml"/><Relationship Id="rId70" Type="http://schemas.openxmlformats.org/officeDocument/2006/relationships/fontTable" Target="fontTable.xml"/><Relationship Id="rId71" Type="http://schemas.openxmlformats.org/officeDocument/2006/relationships/settings" Target="settings.xml"/><Relationship Id="rId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63</Pages>
  <Words>8041</Words>
  <Characters>36891</Characters>
  <CharactersWithSpaces>44547</CharactersWithSpaces>
  <Paragraphs>436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2026-08-16T13:14:38Z</dcterms:created>
  <dc:creator>ghaemiyeh.com</dc:creator>
  <dc:description/>
  <dc:language>en-US</dc:language>
  <cp:lastModifiedBy/>
  <dcterms:modified xsi:type="dcterms:W3CDTF">2026-08-16T16:44:41Z</dcterms:modified>
  <cp:revision>1</cp:revision>
  <dc:subject/>
  <dc:title>العباده حدها و مفهومها</dc:title>
</cp:coreProperties>
</file>

<file path=docProps/custom.xml><?xml version="1.0" encoding="utf-8"?>
<Properties xmlns="http://schemas.openxmlformats.org/officeDocument/2006/custom-properties" xmlns:vt="http://schemas.openxmlformats.org/officeDocument/2006/docPropsVTypes"/>
</file>