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دراسات فقهیة فی مسائل خلافیة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3360_37343814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103362_37343814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103364_373438147">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3103366_373438147">
            <w:r>
              <w:rPr>
                <w:webHidden/>
                <w:rStyle w:val="IndexLink"/>
                <w:rtl w:val="true"/>
              </w:rPr>
              <w:t>القسم الأوّل الزواج الموقّت عند الصحابة و التابعين</w:t>
            </w:r>
            <w:r>
              <w:rPr>
                <w:rStyle w:val="IndexLink"/>
                <w:rtl w:val="true"/>
              </w:rPr>
              <w:tab/>
            </w:r>
            <w:r>
              <w:rPr>
                <w:rStyle w:val="IndexLink"/>
              </w:rPr>
              <w:t>17</w:t>
            </w:r>
          </w:hyperlink>
        </w:p>
        <w:p>
          <w:pPr>
            <w:pStyle w:val="Contents3"/>
            <w:tabs>
              <w:tab w:val="clear" w:pos="8459"/>
              <w:tab w:val="right" w:pos="9026" w:leader="dot"/>
            </w:tabs>
            <w:rPr/>
          </w:pPr>
          <w:hyperlink w:anchor="__RefHeading___Toc3103368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103370_373438147">
            <w:r>
              <w:rPr>
                <w:webHidden/>
                <w:rStyle w:val="IndexLink"/>
                <w:rtl w:val="true"/>
              </w:rPr>
              <w:t>روايات من أهل السنة</w:t>
            </w:r>
            <w:r>
              <w:rPr>
                <w:rStyle w:val="IndexLink"/>
                <w:rtl w:val="true"/>
              </w:rPr>
              <w:tab/>
            </w:r>
            <w:r>
              <w:rPr>
                <w:rStyle w:val="IndexLink"/>
              </w:rPr>
              <w:t>18</w:t>
            </w:r>
          </w:hyperlink>
        </w:p>
        <w:p>
          <w:pPr>
            <w:pStyle w:val="Contents3"/>
            <w:tabs>
              <w:tab w:val="clear" w:pos="8459"/>
              <w:tab w:val="right" w:pos="9026" w:leader="dot"/>
            </w:tabs>
            <w:rPr/>
          </w:pPr>
          <w:hyperlink w:anchor="__RefHeading___Toc3103372_373438147">
            <w:r>
              <w:rPr>
                <w:webHidden/>
                <w:rStyle w:val="IndexLink"/>
                <w:rtl w:val="true"/>
              </w:rPr>
              <w:t>الفصل الأوّل</w:t>
            </w:r>
            <w:r>
              <w:rPr>
                <w:rStyle w:val="IndexLink"/>
                <w:rtl w:val="true"/>
              </w:rPr>
              <w:t xml:space="preserve">: </w:t>
            </w:r>
            <w:r>
              <w:rPr>
                <w:rStyle w:val="IndexLink"/>
                <w:rtl w:val="true"/>
              </w:rPr>
              <w:t>الصحابة</w:t>
            </w:r>
            <w:r>
              <w:rPr>
                <w:rStyle w:val="IndexLink"/>
                <w:rtl w:val="true"/>
              </w:rPr>
              <w:tab/>
            </w:r>
            <w:r>
              <w:rPr>
                <w:rStyle w:val="IndexLink"/>
              </w:rPr>
              <w:t>19</w:t>
            </w:r>
          </w:hyperlink>
        </w:p>
        <w:p>
          <w:pPr>
            <w:pStyle w:val="Contents4"/>
            <w:tabs>
              <w:tab w:val="clear" w:pos="8176"/>
              <w:tab w:val="right" w:pos="9026" w:leader="dot"/>
            </w:tabs>
            <w:rPr/>
          </w:pPr>
          <w:hyperlink w:anchor="__RefHeading___Toc3103374_373438147">
            <w:r>
              <w:rPr>
                <w:webHidden/>
                <w:rStyle w:val="IndexLink"/>
                <w:rtl w:val="true"/>
              </w:rPr>
              <w:t xml:space="preserve">تعريف المتعة </w:t>
            </w:r>
            <w:r>
              <w:rPr>
                <w:rStyle w:val="IndexLink"/>
                <w:rtl w:val="true"/>
              </w:rPr>
              <w:t>(</w:t>
            </w:r>
            <w:r>
              <w:rPr>
                <w:rStyle w:val="IndexLink"/>
                <w:rtl w:val="true"/>
              </w:rPr>
              <w:t>الزواج الموقّت</w:t>
            </w:r>
            <w:r>
              <w:rPr>
                <w:rStyle w:val="IndexLink"/>
                <w:rtl w:val="true"/>
              </w:rPr>
              <w:t>)</w:t>
              <w:tab/>
            </w:r>
            <w:r>
              <w:rPr>
                <w:rStyle w:val="IndexLink"/>
              </w:rPr>
              <w:t>19</w:t>
            </w:r>
          </w:hyperlink>
        </w:p>
        <w:p>
          <w:pPr>
            <w:pStyle w:val="Contents4"/>
            <w:tabs>
              <w:tab w:val="clear" w:pos="8176"/>
              <w:tab w:val="right" w:pos="9026" w:leader="dot"/>
            </w:tabs>
            <w:rPr/>
          </w:pPr>
          <w:hyperlink w:anchor="__RefHeading___Toc3103376_373438147">
            <w:r>
              <w:rPr>
                <w:webHidden/>
                <w:rStyle w:val="IndexLink"/>
                <w:rtl w:val="true"/>
              </w:rPr>
              <w:t>الزواج الموقّت عند الصحابة</w:t>
            </w:r>
            <w:r>
              <w:rPr>
                <w:rStyle w:val="IndexLink"/>
                <w:rtl w:val="true"/>
              </w:rPr>
              <w:tab/>
            </w:r>
            <w:r>
              <w:rPr>
                <w:rStyle w:val="IndexLink"/>
              </w:rPr>
              <w:t>20</w:t>
            </w:r>
          </w:hyperlink>
        </w:p>
        <w:p>
          <w:pPr>
            <w:pStyle w:val="Contents5"/>
            <w:tabs>
              <w:tab w:val="clear" w:pos="7892"/>
              <w:tab w:val="right" w:pos="9026" w:leader="dot"/>
            </w:tabs>
            <w:rPr/>
          </w:pPr>
          <w:hyperlink w:anchor="__RefHeading___Toc3103378_37343814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103380_373438147">
            <w:r>
              <w:rPr>
                <w:webHidden/>
                <w:rStyle w:val="IndexLink"/>
              </w:rPr>
              <w:t>1</w:t>
            </w:r>
            <w:r>
              <w:rPr>
                <w:rStyle w:val="IndexLink"/>
                <w:rtl w:val="true"/>
              </w:rPr>
              <w:t xml:space="preserve">. </w:t>
            </w:r>
            <w:r>
              <w:rPr>
                <w:rStyle w:val="IndexLink"/>
                <w:rtl w:val="true"/>
              </w:rPr>
              <w:t xml:space="preserve">عمران بن الحصين الخزاعي </w:t>
            </w:r>
            <w:r>
              <w:rPr>
                <w:rStyle w:val="IndexLink"/>
                <w:rtl w:val="true"/>
              </w:rPr>
              <w:t>(</w:t>
            </w:r>
            <w:r>
              <w:rPr>
                <w:rStyle w:val="IndexLink"/>
                <w:rtl w:val="true"/>
              </w:rPr>
              <w:t xml:space="preserve">ت </w:t>
            </w:r>
            <w:r>
              <w:rPr>
                <w:rStyle w:val="IndexLink"/>
              </w:rPr>
              <w:t>52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w:t>
            </w:r>
          </w:hyperlink>
        </w:p>
        <w:p>
          <w:pPr>
            <w:pStyle w:val="Contents6"/>
            <w:tabs>
              <w:tab w:val="clear" w:pos="7609"/>
              <w:tab w:val="right" w:pos="9026" w:leader="dot"/>
            </w:tabs>
            <w:rPr/>
          </w:pPr>
          <w:hyperlink w:anchor="__RefHeading___Toc3103382_373438147">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3103384_373438147">
            <w:r>
              <w:rPr>
                <w:webHidden/>
                <w:rStyle w:val="IndexLink"/>
                <w:rtl w:val="true"/>
              </w:rPr>
              <w:t>التعريف بعمران</w:t>
            </w:r>
            <w:r>
              <w:rPr>
                <w:rStyle w:val="IndexLink"/>
                <w:rtl w:val="true"/>
              </w:rPr>
              <w:tab/>
            </w:r>
            <w:r>
              <w:rPr>
                <w:rStyle w:val="IndexLink"/>
              </w:rPr>
              <w:t>22</w:t>
            </w:r>
          </w:hyperlink>
        </w:p>
        <w:p>
          <w:pPr>
            <w:pStyle w:val="Contents5"/>
            <w:tabs>
              <w:tab w:val="clear" w:pos="7892"/>
              <w:tab w:val="right" w:pos="9026" w:leader="dot"/>
            </w:tabs>
            <w:rPr/>
          </w:pPr>
          <w:hyperlink w:anchor="__RefHeading___Toc3103386_373438147">
            <w:r>
              <w:rPr>
                <w:webHidden/>
                <w:rStyle w:val="IndexLink"/>
              </w:rPr>
              <w:t>2</w:t>
            </w:r>
            <w:r>
              <w:rPr>
                <w:rStyle w:val="IndexLink"/>
                <w:rtl w:val="true"/>
              </w:rPr>
              <w:t xml:space="preserve">. </w:t>
            </w:r>
            <w:r>
              <w:rPr>
                <w:rStyle w:val="IndexLink"/>
                <w:rtl w:val="true"/>
              </w:rPr>
              <w:t xml:space="preserve">أبو سعيد الخدري </w:t>
            </w:r>
            <w:r>
              <w:rPr>
                <w:rStyle w:val="IndexLink"/>
                <w:rtl w:val="true"/>
              </w:rPr>
              <w:t>(</w:t>
            </w:r>
            <w:r>
              <w:rPr>
                <w:rStyle w:val="IndexLink"/>
                <w:rtl w:val="true"/>
              </w:rPr>
              <w:t xml:space="preserve">ت </w:t>
            </w:r>
            <w:r>
              <w:rPr>
                <w:rStyle w:val="IndexLink"/>
              </w:rPr>
              <w:t>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w:t>
            </w:r>
          </w:hyperlink>
        </w:p>
        <w:p>
          <w:pPr>
            <w:pStyle w:val="Contents6"/>
            <w:tabs>
              <w:tab w:val="clear" w:pos="7609"/>
              <w:tab w:val="right" w:pos="9026" w:leader="dot"/>
            </w:tabs>
            <w:rPr/>
          </w:pPr>
          <w:hyperlink w:anchor="__RefHeading___Toc3103388_373438147">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3103390_373438147">
            <w:r>
              <w:rPr>
                <w:webHidden/>
                <w:rStyle w:val="IndexLink"/>
                <w:rtl w:val="true"/>
              </w:rPr>
              <w:t>التعريف بأبي سعيد الخدري</w:t>
            </w:r>
            <w:r>
              <w:rPr>
                <w:rStyle w:val="IndexLink"/>
                <w:rtl w:val="true"/>
              </w:rPr>
              <w:tab/>
            </w:r>
            <w:r>
              <w:rPr>
                <w:rStyle w:val="IndexLink"/>
              </w:rPr>
              <w:t>23</w:t>
            </w:r>
          </w:hyperlink>
        </w:p>
        <w:p>
          <w:pPr>
            <w:pStyle w:val="Contents5"/>
            <w:tabs>
              <w:tab w:val="clear" w:pos="7892"/>
              <w:tab w:val="right" w:pos="9026" w:leader="dot"/>
            </w:tabs>
            <w:rPr/>
          </w:pPr>
          <w:hyperlink w:anchor="__RefHeading___Toc3103392_373438147">
            <w:r>
              <w:rPr>
                <w:webHidden/>
                <w:rStyle w:val="IndexLink"/>
              </w:rPr>
              <w:t>3</w:t>
            </w:r>
            <w:r>
              <w:rPr>
                <w:rStyle w:val="IndexLink"/>
                <w:rtl w:val="true"/>
              </w:rPr>
              <w:t xml:space="preserve">. </w:t>
            </w:r>
            <w:r>
              <w:rPr>
                <w:rStyle w:val="IndexLink"/>
                <w:rtl w:val="true"/>
              </w:rPr>
              <w:t xml:space="preserve">جابر بن عبد اللّه الأنصاري </w:t>
            </w:r>
            <w:r>
              <w:rPr>
                <w:rStyle w:val="IndexLink"/>
                <w:rtl w:val="true"/>
              </w:rPr>
              <w:t>(</w:t>
            </w:r>
            <w:r>
              <w:rPr>
                <w:rStyle w:val="IndexLink"/>
                <w:rtl w:val="true"/>
              </w:rPr>
              <w:t xml:space="preserve">ت </w:t>
            </w:r>
            <w:r>
              <w:rPr>
                <w:rStyle w:val="IndexLink"/>
              </w:rPr>
              <w:t>78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w:t>
            </w:r>
          </w:hyperlink>
        </w:p>
        <w:p>
          <w:pPr>
            <w:pStyle w:val="Contents6"/>
            <w:tabs>
              <w:tab w:val="clear" w:pos="7609"/>
              <w:tab w:val="right" w:pos="9026" w:leader="dot"/>
            </w:tabs>
            <w:rPr/>
          </w:pPr>
          <w:hyperlink w:anchor="__RefHeading___Toc3103394_373438147">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3103396_373438147">
            <w:r>
              <w:rPr>
                <w:webHidden/>
                <w:rStyle w:val="IndexLink"/>
                <w:rtl w:val="true"/>
              </w:rPr>
              <w:t>التعريف بجابر بن عبد اللّه</w:t>
            </w:r>
            <w:r>
              <w:rPr>
                <w:rStyle w:val="IndexLink"/>
                <w:rtl w:val="true"/>
              </w:rPr>
              <w:tab/>
            </w:r>
            <w:r>
              <w:rPr>
                <w:rStyle w:val="IndexLink"/>
              </w:rPr>
              <w:t>25</w:t>
            </w:r>
          </w:hyperlink>
        </w:p>
        <w:p>
          <w:pPr>
            <w:pStyle w:val="Contents5"/>
            <w:tabs>
              <w:tab w:val="clear" w:pos="7892"/>
              <w:tab w:val="right" w:pos="9026" w:leader="dot"/>
            </w:tabs>
            <w:rPr/>
          </w:pPr>
          <w:hyperlink w:anchor="__RefHeading___Toc3103398_373438147">
            <w:r>
              <w:rPr>
                <w:webHidden/>
                <w:rStyle w:val="IndexLink"/>
              </w:rPr>
              <w:t>4</w:t>
            </w:r>
            <w:r>
              <w:rPr>
                <w:rStyle w:val="IndexLink"/>
                <w:rtl w:val="true"/>
              </w:rPr>
              <w:t xml:space="preserve">. </w:t>
            </w:r>
            <w:r>
              <w:rPr>
                <w:rStyle w:val="IndexLink"/>
                <w:rtl w:val="true"/>
              </w:rPr>
              <w:t xml:space="preserve">زيد بن ثابت الأنصاري </w:t>
            </w:r>
            <w:r>
              <w:rPr>
                <w:rStyle w:val="IndexLink"/>
                <w:rtl w:val="true"/>
              </w:rPr>
              <w:t>(</w:t>
            </w:r>
            <w:r>
              <w:rPr>
                <w:rStyle w:val="IndexLink"/>
                <w:rtl w:val="true"/>
              </w:rPr>
              <w:t xml:space="preserve">ت </w:t>
            </w:r>
            <w:r>
              <w:rPr>
                <w:rStyle w:val="IndexLink"/>
              </w:rPr>
              <w:t>55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6"/>
            <w:tabs>
              <w:tab w:val="clear" w:pos="7609"/>
              <w:tab w:val="right" w:pos="9026" w:leader="dot"/>
            </w:tabs>
            <w:rPr/>
          </w:pPr>
          <w:hyperlink w:anchor="__RefHeading___Toc3103400_373438147">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3103402_373438147">
            <w:r>
              <w:rPr>
                <w:webHidden/>
                <w:rStyle w:val="IndexLink"/>
                <w:rtl w:val="true"/>
              </w:rPr>
              <w:t>التعريف بزيد بن ثابت</w:t>
            </w:r>
            <w:r>
              <w:rPr>
                <w:rStyle w:val="IndexLink"/>
                <w:rtl w:val="true"/>
              </w:rPr>
              <w:tab/>
            </w:r>
            <w:r>
              <w:rPr>
                <w:rStyle w:val="IndexLink"/>
              </w:rPr>
              <w:t>26</w:t>
            </w:r>
          </w:hyperlink>
        </w:p>
        <w:p>
          <w:pPr>
            <w:pStyle w:val="Contents5"/>
            <w:tabs>
              <w:tab w:val="clear" w:pos="7892"/>
              <w:tab w:val="right" w:pos="9026" w:leader="dot"/>
            </w:tabs>
            <w:rPr/>
          </w:pPr>
          <w:hyperlink w:anchor="__RefHeading___Toc3103404_373438147">
            <w:r>
              <w:rPr>
                <w:webHidden/>
                <w:rStyle w:val="IndexLink"/>
              </w:rPr>
              <w:t>5</w:t>
            </w:r>
            <w:r>
              <w:rPr>
                <w:rStyle w:val="IndexLink"/>
                <w:rtl w:val="true"/>
              </w:rPr>
              <w:t xml:space="preserve">. </w:t>
            </w:r>
            <w:r>
              <w:rPr>
                <w:rStyle w:val="IndexLink"/>
                <w:rtl w:val="true"/>
              </w:rPr>
              <w:t xml:space="preserve">عبد اللّه بن مسعود </w:t>
            </w:r>
            <w:r>
              <w:rPr>
                <w:rStyle w:val="IndexLink"/>
                <w:rtl w:val="true"/>
              </w:rPr>
              <w:t>(</w:t>
            </w:r>
            <w:r>
              <w:rPr>
                <w:rStyle w:val="IndexLink"/>
                <w:rtl w:val="true"/>
              </w:rPr>
              <w:t xml:space="preserve">ت </w:t>
            </w:r>
            <w:r>
              <w:rPr>
                <w:rStyle w:val="IndexLink"/>
              </w:rPr>
              <w:t>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w:t>
            </w:r>
          </w:hyperlink>
        </w:p>
        <w:p>
          <w:pPr>
            <w:pStyle w:val="Contents6"/>
            <w:tabs>
              <w:tab w:val="clear" w:pos="7609"/>
              <w:tab w:val="right" w:pos="9026" w:leader="dot"/>
            </w:tabs>
            <w:rPr/>
          </w:pPr>
          <w:hyperlink w:anchor="__RefHeading___Toc3103406_373438147">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3103408_373438147">
            <w:r>
              <w:rPr>
                <w:webHidden/>
                <w:rStyle w:val="IndexLink"/>
                <w:rtl w:val="true"/>
              </w:rPr>
              <w:t>التعريف بابن مسعود</w:t>
            </w:r>
            <w:r>
              <w:rPr>
                <w:rStyle w:val="IndexLink"/>
                <w:rtl w:val="true"/>
              </w:rPr>
              <w:tab/>
            </w:r>
            <w:r>
              <w:rPr>
                <w:rStyle w:val="IndexLink"/>
              </w:rPr>
              <w:t>27</w:t>
            </w:r>
          </w:hyperlink>
        </w:p>
        <w:p>
          <w:pPr>
            <w:pStyle w:val="Contents5"/>
            <w:tabs>
              <w:tab w:val="clear" w:pos="7892"/>
              <w:tab w:val="right" w:pos="9026" w:leader="dot"/>
            </w:tabs>
            <w:rPr/>
          </w:pPr>
          <w:hyperlink w:anchor="__RefHeading___Toc3103410_373438147">
            <w:r>
              <w:rPr>
                <w:webHidden/>
                <w:rStyle w:val="IndexLink"/>
              </w:rPr>
              <w:t>6</w:t>
            </w:r>
            <w:r>
              <w:rPr>
                <w:rStyle w:val="IndexLink"/>
                <w:rtl w:val="true"/>
              </w:rPr>
              <w:t xml:space="preserve">. </w:t>
            </w:r>
            <w:r>
              <w:rPr>
                <w:rStyle w:val="IndexLink"/>
                <w:rtl w:val="true"/>
              </w:rPr>
              <w:t xml:space="preserve">سلمة بن الأكوع </w:t>
            </w:r>
            <w:r>
              <w:rPr>
                <w:rStyle w:val="IndexLink"/>
                <w:rtl w:val="true"/>
              </w:rPr>
              <w:t>(</w:t>
            </w:r>
            <w:r>
              <w:rPr>
                <w:rStyle w:val="IndexLink"/>
                <w:rtl w:val="true"/>
              </w:rPr>
              <w:t xml:space="preserve">ت </w:t>
            </w:r>
            <w:r>
              <w:rPr>
                <w:rStyle w:val="IndexLink"/>
              </w:rPr>
              <w:t>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w:t>
            </w:r>
          </w:hyperlink>
        </w:p>
        <w:p>
          <w:pPr>
            <w:pStyle w:val="Contents6"/>
            <w:tabs>
              <w:tab w:val="clear" w:pos="7609"/>
              <w:tab w:val="right" w:pos="9026" w:leader="dot"/>
            </w:tabs>
            <w:rPr/>
          </w:pPr>
          <w:hyperlink w:anchor="__RefHeading___Toc3103412_373438147">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103414_373438147">
            <w:r>
              <w:rPr>
                <w:webHidden/>
                <w:rStyle w:val="IndexLink"/>
                <w:rtl w:val="true"/>
              </w:rPr>
              <w:t>التعريف بابن الأكوع</w:t>
            </w:r>
            <w:r>
              <w:rPr>
                <w:rStyle w:val="IndexLink"/>
                <w:rtl w:val="true"/>
              </w:rPr>
              <w:tab/>
            </w:r>
            <w:r>
              <w:rPr>
                <w:rStyle w:val="IndexLink"/>
              </w:rPr>
              <w:t>28</w:t>
            </w:r>
          </w:hyperlink>
        </w:p>
        <w:p>
          <w:pPr>
            <w:pStyle w:val="Contents5"/>
            <w:tabs>
              <w:tab w:val="clear" w:pos="7892"/>
              <w:tab w:val="right" w:pos="9026" w:leader="dot"/>
            </w:tabs>
            <w:rPr/>
          </w:pPr>
          <w:hyperlink w:anchor="__RefHeading___Toc3103416_373438147">
            <w:r>
              <w:rPr>
                <w:webHidden/>
                <w:rStyle w:val="IndexLink"/>
              </w:rPr>
              <w:t>7</w:t>
            </w:r>
            <w:r>
              <w:rPr>
                <w:rStyle w:val="IndexLink"/>
                <w:rtl w:val="true"/>
              </w:rPr>
              <w:t xml:space="preserve">. </w:t>
            </w:r>
            <w:r>
              <w:rPr>
                <w:rStyle w:val="IndexLink"/>
                <w:rtl w:val="true"/>
              </w:rPr>
              <w:t xml:space="preserve">علي بن أبي طالب عليه السّلام </w:t>
            </w:r>
            <w:r>
              <w:rPr>
                <w:rStyle w:val="IndexLink"/>
                <w:rtl w:val="true"/>
              </w:rPr>
              <w:t>(</w:t>
            </w:r>
            <w:r>
              <w:rPr>
                <w:rStyle w:val="IndexLink"/>
                <w:rtl w:val="true"/>
              </w:rPr>
              <w:t xml:space="preserve">ت </w:t>
            </w:r>
            <w:r>
              <w:rPr>
                <w:rStyle w:val="IndexLink"/>
              </w:rPr>
              <w:t>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w:t>
            </w:r>
          </w:hyperlink>
        </w:p>
        <w:p>
          <w:pPr>
            <w:pStyle w:val="Contents6"/>
            <w:tabs>
              <w:tab w:val="clear" w:pos="7609"/>
              <w:tab w:val="right" w:pos="9026" w:leader="dot"/>
            </w:tabs>
            <w:rPr/>
          </w:pPr>
          <w:hyperlink w:anchor="__RefHeading___Toc3103418_373438147">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3103420_373438147">
            <w:r>
              <w:rPr>
                <w:webHidden/>
                <w:rStyle w:val="IndexLink"/>
                <w:rtl w:val="true"/>
              </w:rPr>
              <w:t>التعريف بعليّ بن أبي طالب عليه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3103422_373438147">
            <w:r>
              <w:rPr>
                <w:webHidden/>
                <w:rStyle w:val="IndexLink"/>
              </w:rPr>
              <w:t>8</w:t>
            </w:r>
            <w:r>
              <w:rPr>
                <w:rStyle w:val="IndexLink"/>
                <w:rtl w:val="true"/>
              </w:rPr>
              <w:t xml:space="preserve">. </w:t>
            </w:r>
            <w:r>
              <w:rPr>
                <w:rStyle w:val="IndexLink"/>
                <w:rtl w:val="true"/>
              </w:rPr>
              <w:t xml:space="preserve">عمرو بن حريث </w:t>
            </w:r>
            <w:r>
              <w:rPr>
                <w:rStyle w:val="IndexLink"/>
                <w:rtl w:val="true"/>
              </w:rPr>
              <w:t>(</w:t>
            </w:r>
            <w:r>
              <w:rPr>
                <w:rStyle w:val="IndexLink"/>
                <w:rtl w:val="true"/>
              </w:rPr>
              <w:t xml:space="preserve">ت </w:t>
            </w:r>
            <w:r>
              <w:rPr>
                <w:rStyle w:val="IndexLink"/>
              </w:rPr>
              <w:t>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w:t>
            </w:r>
          </w:hyperlink>
        </w:p>
        <w:p>
          <w:pPr>
            <w:pStyle w:val="Contents6"/>
            <w:tabs>
              <w:tab w:val="clear" w:pos="7609"/>
              <w:tab w:val="right" w:pos="9026" w:leader="dot"/>
            </w:tabs>
            <w:rPr/>
          </w:pPr>
          <w:hyperlink w:anchor="__RefHeading___Toc3103424_373438147">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3103426_373438147">
            <w:r>
              <w:rPr>
                <w:webHidden/>
                <w:rStyle w:val="IndexLink"/>
                <w:rtl w:val="true"/>
              </w:rPr>
              <w:t>التعريف بعمرو بن حريث</w:t>
            </w:r>
            <w:r>
              <w:rPr>
                <w:rStyle w:val="IndexLink"/>
                <w:rtl w:val="true"/>
              </w:rPr>
              <w:tab/>
            </w:r>
            <w:r>
              <w:rPr>
                <w:rStyle w:val="IndexLink"/>
              </w:rPr>
              <w:t>34</w:t>
            </w:r>
          </w:hyperlink>
        </w:p>
        <w:p>
          <w:pPr>
            <w:pStyle w:val="Contents5"/>
            <w:tabs>
              <w:tab w:val="clear" w:pos="7892"/>
              <w:tab w:val="right" w:pos="9026" w:leader="dot"/>
            </w:tabs>
            <w:rPr/>
          </w:pPr>
          <w:hyperlink w:anchor="__RefHeading___Toc3103428_373438147">
            <w:r>
              <w:rPr>
                <w:webHidden/>
                <w:rStyle w:val="IndexLink"/>
              </w:rPr>
              <w:t>9</w:t>
            </w:r>
            <w:r>
              <w:rPr>
                <w:rStyle w:val="IndexLink"/>
                <w:rtl w:val="true"/>
              </w:rPr>
              <w:t xml:space="preserve">. </w:t>
            </w:r>
            <w:r>
              <w:rPr>
                <w:rStyle w:val="IndexLink"/>
                <w:rtl w:val="true"/>
              </w:rPr>
              <w:t xml:space="preserve">معاوية بن أبي سفيان </w:t>
            </w:r>
            <w:r>
              <w:rPr>
                <w:rStyle w:val="IndexLink"/>
                <w:rtl w:val="true"/>
              </w:rPr>
              <w:t>(</w:t>
            </w:r>
            <w:r>
              <w:rPr>
                <w:rStyle w:val="IndexLink"/>
                <w:rtl w:val="true"/>
              </w:rPr>
              <w:t xml:space="preserve">ت </w:t>
            </w:r>
            <w:r>
              <w:rPr>
                <w:rStyle w:val="IndexLink"/>
              </w:rPr>
              <w:t>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w:t>
            </w:r>
          </w:hyperlink>
        </w:p>
        <w:p>
          <w:pPr>
            <w:pStyle w:val="Contents5"/>
            <w:tabs>
              <w:tab w:val="clear" w:pos="7892"/>
              <w:tab w:val="right" w:pos="9026" w:leader="dot"/>
            </w:tabs>
            <w:rPr/>
          </w:pPr>
          <w:hyperlink w:anchor="__RefHeading___Toc3103430_373438147">
            <w:r>
              <w:rPr>
                <w:webHidden/>
                <w:rStyle w:val="IndexLink"/>
              </w:rPr>
              <w:t>10</w:t>
            </w:r>
            <w:r>
              <w:rPr>
                <w:rStyle w:val="IndexLink"/>
                <w:rtl w:val="true"/>
              </w:rPr>
              <w:t xml:space="preserve">. </w:t>
            </w:r>
            <w:r>
              <w:rPr>
                <w:rStyle w:val="IndexLink"/>
                <w:rtl w:val="true"/>
              </w:rPr>
              <w:t>سلمة بن أميّة</w:t>
            </w:r>
            <w:r>
              <w:rPr>
                <w:rStyle w:val="IndexLink"/>
                <w:rtl w:val="true"/>
              </w:rPr>
              <w:tab/>
            </w:r>
            <w:r>
              <w:rPr>
                <w:rStyle w:val="IndexLink"/>
              </w:rPr>
              <w:t>36</w:t>
            </w:r>
          </w:hyperlink>
        </w:p>
        <w:p>
          <w:pPr>
            <w:pStyle w:val="Contents6"/>
            <w:tabs>
              <w:tab w:val="clear" w:pos="7609"/>
              <w:tab w:val="right" w:pos="9026" w:leader="dot"/>
            </w:tabs>
            <w:rPr/>
          </w:pPr>
          <w:hyperlink w:anchor="__RefHeading___Toc3103432_37343814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3103434_373438147">
            <w:r>
              <w:rPr>
                <w:webHidden/>
                <w:rStyle w:val="IndexLink"/>
                <w:rtl w:val="true"/>
              </w:rPr>
              <w:t>التعريف بسلمة بن أميّة</w:t>
            </w:r>
            <w:r>
              <w:rPr>
                <w:rStyle w:val="IndexLink"/>
                <w:rtl w:val="true"/>
              </w:rPr>
              <w:tab/>
            </w:r>
            <w:r>
              <w:rPr>
                <w:rStyle w:val="IndexLink"/>
              </w:rPr>
              <w:t>37</w:t>
            </w:r>
          </w:hyperlink>
        </w:p>
        <w:p>
          <w:pPr>
            <w:pStyle w:val="Contents5"/>
            <w:tabs>
              <w:tab w:val="clear" w:pos="7892"/>
              <w:tab w:val="right" w:pos="9026" w:leader="dot"/>
            </w:tabs>
            <w:rPr/>
          </w:pPr>
          <w:hyperlink w:anchor="__RefHeading___Toc3103436_373438147">
            <w:r>
              <w:rPr>
                <w:webHidden/>
                <w:rStyle w:val="IndexLink"/>
              </w:rPr>
              <w:t>11</w:t>
            </w:r>
            <w:r>
              <w:rPr>
                <w:rStyle w:val="IndexLink"/>
                <w:rtl w:val="true"/>
              </w:rPr>
              <w:t xml:space="preserve">. </w:t>
            </w:r>
            <w:r>
              <w:rPr>
                <w:rStyle w:val="IndexLink"/>
                <w:rtl w:val="true"/>
              </w:rPr>
              <w:t>ربيعة بن أميّة</w:t>
            </w:r>
            <w:r>
              <w:rPr>
                <w:rStyle w:val="IndexLink"/>
                <w:rtl w:val="true"/>
              </w:rPr>
              <w:tab/>
            </w:r>
            <w:r>
              <w:rPr>
                <w:rStyle w:val="IndexLink"/>
              </w:rPr>
              <w:t>38</w:t>
            </w:r>
          </w:hyperlink>
        </w:p>
        <w:p>
          <w:pPr>
            <w:pStyle w:val="Contents6"/>
            <w:tabs>
              <w:tab w:val="clear" w:pos="7609"/>
              <w:tab w:val="right" w:pos="9026" w:leader="dot"/>
            </w:tabs>
            <w:rPr/>
          </w:pPr>
          <w:hyperlink w:anchor="__RefHeading___Toc3103438_373438147">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3103440_373438147">
            <w:r>
              <w:rPr>
                <w:webHidden/>
                <w:rStyle w:val="IndexLink"/>
                <w:rtl w:val="true"/>
              </w:rPr>
              <w:t>التعريف بربيعة بن أميّة</w:t>
            </w:r>
            <w:r>
              <w:rPr>
                <w:rStyle w:val="IndexLink"/>
                <w:rtl w:val="true"/>
              </w:rPr>
              <w:tab/>
            </w:r>
            <w:r>
              <w:rPr>
                <w:rStyle w:val="IndexLink"/>
              </w:rPr>
              <w:t>39</w:t>
            </w:r>
          </w:hyperlink>
        </w:p>
        <w:p>
          <w:pPr>
            <w:pStyle w:val="Contents5"/>
            <w:tabs>
              <w:tab w:val="clear" w:pos="7892"/>
              <w:tab w:val="right" w:pos="9026" w:leader="dot"/>
            </w:tabs>
            <w:rPr/>
          </w:pPr>
          <w:hyperlink w:anchor="__RefHeading___Toc3103442_373438147">
            <w:r>
              <w:rPr>
                <w:webHidden/>
                <w:rStyle w:val="IndexLink"/>
              </w:rPr>
              <w:t>12</w:t>
            </w:r>
            <w:r>
              <w:rPr>
                <w:rStyle w:val="IndexLink"/>
                <w:rtl w:val="true"/>
              </w:rPr>
              <w:t xml:space="preserve">. </w:t>
            </w:r>
            <w:r>
              <w:rPr>
                <w:rStyle w:val="IndexLink"/>
                <w:rtl w:val="true"/>
              </w:rPr>
              <w:t>عمرو بن حوشب</w:t>
            </w:r>
            <w:r>
              <w:rPr>
                <w:rStyle w:val="IndexLink"/>
                <w:rtl w:val="true"/>
              </w:rPr>
              <w:tab/>
            </w:r>
            <w:r>
              <w:rPr>
                <w:rStyle w:val="IndexLink"/>
              </w:rPr>
              <w:t>39</w:t>
            </w:r>
          </w:hyperlink>
        </w:p>
        <w:p>
          <w:pPr>
            <w:pStyle w:val="Contents5"/>
            <w:tabs>
              <w:tab w:val="clear" w:pos="7892"/>
              <w:tab w:val="right" w:pos="9026" w:leader="dot"/>
            </w:tabs>
            <w:rPr/>
          </w:pPr>
          <w:hyperlink w:anchor="__RefHeading___Toc3103444_373438147">
            <w:r>
              <w:rPr>
                <w:webHidden/>
                <w:rStyle w:val="IndexLink"/>
              </w:rPr>
              <w:t>13</w:t>
            </w:r>
            <w:r>
              <w:rPr>
                <w:rStyle w:val="IndexLink"/>
                <w:rtl w:val="true"/>
              </w:rPr>
              <w:t xml:space="preserve">. </w:t>
            </w:r>
            <w:r>
              <w:rPr>
                <w:rStyle w:val="IndexLink"/>
                <w:rtl w:val="true"/>
              </w:rPr>
              <w:t xml:space="preserve">أبيّ بن كعب </w:t>
            </w:r>
            <w:r>
              <w:rPr>
                <w:rStyle w:val="IndexLink"/>
                <w:rtl w:val="true"/>
              </w:rPr>
              <w:t>(</w:t>
            </w:r>
            <w:r>
              <w:rPr>
                <w:rStyle w:val="IndexLink"/>
                <w:rtl w:val="true"/>
              </w:rPr>
              <w:t xml:space="preserve">ت </w:t>
            </w:r>
            <w:r>
              <w:rPr>
                <w:rStyle w:val="IndexLink"/>
              </w:rPr>
              <w:t>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w:t>
            </w:r>
          </w:hyperlink>
        </w:p>
        <w:p>
          <w:pPr>
            <w:pStyle w:val="Contents6"/>
            <w:tabs>
              <w:tab w:val="clear" w:pos="7609"/>
              <w:tab w:val="right" w:pos="9026" w:leader="dot"/>
            </w:tabs>
            <w:rPr/>
          </w:pPr>
          <w:hyperlink w:anchor="__RefHeading___Toc3103446_37343814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3103448_373438147">
            <w:r>
              <w:rPr>
                <w:webHidden/>
                <w:rStyle w:val="IndexLink"/>
                <w:rtl w:val="true"/>
              </w:rPr>
              <w:t>التعريف بأبيّ بن كعب</w:t>
            </w:r>
            <w:r>
              <w:rPr>
                <w:rStyle w:val="IndexLink"/>
                <w:rtl w:val="true"/>
              </w:rPr>
              <w:tab/>
            </w:r>
            <w:r>
              <w:rPr>
                <w:rStyle w:val="IndexLink"/>
              </w:rPr>
              <w:t>41</w:t>
            </w:r>
          </w:hyperlink>
        </w:p>
        <w:p>
          <w:pPr>
            <w:pStyle w:val="Contents5"/>
            <w:tabs>
              <w:tab w:val="clear" w:pos="7892"/>
              <w:tab w:val="right" w:pos="9026" w:leader="dot"/>
            </w:tabs>
            <w:rPr/>
          </w:pPr>
          <w:hyperlink w:anchor="__RefHeading___Toc3103450_373438147">
            <w:r>
              <w:rPr>
                <w:webHidden/>
                <w:rStyle w:val="IndexLink"/>
              </w:rPr>
              <w:t>14</w:t>
            </w:r>
            <w:r>
              <w:rPr>
                <w:rStyle w:val="IndexLink"/>
                <w:rtl w:val="true"/>
              </w:rPr>
              <w:t xml:space="preserve">. </w:t>
            </w:r>
            <w:r>
              <w:rPr>
                <w:rStyle w:val="IndexLink"/>
                <w:rtl w:val="true"/>
              </w:rPr>
              <w:t xml:space="preserve">أسماء بنت أبي بكر </w:t>
            </w:r>
            <w:r>
              <w:rPr>
                <w:rStyle w:val="IndexLink"/>
                <w:rtl w:val="true"/>
              </w:rPr>
              <w:t>(</w:t>
            </w:r>
            <w:r>
              <w:rPr>
                <w:rStyle w:val="IndexLink"/>
                <w:rtl w:val="true"/>
              </w:rPr>
              <w:t xml:space="preserve">ت </w:t>
            </w:r>
            <w:r>
              <w:rPr>
                <w:rStyle w:val="IndexLink"/>
              </w:rPr>
              <w:t>73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w:t>
            </w:r>
          </w:hyperlink>
        </w:p>
        <w:p>
          <w:pPr>
            <w:pStyle w:val="Contents6"/>
            <w:tabs>
              <w:tab w:val="clear" w:pos="7609"/>
              <w:tab w:val="right" w:pos="9026" w:leader="dot"/>
            </w:tabs>
            <w:rPr/>
          </w:pPr>
          <w:hyperlink w:anchor="__RefHeading___Toc3103452_37343814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3103454_373438147">
            <w:r>
              <w:rPr>
                <w:webHidden/>
                <w:rStyle w:val="IndexLink"/>
                <w:rtl w:val="true"/>
              </w:rPr>
              <w:t>التعريف بأسماء بنت أبي بكر</w:t>
            </w:r>
            <w:r>
              <w:rPr>
                <w:rStyle w:val="IndexLink"/>
                <w:rtl w:val="true"/>
              </w:rPr>
              <w:tab/>
            </w:r>
            <w:r>
              <w:rPr>
                <w:rStyle w:val="IndexLink"/>
              </w:rPr>
              <w:t>44</w:t>
            </w:r>
          </w:hyperlink>
        </w:p>
        <w:p>
          <w:pPr>
            <w:pStyle w:val="Contents5"/>
            <w:tabs>
              <w:tab w:val="clear" w:pos="7892"/>
              <w:tab w:val="right" w:pos="9026" w:leader="dot"/>
            </w:tabs>
            <w:rPr/>
          </w:pPr>
          <w:hyperlink w:anchor="__RefHeading___Toc3103456_373438147">
            <w:r>
              <w:rPr>
                <w:webHidden/>
                <w:rStyle w:val="IndexLink"/>
              </w:rPr>
              <w:t>15</w:t>
            </w:r>
            <w:r>
              <w:rPr>
                <w:rStyle w:val="IndexLink"/>
                <w:rtl w:val="true"/>
              </w:rPr>
              <w:t xml:space="preserve">. </w:t>
            </w:r>
            <w:r>
              <w:rPr>
                <w:rStyle w:val="IndexLink"/>
                <w:rtl w:val="true"/>
              </w:rPr>
              <w:t>أمّ عبد اللّه ابنة أبي خيثمة</w:t>
            </w:r>
            <w:r>
              <w:rPr>
                <w:rStyle w:val="IndexLink"/>
                <w:rtl w:val="true"/>
              </w:rPr>
              <w:tab/>
            </w:r>
            <w:r>
              <w:rPr>
                <w:rStyle w:val="IndexLink"/>
              </w:rPr>
              <w:t>45</w:t>
            </w:r>
          </w:hyperlink>
        </w:p>
        <w:p>
          <w:pPr>
            <w:pStyle w:val="Contents6"/>
            <w:tabs>
              <w:tab w:val="clear" w:pos="7609"/>
              <w:tab w:val="right" w:pos="9026" w:leader="dot"/>
            </w:tabs>
            <w:rPr/>
          </w:pPr>
          <w:hyperlink w:anchor="__RefHeading___Toc3103458_373438147">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103460_373438147">
            <w:r>
              <w:rPr>
                <w:webHidden/>
                <w:rStyle w:val="IndexLink"/>
                <w:rtl w:val="true"/>
              </w:rPr>
              <w:t>التعريف بابن يسار</w:t>
            </w:r>
            <w:r>
              <w:rPr>
                <w:rStyle w:val="IndexLink"/>
                <w:rtl w:val="true"/>
              </w:rPr>
              <w:tab/>
            </w:r>
            <w:r>
              <w:rPr>
                <w:rStyle w:val="IndexLink"/>
              </w:rPr>
              <w:t>46</w:t>
            </w:r>
          </w:hyperlink>
        </w:p>
        <w:p>
          <w:pPr>
            <w:pStyle w:val="Contents5"/>
            <w:tabs>
              <w:tab w:val="clear" w:pos="7892"/>
              <w:tab w:val="right" w:pos="9026" w:leader="dot"/>
            </w:tabs>
            <w:rPr/>
          </w:pPr>
          <w:hyperlink w:anchor="__RefHeading___Toc3103462_373438147">
            <w:r>
              <w:rPr>
                <w:webHidden/>
                <w:rStyle w:val="IndexLink"/>
              </w:rPr>
              <w:t>16</w:t>
            </w:r>
            <w:r>
              <w:rPr>
                <w:rStyle w:val="IndexLink"/>
                <w:rtl w:val="true"/>
              </w:rPr>
              <w:t xml:space="preserve">. </w:t>
            </w:r>
            <w:r>
              <w:rPr>
                <w:rStyle w:val="IndexLink"/>
                <w:rtl w:val="true"/>
              </w:rPr>
              <w:t xml:space="preserve">عبد اللّه بن عبّاس بن عبد المطّلب </w:t>
            </w:r>
            <w:r>
              <w:rPr>
                <w:rStyle w:val="IndexLink"/>
                <w:rtl w:val="true"/>
              </w:rPr>
              <w:t>(</w:t>
            </w:r>
            <w:r>
              <w:rPr>
                <w:rStyle w:val="IndexLink"/>
                <w:rtl w:val="true"/>
              </w:rPr>
              <w:t xml:space="preserve">ت </w:t>
            </w:r>
            <w:r>
              <w:rPr>
                <w:rStyle w:val="IndexLink"/>
              </w:rPr>
              <w:t>68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w:t>
            </w:r>
          </w:hyperlink>
        </w:p>
        <w:p>
          <w:pPr>
            <w:pStyle w:val="Contents6"/>
            <w:tabs>
              <w:tab w:val="clear" w:pos="7609"/>
              <w:tab w:val="right" w:pos="9026" w:leader="dot"/>
            </w:tabs>
            <w:rPr/>
          </w:pPr>
          <w:hyperlink w:anchor="__RefHeading___Toc3103464_373438147">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103466_373438147">
            <w:r>
              <w:rPr>
                <w:webHidden/>
                <w:rStyle w:val="IndexLink"/>
                <w:rtl w:val="true"/>
              </w:rPr>
              <w:t>التعريف بابن عبّاس</w:t>
            </w:r>
            <w:r>
              <w:rPr>
                <w:rStyle w:val="IndexLink"/>
                <w:rtl w:val="true"/>
              </w:rPr>
              <w:tab/>
            </w:r>
            <w:r>
              <w:rPr>
                <w:rStyle w:val="IndexLink"/>
              </w:rPr>
              <w:t>52</w:t>
            </w:r>
          </w:hyperlink>
        </w:p>
        <w:p>
          <w:pPr>
            <w:pStyle w:val="Contents6"/>
            <w:tabs>
              <w:tab w:val="clear" w:pos="7609"/>
              <w:tab w:val="right" w:pos="9026" w:leader="dot"/>
            </w:tabs>
            <w:rPr/>
          </w:pPr>
          <w:hyperlink w:anchor="__RefHeading___Toc3103468_373438147">
            <w:r>
              <w:rPr>
                <w:webHidden/>
                <w:rStyle w:val="IndexLink"/>
                <w:rtl w:val="true"/>
              </w:rPr>
              <w:t>دعاوي و ردود</w:t>
            </w:r>
            <w:r>
              <w:rPr>
                <w:rStyle w:val="IndexLink"/>
                <w:rtl w:val="true"/>
              </w:rPr>
              <w:tab/>
            </w:r>
            <w:r>
              <w:rPr>
                <w:rStyle w:val="IndexLink"/>
              </w:rPr>
              <w:t>54</w:t>
            </w:r>
          </w:hyperlink>
        </w:p>
        <w:p>
          <w:pPr>
            <w:pStyle w:val="Contents5"/>
            <w:tabs>
              <w:tab w:val="clear" w:pos="7892"/>
              <w:tab w:val="right" w:pos="9026" w:leader="dot"/>
            </w:tabs>
            <w:rPr/>
          </w:pPr>
          <w:hyperlink w:anchor="__RefHeading___Toc3103470_373438147">
            <w:r>
              <w:rPr>
                <w:webHidden/>
                <w:rStyle w:val="IndexLink"/>
              </w:rPr>
              <w:t>17</w:t>
            </w:r>
            <w:r>
              <w:rPr>
                <w:rStyle w:val="IndexLink"/>
                <w:rtl w:val="true"/>
              </w:rPr>
              <w:t xml:space="preserve">. </w:t>
            </w:r>
            <w:r>
              <w:rPr>
                <w:rStyle w:val="IndexLink"/>
                <w:rtl w:val="true"/>
              </w:rPr>
              <w:t xml:space="preserve">سمير </w:t>
            </w:r>
            <w:r>
              <w:rPr>
                <w:rStyle w:val="IndexLink"/>
                <w:rtl w:val="true"/>
              </w:rPr>
              <w:t>(</w:t>
            </w:r>
            <w:r>
              <w:rPr>
                <w:rStyle w:val="IndexLink"/>
                <w:rtl w:val="true"/>
              </w:rPr>
              <w:t xml:space="preserve">ت </w:t>
            </w:r>
            <w:r>
              <w:rPr>
                <w:rStyle w:val="IndexLink"/>
              </w:rPr>
              <w:t>59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w:t>
            </w:r>
          </w:hyperlink>
        </w:p>
        <w:p>
          <w:pPr>
            <w:pStyle w:val="Contents6"/>
            <w:tabs>
              <w:tab w:val="clear" w:pos="7609"/>
              <w:tab w:val="right" w:pos="9026" w:leader="dot"/>
            </w:tabs>
            <w:rPr/>
          </w:pPr>
          <w:hyperlink w:anchor="__RefHeading___Toc3103472_373438147">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103474_373438147">
            <w:r>
              <w:rPr>
                <w:webHidden/>
                <w:rStyle w:val="IndexLink"/>
                <w:rtl w:val="true"/>
              </w:rPr>
              <w:t>التعريف بسمرة</w:t>
            </w:r>
            <w:r>
              <w:rPr>
                <w:rStyle w:val="IndexLink"/>
                <w:rtl w:val="true"/>
              </w:rPr>
              <w:tab/>
            </w:r>
            <w:r>
              <w:rPr>
                <w:rStyle w:val="IndexLink"/>
              </w:rPr>
              <w:t>57</w:t>
            </w:r>
          </w:hyperlink>
        </w:p>
        <w:p>
          <w:pPr>
            <w:pStyle w:val="Contents5"/>
            <w:tabs>
              <w:tab w:val="clear" w:pos="7892"/>
              <w:tab w:val="right" w:pos="9026" w:leader="dot"/>
            </w:tabs>
            <w:rPr/>
          </w:pPr>
          <w:hyperlink w:anchor="__RefHeading___Toc3103476_373438147">
            <w:r>
              <w:rPr>
                <w:webHidden/>
                <w:rStyle w:val="IndexLink"/>
              </w:rPr>
              <w:t>18</w:t>
            </w:r>
            <w:r>
              <w:rPr>
                <w:rStyle w:val="IndexLink"/>
                <w:rtl w:val="true"/>
              </w:rPr>
              <w:t xml:space="preserve">. </w:t>
            </w:r>
            <w:r>
              <w:rPr>
                <w:rStyle w:val="IndexLink"/>
                <w:rtl w:val="true"/>
              </w:rPr>
              <w:t xml:space="preserve">أنس بن مالك </w:t>
            </w:r>
            <w:r>
              <w:rPr>
                <w:rStyle w:val="IndexLink"/>
                <w:rtl w:val="true"/>
              </w:rPr>
              <w:t>(</w:t>
            </w:r>
            <w:r>
              <w:rPr>
                <w:rStyle w:val="IndexLink"/>
                <w:rtl w:val="true"/>
              </w:rPr>
              <w:t xml:space="preserve">ت </w:t>
            </w:r>
            <w:r>
              <w:rPr>
                <w:rStyle w:val="IndexLink"/>
              </w:rPr>
              <w:t>93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w:t>
            </w:r>
          </w:hyperlink>
        </w:p>
        <w:p>
          <w:pPr>
            <w:pStyle w:val="Contents6"/>
            <w:tabs>
              <w:tab w:val="clear" w:pos="7609"/>
              <w:tab w:val="right" w:pos="9026" w:leader="dot"/>
            </w:tabs>
            <w:rPr/>
          </w:pPr>
          <w:hyperlink w:anchor="__RefHeading___Toc3103478_373438147">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103480_373438147">
            <w:r>
              <w:rPr>
                <w:webHidden/>
                <w:rStyle w:val="IndexLink"/>
                <w:rtl w:val="true"/>
              </w:rPr>
              <w:t>التعريف بأنس بن مالك</w:t>
            </w:r>
            <w:r>
              <w:rPr>
                <w:rStyle w:val="IndexLink"/>
                <w:rtl w:val="true"/>
              </w:rPr>
              <w:tab/>
            </w:r>
            <w:r>
              <w:rPr>
                <w:rStyle w:val="IndexLink"/>
              </w:rPr>
              <w:t>58</w:t>
            </w:r>
          </w:hyperlink>
        </w:p>
        <w:p>
          <w:pPr>
            <w:pStyle w:val="Contents5"/>
            <w:tabs>
              <w:tab w:val="clear" w:pos="7892"/>
              <w:tab w:val="right" w:pos="9026" w:leader="dot"/>
            </w:tabs>
            <w:rPr/>
          </w:pPr>
          <w:hyperlink w:anchor="__RefHeading___Toc3103482_373438147">
            <w:r>
              <w:rPr>
                <w:webHidden/>
                <w:rStyle w:val="IndexLink"/>
              </w:rPr>
              <w:t>19</w:t>
            </w:r>
            <w:r>
              <w:rPr>
                <w:rStyle w:val="IndexLink"/>
                <w:rtl w:val="true"/>
              </w:rPr>
              <w:t xml:space="preserve">. </w:t>
            </w:r>
            <w:r>
              <w:rPr>
                <w:rStyle w:val="IndexLink"/>
                <w:rtl w:val="true"/>
              </w:rPr>
              <w:t xml:space="preserve">ابن عمر </w:t>
            </w:r>
            <w:r>
              <w:rPr>
                <w:rStyle w:val="IndexLink"/>
                <w:rtl w:val="true"/>
              </w:rPr>
              <w:t>(</w:t>
            </w:r>
            <w:r>
              <w:rPr>
                <w:rStyle w:val="IndexLink"/>
                <w:rtl w:val="true"/>
              </w:rPr>
              <w:t xml:space="preserve">ت </w:t>
            </w:r>
            <w:r>
              <w:rPr>
                <w:rStyle w:val="IndexLink"/>
              </w:rPr>
              <w:t>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w:t>
            </w:r>
          </w:hyperlink>
        </w:p>
        <w:p>
          <w:pPr>
            <w:pStyle w:val="Contents3"/>
            <w:tabs>
              <w:tab w:val="clear" w:pos="8459"/>
              <w:tab w:val="right" w:pos="9026" w:leader="dot"/>
            </w:tabs>
            <w:rPr/>
          </w:pPr>
          <w:hyperlink w:anchor="__RefHeading___Toc3103484_373438147">
            <w:r>
              <w:rPr>
                <w:webHidden/>
                <w:rStyle w:val="IndexLink"/>
                <w:rtl w:val="true"/>
              </w:rPr>
              <w:t>الفصل الثاني</w:t>
            </w:r>
            <w:r>
              <w:rPr>
                <w:rStyle w:val="IndexLink"/>
                <w:rtl w:val="true"/>
              </w:rPr>
              <w:t xml:space="preserve">: </w:t>
            </w:r>
            <w:r>
              <w:rPr>
                <w:rStyle w:val="IndexLink"/>
                <w:rtl w:val="true"/>
              </w:rPr>
              <w:t>في التابعين و الفقهاء</w:t>
            </w:r>
            <w:r>
              <w:rPr>
                <w:rStyle w:val="IndexLink"/>
                <w:rtl w:val="true"/>
              </w:rPr>
              <w:tab/>
            </w:r>
            <w:r>
              <w:rPr>
                <w:rStyle w:val="IndexLink"/>
              </w:rPr>
              <w:t>62</w:t>
            </w:r>
          </w:hyperlink>
        </w:p>
        <w:p>
          <w:pPr>
            <w:pStyle w:val="Contents4"/>
            <w:tabs>
              <w:tab w:val="clear" w:pos="8176"/>
              <w:tab w:val="right" w:pos="9026" w:leader="dot"/>
            </w:tabs>
            <w:rPr/>
          </w:pPr>
          <w:hyperlink w:anchor="__RefHeading___Toc3103486_37343814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103488_373438147">
            <w:r>
              <w:rPr>
                <w:webHidden/>
                <w:rStyle w:val="IndexLink"/>
              </w:rPr>
              <w:t>1</w:t>
            </w:r>
            <w:r>
              <w:rPr>
                <w:rStyle w:val="IndexLink"/>
                <w:rtl w:val="true"/>
              </w:rPr>
              <w:t xml:space="preserve">. </w:t>
            </w:r>
            <w:r>
              <w:rPr>
                <w:rStyle w:val="IndexLink"/>
                <w:rtl w:val="true"/>
              </w:rPr>
              <w:t xml:space="preserve">مالك بن أنس </w:t>
            </w:r>
            <w:r>
              <w:rPr>
                <w:rStyle w:val="IndexLink"/>
                <w:rtl w:val="true"/>
              </w:rPr>
              <w:t>(</w:t>
            </w:r>
            <w:r>
              <w:rPr>
                <w:rStyle w:val="IndexLink"/>
                <w:rtl w:val="true"/>
              </w:rPr>
              <w:t xml:space="preserve">ت </w:t>
            </w:r>
            <w:r>
              <w:rPr>
                <w:rStyle w:val="IndexLink"/>
              </w:rPr>
              <w:t>179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w:t>
            </w:r>
          </w:hyperlink>
        </w:p>
        <w:p>
          <w:pPr>
            <w:pStyle w:val="Contents5"/>
            <w:tabs>
              <w:tab w:val="clear" w:pos="7892"/>
              <w:tab w:val="right" w:pos="9026" w:leader="dot"/>
            </w:tabs>
            <w:rPr/>
          </w:pPr>
          <w:hyperlink w:anchor="__RefHeading___Toc3103490_37343814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103492_373438147">
            <w:r>
              <w:rPr>
                <w:webHidden/>
                <w:rStyle w:val="IndexLink"/>
                <w:rtl w:val="true"/>
              </w:rPr>
              <w:t>التعريف بمالك بن أنس</w:t>
            </w:r>
            <w:r>
              <w:rPr>
                <w:rStyle w:val="IndexLink"/>
                <w:rtl w:val="true"/>
              </w:rPr>
              <w:tab/>
            </w:r>
            <w:r>
              <w:rPr>
                <w:rStyle w:val="IndexLink"/>
              </w:rPr>
              <w:t>63</w:t>
            </w:r>
          </w:hyperlink>
        </w:p>
        <w:p>
          <w:pPr>
            <w:pStyle w:val="Contents4"/>
            <w:tabs>
              <w:tab w:val="clear" w:pos="8176"/>
              <w:tab w:val="right" w:pos="9026" w:leader="dot"/>
            </w:tabs>
            <w:rPr/>
          </w:pPr>
          <w:hyperlink w:anchor="__RefHeading___Toc3103494_373438147">
            <w:r>
              <w:rPr>
                <w:webHidden/>
                <w:rStyle w:val="IndexLink"/>
              </w:rPr>
              <w:t>2</w:t>
            </w:r>
            <w:r>
              <w:rPr>
                <w:rStyle w:val="IndexLink"/>
                <w:rtl w:val="true"/>
              </w:rPr>
              <w:t xml:space="preserve">. </w:t>
            </w:r>
            <w:r>
              <w:rPr>
                <w:rStyle w:val="IndexLink"/>
                <w:rtl w:val="true"/>
              </w:rPr>
              <w:t xml:space="preserve">أحمد بن حنبل </w:t>
            </w:r>
            <w:r>
              <w:rPr>
                <w:rStyle w:val="IndexLink"/>
                <w:rtl w:val="true"/>
              </w:rPr>
              <w:t>(</w:t>
            </w:r>
            <w:r>
              <w:rPr>
                <w:rStyle w:val="IndexLink"/>
                <w:rtl w:val="true"/>
              </w:rPr>
              <w:t xml:space="preserve">ت </w:t>
            </w:r>
            <w:r>
              <w:rPr>
                <w:rStyle w:val="IndexLink"/>
              </w:rPr>
              <w:t>241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5"/>
            <w:tabs>
              <w:tab w:val="clear" w:pos="7892"/>
              <w:tab w:val="right" w:pos="9026" w:leader="dot"/>
            </w:tabs>
            <w:rPr/>
          </w:pPr>
          <w:hyperlink w:anchor="__RefHeading___Toc3103496_37343814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3103498_373438147">
            <w:r>
              <w:rPr>
                <w:webHidden/>
                <w:rStyle w:val="IndexLink"/>
                <w:rtl w:val="true"/>
              </w:rPr>
              <w:t>التعريف بابن حنبل</w:t>
            </w:r>
            <w:r>
              <w:rPr>
                <w:rStyle w:val="IndexLink"/>
                <w:rtl w:val="true"/>
              </w:rPr>
              <w:tab/>
            </w:r>
            <w:r>
              <w:rPr>
                <w:rStyle w:val="IndexLink"/>
              </w:rPr>
              <w:t>66</w:t>
            </w:r>
          </w:hyperlink>
        </w:p>
        <w:p>
          <w:pPr>
            <w:pStyle w:val="Contents4"/>
            <w:tabs>
              <w:tab w:val="clear" w:pos="8176"/>
              <w:tab w:val="right" w:pos="9026" w:leader="dot"/>
            </w:tabs>
            <w:rPr/>
          </w:pPr>
          <w:hyperlink w:anchor="__RefHeading___Toc3103500_373438147">
            <w:r>
              <w:rPr>
                <w:webHidden/>
                <w:rStyle w:val="IndexLink"/>
              </w:rPr>
              <w:t>3</w:t>
            </w:r>
            <w:r>
              <w:rPr>
                <w:rStyle w:val="IndexLink"/>
                <w:rtl w:val="true"/>
              </w:rPr>
              <w:t xml:space="preserve">. </w:t>
            </w:r>
            <w:r>
              <w:rPr>
                <w:rStyle w:val="IndexLink"/>
                <w:rtl w:val="true"/>
              </w:rPr>
              <w:t xml:space="preserve">سعيد بن جبير </w:t>
            </w:r>
            <w:r>
              <w:rPr>
                <w:rStyle w:val="IndexLink"/>
                <w:rtl w:val="true"/>
              </w:rPr>
              <w:t>(</w:t>
            </w:r>
            <w:r>
              <w:rPr>
                <w:rStyle w:val="IndexLink"/>
                <w:rtl w:val="true"/>
              </w:rPr>
              <w:t xml:space="preserve">ت </w:t>
            </w:r>
            <w:r>
              <w:rPr>
                <w:rStyle w:val="IndexLink"/>
              </w:rPr>
              <w:t>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66</w:t>
            </w:r>
          </w:hyperlink>
        </w:p>
        <w:p>
          <w:pPr>
            <w:pStyle w:val="Contents5"/>
            <w:tabs>
              <w:tab w:val="clear" w:pos="7892"/>
              <w:tab w:val="right" w:pos="9026" w:leader="dot"/>
            </w:tabs>
            <w:rPr/>
          </w:pPr>
          <w:hyperlink w:anchor="__RefHeading___Toc3103502_37343814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103504_373438147">
            <w:r>
              <w:rPr>
                <w:webHidden/>
                <w:rStyle w:val="IndexLink"/>
                <w:rtl w:val="true"/>
              </w:rPr>
              <w:t>التعريف بسعيد بن جبير</w:t>
            </w:r>
            <w:r>
              <w:rPr>
                <w:rStyle w:val="IndexLink"/>
                <w:rtl w:val="true"/>
              </w:rPr>
              <w:tab/>
            </w:r>
            <w:r>
              <w:rPr>
                <w:rStyle w:val="IndexLink"/>
              </w:rPr>
              <w:t>67</w:t>
            </w:r>
          </w:hyperlink>
        </w:p>
        <w:p>
          <w:pPr>
            <w:pStyle w:val="Contents4"/>
            <w:tabs>
              <w:tab w:val="clear" w:pos="8176"/>
              <w:tab w:val="right" w:pos="9026" w:leader="dot"/>
            </w:tabs>
            <w:rPr/>
          </w:pPr>
          <w:hyperlink w:anchor="__RefHeading___Toc3103506_373438147">
            <w:r>
              <w:rPr>
                <w:webHidden/>
                <w:rStyle w:val="IndexLink"/>
              </w:rPr>
              <w:t>4</w:t>
            </w:r>
            <w:r>
              <w:rPr>
                <w:rStyle w:val="IndexLink"/>
                <w:rtl w:val="true"/>
              </w:rPr>
              <w:t xml:space="preserve">. </w:t>
            </w:r>
            <w:r>
              <w:rPr>
                <w:rStyle w:val="IndexLink"/>
                <w:rtl w:val="true"/>
              </w:rPr>
              <w:t xml:space="preserve">عبد الملك بن عبد العزيز بن جريج </w:t>
            </w:r>
            <w:r>
              <w:rPr>
                <w:rStyle w:val="IndexLink"/>
                <w:rtl w:val="true"/>
              </w:rPr>
              <w:t>(</w:t>
            </w:r>
            <w:r>
              <w:rPr>
                <w:rStyle w:val="IndexLink"/>
                <w:rtl w:val="true"/>
              </w:rPr>
              <w:t xml:space="preserve">ت </w:t>
            </w:r>
            <w:r>
              <w:rPr>
                <w:rStyle w:val="IndexLink"/>
              </w:rPr>
              <w:t>150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67</w:t>
            </w:r>
          </w:hyperlink>
        </w:p>
        <w:p>
          <w:pPr>
            <w:pStyle w:val="Contents5"/>
            <w:tabs>
              <w:tab w:val="clear" w:pos="7892"/>
              <w:tab w:val="right" w:pos="9026" w:leader="dot"/>
            </w:tabs>
            <w:rPr/>
          </w:pPr>
          <w:hyperlink w:anchor="__RefHeading___Toc3103508_37343814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103510_373438147">
            <w:r>
              <w:rPr>
                <w:webHidden/>
                <w:rStyle w:val="IndexLink"/>
                <w:rtl w:val="true"/>
              </w:rPr>
              <w:t>رواية إسماعيل بن الفضل الهاشمي</w:t>
            </w:r>
            <w:r>
              <w:rPr>
                <w:rStyle w:val="IndexLink"/>
                <w:rtl w:val="true"/>
              </w:rPr>
              <w:tab/>
            </w:r>
            <w:r>
              <w:rPr>
                <w:rStyle w:val="IndexLink"/>
              </w:rPr>
              <w:t>68</w:t>
            </w:r>
          </w:hyperlink>
        </w:p>
        <w:p>
          <w:pPr>
            <w:pStyle w:val="Contents5"/>
            <w:tabs>
              <w:tab w:val="clear" w:pos="7892"/>
              <w:tab w:val="right" w:pos="9026" w:leader="dot"/>
            </w:tabs>
            <w:rPr/>
          </w:pPr>
          <w:hyperlink w:anchor="__RefHeading___Toc3103512_373438147">
            <w:r>
              <w:rPr>
                <w:webHidden/>
                <w:rStyle w:val="IndexLink"/>
                <w:rtl w:val="true"/>
              </w:rPr>
              <w:t>التعريف بابن جريج</w:t>
            </w:r>
            <w:r>
              <w:rPr>
                <w:rStyle w:val="IndexLink"/>
                <w:rtl w:val="true"/>
              </w:rPr>
              <w:tab/>
            </w:r>
            <w:r>
              <w:rPr>
                <w:rStyle w:val="IndexLink"/>
              </w:rPr>
              <w:t>69</w:t>
            </w:r>
          </w:hyperlink>
        </w:p>
        <w:p>
          <w:pPr>
            <w:pStyle w:val="Contents5"/>
            <w:tabs>
              <w:tab w:val="clear" w:pos="7892"/>
              <w:tab w:val="right" w:pos="9026" w:leader="dot"/>
            </w:tabs>
            <w:rPr/>
          </w:pPr>
          <w:hyperlink w:anchor="__RefHeading___Toc3103514_373438147">
            <w:r>
              <w:rPr>
                <w:webHidden/>
                <w:rStyle w:val="IndexLink"/>
                <w:rtl w:val="true"/>
              </w:rPr>
              <w:t>ملاحظة هل رجع ابن جريج عن رأيه؟</w:t>
            </w:r>
            <w:r>
              <w:rPr>
                <w:rStyle w:val="IndexLink"/>
                <w:rtl w:val="true"/>
              </w:rPr>
              <w:tab/>
            </w:r>
            <w:r>
              <w:rPr>
                <w:rStyle w:val="IndexLink"/>
              </w:rPr>
              <w:t>70</w:t>
            </w:r>
          </w:hyperlink>
        </w:p>
        <w:p>
          <w:pPr>
            <w:pStyle w:val="Contents4"/>
            <w:tabs>
              <w:tab w:val="clear" w:pos="8176"/>
              <w:tab w:val="right" w:pos="9026" w:leader="dot"/>
            </w:tabs>
            <w:rPr/>
          </w:pPr>
          <w:hyperlink w:anchor="__RefHeading___Toc3103516_373438147">
            <w:r>
              <w:rPr>
                <w:webHidden/>
                <w:rStyle w:val="IndexLink"/>
              </w:rPr>
              <w:t>5</w:t>
            </w:r>
            <w:r>
              <w:rPr>
                <w:rStyle w:val="IndexLink"/>
                <w:rtl w:val="true"/>
              </w:rPr>
              <w:t xml:space="preserve">. </w:t>
            </w:r>
            <w:r>
              <w:rPr>
                <w:rStyle w:val="IndexLink"/>
                <w:rtl w:val="true"/>
              </w:rPr>
              <w:t xml:space="preserve">عطاء بن أبي رباح </w:t>
            </w:r>
            <w:r>
              <w:rPr>
                <w:rStyle w:val="IndexLink"/>
                <w:rtl w:val="true"/>
              </w:rPr>
              <w:t>(</w:t>
            </w:r>
            <w:r>
              <w:rPr>
                <w:rStyle w:val="IndexLink"/>
                <w:rtl w:val="true"/>
              </w:rPr>
              <w:t xml:space="preserve">ت </w:t>
            </w:r>
            <w:r>
              <w:rPr>
                <w:rStyle w:val="IndexLink"/>
              </w:rPr>
              <w:t>115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71</w:t>
            </w:r>
          </w:hyperlink>
        </w:p>
        <w:p>
          <w:pPr>
            <w:pStyle w:val="Contents5"/>
            <w:tabs>
              <w:tab w:val="clear" w:pos="7892"/>
              <w:tab w:val="right" w:pos="9026" w:leader="dot"/>
            </w:tabs>
            <w:rPr/>
          </w:pPr>
          <w:hyperlink w:anchor="__RefHeading___Toc3103518_37343814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103520_373438147">
            <w:r>
              <w:rPr>
                <w:webHidden/>
                <w:rStyle w:val="IndexLink"/>
                <w:rtl w:val="true"/>
              </w:rPr>
              <w:t>التعريف بعطاء</w:t>
            </w:r>
            <w:r>
              <w:rPr>
                <w:rStyle w:val="IndexLink"/>
                <w:rtl w:val="true"/>
              </w:rPr>
              <w:tab/>
            </w:r>
            <w:r>
              <w:rPr>
                <w:rStyle w:val="IndexLink"/>
              </w:rPr>
              <w:t>72</w:t>
            </w:r>
          </w:hyperlink>
        </w:p>
        <w:p>
          <w:pPr>
            <w:pStyle w:val="Contents4"/>
            <w:tabs>
              <w:tab w:val="clear" w:pos="8176"/>
              <w:tab w:val="right" w:pos="9026" w:leader="dot"/>
            </w:tabs>
            <w:rPr/>
          </w:pPr>
          <w:hyperlink w:anchor="__RefHeading___Toc3103522_373438147">
            <w:r>
              <w:rPr>
                <w:webHidden/>
                <w:rStyle w:val="IndexLink"/>
              </w:rPr>
              <w:t>6</w:t>
            </w:r>
            <w:r>
              <w:rPr>
                <w:rStyle w:val="IndexLink"/>
                <w:rtl w:val="true"/>
              </w:rPr>
              <w:t xml:space="preserve">. </w:t>
            </w:r>
            <w:r>
              <w:rPr>
                <w:rStyle w:val="IndexLink"/>
                <w:rtl w:val="true"/>
              </w:rPr>
              <w:t xml:space="preserve">طاووس اليماني </w:t>
            </w:r>
            <w:r>
              <w:rPr>
                <w:rStyle w:val="IndexLink"/>
                <w:rtl w:val="true"/>
              </w:rPr>
              <w:t>(</w:t>
            </w:r>
            <w:r>
              <w:rPr>
                <w:rStyle w:val="IndexLink"/>
                <w:rtl w:val="true"/>
              </w:rPr>
              <w:t xml:space="preserve">ت </w:t>
            </w:r>
            <w:r>
              <w:rPr>
                <w:rStyle w:val="IndexLink"/>
              </w:rPr>
              <w:t>106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72</w:t>
            </w:r>
          </w:hyperlink>
        </w:p>
        <w:p>
          <w:pPr>
            <w:pStyle w:val="Contents5"/>
            <w:tabs>
              <w:tab w:val="clear" w:pos="7892"/>
              <w:tab w:val="right" w:pos="9026" w:leader="dot"/>
            </w:tabs>
            <w:rPr/>
          </w:pPr>
          <w:hyperlink w:anchor="__RefHeading___Toc3103524_37343814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103526_373438147">
            <w:r>
              <w:rPr>
                <w:webHidden/>
                <w:rStyle w:val="IndexLink"/>
                <w:rtl w:val="true"/>
              </w:rPr>
              <w:t>التعريف بطاووس</w:t>
            </w:r>
            <w:r>
              <w:rPr>
                <w:rStyle w:val="IndexLink"/>
                <w:rtl w:val="true"/>
              </w:rPr>
              <w:tab/>
            </w:r>
            <w:r>
              <w:rPr>
                <w:rStyle w:val="IndexLink"/>
              </w:rPr>
              <w:t>73</w:t>
            </w:r>
          </w:hyperlink>
        </w:p>
        <w:p>
          <w:pPr>
            <w:pStyle w:val="Contents4"/>
            <w:tabs>
              <w:tab w:val="clear" w:pos="8176"/>
              <w:tab w:val="right" w:pos="9026" w:leader="dot"/>
            </w:tabs>
            <w:rPr/>
          </w:pPr>
          <w:hyperlink w:anchor="__RefHeading___Toc3103528_373438147">
            <w:r>
              <w:rPr>
                <w:webHidden/>
                <w:rStyle w:val="IndexLink"/>
              </w:rPr>
              <w:t>7</w:t>
            </w:r>
            <w:r>
              <w:rPr>
                <w:rStyle w:val="IndexLink"/>
                <w:rtl w:val="true"/>
              </w:rPr>
              <w:t xml:space="preserve">. </w:t>
            </w:r>
            <w:r>
              <w:rPr>
                <w:rStyle w:val="IndexLink"/>
                <w:rtl w:val="true"/>
              </w:rPr>
              <w:t xml:space="preserve">عمرو بن دينار </w:t>
            </w:r>
            <w:r>
              <w:rPr>
                <w:rStyle w:val="IndexLink"/>
                <w:rtl w:val="true"/>
              </w:rPr>
              <w:t>(</w:t>
            </w:r>
            <w:r>
              <w:rPr>
                <w:rStyle w:val="IndexLink"/>
                <w:rtl w:val="true"/>
              </w:rPr>
              <w:t xml:space="preserve">ت </w:t>
            </w:r>
            <w:r>
              <w:rPr>
                <w:rStyle w:val="IndexLink"/>
              </w:rPr>
              <w:t>126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73</w:t>
            </w:r>
          </w:hyperlink>
        </w:p>
        <w:p>
          <w:pPr>
            <w:pStyle w:val="Contents5"/>
            <w:tabs>
              <w:tab w:val="clear" w:pos="7892"/>
              <w:tab w:val="right" w:pos="9026" w:leader="dot"/>
            </w:tabs>
            <w:rPr/>
          </w:pPr>
          <w:hyperlink w:anchor="__RefHeading___Toc3103530_37343814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103532_373438147">
            <w:r>
              <w:rPr>
                <w:webHidden/>
                <w:rStyle w:val="IndexLink"/>
                <w:rtl w:val="true"/>
              </w:rPr>
              <w:t>التعريف بعمرو بن دينار</w:t>
            </w:r>
            <w:r>
              <w:rPr>
                <w:rStyle w:val="IndexLink"/>
                <w:rtl w:val="true"/>
              </w:rPr>
              <w:tab/>
            </w:r>
            <w:r>
              <w:rPr>
                <w:rStyle w:val="IndexLink"/>
              </w:rPr>
              <w:t>74</w:t>
            </w:r>
          </w:hyperlink>
        </w:p>
        <w:p>
          <w:pPr>
            <w:pStyle w:val="Contents4"/>
            <w:tabs>
              <w:tab w:val="clear" w:pos="8176"/>
              <w:tab w:val="right" w:pos="9026" w:leader="dot"/>
            </w:tabs>
            <w:rPr/>
          </w:pPr>
          <w:hyperlink w:anchor="__RefHeading___Toc3103534_373438147">
            <w:r>
              <w:rPr>
                <w:webHidden/>
                <w:rStyle w:val="IndexLink"/>
              </w:rPr>
              <w:t>8</w:t>
            </w:r>
            <w:r>
              <w:rPr>
                <w:rStyle w:val="IndexLink"/>
                <w:rtl w:val="true"/>
              </w:rPr>
              <w:t xml:space="preserve">. </w:t>
            </w:r>
            <w:r>
              <w:rPr>
                <w:rStyle w:val="IndexLink"/>
                <w:rtl w:val="true"/>
              </w:rPr>
              <w:t xml:space="preserve">مجاهد بن جبر </w:t>
            </w:r>
            <w:r>
              <w:rPr>
                <w:rStyle w:val="IndexLink"/>
                <w:rtl w:val="true"/>
              </w:rPr>
              <w:t>(</w:t>
            </w:r>
            <w:r>
              <w:rPr>
                <w:rStyle w:val="IndexLink"/>
                <w:rtl w:val="true"/>
              </w:rPr>
              <w:t xml:space="preserve">ت </w:t>
            </w:r>
            <w:r>
              <w:rPr>
                <w:rStyle w:val="IndexLink"/>
              </w:rPr>
              <w:t>100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75</w:t>
            </w:r>
          </w:hyperlink>
        </w:p>
        <w:p>
          <w:pPr>
            <w:pStyle w:val="Contents5"/>
            <w:tabs>
              <w:tab w:val="clear" w:pos="7892"/>
              <w:tab w:val="right" w:pos="9026" w:leader="dot"/>
            </w:tabs>
            <w:rPr/>
          </w:pPr>
          <w:hyperlink w:anchor="__RefHeading___Toc3103536_37343814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103538_373438147">
            <w:r>
              <w:rPr>
                <w:webHidden/>
                <w:rStyle w:val="IndexLink"/>
                <w:rtl w:val="true"/>
              </w:rPr>
              <w:t>التعريف بمجاهد</w:t>
            </w:r>
            <w:r>
              <w:rPr>
                <w:rStyle w:val="IndexLink"/>
                <w:rtl w:val="true"/>
              </w:rPr>
              <w:tab/>
            </w:r>
            <w:r>
              <w:rPr>
                <w:rStyle w:val="IndexLink"/>
              </w:rPr>
              <w:t>75</w:t>
            </w:r>
          </w:hyperlink>
        </w:p>
        <w:p>
          <w:pPr>
            <w:pStyle w:val="Contents4"/>
            <w:tabs>
              <w:tab w:val="clear" w:pos="8176"/>
              <w:tab w:val="right" w:pos="9026" w:leader="dot"/>
            </w:tabs>
            <w:rPr/>
          </w:pPr>
          <w:hyperlink w:anchor="__RefHeading___Toc3103540_373438147">
            <w:r>
              <w:rPr>
                <w:webHidden/>
                <w:rStyle w:val="IndexLink"/>
              </w:rPr>
              <w:t>9</w:t>
            </w:r>
            <w:r>
              <w:rPr>
                <w:rStyle w:val="IndexLink"/>
                <w:rtl w:val="true"/>
              </w:rPr>
              <w:t xml:space="preserve">. </w:t>
            </w:r>
            <w:r>
              <w:rPr>
                <w:rStyle w:val="IndexLink"/>
                <w:rtl w:val="true"/>
              </w:rPr>
              <w:t xml:space="preserve">السدّي </w:t>
            </w:r>
            <w:r>
              <w:rPr>
                <w:rStyle w:val="IndexLink"/>
                <w:rtl w:val="true"/>
              </w:rPr>
              <w:t>(</w:t>
            </w:r>
            <w:r>
              <w:rPr>
                <w:rStyle w:val="IndexLink"/>
                <w:rtl w:val="true"/>
              </w:rPr>
              <w:t xml:space="preserve">ت </w:t>
            </w:r>
            <w:r>
              <w:rPr>
                <w:rStyle w:val="IndexLink"/>
              </w:rPr>
              <w:t>127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76</w:t>
            </w:r>
          </w:hyperlink>
        </w:p>
        <w:p>
          <w:pPr>
            <w:pStyle w:val="Contents5"/>
            <w:tabs>
              <w:tab w:val="clear" w:pos="7892"/>
              <w:tab w:val="right" w:pos="9026" w:leader="dot"/>
            </w:tabs>
            <w:rPr/>
          </w:pPr>
          <w:hyperlink w:anchor="__RefHeading___Toc3103542_37343814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3103544_373438147">
            <w:r>
              <w:rPr>
                <w:webHidden/>
                <w:rStyle w:val="IndexLink"/>
                <w:rtl w:val="true"/>
              </w:rPr>
              <w:t>التعريف بالسدّي</w:t>
            </w:r>
            <w:r>
              <w:rPr>
                <w:rStyle w:val="IndexLink"/>
                <w:rtl w:val="true"/>
              </w:rPr>
              <w:tab/>
            </w:r>
            <w:r>
              <w:rPr>
                <w:rStyle w:val="IndexLink"/>
              </w:rPr>
              <w:t>76</w:t>
            </w:r>
          </w:hyperlink>
        </w:p>
        <w:p>
          <w:pPr>
            <w:pStyle w:val="Contents4"/>
            <w:tabs>
              <w:tab w:val="clear" w:pos="8176"/>
              <w:tab w:val="right" w:pos="9026" w:leader="dot"/>
            </w:tabs>
            <w:rPr/>
          </w:pPr>
          <w:hyperlink w:anchor="__RefHeading___Toc3103546_373438147">
            <w:r>
              <w:rPr>
                <w:webHidden/>
                <w:rStyle w:val="IndexLink"/>
              </w:rPr>
              <w:t>10</w:t>
            </w:r>
            <w:r>
              <w:rPr>
                <w:rStyle w:val="IndexLink"/>
                <w:rtl w:val="true"/>
              </w:rPr>
              <w:t xml:space="preserve">. </w:t>
            </w:r>
            <w:r>
              <w:rPr>
                <w:rStyle w:val="IndexLink"/>
                <w:rtl w:val="true"/>
              </w:rPr>
              <w:t xml:space="preserve">الحكم بن عتيبة </w:t>
            </w:r>
            <w:r>
              <w:rPr>
                <w:rStyle w:val="IndexLink"/>
                <w:rtl w:val="true"/>
              </w:rPr>
              <w:t>(</w:t>
            </w:r>
            <w:r>
              <w:rPr>
                <w:rStyle w:val="IndexLink"/>
                <w:rtl w:val="true"/>
              </w:rPr>
              <w:t xml:space="preserve">ت </w:t>
            </w:r>
            <w:r>
              <w:rPr>
                <w:rStyle w:val="IndexLink"/>
              </w:rPr>
              <w:t>125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77</w:t>
            </w:r>
          </w:hyperlink>
        </w:p>
        <w:p>
          <w:pPr>
            <w:pStyle w:val="Contents5"/>
            <w:tabs>
              <w:tab w:val="clear" w:pos="7892"/>
              <w:tab w:val="right" w:pos="9026" w:leader="dot"/>
            </w:tabs>
            <w:rPr/>
          </w:pPr>
          <w:hyperlink w:anchor="__RefHeading___Toc3103548_37343814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103550_373438147">
            <w:r>
              <w:rPr>
                <w:webHidden/>
                <w:rStyle w:val="IndexLink"/>
                <w:rtl w:val="true"/>
              </w:rPr>
              <w:t>التعريف بالحكم</w:t>
            </w:r>
            <w:r>
              <w:rPr>
                <w:rStyle w:val="IndexLink"/>
                <w:rtl w:val="true"/>
              </w:rPr>
              <w:tab/>
            </w:r>
            <w:r>
              <w:rPr>
                <w:rStyle w:val="IndexLink"/>
              </w:rPr>
              <w:t>78</w:t>
            </w:r>
          </w:hyperlink>
        </w:p>
        <w:p>
          <w:pPr>
            <w:pStyle w:val="Contents4"/>
            <w:tabs>
              <w:tab w:val="clear" w:pos="8176"/>
              <w:tab w:val="right" w:pos="9026" w:leader="dot"/>
            </w:tabs>
            <w:rPr/>
          </w:pPr>
          <w:hyperlink w:anchor="__RefHeading___Toc3103552_373438147">
            <w:r>
              <w:rPr>
                <w:webHidden/>
                <w:rStyle w:val="IndexLink"/>
              </w:rPr>
              <w:t>11</w:t>
            </w:r>
            <w:r>
              <w:rPr>
                <w:rStyle w:val="IndexLink"/>
                <w:rtl w:val="true"/>
              </w:rPr>
              <w:t xml:space="preserve">. </w:t>
            </w:r>
            <w:r>
              <w:rPr>
                <w:rStyle w:val="IndexLink"/>
                <w:rtl w:val="true"/>
              </w:rPr>
              <w:t xml:space="preserve">ابن أبي مليكة </w:t>
            </w:r>
            <w:r>
              <w:rPr>
                <w:rStyle w:val="IndexLink"/>
                <w:rtl w:val="true"/>
              </w:rPr>
              <w:t>(</w:t>
            </w:r>
            <w:r>
              <w:rPr>
                <w:rStyle w:val="IndexLink"/>
                <w:rtl w:val="true"/>
              </w:rPr>
              <w:t xml:space="preserve">ت </w:t>
            </w:r>
            <w:r>
              <w:rPr>
                <w:rStyle w:val="IndexLink"/>
              </w:rPr>
              <w:t>117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79</w:t>
            </w:r>
          </w:hyperlink>
        </w:p>
        <w:p>
          <w:pPr>
            <w:pStyle w:val="Contents5"/>
            <w:tabs>
              <w:tab w:val="clear" w:pos="7892"/>
              <w:tab w:val="right" w:pos="9026" w:leader="dot"/>
            </w:tabs>
            <w:rPr/>
          </w:pPr>
          <w:hyperlink w:anchor="__RefHeading___Toc3103554_37343814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103556_373438147">
            <w:r>
              <w:rPr>
                <w:webHidden/>
                <w:rStyle w:val="IndexLink"/>
                <w:rtl w:val="true"/>
              </w:rPr>
              <w:t>التعريف بابن أبي مليكة</w:t>
            </w:r>
            <w:r>
              <w:rPr>
                <w:rStyle w:val="IndexLink"/>
                <w:rtl w:val="true"/>
              </w:rPr>
              <w:tab/>
            </w:r>
            <w:r>
              <w:rPr>
                <w:rStyle w:val="IndexLink"/>
              </w:rPr>
              <w:t>79</w:t>
            </w:r>
          </w:hyperlink>
        </w:p>
        <w:p>
          <w:pPr>
            <w:pStyle w:val="Contents4"/>
            <w:tabs>
              <w:tab w:val="clear" w:pos="8176"/>
              <w:tab w:val="right" w:pos="9026" w:leader="dot"/>
            </w:tabs>
            <w:rPr/>
          </w:pPr>
          <w:hyperlink w:anchor="__RefHeading___Toc3103558_373438147">
            <w:r>
              <w:rPr>
                <w:webHidden/>
                <w:rStyle w:val="IndexLink"/>
              </w:rPr>
              <w:t>12</w:t>
            </w:r>
            <w:r>
              <w:rPr>
                <w:rStyle w:val="IndexLink"/>
                <w:rtl w:val="true"/>
              </w:rPr>
              <w:t xml:space="preserve">. </w:t>
            </w:r>
            <w:r>
              <w:rPr>
                <w:rStyle w:val="IndexLink"/>
                <w:rtl w:val="true"/>
              </w:rPr>
              <w:t>زفر بن أوس بن الحدثان المدنيّ‌</w:t>
            </w:r>
            <w:r>
              <w:rPr>
                <w:rStyle w:val="IndexLink"/>
                <w:rtl w:val="true"/>
              </w:rPr>
              <w:tab/>
            </w:r>
            <w:r>
              <w:rPr>
                <w:rStyle w:val="IndexLink"/>
              </w:rPr>
              <w:t>79</w:t>
            </w:r>
          </w:hyperlink>
        </w:p>
        <w:p>
          <w:pPr>
            <w:pStyle w:val="Contents5"/>
            <w:tabs>
              <w:tab w:val="clear" w:pos="7892"/>
              <w:tab w:val="right" w:pos="9026" w:leader="dot"/>
            </w:tabs>
            <w:rPr/>
          </w:pPr>
          <w:hyperlink w:anchor="__RefHeading___Toc3103560_37343814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103562_373438147">
            <w:r>
              <w:rPr>
                <w:webHidden/>
                <w:rStyle w:val="IndexLink"/>
                <w:rtl w:val="true"/>
              </w:rPr>
              <w:t>التعريف بزفر</w:t>
            </w:r>
            <w:r>
              <w:rPr>
                <w:rStyle w:val="IndexLink"/>
                <w:rtl w:val="true"/>
              </w:rPr>
              <w:tab/>
            </w:r>
            <w:r>
              <w:rPr>
                <w:rStyle w:val="IndexLink"/>
              </w:rPr>
              <w:t>80</w:t>
            </w:r>
          </w:hyperlink>
        </w:p>
        <w:p>
          <w:pPr>
            <w:pStyle w:val="Contents5"/>
            <w:tabs>
              <w:tab w:val="clear" w:pos="7892"/>
              <w:tab w:val="right" w:pos="9026" w:leader="dot"/>
            </w:tabs>
            <w:rPr/>
          </w:pPr>
          <w:hyperlink w:anchor="__RefHeading___Toc3103564_373438147">
            <w:r>
              <w:rPr>
                <w:webHidden/>
                <w:rStyle w:val="IndexLink"/>
                <w:rtl w:val="true"/>
              </w:rPr>
              <w:t>ملاحظة زفر بن الهذيل</w:t>
            </w:r>
            <w:r>
              <w:rPr>
                <w:rStyle w:val="IndexLink"/>
                <w:rtl w:val="true"/>
              </w:rPr>
              <w:tab/>
            </w:r>
            <w:r>
              <w:rPr>
                <w:rStyle w:val="IndexLink"/>
              </w:rPr>
              <w:t>80</w:t>
            </w:r>
          </w:hyperlink>
        </w:p>
        <w:p>
          <w:pPr>
            <w:pStyle w:val="Contents4"/>
            <w:tabs>
              <w:tab w:val="clear" w:pos="8176"/>
              <w:tab w:val="right" w:pos="9026" w:leader="dot"/>
            </w:tabs>
            <w:rPr/>
          </w:pPr>
          <w:hyperlink w:anchor="__RefHeading___Toc3103566_373438147">
            <w:r>
              <w:rPr>
                <w:webHidden/>
                <w:rStyle w:val="IndexLink"/>
              </w:rPr>
              <w:t>13</w:t>
            </w:r>
            <w:r>
              <w:rPr>
                <w:rStyle w:val="IndexLink"/>
                <w:rtl w:val="true"/>
              </w:rPr>
              <w:t xml:space="preserve">. </w:t>
            </w:r>
            <w:r>
              <w:rPr>
                <w:rStyle w:val="IndexLink"/>
                <w:rtl w:val="true"/>
              </w:rPr>
              <w:t xml:space="preserve">طلحة بن مصرّف اليامي </w:t>
            </w:r>
            <w:r>
              <w:rPr>
                <w:rStyle w:val="IndexLink"/>
                <w:rtl w:val="true"/>
              </w:rPr>
              <w:t>(</w:t>
            </w:r>
            <w:r>
              <w:rPr>
                <w:rStyle w:val="IndexLink"/>
                <w:rtl w:val="true"/>
              </w:rPr>
              <w:t xml:space="preserve">ت </w:t>
            </w:r>
            <w:r>
              <w:rPr>
                <w:rStyle w:val="IndexLink"/>
              </w:rPr>
              <w:t>112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81</w:t>
            </w:r>
          </w:hyperlink>
        </w:p>
        <w:p>
          <w:pPr>
            <w:pStyle w:val="Contents5"/>
            <w:tabs>
              <w:tab w:val="clear" w:pos="7892"/>
              <w:tab w:val="right" w:pos="9026" w:leader="dot"/>
            </w:tabs>
            <w:rPr/>
          </w:pPr>
          <w:hyperlink w:anchor="__RefHeading___Toc3103568_37343814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103570_373438147">
            <w:r>
              <w:rPr>
                <w:webHidden/>
                <w:rStyle w:val="IndexLink"/>
                <w:rtl w:val="true"/>
              </w:rPr>
              <w:t>التعريف بطلحة بن مصرّف</w:t>
            </w:r>
            <w:r>
              <w:rPr>
                <w:rStyle w:val="IndexLink"/>
                <w:rtl w:val="true"/>
              </w:rPr>
              <w:tab/>
            </w:r>
            <w:r>
              <w:rPr>
                <w:rStyle w:val="IndexLink"/>
              </w:rPr>
              <w:t>81</w:t>
            </w:r>
          </w:hyperlink>
        </w:p>
        <w:p>
          <w:pPr>
            <w:pStyle w:val="Contents4"/>
            <w:tabs>
              <w:tab w:val="clear" w:pos="8176"/>
              <w:tab w:val="right" w:pos="9026" w:leader="dot"/>
            </w:tabs>
            <w:rPr/>
          </w:pPr>
          <w:hyperlink w:anchor="__RefHeading___Toc3103572_373438147">
            <w:r>
              <w:rPr>
                <w:webHidden/>
                <w:rStyle w:val="IndexLink"/>
              </w:rPr>
              <w:t>14</w:t>
            </w:r>
            <w:r>
              <w:rPr>
                <w:rStyle w:val="IndexLink"/>
                <w:rtl w:val="true"/>
              </w:rPr>
              <w:t xml:space="preserve">. </w:t>
            </w:r>
            <w:r>
              <w:rPr>
                <w:rStyle w:val="IndexLink"/>
                <w:rtl w:val="true"/>
              </w:rPr>
              <w:t>أهل مكّة و اليمن</w:t>
            </w:r>
            <w:r>
              <w:rPr>
                <w:rStyle w:val="IndexLink"/>
                <w:rtl w:val="true"/>
              </w:rPr>
              <w:tab/>
            </w:r>
            <w:r>
              <w:rPr>
                <w:rStyle w:val="IndexLink"/>
              </w:rPr>
              <w:t>82</w:t>
            </w:r>
          </w:hyperlink>
        </w:p>
        <w:p>
          <w:pPr>
            <w:pStyle w:val="Contents4"/>
            <w:tabs>
              <w:tab w:val="clear" w:pos="8176"/>
              <w:tab w:val="right" w:pos="9026" w:leader="dot"/>
            </w:tabs>
            <w:rPr/>
          </w:pPr>
          <w:hyperlink w:anchor="__RefHeading___Toc3103574_373438147">
            <w:r>
              <w:rPr>
                <w:webHidden/>
                <w:rStyle w:val="IndexLink"/>
              </w:rPr>
              <w:t>15</w:t>
            </w:r>
            <w:r>
              <w:rPr>
                <w:rStyle w:val="IndexLink"/>
                <w:rtl w:val="true"/>
              </w:rPr>
              <w:t xml:space="preserve">. </w:t>
            </w:r>
            <w:r>
              <w:rPr>
                <w:rStyle w:val="IndexLink"/>
                <w:rtl w:val="true"/>
              </w:rPr>
              <w:t>أهل البيت عليهم السّلام و التابعون</w:t>
            </w:r>
            <w:r>
              <w:rPr>
                <w:rStyle w:val="IndexLink"/>
                <w:rtl w:val="true"/>
              </w:rPr>
              <w:tab/>
            </w:r>
            <w:r>
              <w:rPr>
                <w:rStyle w:val="IndexLink"/>
              </w:rPr>
              <w:t>82</w:t>
            </w:r>
          </w:hyperlink>
        </w:p>
        <w:p>
          <w:pPr>
            <w:pStyle w:val="Contents5"/>
            <w:tabs>
              <w:tab w:val="clear" w:pos="7892"/>
              <w:tab w:val="right" w:pos="9026" w:leader="dot"/>
            </w:tabs>
            <w:rPr/>
          </w:pPr>
          <w:hyperlink w:anchor="__RefHeading___Toc3103576_37343814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103578_373438147">
            <w:r>
              <w:rPr>
                <w:webHidden/>
                <w:rStyle w:val="IndexLink"/>
                <w:rtl w:val="true"/>
              </w:rPr>
              <w:t>لائحة بأسماء آخرين</w:t>
            </w:r>
            <w:r>
              <w:rPr>
                <w:rStyle w:val="IndexLink"/>
                <w:rtl w:val="true"/>
              </w:rPr>
              <w:tab/>
            </w:r>
            <w:r>
              <w:rPr>
                <w:rStyle w:val="IndexLink"/>
              </w:rPr>
              <w:t>82</w:t>
            </w:r>
          </w:hyperlink>
        </w:p>
        <w:p>
          <w:pPr>
            <w:pStyle w:val="Contents3"/>
            <w:tabs>
              <w:tab w:val="clear" w:pos="8459"/>
              <w:tab w:val="right" w:pos="9026" w:leader="dot"/>
            </w:tabs>
            <w:rPr/>
          </w:pPr>
          <w:hyperlink w:anchor="__RefHeading___Toc3103580_373438147">
            <w:r>
              <w:rPr>
                <w:webHidden/>
                <w:rStyle w:val="IndexLink"/>
                <w:rtl w:val="true"/>
              </w:rPr>
              <w:t>الفصل الثالث</w:t>
            </w:r>
            <w:r>
              <w:rPr>
                <w:rStyle w:val="IndexLink"/>
                <w:rtl w:val="true"/>
              </w:rPr>
              <w:t xml:space="preserve">: </w:t>
            </w:r>
            <w:r>
              <w:rPr>
                <w:rStyle w:val="IndexLink"/>
                <w:rtl w:val="true"/>
              </w:rPr>
              <w:t>إثارات و مناقشات</w:t>
            </w:r>
            <w:r>
              <w:rPr>
                <w:rStyle w:val="IndexLink"/>
                <w:rtl w:val="true"/>
              </w:rPr>
              <w:tab/>
            </w:r>
            <w:r>
              <w:rPr>
                <w:rStyle w:val="IndexLink"/>
              </w:rPr>
              <w:t>84</w:t>
            </w:r>
          </w:hyperlink>
        </w:p>
        <w:p>
          <w:pPr>
            <w:pStyle w:val="Contents4"/>
            <w:tabs>
              <w:tab w:val="clear" w:pos="8176"/>
              <w:tab w:val="right" w:pos="9026" w:leader="dot"/>
            </w:tabs>
            <w:rPr/>
          </w:pPr>
          <w:hyperlink w:anchor="__RefHeading___Toc3103582_373438147">
            <w:r>
              <w:rPr>
                <w:webHidden/>
                <w:rStyle w:val="IndexLink"/>
              </w:rPr>
              <w:t>1</w:t>
            </w:r>
            <w:r>
              <w:rPr>
                <w:rStyle w:val="IndexLink"/>
                <w:rtl w:val="true"/>
              </w:rPr>
              <w:t xml:space="preserve">. </w:t>
            </w:r>
            <w:r>
              <w:rPr>
                <w:rStyle w:val="IndexLink"/>
                <w:rtl w:val="true"/>
              </w:rPr>
              <w:t>هل القائلون بالمتعة لم يبلغهم النسخ؟</w:t>
            </w:r>
            <w:r>
              <w:rPr>
                <w:rStyle w:val="IndexLink"/>
                <w:rtl w:val="true"/>
              </w:rPr>
              <w:tab/>
            </w:r>
            <w:r>
              <w:rPr>
                <w:rStyle w:val="IndexLink"/>
              </w:rPr>
              <w:t>84</w:t>
            </w:r>
          </w:hyperlink>
        </w:p>
        <w:p>
          <w:pPr>
            <w:pStyle w:val="Contents4"/>
            <w:tabs>
              <w:tab w:val="clear" w:pos="8176"/>
              <w:tab w:val="right" w:pos="9026" w:leader="dot"/>
            </w:tabs>
            <w:rPr/>
          </w:pPr>
          <w:hyperlink w:anchor="__RefHeading___Toc3103584_373438147">
            <w:r>
              <w:rPr>
                <w:webHidden/>
                <w:rStyle w:val="IndexLink"/>
              </w:rPr>
              <w:t>2</w:t>
            </w:r>
            <w:r>
              <w:rPr>
                <w:rStyle w:val="IndexLink"/>
                <w:rtl w:val="true"/>
              </w:rPr>
              <w:t xml:space="preserve">. </w:t>
            </w:r>
            <w:r>
              <w:rPr>
                <w:rStyle w:val="IndexLink"/>
                <w:rtl w:val="true"/>
              </w:rPr>
              <w:t>المنع أمر حكومي و صادر عن الخليفة عمر</w:t>
            </w:r>
            <w:r>
              <w:rPr>
                <w:rStyle w:val="IndexLink"/>
                <w:rtl w:val="true"/>
              </w:rPr>
              <w:tab/>
            </w:r>
            <w:r>
              <w:rPr>
                <w:rStyle w:val="IndexLink"/>
              </w:rPr>
              <w:t>87</w:t>
            </w:r>
          </w:hyperlink>
        </w:p>
        <w:p>
          <w:pPr>
            <w:pStyle w:val="Contents5"/>
            <w:tabs>
              <w:tab w:val="clear" w:pos="7892"/>
              <w:tab w:val="right" w:pos="9026" w:leader="dot"/>
            </w:tabs>
            <w:rPr/>
          </w:pPr>
          <w:hyperlink w:anchor="__RefHeading___Toc3103586_37343814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103588_373438147">
            <w:r>
              <w:rPr>
                <w:webHidden/>
                <w:rStyle w:val="IndexLink"/>
                <w:rtl w:val="true"/>
              </w:rPr>
              <w:t>الشاهد الأوّل</w:t>
            </w:r>
            <w:r>
              <w:rPr>
                <w:rStyle w:val="IndexLink"/>
                <w:rtl w:val="true"/>
              </w:rPr>
              <w:t xml:space="preserve">: </w:t>
            </w:r>
            <w:r>
              <w:rPr>
                <w:rStyle w:val="IndexLink"/>
                <w:rtl w:val="true"/>
              </w:rPr>
              <w:t>تأكيد ابن عمر على عهد أبيه</w:t>
            </w:r>
            <w:r>
              <w:rPr>
                <w:rStyle w:val="IndexLink"/>
                <w:rtl w:val="true"/>
              </w:rPr>
              <w:tab/>
            </w:r>
            <w:r>
              <w:rPr>
                <w:rStyle w:val="IndexLink"/>
              </w:rPr>
              <w:t>88</w:t>
            </w:r>
          </w:hyperlink>
        </w:p>
        <w:p>
          <w:pPr>
            <w:pStyle w:val="Contents5"/>
            <w:tabs>
              <w:tab w:val="clear" w:pos="7892"/>
              <w:tab w:val="right" w:pos="9026" w:leader="dot"/>
            </w:tabs>
            <w:rPr/>
          </w:pPr>
          <w:hyperlink w:anchor="__RefHeading___Toc3103590_373438147">
            <w:r>
              <w:rPr>
                <w:webHidden/>
                <w:rStyle w:val="IndexLink"/>
                <w:rtl w:val="true"/>
              </w:rPr>
              <w:t>الشاهد الثاني</w:t>
            </w:r>
            <w:r>
              <w:rPr>
                <w:rStyle w:val="IndexLink"/>
                <w:rtl w:val="true"/>
              </w:rPr>
              <w:t xml:space="preserve">: </w:t>
            </w:r>
            <w:r>
              <w:rPr>
                <w:rStyle w:val="IndexLink"/>
                <w:rtl w:val="true"/>
              </w:rPr>
              <w:t>تصريح جابر</w:t>
            </w:r>
            <w:r>
              <w:rPr>
                <w:rStyle w:val="IndexLink"/>
                <w:rtl w:val="true"/>
              </w:rPr>
              <w:tab/>
            </w:r>
            <w:r>
              <w:rPr>
                <w:rStyle w:val="IndexLink"/>
              </w:rPr>
              <w:t>89</w:t>
            </w:r>
          </w:hyperlink>
        </w:p>
        <w:p>
          <w:pPr>
            <w:pStyle w:val="Contents5"/>
            <w:tabs>
              <w:tab w:val="clear" w:pos="7892"/>
              <w:tab w:val="right" w:pos="9026" w:leader="dot"/>
            </w:tabs>
            <w:rPr/>
          </w:pPr>
          <w:hyperlink w:anchor="__RefHeading___Toc3103592_373438147">
            <w:r>
              <w:rPr>
                <w:webHidden/>
                <w:rStyle w:val="IndexLink"/>
                <w:rtl w:val="true"/>
              </w:rPr>
              <w:t>الشاهد الثالث</w:t>
            </w:r>
            <w:r>
              <w:rPr>
                <w:rStyle w:val="IndexLink"/>
                <w:rtl w:val="true"/>
              </w:rPr>
              <w:t xml:space="preserve">: </w:t>
            </w:r>
            <w:r>
              <w:rPr>
                <w:rStyle w:val="IndexLink"/>
                <w:rtl w:val="true"/>
              </w:rPr>
              <w:t>محاورة عمران بن سوادة</w:t>
            </w:r>
            <w:r>
              <w:rPr>
                <w:rStyle w:val="IndexLink"/>
                <w:rtl w:val="true"/>
              </w:rPr>
              <w:tab/>
            </w:r>
            <w:r>
              <w:rPr>
                <w:rStyle w:val="IndexLink"/>
              </w:rPr>
              <w:t>90</w:t>
            </w:r>
          </w:hyperlink>
        </w:p>
        <w:p>
          <w:pPr>
            <w:pStyle w:val="Contents5"/>
            <w:tabs>
              <w:tab w:val="clear" w:pos="7892"/>
              <w:tab w:val="right" w:pos="9026" w:leader="dot"/>
            </w:tabs>
            <w:rPr/>
          </w:pPr>
          <w:hyperlink w:anchor="__RefHeading___Toc3103594_373438147">
            <w:r>
              <w:rPr>
                <w:webHidden/>
                <w:rStyle w:val="IndexLink"/>
                <w:rtl w:val="true"/>
              </w:rPr>
              <w:t>الشاهد الرابع</w:t>
            </w:r>
            <w:r>
              <w:rPr>
                <w:rStyle w:val="IndexLink"/>
                <w:rtl w:val="true"/>
              </w:rPr>
              <w:t xml:space="preserve">: </w:t>
            </w:r>
            <w:r>
              <w:rPr>
                <w:rStyle w:val="IndexLink"/>
                <w:rtl w:val="true"/>
              </w:rPr>
              <w:t>تصريح الإمام عليّ عليه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3103596_373438147">
            <w:r>
              <w:rPr>
                <w:webHidden/>
                <w:rStyle w:val="IndexLink"/>
                <w:rtl w:val="true"/>
              </w:rPr>
              <w:t>الشاهد الخامس</w:t>
            </w:r>
            <w:r>
              <w:rPr>
                <w:rStyle w:val="IndexLink"/>
                <w:rtl w:val="true"/>
              </w:rPr>
              <w:t xml:space="preserve">: </w:t>
            </w:r>
            <w:r>
              <w:rPr>
                <w:rStyle w:val="IndexLink"/>
                <w:rtl w:val="true"/>
              </w:rPr>
              <w:t>تصريح المؤلّفين و الأعلام</w:t>
            </w:r>
            <w:r>
              <w:rPr>
                <w:rStyle w:val="IndexLink"/>
                <w:rtl w:val="true"/>
              </w:rPr>
              <w:tab/>
            </w:r>
            <w:r>
              <w:rPr>
                <w:rStyle w:val="IndexLink"/>
              </w:rPr>
              <w:t>92</w:t>
            </w:r>
          </w:hyperlink>
        </w:p>
        <w:p>
          <w:pPr>
            <w:pStyle w:val="Contents4"/>
            <w:tabs>
              <w:tab w:val="clear" w:pos="8176"/>
              <w:tab w:val="right" w:pos="9026" w:leader="dot"/>
            </w:tabs>
            <w:rPr/>
          </w:pPr>
          <w:hyperlink w:anchor="__RefHeading___Toc3103598_373438147">
            <w:r>
              <w:rPr>
                <w:webHidden/>
                <w:rStyle w:val="IndexLink"/>
              </w:rPr>
              <w:t>3</w:t>
            </w:r>
            <w:r>
              <w:rPr>
                <w:rStyle w:val="IndexLink"/>
                <w:rtl w:val="true"/>
              </w:rPr>
              <w:t xml:space="preserve">. </w:t>
            </w:r>
            <w:r>
              <w:rPr>
                <w:rStyle w:val="IndexLink"/>
                <w:rtl w:val="true"/>
              </w:rPr>
              <w:t>هل ادّعى عمر النسخ؟</w:t>
            </w:r>
            <w:r>
              <w:rPr>
                <w:rStyle w:val="IndexLink"/>
                <w:rtl w:val="true"/>
              </w:rPr>
              <w:tab/>
            </w:r>
            <w:r>
              <w:rPr>
                <w:rStyle w:val="IndexLink"/>
              </w:rPr>
              <w:t>94</w:t>
            </w:r>
          </w:hyperlink>
        </w:p>
        <w:p>
          <w:pPr>
            <w:pStyle w:val="Contents4"/>
            <w:tabs>
              <w:tab w:val="clear" w:pos="8176"/>
              <w:tab w:val="right" w:pos="9026" w:leader="dot"/>
            </w:tabs>
            <w:rPr/>
          </w:pPr>
          <w:hyperlink w:anchor="__RefHeading___Toc3103600_373438147">
            <w:r>
              <w:rPr>
                <w:webHidden/>
                <w:rStyle w:val="IndexLink"/>
              </w:rPr>
              <w:t>4</w:t>
            </w:r>
            <w:r>
              <w:rPr>
                <w:rStyle w:val="IndexLink"/>
                <w:rtl w:val="true"/>
              </w:rPr>
              <w:t xml:space="preserve">. </w:t>
            </w:r>
            <w:r>
              <w:rPr>
                <w:rStyle w:val="IndexLink"/>
                <w:rtl w:val="true"/>
              </w:rPr>
              <w:t>كلمات فقهاء العامّة و مفسّريهم</w:t>
            </w:r>
            <w:r>
              <w:rPr>
                <w:rStyle w:val="IndexLink"/>
                <w:rtl w:val="true"/>
              </w:rPr>
              <w:tab/>
            </w:r>
            <w:r>
              <w:rPr>
                <w:rStyle w:val="IndexLink"/>
              </w:rPr>
              <w:t>95</w:t>
            </w:r>
          </w:hyperlink>
        </w:p>
        <w:p>
          <w:pPr>
            <w:pStyle w:val="Contents4"/>
            <w:tabs>
              <w:tab w:val="clear" w:pos="8176"/>
              <w:tab w:val="right" w:pos="9026" w:leader="dot"/>
            </w:tabs>
            <w:rPr/>
          </w:pPr>
          <w:hyperlink w:anchor="__RefHeading___Toc3103602_373438147">
            <w:r>
              <w:rPr>
                <w:webHidden/>
                <w:rStyle w:val="IndexLink"/>
              </w:rPr>
              <w:t>5</w:t>
            </w:r>
            <w:r>
              <w:rPr>
                <w:rStyle w:val="IndexLink"/>
                <w:rtl w:val="true"/>
              </w:rPr>
              <w:t xml:space="preserve">. </w:t>
            </w:r>
            <w:r>
              <w:rPr>
                <w:rStyle w:val="IndexLink"/>
                <w:rtl w:val="true"/>
              </w:rPr>
              <w:t>لا إجماع على تحريم المتعة</w:t>
            </w:r>
            <w:r>
              <w:rPr>
                <w:rStyle w:val="IndexLink"/>
                <w:rtl w:val="true"/>
              </w:rPr>
              <w:tab/>
            </w:r>
            <w:r>
              <w:rPr>
                <w:rStyle w:val="IndexLink"/>
              </w:rPr>
              <w:t>97</w:t>
            </w:r>
          </w:hyperlink>
        </w:p>
        <w:p>
          <w:pPr>
            <w:pStyle w:val="Contents4"/>
            <w:tabs>
              <w:tab w:val="clear" w:pos="8176"/>
              <w:tab w:val="right" w:pos="9026" w:leader="dot"/>
            </w:tabs>
            <w:rPr/>
          </w:pPr>
          <w:hyperlink w:anchor="__RefHeading___Toc3103604_373438147">
            <w:r>
              <w:rPr>
                <w:webHidden/>
                <w:rStyle w:val="IndexLink"/>
              </w:rPr>
              <w:t>6</w:t>
            </w:r>
            <w:r>
              <w:rPr>
                <w:rStyle w:val="IndexLink"/>
                <w:rtl w:val="true"/>
              </w:rPr>
              <w:t xml:space="preserve">. </w:t>
            </w:r>
            <w:r>
              <w:rPr>
                <w:rStyle w:val="IndexLink"/>
                <w:rtl w:val="true"/>
              </w:rPr>
              <w:t>الاضطراب في أحاديث التحريم</w:t>
            </w:r>
            <w:r>
              <w:rPr>
                <w:rStyle w:val="IndexLink"/>
                <w:rtl w:val="true"/>
              </w:rPr>
              <w:tab/>
            </w:r>
            <w:r>
              <w:rPr>
                <w:rStyle w:val="IndexLink"/>
              </w:rPr>
              <w:t>99</w:t>
            </w:r>
          </w:hyperlink>
        </w:p>
        <w:p>
          <w:pPr>
            <w:pStyle w:val="Contents4"/>
            <w:tabs>
              <w:tab w:val="clear" w:pos="8176"/>
              <w:tab w:val="right" w:pos="9026" w:leader="dot"/>
            </w:tabs>
            <w:rPr/>
          </w:pPr>
          <w:hyperlink w:anchor="__RefHeading___Toc3103606_373438147">
            <w:r>
              <w:rPr>
                <w:webHidden/>
                <w:rStyle w:val="IndexLink"/>
              </w:rPr>
              <w:t>7</w:t>
            </w:r>
            <w:r>
              <w:rPr>
                <w:rStyle w:val="IndexLink"/>
                <w:rtl w:val="true"/>
              </w:rPr>
              <w:t xml:space="preserve">. </w:t>
            </w:r>
            <w:r>
              <w:rPr>
                <w:rStyle w:val="IndexLink"/>
                <w:rtl w:val="true"/>
              </w:rPr>
              <w:t>مناقشة الأحاديث المعارضة</w:t>
            </w:r>
            <w:r>
              <w:rPr>
                <w:rStyle w:val="IndexLink"/>
                <w:rtl w:val="true"/>
              </w:rPr>
              <w:tab/>
            </w:r>
            <w:r>
              <w:rPr>
                <w:rStyle w:val="IndexLink"/>
              </w:rPr>
              <w:t>100</w:t>
            </w:r>
          </w:hyperlink>
        </w:p>
        <w:p>
          <w:pPr>
            <w:pStyle w:val="Contents5"/>
            <w:tabs>
              <w:tab w:val="clear" w:pos="7892"/>
              <w:tab w:val="right" w:pos="9026" w:leader="dot"/>
            </w:tabs>
            <w:rPr/>
          </w:pPr>
          <w:hyperlink w:anchor="__RefHeading___Toc3103608_37343814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3103610_373438147">
            <w:r>
              <w:rPr>
                <w:webHidden/>
                <w:rStyle w:val="IndexLink"/>
              </w:rPr>
              <w:t>1</w:t>
            </w:r>
            <w:r>
              <w:rPr>
                <w:rStyle w:val="IndexLink"/>
                <w:rtl w:val="true"/>
              </w:rPr>
              <w:t xml:space="preserve">. </w:t>
            </w:r>
            <w:r>
              <w:rPr>
                <w:rStyle w:val="IndexLink"/>
                <w:rtl w:val="true"/>
              </w:rPr>
              <w:t>حديث الترمذي</w:t>
            </w:r>
            <w:r>
              <w:rPr>
                <w:rStyle w:val="IndexLink"/>
                <w:rtl w:val="true"/>
              </w:rPr>
              <w:tab/>
            </w:r>
            <w:r>
              <w:rPr>
                <w:rStyle w:val="IndexLink"/>
              </w:rPr>
              <w:t>100</w:t>
            </w:r>
          </w:hyperlink>
        </w:p>
        <w:p>
          <w:pPr>
            <w:pStyle w:val="Contents5"/>
            <w:tabs>
              <w:tab w:val="clear" w:pos="7892"/>
              <w:tab w:val="right" w:pos="9026" w:leader="dot"/>
            </w:tabs>
            <w:rPr/>
          </w:pPr>
          <w:hyperlink w:anchor="__RefHeading___Toc3103612_373438147">
            <w:r>
              <w:rPr>
                <w:webHidden/>
                <w:rStyle w:val="IndexLink"/>
              </w:rPr>
              <w:t>2</w:t>
            </w:r>
            <w:r>
              <w:rPr>
                <w:rStyle w:val="IndexLink"/>
                <w:rtl w:val="true"/>
              </w:rPr>
              <w:t xml:space="preserve">. </w:t>
            </w:r>
            <w:r>
              <w:rPr>
                <w:rStyle w:val="IndexLink"/>
                <w:rtl w:val="true"/>
              </w:rPr>
              <w:t>حديث سعيد بن جبير</w:t>
            </w:r>
            <w:r>
              <w:rPr>
                <w:rStyle w:val="IndexLink"/>
                <w:rtl w:val="true"/>
              </w:rPr>
              <w:tab/>
            </w:r>
            <w:r>
              <w:rPr>
                <w:rStyle w:val="IndexLink"/>
              </w:rPr>
              <w:t>102</w:t>
            </w:r>
          </w:hyperlink>
        </w:p>
        <w:p>
          <w:pPr>
            <w:pStyle w:val="Contents5"/>
            <w:tabs>
              <w:tab w:val="clear" w:pos="7892"/>
              <w:tab w:val="right" w:pos="9026" w:leader="dot"/>
            </w:tabs>
            <w:rPr/>
          </w:pPr>
          <w:hyperlink w:anchor="__RefHeading___Toc3103614_373438147">
            <w:r>
              <w:rPr>
                <w:webHidden/>
                <w:rStyle w:val="IndexLink"/>
              </w:rPr>
              <w:t>3</w:t>
            </w:r>
            <w:r>
              <w:rPr>
                <w:rStyle w:val="IndexLink"/>
                <w:rtl w:val="true"/>
              </w:rPr>
              <w:t xml:space="preserve">. </w:t>
            </w:r>
            <w:r>
              <w:rPr>
                <w:rStyle w:val="IndexLink"/>
                <w:rtl w:val="true"/>
              </w:rPr>
              <w:t>حديث الزهري</w:t>
            </w:r>
            <w:r>
              <w:rPr>
                <w:rStyle w:val="IndexLink"/>
                <w:rtl w:val="true"/>
              </w:rPr>
              <w:tab/>
            </w:r>
            <w:r>
              <w:rPr>
                <w:rStyle w:val="IndexLink"/>
              </w:rPr>
              <w:t>103</w:t>
            </w:r>
          </w:hyperlink>
        </w:p>
        <w:p>
          <w:pPr>
            <w:pStyle w:val="Contents5"/>
            <w:tabs>
              <w:tab w:val="clear" w:pos="7892"/>
              <w:tab w:val="right" w:pos="9026" w:leader="dot"/>
            </w:tabs>
            <w:rPr/>
          </w:pPr>
          <w:hyperlink w:anchor="__RefHeading___Toc3103616_373438147">
            <w:r>
              <w:rPr>
                <w:webHidden/>
                <w:rStyle w:val="IndexLink"/>
              </w:rPr>
              <w:t>4</w:t>
            </w:r>
            <w:r>
              <w:rPr>
                <w:rStyle w:val="IndexLink"/>
                <w:rtl w:val="true"/>
              </w:rPr>
              <w:t xml:space="preserve">. </w:t>
            </w:r>
            <w:r>
              <w:rPr>
                <w:rStyle w:val="IndexLink"/>
                <w:rtl w:val="true"/>
              </w:rPr>
              <w:t>حديث سبرة</w:t>
            </w:r>
            <w:r>
              <w:rPr>
                <w:rStyle w:val="IndexLink"/>
                <w:rtl w:val="true"/>
              </w:rPr>
              <w:tab/>
            </w:r>
            <w:r>
              <w:rPr>
                <w:rStyle w:val="IndexLink"/>
              </w:rPr>
              <w:t>106</w:t>
            </w:r>
          </w:hyperlink>
        </w:p>
        <w:p>
          <w:pPr>
            <w:pStyle w:val="Contents5"/>
            <w:tabs>
              <w:tab w:val="clear" w:pos="7892"/>
              <w:tab w:val="right" w:pos="9026" w:leader="dot"/>
            </w:tabs>
            <w:rPr/>
          </w:pPr>
          <w:hyperlink w:anchor="__RefHeading___Toc3103618_373438147">
            <w:r>
              <w:rPr>
                <w:webHidden/>
                <w:rStyle w:val="IndexLink"/>
              </w:rPr>
              <w:t>5</w:t>
            </w:r>
            <w:r>
              <w:rPr>
                <w:rStyle w:val="IndexLink"/>
                <w:rtl w:val="true"/>
              </w:rPr>
              <w:t xml:space="preserve">. </w:t>
            </w:r>
            <w:r>
              <w:rPr>
                <w:rStyle w:val="IndexLink"/>
                <w:rtl w:val="true"/>
              </w:rPr>
              <w:t>حديث إياس</w:t>
            </w:r>
            <w:r>
              <w:rPr>
                <w:rStyle w:val="IndexLink"/>
                <w:rtl w:val="true"/>
              </w:rPr>
              <w:tab/>
            </w:r>
            <w:r>
              <w:rPr>
                <w:rStyle w:val="IndexLink"/>
              </w:rPr>
              <w:t>108</w:t>
            </w:r>
          </w:hyperlink>
        </w:p>
        <w:p>
          <w:pPr>
            <w:pStyle w:val="Contents5"/>
            <w:tabs>
              <w:tab w:val="clear" w:pos="7892"/>
              <w:tab w:val="right" w:pos="9026" w:leader="dot"/>
            </w:tabs>
            <w:rPr/>
          </w:pPr>
          <w:hyperlink w:anchor="__RefHeading___Toc3103620_373438147">
            <w:r>
              <w:rPr>
                <w:webHidden/>
                <w:rStyle w:val="IndexLink"/>
              </w:rPr>
              <w:t>6</w:t>
            </w:r>
            <w:r>
              <w:rPr>
                <w:rStyle w:val="IndexLink"/>
                <w:rtl w:val="true"/>
              </w:rPr>
              <w:t xml:space="preserve">. </w:t>
            </w:r>
            <w:r>
              <w:rPr>
                <w:rStyle w:val="IndexLink"/>
                <w:rtl w:val="true"/>
              </w:rPr>
              <w:t>حديث أبي هريرة</w:t>
            </w:r>
            <w:r>
              <w:rPr>
                <w:rStyle w:val="IndexLink"/>
                <w:rtl w:val="true"/>
              </w:rPr>
              <w:tab/>
            </w:r>
            <w:r>
              <w:rPr>
                <w:rStyle w:val="IndexLink"/>
              </w:rPr>
              <w:t>109</w:t>
            </w:r>
          </w:hyperlink>
        </w:p>
        <w:p>
          <w:pPr>
            <w:pStyle w:val="Contents4"/>
            <w:tabs>
              <w:tab w:val="clear" w:pos="8176"/>
              <w:tab w:val="right" w:pos="9026" w:leader="dot"/>
            </w:tabs>
            <w:rPr/>
          </w:pPr>
          <w:hyperlink w:anchor="__RefHeading___Toc3103622_373438147">
            <w:r>
              <w:rPr>
                <w:webHidden/>
                <w:rStyle w:val="IndexLink"/>
              </w:rPr>
              <w:t>8</w:t>
            </w:r>
            <w:r>
              <w:rPr>
                <w:rStyle w:val="IndexLink"/>
                <w:rtl w:val="true"/>
              </w:rPr>
              <w:t xml:space="preserve">. </w:t>
            </w:r>
            <w:r>
              <w:rPr>
                <w:rStyle w:val="IndexLink"/>
                <w:rtl w:val="true"/>
              </w:rPr>
              <w:t>سلاح من أعياه الجواب</w:t>
            </w:r>
            <w:r>
              <w:rPr>
                <w:rStyle w:val="IndexLink"/>
                <w:rtl w:val="true"/>
              </w:rPr>
              <w:tab/>
            </w:r>
            <w:r>
              <w:rPr>
                <w:rStyle w:val="IndexLink"/>
              </w:rPr>
              <w:t>110</w:t>
            </w:r>
          </w:hyperlink>
        </w:p>
        <w:p>
          <w:pPr>
            <w:pStyle w:val="Contents5"/>
            <w:tabs>
              <w:tab w:val="clear" w:pos="7892"/>
              <w:tab w:val="right" w:pos="9026" w:leader="dot"/>
            </w:tabs>
            <w:rPr/>
          </w:pPr>
          <w:hyperlink w:anchor="__RefHeading___Toc3103624_37343814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3103626_373438147">
            <w:r>
              <w:rPr>
                <w:webHidden/>
                <w:rStyle w:val="IndexLink"/>
              </w:rPr>
              <w:t>1</w:t>
            </w:r>
            <w:r>
              <w:rPr>
                <w:rStyle w:val="IndexLink"/>
                <w:rtl w:val="true"/>
              </w:rPr>
              <w:t xml:space="preserve">. </w:t>
            </w:r>
            <w:r>
              <w:rPr>
                <w:rStyle w:val="IndexLink"/>
                <w:rtl w:val="true"/>
              </w:rPr>
              <w:t>حوار بين الإمام الباقر عليه السّلام و الليثي</w:t>
            </w:r>
            <w:r>
              <w:rPr>
                <w:rStyle w:val="IndexLink"/>
                <w:rtl w:val="true"/>
              </w:rPr>
              <w:tab/>
            </w:r>
            <w:r>
              <w:rPr>
                <w:rStyle w:val="IndexLink"/>
              </w:rPr>
              <w:t>110</w:t>
            </w:r>
          </w:hyperlink>
        </w:p>
        <w:p>
          <w:pPr>
            <w:pStyle w:val="Contents5"/>
            <w:tabs>
              <w:tab w:val="clear" w:pos="7892"/>
              <w:tab w:val="right" w:pos="9026" w:leader="dot"/>
            </w:tabs>
            <w:rPr/>
          </w:pPr>
          <w:hyperlink w:anchor="__RefHeading___Toc3103628_373438147">
            <w:r>
              <w:rPr>
                <w:webHidden/>
                <w:rStyle w:val="IndexLink"/>
              </w:rPr>
              <w:t>2</w:t>
            </w:r>
            <w:r>
              <w:rPr>
                <w:rStyle w:val="IndexLink"/>
                <w:rtl w:val="true"/>
              </w:rPr>
              <w:t xml:space="preserve">. </w:t>
            </w:r>
            <w:r>
              <w:rPr>
                <w:rStyle w:val="IndexLink"/>
                <w:rtl w:val="true"/>
              </w:rPr>
              <w:t>حوار بين أبي حنيفة و مؤمن الطاق</w:t>
            </w:r>
            <w:r>
              <w:rPr>
                <w:rStyle w:val="IndexLink"/>
                <w:rtl w:val="true"/>
              </w:rPr>
              <w:tab/>
            </w:r>
            <w:r>
              <w:rPr>
                <w:rStyle w:val="IndexLink"/>
              </w:rPr>
              <w:t>111</w:t>
            </w:r>
          </w:hyperlink>
        </w:p>
        <w:p>
          <w:pPr>
            <w:pStyle w:val="Contents4"/>
            <w:tabs>
              <w:tab w:val="clear" w:pos="8176"/>
              <w:tab w:val="right" w:pos="9026" w:leader="dot"/>
            </w:tabs>
            <w:rPr/>
          </w:pPr>
          <w:hyperlink w:anchor="__RefHeading___Toc3103630_373438147">
            <w:r>
              <w:rPr>
                <w:webHidden/>
                <w:rStyle w:val="IndexLink"/>
              </w:rPr>
              <w:t>9</w:t>
            </w:r>
            <w:r>
              <w:rPr>
                <w:rStyle w:val="IndexLink"/>
                <w:rtl w:val="true"/>
              </w:rPr>
              <w:t xml:space="preserve">. </w:t>
            </w:r>
            <w:r>
              <w:rPr>
                <w:rStyle w:val="IndexLink"/>
                <w:rtl w:val="true"/>
              </w:rPr>
              <w:t>ما كتب حول جواز المتعة</w:t>
            </w:r>
            <w:r>
              <w:rPr>
                <w:rStyle w:val="IndexLink"/>
                <w:rtl w:val="true"/>
              </w:rPr>
              <w:tab/>
            </w:r>
            <w:r>
              <w:rPr>
                <w:rStyle w:val="IndexLink"/>
              </w:rPr>
              <w:t>112</w:t>
            </w:r>
          </w:hyperlink>
        </w:p>
        <w:p>
          <w:pPr>
            <w:pStyle w:val="Contents2"/>
            <w:tabs>
              <w:tab w:val="clear" w:pos="8743"/>
              <w:tab w:val="right" w:pos="9026" w:leader="dot"/>
            </w:tabs>
            <w:rPr/>
          </w:pPr>
          <w:hyperlink w:anchor="__RefHeading___Toc3103632_373438147">
            <w:r>
              <w:rPr>
                <w:webHidden/>
                <w:rStyle w:val="IndexLink"/>
                <w:rtl w:val="true"/>
              </w:rPr>
              <w:t>القسم الثاني صلاة التراويح بين السنّة و البدعة</w:t>
            </w:r>
            <w:r>
              <w:rPr>
                <w:rStyle w:val="IndexLink"/>
                <w:rtl w:val="true"/>
              </w:rPr>
              <w:tab/>
            </w:r>
            <w:r>
              <w:rPr>
                <w:rStyle w:val="IndexLink"/>
              </w:rPr>
              <w:t>117</w:t>
            </w:r>
          </w:hyperlink>
        </w:p>
        <w:p>
          <w:pPr>
            <w:pStyle w:val="Contents3"/>
            <w:tabs>
              <w:tab w:val="clear" w:pos="8459"/>
              <w:tab w:val="right" w:pos="9026" w:leader="dot"/>
            </w:tabs>
            <w:rPr/>
          </w:pPr>
          <w:hyperlink w:anchor="__RefHeading___Toc3103634_373438147">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3103636_373438147">
            <w:r>
              <w:rPr>
                <w:webHidden/>
                <w:rStyle w:val="IndexLink"/>
                <w:rtl w:val="true"/>
              </w:rPr>
              <w:t>المقدّمة</w:t>
            </w:r>
            <w:r>
              <w:rPr>
                <w:rStyle w:val="IndexLink"/>
                <w:rtl w:val="true"/>
              </w:rPr>
              <w:tab/>
            </w:r>
            <w:r>
              <w:rPr>
                <w:rStyle w:val="IndexLink"/>
              </w:rPr>
              <w:t>118</w:t>
            </w:r>
          </w:hyperlink>
        </w:p>
        <w:p>
          <w:pPr>
            <w:pStyle w:val="Contents3"/>
            <w:tabs>
              <w:tab w:val="clear" w:pos="8459"/>
              <w:tab w:val="right" w:pos="9026" w:leader="dot"/>
            </w:tabs>
            <w:rPr/>
          </w:pPr>
          <w:hyperlink w:anchor="__RefHeading___Toc3103638_373438147">
            <w:r>
              <w:rPr>
                <w:webHidden/>
                <w:rStyle w:val="IndexLink"/>
                <w:rtl w:val="true"/>
              </w:rPr>
              <w:t>معنى التراويح</w:t>
            </w:r>
            <w:r>
              <w:rPr>
                <w:rStyle w:val="IndexLink"/>
                <w:rtl w:val="true"/>
              </w:rPr>
              <w:tab/>
            </w:r>
            <w:r>
              <w:rPr>
                <w:rStyle w:val="IndexLink"/>
              </w:rPr>
              <w:t>119</w:t>
            </w:r>
          </w:hyperlink>
        </w:p>
        <w:p>
          <w:pPr>
            <w:pStyle w:val="Contents3"/>
            <w:tabs>
              <w:tab w:val="clear" w:pos="8459"/>
              <w:tab w:val="right" w:pos="9026" w:leader="dot"/>
            </w:tabs>
            <w:rPr/>
          </w:pPr>
          <w:hyperlink w:anchor="__RefHeading___Toc3103640_373438147">
            <w:r>
              <w:rPr>
                <w:webHidden/>
                <w:rStyle w:val="IndexLink"/>
                <w:rtl w:val="true"/>
              </w:rPr>
              <w:t>قيام شهر رمضان في أحاديث الفريقين</w:t>
            </w:r>
            <w:r>
              <w:rPr>
                <w:rStyle w:val="IndexLink"/>
                <w:rtl w:val="true"/>
              </w:rPr>
              <w:tab/>
            </w:r>
            <w:r>
              <w:rPr>
                <w:rStyle w:val="IndexLink"/>
              </w:rPr>
              <w:t>121</w:t>
            </w:r>
          </w:hyperlink>
        </w:p>
        <w:p>
          <w:pPr>
            <w:pStyle w:val="Contents4"/>
            <w:tabs>
              <w:tab w:val="clear" w:pos="8176"/>
              <w:tab w:val="right" w:pos="9026" w:leader="dot"/>
            </w:tabs>
            <w:rPr/>
          </w:pPr>
          <w:hyperlink w:anchor="__RefHeading___Toc3103642_37343814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3103644_373438147">
            <w:r>
              <w:rPr>
                <w:webHidden/>
                <w:rStyle w:val="IndexLink"/>
                <w:rtl w:val="true"/>
              </w:rPr>
              <w:t>أ</w:t>
            </w:r>
            <w:r>
              <w:rPr>
                <w:rStyle w:val="IndexLink"/>
                <w:rtl w:val="true"/>
              </w:rPr>
              <w:t xml:space="preserve">. </w:t>
            </w:r>
            <w:r>
              <w:rPr>
                <w:rStyle w:val="IndexLink"/>
                <w:rtl w:val="true"/>
              </w:rPr>
              <w:t>أحاديث أهل السنّة</w:t>
            </w:r>
            <w:r>
              <w:rPr>
                <w:rStyle w:val="IndexLink"/>
                <w:rtl w:val="true"/>
              </w:rPr>
              <w:tab/>
            </w:r>
            <w:r>
              <w:rPr>
                <w:rStyle w:val="IndexLink"/>
              </w:rPr>
              <w:t>122</w:t>
            </w:r>
          </w:hyperlink>
        </w:p>
        <w:p>
          <w:pPr>
            <w:pStyle w:val="Contents4"/>
            <w:tabs>
              <w:tab w:val="clear" w:pos="8176"/>
              <w:tab w:val="right" w:pos="9026" w:leader="dot"/>
            </w:tabs>
            <w:rPr/>
          </w:pPr>
          <w:hyperlink w:anchor="__RefHeading___Toc3103646_373438147">
            <w:r>
              <w:rPr>
                <w:webHidden/>
                <w:rStyle w:val="IndexLink"/>
                <w:rtl w:val="true"/>
              </w:rPr>
              <w:t>ب</w:t>
            </w:r>
            <w:r>
              <w:rPr>
                <w:rStyle w:val="IndexLink"/>
                <w:rtl w:val="true"/>
              </w:rPr>
              <w:t xml:space="preserve">. </w:t>
            </w:r>
            <w:r>
              <w:rPr>
                <w:rStyle w:val="IndexLink"/>
                <w:rtl w:val="true"/>
              </w:rPr>
              <w:t>أحاديث الإماميّة</w:t>
            </w:r>
            <w:r>
              <w:rPr>
                <w:rStyle w:val="IndexLink"/>
                <w:rtl w:val="true"/>
              </w:rPr>
              <w:tab/>
            </w:r>
            <w:r>
              <w:rPr>
                <w:rStyle w:val="IndexLink"/>
              </w:rPr>
              <w:t>126</w:t>
            </w:r>
          </w:hyperlink>
        </w:p>
        <w:p>
          <w:pPr>
            <w:pStyle w:val="Contents3"/>
            <w:tabs>
              <w:tab w:val="clear" w:pos="8459"/>
              <w:tab w:val="right" w:pos="9026" w:leader="dot"/>
            </w:tabs>
            <w:rPr/>
          </w:pPr>
          <w:hyperlink w:anchor="__RefHeading___Toc3103648_373438147">
            <w:r>
              <w:rPr>
                <w:webHidden/>
                <w:rStyle w:val="IndexLink"/>
                <w:rtl w:val="true"/>
              </w:rPr>
              <w:t>رأي فقهائنا في مشروعيّة نافلة شهر رمضان</w:t>
            </w:r>
            <w:r>
              <w:rPr>
                <w:rStyle w:val="IndexLink"/>
                <w:rtl w:val="true"/>
              </w:rPr>
              <w:tab/>
            </w:r>
            <w:r>
              <w:rPr>
                <w:rStyle w:val="IndexLink"/>
              </w:rPr>
              <w:t>129</w:t>
            </w:r>
          </w:hyperlink>
        </w:p>
        <w:p>
          <w:pPr>
            <w:pStyle w:val="Contents3"/>
            <w:tabs>
              <w:tab w:val="clear" w:pos="8459"/>
              <w:tab w:val="right" w:pos="9026" w:leader="dot"/>
            </w:tabs>
            <w:rPr/>
          </w:pPr>
          <w:hyperlink w:anchor="__RefHeading___Toc3103650_373438147">
            <w:r>
              <w:rPr>
                <w:webHidden/>
                <w:rStyle w:val="IndexLink"/>
                <w:rtl w:val="true"/>
              </w:rPr>
              <w:t>عدد نوافل شهر رمضان</w:t>
            </w:r>
            <w:r>
              <w:rPr>
                <w:rStyle w:val="IndexLink"/>
                <w:rtl w:val="true"/>
              </w:rPr>
              <w:tab/>
            </w:r>
            <w:r>
              <w:rPr>
                <w:rStyle w:val="IndexLink"/>
              </w:rPr>
              <w:t>132</w:t>
            </w:r>
          </w:hyperlink>
        </w:p>
        <w:p>
          <w:pPr>
            <w:pStyle w:val="Contents4"/>
            <w:tabs>
              <w:tab w:val="clear" w:pos="8176"/>
              <w:tab w:val="right" w:pos="9026" w:leader="dot"/>
            </w:tabs>
            <w:rPr/>
          </w:pPr>
          <w:hyperlink w:anchor="__RefHeading___Toc3103652_37343814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3103654_373438147">
            <w:r>
              <w:rPr>
                <w:webHidden/>
                <w:rStyle w:val="IndexLink"/>
                <w:rtl w:val="true"/>
              </w:rPr>
              <w:t>أ</w:t>
            </w:r>
            <w:r>
              <w:rPr>
                <w:rStyle w:val="IndexLink"/>
                <w:rtl w:val="true"/>
              </w:rPr>
              <w:t xml:space="preserve">. </w:t>
            </w:r>
            <w:r>
              <w:rPr>
                <w:rStyle w:val="IndexLink"/>
                <w:rtl w:val="true"/>
              </w:rPr>
              <w:t>كلمات فقهاء السنّة</w:t>
            </w:r>
            <w:r>
              <w:rPr>
                <w:rStyle w:val="IndexLink"/>
                <w:rtl w:val="true"/>
              </w:rPr>
              <w:tab/>
            </w:r>
            <w:r>
              <w:rPr>
                <w:rStyle w:val="IndexLink"/>
              </w:rPr>
              <w:t>132</w:t>
            </w:r>
          </w:hyperlink>
        </w:p>
        <w:p>
          <w:pPr>
            <w:pStyle w:val="Contents4"/>
            <w:tabs>
              <w:tab w:val="clear" w:pos="8176"/>
              <w:tab w:val="right" w:pos="9026" w:leader="dot"/>
            </w:tabs>
            <w:rPr/>
          </w:pPr>
          <w:hyperlink w:anchor="__RefHeading___Toc3103656_373438147">
            <w:r>
              <w:rPr>
                <w:webHidden/>
                <w:rStyle w:val="IndexLink"/>
                <w:rtl w:val="true"/>
              </w:rPr>
              <w:t>ب</w:t>
            </w:r>
            <w:r>
              <w:rPr>
                <w:rStyle w:val="IndexLink"/>
                <w:rtl w:val="true"/>
              </w:rPr>
              <w:t xml:space="preserve">. </w:t>
            </w:r>
            <w:r>
              <w:rPr>
                <w:rStyle w:val="IndexLink"/>
                <w:rtl w:val="true"/>
              </w:rPr>
              <w:t>كلمات فقهاء الإماميّة</w:t>
            </w:r>
            <w:r>
              <w:rPr>
                <w:rStyle w:val="IndexLink"/>
                <w:rtl w:val="true"/>
              </w:rPr>
              <w:t>:</w:t>
              <w:tab/>
            </w:r>
            <w:r>
              <w:rPr>
                <w:rStyle w:val="IndexLink"/>
              </w:rPr>
              <w:t>138</w:t>
            </w:r>
          </w:hyperlink>
        </w:p>
        <w:p>
          <w:pPr>
            <w:pStyle w:val="Contents4"/>
            <w:tabs>
              <w:tab w:val="clear" w:pos="8176"/>
              <w:tab w:val="right" w:pos="9026" w:leader="dot"/>
            </w:tabs>
            <w:rPr/>
          </w:pPr>
          <w:hyperlink w:anchor="__RefHeading___Toc3103658_373438147">
            <w:r>
              <w:rPr>
                <w:webHidden/>
                <w:rStyle w:val="IndexLink"/>
                <w:rtl w:val="true"/>
              </w:rPr>
              <w:t>ج</w:t>
            </w:r>
            <w:r>
              <w:rPr>
                <w:rStyle w:val="IndexLink"/>
                <w:rtl w:val="true"/>
              </w:rPr>
              <w:t xml:space="preserve">. </w:t>
            </w:r>
            <w:r>
              <w:rPr>
                <w:rStyle w:val="IndexLink"/>
                <w:rtl w:val="true"/>
              </w:rPr>
              <w:t>موقف مغائر للجمهور</w:t>
            </w:r>
            <w:r>
              <w:rPr>
                <w:rStyle w:val="IndexLink"/>
                <w:rtl w:val="true"/>
              </w:rPr>
              <w:tab/>
            </w:r>
            <w:r>
              <w:rPr>
                <w:rStyle w:val="IndexLink"/>
              </w:rPr>
              <w:t>141</w:t>
            </w:r>
          </w:hyperlink>
        </w:p>
        <w:p>
          <w:pPr>
            <w:pStyle w:val="Contents3"/>
            <w:tabs>
              <w:tab w:val="clear" w:pos="8459"/>
              <w:tab w:val="right" w:pos="9026" w:leader="dot"/>
            </w:tabs>
            <w:rPr/>
          </w:pPr>
          <w:hyperlink w:anchor="__RefHeading___Toc3103660_373438147">
            <w:r>
              <w:rPr>
                <w:webHidden/>
                <w:rStyle w:val="IndexLink"/>
                <w:rtl w:val="true"/>
              </w:rPr>
              <w:t>صلاة التراويح جماعة من بدع الخليفة عمر</w:t>
            </w:r>
            <w:r>
              <w:rPr>
                <w:rStyle w:val="IndexLink"/>
                <w:rtl w:val="true"/>
              </w:rPr>
              <w:tab/>
            </w:r>
            <w:r>
              <w:rPr>
                <w:rStyle w:val="IndexLink"/>
              </w:rPr>
              <w:t>144</w:t>
            </w:r>
          </w:hyperlink>
        </w:p>
        <w:p>
          <w:pPr>
            <w:pStyle w:val="Contents4"/>
            <w:tabs>
              <w:tab w:val="clear" w:pos="8176"/>
              <w:tab w:val="right" w:pos="9026" w:leader="dot"/>
            </w:tabs>
            <w:rPr/>
          </w:pPr>
          <w:hyperlink w:anchor="__RefHeading___Toc3103662_37343814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3103664_373438147">
            <w:r>
              <w:rPr>
                <w:webHidden/>
                <w:rStyle w:val="IndexLink"/>
                <w:rtl w:val="true"/>
              </w:rPr>
              <w:t>أ</w:t>
            </w:r>
            <w:r>
              <w:rPr>
                <w:rStyle w:val="IndexLink"/>
                <w:rtl w:val="true"/>
              </w:rPr>
              <w:t xml:space="preserve">. </w:t>
            </w:r>
            <w:r>
              <w:rPr>
                <w:rStyle w:val="IndexLink"/>
                <w:rtl w:val="true"/>
              </w:rPr>
              <w:t>حديث البخاري</w:t>
            </w:r>
            <w:r>
              <w:rPr>
                <w:rStyle w:val="IndexLink"/>
                <w:rtl w:val="true"/>
              </w:rPr>
              <w:tab/>
            </w:r>
            <w:r>
              <w:rPr>
                <w:rStyle w:val="IndexLink"/>
              </w:rPr>
              <w:t>145</w:t>
            </w:r>
          </w:hyperlink>
        </w:p>
        <w:p>
          <w:pPr>
            <w:pStyle w:val="Contents4"/>
            <w:tabs>
              <w:tab w:val="clear" w:pos="8176"/>
              <w:tab w:val="right" w:pos="9026" w:leader="dot"/>
            </w:tabs>
            <w:rPr/>
          </w:pPr>
          <w:hyperlink w:anchor="__RefHeading___Toc3103666_373438147">
            <w:r>
              <w:rPr>
                <w:webHidden/>
                <w:rStyle w:val="IndexLink"/>
                <w:rtl w:val="true"/>
              </w:rPr>
              <w:t>ب</w:t>
            </w:r>
            <w:r>
              <w:rPr>
                <w:rStyle w:val="IndexLink"/>
                <w:rtl w:val="true"/>
              </w:rPr>
              <w:t xml:space="preserve">. </w:t>
            </w:r>
            <w:r>
              <w:rPr>
                <w:rStyle w:val="IndexLink"/>
                <w:rtl w:val="true"/>
              </w:rPr>
              <w:t>كلمات الأعلام</w:t>
            </w:r>
            <w:r>
              <w:rPr>
                <w:rStyle w:val="IndexLink"/>
                <w:rtl w:val="true"/>
              </w:rPr>
              <w:tab/>
            </w:r>
            <w:r>
              <w:rPr>
                <w:rStyle w:val="IndexLink"/>
              </w:rPr>
              <w:t>145</w:t>
            </w:r>
          </w:hyperlink>
        </w:p>
        <w:p>
          <w:pPr>
            <w:pStyle w:val="Contents3"/>
            <w:tabs>
              <w:tab w:val="clear" w:pos="8459"/>
              <w:tab w:val="right" w:pos="9026" w:leader="dot"/>
            </w:tabs>
            <w:rPr/>
          </w:pPr>
          <w:hyperlink w:anchor="__RefHeading___Toc3103668_373438147">
            <w:r>
              <w:rPr>
                <w:webHidden/>
                <w:rStyle w:val="IndexLink"/>
                <w:rtl w:val="true"/>
              </w:rPr>
              <w:t>حكم الجماعة في نوافل شهر رمضان</w:t>
            </w:r>
            <w:r>
              <w:rPr>
                <w:rStyle w:val="IndexLink"/>
                <w:rtl w:val="true"/>
              </w:rPr>
              <w:tab/>
            </w:r>
            <w:r>
              <w:rPr>
                <w:rStyle w:val="IndexLink"/>
              </w:rPr>
              <w:t>149</w:t>
            </w:r>
          </w:hyperlink>
        </w:p>
        <w:p>
          <w:pPr>
            <w:pStyle w:val="Contents4"/>
            <w:tabs>
              <w:tab w:val="clear" w:pos="8176"/>
              <w:tab w:val="right" w:pos="9026" w:leader="dot"/>
            </w:tabs>
            <w:rPr/>
          </w:pPr>
          <w:hyperlink w:anchor="__RefHeading___Toc3103670_37343814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103672_373438147">
            <w:r>
              <w:rPr>
                <w:webHidden/>
                <w:rStyle w:val="IndexLink"/>
                <w:rtl w:val="true"/>
              </w:rPr>
              <w:t>أ</w:t>
            </w:r>
            <w:r>
              <w:rPr>
                <w:rStyle w:val="IndexLink"/>
                <w:rtl w:val="true"/>
              </w:rPr>
              <w:t xml:space="preserve">. </w:t>
            </w:r>
            <w:r>
              <w:rPr>
                <w:rStyle w:val="IndexLink"/>
                <w:rtl w:val="true"/>
              </w:rPr>
              <w:t>رأي فقهاء السنّة</w:t>
            </w:r>
            <w:r>
              <w:rPr>
                <w:rStyle w:val="IndexLink"/>
                <w:rtl w:val="true"/>
              </w:rPr>
              <w:tab/>
            </w:r>
            <w:r>
              <w:rPr>
                <w:rStyle w:val="IndexLink"/>
              </w:rPr>
              <w:t>149</w:t>
            </w:r>
          </w:hyperlink>
        </w:p>
        <w:p>
          <w:pPr>
            <w:pStyle w:val="Contents5"/>
            <w:tabs>
              <w:tab w:val="clear" w:pos="7892"/>
              <w:tab w:val="right" w:pos="9026" w:leader="dot"/>
            </w:tabs>
            <w:rPr/>
          </w:pPr>
          <w:hyperlink w:anchor="__RefHeading___Toc3103674_37343814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3103676_373438147">
            <w:r>
              <w:rPr>
                <w:webHidden/>
                <w:rStyle w:val="IndexLink"/>
                <w:rtl w:val="true"/>
              </w:rPr>
              <w:t>تعليقة على كلام السرخسي</w:t>
            </w:r>
            <w:r>
              <w:rPr>
                <w:rStyle w:val="IndexLink"/>
                <w:rtl w:val="true"/>
              </w:rPr>
              <w:tab/>
            </w:r>
            <w:r>
              <w:rPr>
                <w:rStyle w:val="IndexLink"/>
              </w:rPr>
              <w:t>151</w:t>
            </w:r>
          </w:hyperlink>
        </w:p>
        <w:p>
          <w:pPr>
            <w:pStyle w:val="Contents4"/>
            <w:tabs>
              <w:tab w:val="clear" w:pos="8176"/>
              <w:tab w:val="right" w:pos="9026" w:leader="dot"/>
            </w:tabs>
            <w:rPr/>
          </w:pPr>
          <w:hyperlink w:anchor="__RefHeading___Toc3103678_373438147">
            <w:r>
              <w:rPr>
                <w:webHidden/>
                <w:rStyle w:val="IndexLink"/>
                <w:rtl w:val="true"/>
              </w:rPr>
              <w:t>ب</w:t>
            </w:r>
            <w:r>
              <w:rPr>
                <w:rStyle w:val="IndexLink"/>
                <w:rtl w:val="true"/>
              </w:rPr>
              <w:t xml:space="preserve">. </w:t>
            </w:r>
            <w:r>
              <w:rPr>
                <w:rStyle w:val="IndexLink"/>
                <w:rtl w:val="true"/>
              </w:rPr>
              <w:t>رأى فقهاء الإماميّة</w:t>
            </w:r>
            <w:r>
              <w:rPr>
                <w:rStyle w:val="IndexLink"/>
                <w:rtl w:val="true"/>
              </w:rPr>
              <w:tab/>
            </w:r>
            <w:r>
              <w:rPr>
                <w:rStyle w:val="IndexLink"/>
              </w:rPr>
              <w:t>153</w:t>
            </w:r>
          </w:hyperlink>
        </w:p>
        <w:p>
          <w:pPr>
            <w:pStyle w:val="Contents3"/>
            <w:tabs>
              <w:tab w:val="clear" w:pos="8459"/>
              <w:tab w:val="right" w:pos="9026" w:leader="dot"/>
            </w:tabs>
            <w:rPr/>
          </w:pPr>
          <w:hyperlink w:anchor="__RefHeading___Toc3103680_373438147">
            <w:r>
              <w:rPr>
                <w:webHidden/>
                <w:rStyle w:val="IndexLink"/>
                <w:rtl w:val="true"/>
              </w:rPr>
              <w:t>موقف النبيّ صلّى اللّه عليه و آله و أهل بيته عليهم السّلام من التراويح جماعة</w:t>
            </w:r>
            <w:r>
              <w:rPr>
                <w:rStyle w:val="IndexLink"/>
                <w:rtl w:val="true"/>
              </w:rPr>
              <w:tab/>
            </w:r>
            <w:r>
              <w:rPr>
                <w:rStyle w:val="IndexLink"/>
              </w:rPr>
              <w:t>156</w:t>
            </w:r>
          </w:hyperlink>
        </w:p>
        <w:p>
          <w:pPr>
            <w:pStyle w:val="Contents3"/>
            <w:tabs>
              <w:tab w:val="clear" w:pos="8459"/>
              <w:tab w:val="right" w:pos="9026" w:leader="dot"/>
            </w:tabs>
            <w:rPr/>
          </w:pPr>
          <w:hyperlink w:anchor="__RefHeading___Toc3103682_373438147">
            <w:r>
              <w:rPr>
                <w:webHidden/>
                <w:rStyle w:val="IndexLink"/>
                <w:rtl w:val="true"/>
              </w:rPr>
              <w:t>أدلّة القول بعدم جواز الجماعة في التراويح</w:t>
            </w:r>
            <w:r>
              <w:rPr>
                <w:rStyle w:val="IndexLink"/>
                <w:rtl w:val="true"/>
              </w:rPr>
              <w:tab/>
            </w:r>
            <w:r>
              <w:rPr>
                <w:rStyle w:val="IndexLink"/>
              </w:rPr>
              <w:t>162</w:t>
            </w:r>
          </w:hyperlink>
        </w:p>
        <w:p>
          <w:pPr>
            <w:pStyle w:val="Contents3"/>
            <w:tabs>
              <w:tab w:val="clear" w:pos="8459"/>
              <w:tab w:val="right" w:pos="9026" w:leader="dot"/>
            </w:tabs>
            <w:rPr/>
          </w:pPr>
          <w:hyperlink w:anchor="__RefHeading___Toc3103684_373438147">
            <w:r>
              <w:rPr>
                <w:webHidden/>
                <w:rStyle w:val="IndexLink"/>
                <w:rtl w:val="true"/>
              </w:rPr>
              <w:t>أدلّة القول بجواز الجماعة فيها</w:t>
            </w:r>
            <w:r>
              <w:rPr>
                <w:rStyle w:val="IndexLink"/>
                <w:rtl w:val="true"/>
              </w:rPr>
              <w:tab/>
            </w:r>
            <w:r>
              <w:rPr>
                <w:rStyle w:val="IndexLink"/>
              </w:rPr>
              <w:t>163</w:t>
            </w:r>
          </w:hyperlink>
        </w:p>
        <w:p>
          <w:pPr>
            <w:pStyle w:val="Contents3"/>
            <w:tabs>
              <w:tab w:val="clear" w:pos="8459"/>
              <w:tab w:val="right" w:pos="9026" w:leader="dot"/>
            </w:tabs>
            <w:rPr/>
          </w:pPr>
          <w:hyperlink w:anchor="__RefHeading___Toc3103686_373438147">
            <w:r>
              <w:rPr>
                <w:webHidden/>
                <w:rStyle w:val="IndexLink"/>
                <w:rtl w:val="true"/>
              </w:rPr>
              <w:t>مناقشة أدلّة الجواز</w:t>
            </w:r>
            <w:r>
              <w:rPr>
                <w:rStyle w:val="IndexLink"/>
                <w:rtl w:val="true"/>
              </w:rPr>
              <w:tab/>
            </w:r>
            <w:r>
              <w:rPr>
                <w:rStyle w:val="IndexLink"/>
              </w:rPr>
              <w:t>164</w:t>
            </w:r>
          </w:hyperlink>
        </w:p>
        <w:p>
          <w:pPr>
            <w:pStyle w:val="Contents3"/>
            <w:tabs>
              <w:tab w:val="clear" w:pos="8459"/>
              <w:tab w:val="right" w:pos="9026" w:leader="dot"/>
            </w:tabs>
            <w:rPr/>
          </w:pPr>
          <w:hyperlink w:anchor="__RefHeading___Toc3103688_373438147">
            <w:r>
              <w:rPr>
                <w:webHidden/>
                <w:rStyle w:val="IndexLink"/>
                <w:rtl w:val="true"/>
              </w:rPr>
              <w:t>كلمات الأعلام في ترك النبيّ صلّى اللّه عليه و آله للتراويح</w:t>
            </w:r>
            <w:r>
              <w:rPr>
                <w:rStyle w:val="IndexLink"/>
                <w:rtl w:val="true"/>
              </w:rPr>
              <w:tab/>
            </w:r>
            <w:r>
              <w:rPr>
                <w:rStyle w:val="IndexLink"/>
              </w:rPr>
              <w:t>169</w:t>
            </w:r>
          </w:hyperlink>
        </w:p>
        <w:p>
          <w:pPr>
            <w:pStyle w:val="Contents3"/>
            <w:tabs>
              <w:tab w:val="clear" w:pos="8459"/>
              <w:tab w:val="right" w:pos="9026" w:leader="dot"/>
            </w:tabs>
            <w:rPr/>
          </w:pPr>
          <w:hyperlink w:anchor="__RefHeading___Toc3103690_373438147">
            <w:r>
              <w:rPr>
                <w:webHidden/>
                <w:rStyle w:val="IndexLink"/>
                <w:rtl w:val="true"/>
              </w:rPr>
              <w:t>هل صلّى عمر بن الخطّاب جماعة؟</w:t>
            </w:r>
            <w:r>
              <w:rPr>
                <w:rStyle w:val="IndexLink"/>
                <w:rtl w:val="true"/>
              </w:rPr>
              <w:tab/>
            </w:r>
            <w:r>
              <w:rPr>
                <w:rStyle w:val="IndexLink"/>
              </w:rPr>
              <w:t>172</w:t>
            </w:r>
          </w:hyperlink>
        </w:p>
        <w:p>
          <w:pPr>
            <w:pStyle w:val="Contents3"/>
            <w:tabs>
              <w:tab w:val="clear" w:pos="8459"/>
              <w:tab w:val="right" w:pos="9026" w:leader="dot"/>
            </w:tabs>
            <w:rPr/>
          </w:pPr>
          <w:hyperlink w:anchor="__RefHeading___Toc3103692_373438147">
            <w:r>
              <w:rPr>
                <w:webHidden/>
                <w:rStyle w:val="IndexLink"/>
                <w:rtl w:val="true"/>
              </w:rPr>
              <w:t>هل البدعة تنقسم إلى أقسام؟</w:t>
            </w:r>
            <w:r>
              <w:rPr>
                <w:rStyle w:val="IndexLink"/>
                <w:rtl w:val="true"/>
              </w:rPr>
              <w:tab/>
            </w:r>
            <w:r>
              <w:rPr>
                <w:rStyle w:val="IndexLink"/>
              </w:rPr>
              <w:t>173</w:t>
            </w:r>
          </w:hyperlink>
        </w:p>
        <w:p>
          <w:pPr>
            <w:pStyle w:val="Contents3"/>
            <w:tabs>
              <w:tab w:val="clear" w:pos="8459"/>
              <w:tab w:val="right" w:pos="9026" w:leader="dot"/>
            </w:tabs>
            <w:rPr/>
          </w:pPr>
          <w:hyperlink w:anchor="__RefHeading___Toc3103694_373438147">
            <w:r>
              <w:rPr>
                <w:webHidden/>
                <w:rStyle w:val="IndexLink"/>
                <w:rtl w:val="true"/>
              </w:rPr>
              <w:t>أنصار الرأي الأوّل كما يلي</w:t>
            </w:r>
            <w:r>
              <w:rPr>
                <w:rStyle w:val="IndexLink"/>
                <w:rtl w:val="true"/>
              </w:rPr>
              <w:t>:</w:t>
              <w:tab/>
            </w:r>
            <w:r>
              <w:rPr>
                <w:rStyle w:val="IndexLink"/>
              </w:rPr>
              <w:t>173</w:t>
            </w:r>
          </w:hyperlink>
        </w:p>
        <w:p>
          <w:pPr>
            <w:pStyle w:val="Contents3"/>
            <w:tabs>
              <w:tab w:val="clear" w:pos="8459"/>
              <w:tab w:val="right" w:pos="9026" w:leader="dot"/>
            </w:tabs>
            <w:rPr/>
          </w:pPr>
          <w:hyperlink w:anchor="__RefHeading___Toc3103696_373438147">
            <w:r>
              <w:rPr>
                <w:webHidden/>
                <w:rStyle w:val="IndexLink"/>
                <w:rtl w:val="true"/>
              </w:rPr>
              <w:t>أنصار الرأي الثاني كما يلي</w:t>
            </w:r>
            <w:r>
              <w:rPr>
                <w:rStyle w:val="IndexLink"/>
                <w:rtl w:val="true"/>
              </w:rPr>
              <w:t>:</w:t>
              <w:tab/>
            </w:r>
            <w:r>
              <w:rPr>
                <w:rStyle w:val="IndexLink"/>
              </w:rPr>
              <w:t>178</w:t>
            </w:r>
          </w:hyperlink>
        </w:p>
        <w:p>
          <w:pPr>
            <w:pStyle w:val="Contents3"/>
            <w:tabs>
              <w:tab w:val="clear" w:pos="8459"/>
              <w:tab w:val="right" w:pos="9026" w:leader="dot"/>
            </w:tabs>
            <w:rPr/>
          </w:pPr>
          <w:hyperlink w:anchor="__RefHeading___Toc3103698_373438147">
            <w:r>
              <w:rPr>
                <w:webHidden/>
                <w:rStyle w:val="IndexLink"/>
                <w:rtl w:val="true"/>
              </w:rPr>
              <w:t>و مناقشة هذا القول، و بيان خطئه، و منافاته للصواب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3103700_373438147">
            <w:r>
              <w:rPr>
                <w:webHidden/>
                <w:rStyle w:val="IndexLink"/>
                <w:rtl w:val="true"/>
              </w:rPr>
              <w:t>هل فعل الخليفة و قوله حجة؟</w:t>
            </w:r>
            <w:r>
              <w:rPr>
                <w:rStyle w:val="IndexLink"/>
                <w:rtl w:val="true"/>
              </w:rPr>
              <w:tab/>
            </w:r>
            <w:r>
              <w:rPr>
                <w:rStyle w:val="IndexLink"/>
              </w:rPr>
              <w:t>184</w:t>
            </w:r>
          </w:hyperlink>
        </w:p>
        <w:p>
          <w:pPr>
            <w:pStyle w:val="Contents2"/>
            <w:tabs>
              <w:tab w:val="clear" w:pos="8743"/>
              <w:tab w:val="right" w:pos="9026" w:leader="dot"/>
            </w:tabs>
            <w:rPr/>
          </w:pPr>
          <w:hyperlink w:anchor="__RefHeading___Toc3103702_373438147">
            <w:r>
              <w:rPr>
                <w:webHidden/>
                <w:rStyle w:val="IndexLink"/>
                <w:rtl w:val="true"/>
              </w:rPr>
              <w:t>القسم الثالث الإرسال و التكفير بين السنّة و البدعة</w:t>
            </w:r>
            <w:r>
              <w:rPr>
                <w:rStyle w:val="IndexLink"/>
                <w:rtl w:val="true"/>
              </w:rPr>
              <w:tab/>
            </w:r>
            <w:r>
              <w:rPr>
                <w:rStyle w:val="IndexLink"/>
              </w:rPr>
              <w:t>186</w:t>
            </w:r>
          </w:hyperlink>
        </w:p>
        <w:p>
          <w:pPr>
            <w:pStyle w:val="Contents3"/>
            <w:tabs>
              <w:tab w:val="clear" w:pos="8459"/>
              <w:tab w:val="right" w:pos="9026" w:leader="dot"/>
            </w:tabs>
            <w:rPr/>
          </w:pPr>
          <w:hyperlink w:anchor="__RefHeading___Toc3103704_373438147">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3103706_373438147">
            <w:r>
              <w:rPr>
                <w:webHidden/>
                <w:rStyle w:val="IndexLink"/>
                <w:rtl w:val="true"/>
              </w:rPr>
              <w:t>المقدّمة</w:t>
            </w:r>
            <w:r>
              <w:rPr>
                <w:rStyle w:val="IndexLink"/>
                <w:rtl w:val="true"/>
              </w:rPr>
              <w:tab/>
            </w:r>
            <w:r>
              <w:rPr>
                <w:rStyle w:val="IndexLink"/>
              </w:rPr>
              <w:t>187</w:t>
            </w:r>
          </w:hyperlink>
        </w:p>
        <w:p>
          <w:pPr>
            <w:pStyle w:val="Contents3"/>
            <w:tabs>
              <w:tab w:val="clear" w:pos="8459"/>
              <w:tab w:val="right" w:pos="9026" w:leader="dot"/>
            </w:tabs>
            <w:rPr/>
          </w:pPr>
          <w:hyperlink w:anchor="__RefHeading___Toc3103708_373438147">
            <w:r>
              <w:rPr>
                <w:webHidden/>
                <w:rStyle w:val="IndexLink"/>
                <w:rtl w:val="true"/>
              </w:rPr>
              <w:t>المدخل</w:t>
            </w:r>
            <w:r>
              <w:rPr>
                <w:rStyle w:val="IndexLink"/>
                <w:rtl w:val="true"/>
              </w:rPr>
              <w:tab/>
            </w:r>
            <w:r>
              <w:rPr>
                <w:rStyle w:val="IndexLink"/>
              </w:rPr>
              <w:t>187</w:t>
            </w:r>
          </w:hyperlink>
        </w:p>
        <w:p>
          <w:pPr>
            <w:pStyle w:val="Contents3"/>
            <w:tabs>
              <w:tab w:val="clear" w:pos="8459"/>
              <w:tab w:val="right" w:pos="9026" w:leader="dot"/>
            </w:tabs>
            <w:rPr/>
          </w:pPr>
          <w:hyperlink w:anchor="__RefHeading___Toc3103710_373438147">
            <w:r>
              <w:rPr>
                <w:webHidden/>
                <w:rStyle w:val="IndexLink"/>
                <w:rtl w:val="true"/>
              </w:rPr>
              <w:t>ما ورد عن أهل البيت عليهم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3103712_373438147">
            <w:r>
              <w:rPr>
                <w:webHidden/>
                <w:rStyle w:val="IndexLink"/>
                <w:rtl w:val="true"/>
              </w:rPr>
              <w:t>كلمات الفقهاء الإماميّة</w:t>
            </w:r>
            <w:r>
              <w:rPr>
                <w:rStyle w:val="IndexLink"/>
                <w:rtl w:val="true"/>
              </w:rPr>
              <w:tab/>
            </w:r>
            <w:r>
              <w:rPr>
                <w:rStyle w:val="IndexLink"/>
              </w:rPr>
              <w:t>195</w:t>
            </w:r>
          </w:hyperlink>
        </w:p>
        <w:p>
          <w:pPr>
            <w:pStyle w:val="Contents3"/>
            <w:tabs>
              <w:tab w:val="clear" w:pos="8459"/>
              <w:tab w:val="right" w:pos="9026" w:leader="dot"/>
            </w:tabs>
            <w:rPr/>
          </w:pPr>
          <w:hyperlink w:anchor="__RefHeading___Toc3103714_373438147">
            <w:r>
              <w:rPr>
                <w:webHidden/>
                <w:rStyle w:val="IndexLink"/>
                <w:rtl w:val="true"/>
              </w:rPr>
              <w:t>منشأ التكفير</w:t>
            </w:r>
            <w:r>
              <w:rPr>
                <w:rStyle w:val="IndexLink"/>
                <w:rtl w:val="true"/>
              </w:rPr>
              <w:tab/>
            </w:r>
            <w:r>
              <w:rPr>
                <w:rStyle w:val="IndexLink"/>
              </w:rPr>
              <w:t>196</w:t>
            </w:r>
          </w:hyperlink>
        </w:p>
        <w:p>
          <w:pPr>
            <w:pStyle w:val="Contents3"/>
            <w:tabs>
              <w:tab w:val="clear" w:pos="8459"/>
              <w:tab w:val="right" w:pos="9026" w:leader="dot"/>
            </w:tabs>
            <w:rPr/>
          </w:pPr>
          <w:hyperlink w:anchor="__RefHeading___Toc3103716_373438147">
            <w:r>
              <w:rPr>
                <w:webHidden/>
                <w:rStyle w:val="IndexLink"/>
                <w:rtl w:val="true"/>
              </w:rPr>
              <w:t>كلمات فقهاء السنّة و أئمّتهم</w:t>
            </w:r>
            <w:r>
              <w:rPr>
                <w:rStyle w:val="IndexLink"/>
                <w:rtl w:val="true"/>
              </w:rPr>
              <w:tab/>
            </w:r>
            <w:r>
              <w:rPr>
                <w:rStyle w:val="IndexLink"/>
              </w:rPr>
              <w:t>197</w:t>
            </w:r>
          </w:hyperlink>
        </w:p>
        <w:p>
          <w:pPr>
            <w:pStyle w:val="Contents3"/>
            <w:tabs>
              <w:tab w:val="clear" w:pos="8459"/>
              <w:tab w:val="right" w:pos="9026" w:leader="dot"/>
            </w:tabs>
            <w:rPr/>
          </w:pPr>
          <w:hyperlink w:anchor="__RefHeading___Toc3103718_373438147">
            <w:r>
              <w:rPr>
                <w:webHidden/>
                <w:rStyle w:val="IndexLink"/>
                <w:rtl w:val="true"/>
              </w:rPr>
              <w:t>الروايات من طرق السنّة</w:t>
            </w:r>
            <w:r>
              <w:rPr>
                <w:rStyle w:val="IndexLink"/>
                <w:rtl w:val="true"/>
              </w:rPr>
              <w:tab/>
            </w:r>
            <w:r>
              <w:rPr>
                <w:rStyle w:val="IndexLink"/>
              </w:rPr>
              <w:t>200</w:t>
            </w:r>
          </w:hyperlink>
        </w:p>
        <w:p>
          <w:pPr>
            <w:pStyle w:val="Contents4"/>
            <w:tabs>
              <w:tab w:val="clear" w:pos="8176"/>
              <w:tab w:val="right" w:pos="9026" w:leader="dot"/>
            </w:tabs>
            <w:rPr/>
          </w:pPr>
          <w:hyperlink w:anchor="__RefHeading___Toc3103720_37343814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103722_373438147">
            <w:r>
              <w:rPr>
                <w:webHidden/>
                <w:rStyle w:val="IndexLink"/>
                <w:rtl w:val="true"/>
              </w:rPr>
              <w:t>التأمّل في معنى الرواية</w:t>
            </w:r>
            <w:r>
              <w:rPr>
                <w:rStyle w:val="IndexLink"/>
                <w:rtl w:val="true"/>
              </w:rPr>
              <w:tab/>
            </w:r>
            <w:r>
              <w:rPr>
                <w:rStyle w:val="IndexLink"/>
              </w:rPr>
              <w:t>201</w:t>
            </w:r>
          </w:hyperlink>
        </w:p>
        <w:p>
          <w:pPr>
            <w:pStyle w:val="Contents4"/>
            <w:tabs>
              <w:tab w:val="clear" w:pos="8176"/>
              <w:tab w:val="right" w:pos="9026" w:leader="dot"/>
            </w:tabs>
            <w:rPr/>
          </w:pPr>
          <w:hyperlink w:anchor="__RefHeading___Toc3103724_373438147">
            <w:r>
              <w:rPr>
                <w:webHidden/>
                <w:rStyle w:val="IndexLink"/>
                <w:rtl w:val="true"/>
              </w:rPr>
              <w:t>أمّا النقاش الدلالي</w:t>
            </w:r>
            <w:r>
              <w:rPr>
                <w:rStyle w:val="IndexLink"/>
                <w:rtl w:val="true"/>
              </w:rPr>
              <w:tab/>
            </w:r>
            <w:r>
              <w:rPr>
                <w:rStyle w:val="IndexLink"/>
              </w:rPr>
              <w:t>212</w:t>
            </w:r>
          </w:hyperlink>
        </w:p>
        <w:p>
          <w:pPr>
            <w:pStyle w:val="Contents3"/>
            <w:tabs>
              <w:tab w:val="clear" w:pos="8459"/>
              <w:tab w:val="right" w:pos="9026" w:leader="dot"/>
            </w:tabs>
            <w:rPr/>
          </w:pPr>
          <w:hyperlink w:anchor="__RefHeading___Toc3103726_373438147">
            <w:r>
              <w:rPr>
                <w:webHidden/>
                <w:rStyle w:val="IndexLink"/>
                <w:rtl w:val="true"/>
              </w:rPr>
              <w:t>حصيلة البحث</w:t>
            </w:r>
            <w:r>
              <w:rPr>
                <w:rStyle w:val="IndexLink"/>
                <w:rtl w:val="true"/>
              </w:rPr>
              <w:tab/>
            </w:r>
            <w:r>
              <w:rPr>
                <w:rStyle w:val="IndexLink"/>
              </w:rPr>
              <w:t>215</w:t>
            </w:r>
          </w:hyperlink>
        </w:p>
        <w:p>
          <w:pPr>
            <w:pStyle w:val="Contents2"/>
            <w:tabs>
              <w:tab w:val="clear" w:pos="8743"/>
              <w:tab w:val="right" w:pos="9026" w:leader="dot"/>
            </w:tabs>
            <w:rPr/>
          </w:pPr>
          <w:hyperlink w:anchor="__RefHeading___Toc3103728_373438147">
            <w:r>
              <w:rPr>
                <w:webHidden/>
                <w:rStyle w:val="IndexLink"/>
                <w:rtl w:val="true"/>
              </w:rPr>
              <w:t>القسم الرابع الجمع بين الصلاتين و مصادره من الكتاب و السنّة</w:t>
            </w:r>
            <w:r>
              <w:rPr>
                <w:rStyle w:val="IndexLink"/>
                <w:rtl w:val="true"/>
              </w:rPr>
              <w:tab/>
            </w:r>
            <w:r>
              <w:rPr>
                <w:rStyle w:val="IndexLink"/>
              </w:rPr>
              <w:t>218</w:t>
            </w:r>
          </w:hyperlink>
        </w:p>
        <w:p>
          <w:pPr>
            <w:pStyle w:val="Contents3"/>
            <w:tabs>
              <w:tab w:val="clear" w:pos="8459"/>
              <w:tab w:val="right" w:pos="9026" w:leader="dot"/>
            </w:tabs>
            <w:rPr/>
          </w:pPr>
          <w:hyperlink w:anchor="__RefHeading___Toc3103730_373438147">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3103732_373438147">
            <w:r>
              <w:rPr>
                <w:webHidden/>
                <w:rStyle w:val="IndexLink"/>
                <w:rtl w:val="true"/>
              </w:rPr>
              <w:t>المقدّمة</w:t>
            </w:r>
            <w:r>
              <w:rPr>
                <w:rStyle w:val="IndexLink"/>
                <w:rtl w:val="true"/>
              </w:rPr>
              <w:tab/>
            </w:r>
            <w:r>
              <w:rPr>
                <w:rStyle w:val="IndexLink"/>
              </w:rPr>
              <w:t>219</w:t>
            </w:r>
          </w:hyperlink>
        </w:p>
        <w:p>
          <w:pPr>
            <w:pStyle w:val="Contents3"/>
            <w:tabs>
              <w:tab w:val="clear" w:pos="8459"/>
              <w:tab w:val="right" w:pos="9026" w:leader="dot"/>
            </w:tabs>
            <w:rPr/>
          </w:pPr>
          <w:hyperlink w:anchor="__RefHeading___Toc3103734_373438147">
            <w:r>
              <w:rPr>
                <w:webHidden/>
                <w:rStyle w:val="IndexLink"/>
                <w:rtl w:val="true"/>
              </w:rPr>
              <w:t>دليل جواز الجمع بين الصلاتين من القرآن الكريم</w:t>
            </w:r>
            <w:r>
              <w:rPr>
                <w:rStyle w:val="IndexLink"/>
                <w:rtl w:val="true"/>
              </w:rPr>
              <w:tab/>
            </w:r>
            <w:r>
              <w:rPr>
                <w:rStyle w:val="IndexLink"/>
              </w:rPr>
              <w:t>219</w:t>
            </w:r>
          </w:hyperlink>
        </w:p>
        <w:p>
          <w:pPr>
            <w:pStyle w:val="Contents3"/>
            <w:tabs>
              <w:tab w:val="clear" w:pos="8459"/>
              <w:tab w:val="right" w:pos="9026" w:leader="dot"/>
            </w:tabs>
            <w:rPr/>
          </w:pPr>
          <w:hyperlink w:anchor="__RefHeading___Toc3103736_373438147">
            <w:r>
              <w:rPr>
                <w:webHidden/>
                <w:rStyle w:val="IndexLink"/>
                <w:rtl w:val="true"/>
              </w:rPr>
              <w:t>تفسير الآية عن أهل البيت عليهم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3103738_373438147">
            <w:r>
              <w:rPr>
                <w:webHidden/>
                <w:rStyle w:val="IndexLink"/>
                <w:rtl w:val="true"/>
              </w:rPr>
              <w:t>الروايات من طرق العامّة</w:t>
            </w:r>
            <w:r>
              <w:rPr>
                <w:rStyle w:val="IndexLink"/>
                <w:rtl w:val="true"/>
              </w:rPr>
              <w:tab/>
            </w:r>
            <w:r>
              <w:rPr>
                <w:rStyle w:val="IndexLink"/>
              </w:rPr>
              <w:t>221</w:t>
            </w:r>
          </w:hyperlink>
        </w:p>
        <w:p>
          <w:pPr>
            <w:pStyle w:val="Contents3"/>
            <w:tabs>
              <w:tab w:val="clear" w:pos="8459"/>
              <w:tab w:val="right" w:pos="9026" w:leader="dot"/>
            </w:tabs>
            <w:rPr/>
          </w:pPr>
          <w:hyperlink w:anchor="__RefHeading___Toc3103740_373438147">
            <w:r>
              <w:rPr>
                <w:webHidden/>
                <w:rStyle w:val="IndexLink"/>
                <w:rtl w:val="true"/>
              </w:rPr>
              <w:t>آراء المفسّرين</w:t>
            </w:r>
            <w:r>
              <w:rPr>
                <w:rStyle w:val="IndexLink"/>
                <w:rtl w:val="true"/>
              </w:rPr>
              <w:tab/>
            </w:r>
            <w:r>
              <w:rPr>
                <w:rStyle w:val="IndexLink"/>
              </w:rPr>
              <w:t>222</w:t>
            </w:r>
          </w:hyperlink>
        </w:p>
        <w:p>
          <w:pPr>
            <w:pStyle w:val="Contents3"/>
            <w:tabs>
              <w:tab w:val="clear" w:pos="8459"/>
              <w:tab w:val="right" w:pos="9026" w:leader="dot"/>
            </w:tabs>
            <w:rPr/>
          </w:pPr>
          <w:hyperlink w:anchor="__RefHeading___Toc3103742_373438147">
            <w:r>
              <w:rPr>
                <w:webHidden/>
                <w:rStyle w:val="IndexLink"/>
                <w:rtl w:val="true"/>
              </w:rPr>
              <w:t>الروايات من طرق الخاصة</w:t>
            </w:r>
            <w:r>
              <w:rPr>
                <w:rStyle w:val="IndexLink"/>
                <w:rtl w:val="true"/>
              </w:rPr>
              <w:tab/>
            </w:r>
            <w:r>
              <w:rPr>
                <w:rStyle w:val="IndexLink"/>
              </w:rPr>
              <w:t>222</w:t>
            </w:r>
          </w:hyperlink>
        </w:p>
        <w:p>
          <w:pPr>
            <w:pStyle w:val="Contents3"/>
            <w:tabs>
              <w:tab w:val="clear" w:pos="8459"/>
              <w:tab w:val="right" w:pos="9026" w:leader="dot"/>
            </w:tabs>
            <w:rPr/>
          </w:pPr>
          <w:hyperlink w:anchor="__RefHeading___Toc3103744_373438147">
            <w:r>
              <w:rPr>
                <w:webHidden/>
                <w:rStyle w:val="IndexLink"/>
                <w:rtl w:val="true"/>
              </w:rPr>
              <w:t>ما يستدلّ على مرجوحيّة الجمع</w:t>
            </w:r>
            <w:r>
              <w:rPr>
                <w:rStyle w:val="IndexLink"/>
                <w:rtl w:val="true"/>
              </w:rPr>
              <w:tab/>
            </w:r>
            <w:r>
              <w:rPr>
                <w:rStyle w:val="IndexLink"/>
              </w:rPr>
              <w:t>227</w:t>
            </w:r>
          </w:hyperlink>
        </w:p>
        <w:p>
          <w:pPr>
            <w:pStyle w:val="Contents3"/>
            <w:tabs>
              <w:tab w:val="clear" w:pos="8459"/>
              <w:tab w:val="right" w:pos="9026" w:leader="dot"/>
            </w:tabs>
            <w:rPr/>
          </w:pPr>
          <w:hyperlink w:anchor="__RefHeading___Toc3103746_373438147">
            <w:r>
              <w:rPr>
                <w:webHidden/>
                <w:rStyle w:val="IndexLink"/>
                <w:rtl w:val="true"/>
              </w:rPr>
              <w:t>آراء الفقهاء</w:t>
            </w:r>
            <w:r>
              <w:rPr>
                <w:rStyle w:val="IndexLink"/>
                <w:rtl w:val="true"/>
              </w:rPr>
              <w:tab/>
            </w:r>
            <w:r>
              <w:rPr>
                <w:rStyle w:val="IndexLink"/>
              </w:rPr>
              <w:t>229</w:t>
            </w:r>
          </w:hyperlink>
        </w:p>
        <w:p>
          <w:pPr>
            <w:pStyle w:val="Contents3"/>
            <w:tabs>
              <w:tab w:val="clear" w:pos="8459"/>
              <w:tab w:val="right" w:pos="9026" w:leader="dot"/>
            </w:tabs>
            <w:rPr/>
          </w:pPr>
          <w:hyperlink w:anchor="__RefHeading___Toc3103748_373438147">
            <w:r>
              <w:rPr>
                <w:webHidden/>
                <w:rStyle w:val="IndexLink"/>
                <w:rtl w:val="true"/>
              </w:rPr>
              <w:t>الأحاديث من طرق العامّة</w:t>
            </w:r>
            <w:r>
              <w:rPr>
                <w:rStyle w:val="IndexLink"/>
                <w:rtl w:val="true"/>
              </w:rPr>
              <w:tab/>
            </w:r>
            <w:r>
              <w:rPr>
                <w:rStyle w:val="IndexLink"/>
              </w:rPr>
              <w:t>230</w:t>
            </w:r>
          </w:hyperlink>
        </w:p>
        <w:p>
          <w:pPr>
            <w:pStyle w:val="Contents3"/>
            <w:tabs>
              <w:tab w:val="clear" w:pos="8459"/>
              <w:tab w:val="right" w:pos="9026" w:leader="dot"/>
            </w:tabs>
            <w:rPr/>
          </w:pPr>
          <w:hyperlink w:anchor="__RefHeading___Toc3103750_373438147">
            <w:r>
              <w:rPr>
                <w:webHidden/>
                <w:rStyle w:val="IndexLink"/>
                <w:rtl w:val="true"/>
              </w:rPr>
              <w:t>التأويلات</w:t>
            </w:r>
            <w:r>
              <w:rPr>
                <w:rStyle w:val="IndexLink"/>
                <w:rtl w:val="true"/>
              </w:rPr>
              <w:tab/>
            </w:r>
            <w:r>
              <w:rPr>
                <w:rStyle w:val="IndexLink"/>
              </w:rPr>
              <w:t>233</w:t>
            </w:r>
          </w:hyperlink>
        </w:p>
        <w:p>
          <w:pPr>
            <w:pStyle w:val="Contents3"/>
            <w:tabs>
              <w:tab w:val="clear" w:pos="8459"/>
              <w:tab w:val="right" w:pos="9026" w:leader="dot"/>
            </w:tabs>
            <w:rPr/>
          </w:pPr>
          <w:hyperlink w:anchor="__RefHeading___Toc3103752_373438147">
            <w:r>
              <w:rPr>
                <w:webHidden/>
                <w:rStyle w:val="IndexLink"/>
                <w:rtl w:val="true"/>
              </w:rPr>
              <w:t>ما يستدلّ به على الجمع الصوري</w:t>
            </w:r>
            <w:r>
              <w:rPr>
                <w:rStyle w:val="IndexLink"/>
                <w:rtl w:val="true"/>
              </w:rPr>
              <w:tab/>
            </w:r>
            <w:r>
              <w:rPr>
                <w:rStyle w:val="IndexLink"/>
              </w:rPr>
              <w:t>238</w:t>
            </w:r>
          </w:hyperlink>
        </w:p>
        <w:p>
          <w:pPr>
            <w:pStyle w:val="Contents3"/>
            <w:tabs>
              <w:tab w:val="clear" w:pos="8459"/>
              <w:tab w:val="right" w:pos="9026" w:leader="dot"/>
            </w:tabs>
            <w:rPr/>
          </w:pPr>
          <w:hyperlink w:anchor="__RefHeading___Toc3103754_373438147">
            <w:r>
              <w:rPr>
                <w:webHidden/>
                <w:rStyle w:val="IndexLink"/>
                <w:rtl w:val="true"/>
              </w:rPr>
              <w:t>هل قول ابن عبّاس خلاف الإجماع؟</w:t>
            </w:r>
            <w:r>
              <w:rPr>
                <w:rStyle w:val="IndexLink"/>
                <w:rtl w:val="true"/>
              </w:rPr>
              <w:tab/>
            </w:r>
            <w:r>
              <w:rPr>
                <w:rStyle w:val="IndexLink"/>
              </w:rPr>
              <w:t>240</w:t>
            </w:r>
          </w:hyperlink>
        </w:p>
        <w:p>
          <w:pPr>
            <w:pStyle w:val="Contents3"/>
            <w:tabs>
              <w:tab w:val="clear" w:pos="8459"/>
              <w:tab w:val="right" w:pos="9026" w:leader="dot"/>
            </w:tabs>
            <w:rPr/>
          </w:pPr>
          <w:hyperlink w:anchor="__RefHeading___Toc3103756_373438147">
            <w:r>
              <w:rPr>
                <w:webHidden/>
                <w:rStyle w:val="IndexLink"/>
                <w:rtl w:val="true"/>
              </w:rPr>
              <w:t>أقوال فقهاء العامّة في جواز الجمع</w:t>
            </w:r>
            <w:r>
              <w:rPr>
                <w:rStyle w:val="IndexLink"/>
                <w:rtl w:val="true"/>
              </w:rPr>
              <w:tab/>
            </w:r>
            <w:r>
              <w:rPr>
                <w:rStyle w:val="IndexLink"/>
              </w:rPr>
              <w:t>241</w:t>
            </w:r>
          </w:hyperlink>
        </w:p>
        <w:p>
          <w:pPr>
            <w:pStyle w:val="Contents3"/>
            <w:tabs>
              <w:tab w:val="clear" w:pos="8459"/>
              <w:tab w:val="right" w:pos="9026" w:leader="dot"/>
            </w:tabs>
            <w:rPr/>
          </w:pPr>
          <w:hyperlink w:anchor="__RefHeading___Toc3103758_373438147">
            <w:r>
              <w:rPr>
                <w:webHidden/>
                <w:rStyle w:val="IndexLink"/>
                <w:rtl w:val="true"/>
              </w:rPr>
              <w:t>استحباب الأخذ بالمرخّصات الشرعيّة</w:t>
            </w:r>
            <w:r>
              <w:rPr>
                <w:rStyle w:val="IndexLink"/>
                <w:rtl w:val="true"/>
              </w:rPr>
              <w:tab/>
            </w:r>
            <w:r>
              <w:rPr>
                <w:rStyle w:val="IndexLink"/>
              </w:rPr>
              <w:t>243</w:t>
            </w:r>
          </w:hyperlink>
        </w:p>
        <w:p>
          <w:pPr>
            <w:pStyle w:val="Contents3"/>
            <w:tabs>
              <w:tab w:val="clear" w:pos="8459"/>
              <w:tab w:val="right" w:pos="9026" w:leader="dot"/>
            </w:tabs>
            <w:rPr/>
          </w:pPr>
          <w:hyperlink w:anchor="__RefHeading___Toc3103760_373438147">
            <w:r>
              <w:rPr>
                <w:webHidden/>
                <w:rStyle w:val="IndexLink"/>
                <w:rtl w:val="true"/>
              </w:rPr>
              <w:t>روايات توهم حرمة الجمع بين الصلاتين</w:t>
            </w:r>
            <w:r>
              <w:rPr>
                <w:rStyle w:val="IndexLink"/>
                <w:rtl w:val="true"/>
              </w:rPr>
              <w:tab/>
            </w:r>
            <w:r>
              <w:rPr>
                <w:rStyle w:val="IndexLink"/>
              </w:rPr>
              <w:t>244</w:t>
            </w:r>
          </w:hyperlink>
        </w:p>
        <w:p>
          <w:pPr>
            <w:pStyle w:val="Contents2"/>
            <w:tabs>
              <w:tab w:val="clear" w:pos="8743"/>
              <w:tab w:val="right" w:pos="9026" w:leader="dot"/>
            </w:tabs>
            <w:rPr/>
          </w:pPr>
          <w:hyperlink w:anchor="__RefHeading___Toc3103762_373438147">
            <w:r>
              <w:rPr>
                <w:webHidden/>
                <w:rStyle w:val="IndexLink"/>
                <w:rtl w:val="true"/>
              </w:rPr>
              <w:t>القسم الخامس كيفيّة الوضوء على ضوء الكتاب و السنّة</w:t>
            </w:r>
            <w:r>
              <w:rPr>
                <w:rStyle w:val="IndexLink"/>
                <w:rtl w:val="true"/>
              </w:rPr>
              <w:tab/>
            </w:r>
            <w:r>
              <w:rPr>
                <w:rStyle w:val="IndexLink"/>
              </w:rPr>
              <w:t>246</w:t>
            </w:r>
          </w:hyperlink>
        </w:p>
        <w:p>
          <w:pPr>
            <w:pStyle w:val="Contents3"/>
            <w:tabs>
              <w:tab w:val="clear" w:pos="8459"/>
              <w:tab w:val="right" w:pos="9026" w:leader="dot"/>
            </w:tabs>
            <w:rPr/>
          </w:pPr>
          <w:hyperlink w:anchor="__RefHeading___Toc3103764_373438147">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3103766_373438147">
            <w:r>
              <w:rPr>
                <w:webHidden/>
                <w:rStyle w:val="IndexLink"/>
                <w:rtl w:val="true"/>
              </w:rPr>
              <w:t>بدء تشريع الوضوء</w:t>
            </w:r>
            <w:r>
              <w:rPr>
                <w:rStyle w:val="IndexLink"/>
                <w:rtl w:val="true"/>
              </w:rPr>
              <w:tab/>
            </w:r>
            <w:r>
              <w:rPr>
                <w:rStyle w:val="IndexLink"/>
              </w:rPr>
              <w:t>247</w:t>
            </w:r>
          </w:hyperlink>
        </w:p>
        <w:p>
          <w:pPr>
            <w:pStyle w:val="Contents3"/>
            <w:tabs>
              <w:tab w:val="clear" w:pos="8459"/>
              <w:tab w:val="right" w:pos="9026" w:leader="dot"/>
            </w:tabs>
            <w:rPr/>
          </w:pPr>
          <w:hyperlink w:anchor="__RefHeading___Toc3103768_373438147">
            <w:r>
              <w:rPr>
                <w:webHidden/>
                <w:rStyle w:val="IndexLink"/>
                <w:rtl w:val="true"/>
              </w:rPr>
              <w:t>بدء الخلاف في الوضوء</w:t>
            </w:r>
            <w:r>
              <w:rPr>
                <w:rStyle w:val="IndexLink"/>
                <w:rtl w:val="true"/>
              </w:rPr>
              <w:tab/>
            </w:r>
            <w:r>
              <w:rPr>
                <w:rStyle w:val="IndexLink"/>
              </w:rPr>
              <w:t>247</w:t>
            </w:r>
          </w:hyperlink>
        </w:p>
        <w:p>
          <w:pPr>
            <w:pStyle w:val="Contents3"/>
            <w:tabs>
              <w:tab w:val="clear" w:pos="8459"/>
              <w:tab w:val="right" w:pos="9026" w:leader="dot"/>
            </w:tabs>
            <w:rPr/>
          </w:pPr>
          <w:hyperlink w:anchor="__RefHeading___Toc3103770_373438147">
            <w:r>
              <w:rPr>
                <w:webHidden/>
                <w:rStyle w:val="IndexLink"/>
                <w:rtl w:val="true"/>
              </w:rPr>
              <w:t>كيفية غسل اليدين</w:t>
            </w:r>
            <w:r>
              <w:rPr>
                <w:rStyle w:val="IndexLink"/>
                <w:rtl w:val="true"/>
              </w:rPr>
              <w:tab/>
            </w:r>
            <w:r>
              <w:rPr>
                <w:rStyle w:val="IndexLink"/>
              </w:rPr>
              <w:t>248</w:t>
            </w:r>
          </w:hyperlink>
        </w:p>
        <w:p>
          <w:pPr>
            <w:pStyle w:val="Contents4"/>
            <w:tabs>
              <w:tab w:val="clear" w:pos="8176"/>
              <w:tab w:val="right" w:pos="9026" w:leader="dot"/>
            </w:tabs>
            <w:rPr/>
          </w:pPr>
          <w:hyperlink w:anchor="__RefHeading___Toc3103772_37343814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3103774_373438147">
            <w:r>
              <w:rPr>
                <w:webHidden/>
                <w:rStyle w:val="IndexLink"/>
                <w:rtl w:val="true"/>
              </w:rPr>
              <w:t>مع المفسّرين</w:t>
            </w:r>
            <w:r>
              <w:rPr>
                <w:rStyle w:val="IndexLink"/>
                <w:rtl w:val="true"/>
              </w:rPr>
              <w:tab/>
            </w:r>
            <w:r>
              <w:rPr>
                <w:rStyle w:val="IndexLink"/>
              </w:rPr>
              <w:t>249</w:t>
            </w:r>
          </w:hyperlink>
        </w:p>
        <w:p>
          <w:pPr>
            <w:pStyle w:val="Contents3"/>
            <w:tabs>
              <w:tab w:val="clear" w:pos="8459"/>
              <w:tab w:val="right" w:pos="9026" w:leader="dot"/>
            </w:tabs>
            <w:rPr/>
          </w:pPr>
          <w:hyperlink w:anchor="__RefHeading___Toc3103776_373438147">
            <w:r>
              <w:rPr>
                <w:webHidden/>
                <w:rStyle w:val="IndexLink"/>
                <w:rtl w:val="true"/>
              </w:rPr>
              <w:t>أحاديث في المسح على القدمين</w:t>
            </w:r>
            <w:r>
              <w:rPr>
                <w:rStyle w:val="IndexLink"/>
                <w:rtl w:val="true"/>
              </w:rPr>
              <w:tab/>
            </w:r>
            <w:r>
              <w:rPr>
                <w:rStyle w:val="IndexLink"/>
              </w:rPr>
              <w:t>249</w:t>
            </w:r>
          </w:hyperlink>
        </w:p>
        <w:p>
          <w:pPr>
            <w:pStyle w:val="Contents4"/>
            <w:tabs>
              <w:tab w:val="clear" w:pos="8176"/>
              <w:tab w:val="right" w:pos="9026" w:leader="dot"/>
            </w:tabs>
            <w:rPr/>
          </w:pPr>
          <w:hyperlink w:anchor="__RefHeading___Toc3103778_37343814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3103780_373438147">
            <w:r>
              <w:rPr>
                <w:webHidden/>
                <w:rStyle w:val="IndexLink"/>
                <w:rtl w:val="true"/>
              </w:rPr>
              <w:t>دراسة في السند</w:t>
            </w:r>
            <w:r>
              <w:rPr>
                <w:rStyle w:val="IndexLink"/>
                <w:rtl w:val="true"/>
              </w:rPr>
              <w:tab/>
            </w:r>
            <w:r>
              <w:rPr>
                <w:rStyle w:val="IndexLink"/>
              </w:rPr>
              <w:t>251</w:t>
            </w:r>
          </w:hyperlink>
        </w:p>
        <w:p>
          <w:pPr>
            <w:pStyle w:val="Contents4"/>
            <w:tabs>
              <w:tab w:val="clear" w:pos="8176"/>
              <w:tab w:val="right" w:pos="9026" w:leader="dot"/>
            </w:tabs>
            <w:rPr/>
          </w:pPr>
          <w:hyperlink w:anchor="__RefHeading___Toc3103782_373438147">
            <w:r>
              <w:rPr>
                <w:webHidden/>
                <w:rStyle w:val="IndexLink"/>
                <w:rtl w:val="true"/>
              </w:rPr>
              <w:t>دراسة في السند</w:t>
            </w:r>
            <w:r>
              <w:rPr>
                <w:rStyle w:val="IndexLink"/>
                <w:rtl w:val="true"/>
              </w:rPr>
              <w:tab/>
            </w:r>
            <w:r>
              <w:rPr>
                <w:rStyle w:val="IndexLink"/>
              </w:rPr>
              <w:t>252</w:t>
            </w:r>
          </w:hyperlink>
        </w:p>
        <w:p>
          <w:pPr>
            <w:pStyle w:val="Contents4"/>
            <w:tabs>
              <w:tab w:val="clear" w:pos="8176"/>
              <w:tab w:val="right" w:pos="9026" w:leader="dot"/>
            </w:tabs>
            <w:rPr/>
          </w:pPr>
          <w:hyperlink w:anchor="__RefHeading___Toc3103784_373438147">
            <w:r>
              <w:rPr>
                <w:webHidden/>
                <w:rStyle w:val="IndexLink"/>
                <w:rtl w:val="true"/>
              </w:rPr>
              <w:t>دراسة في السند</w:t>
            </w:r>
            <w:r>
              <w:rPr>
                <w:rStyle w:val="IndexLink"/>
                <w:rtl w:val="true"/>
              </w:rPr>
              <w:tab/>
            </w:r>
            <w:r>
              <w:rPr>
                <w:rStyle w:val="IndexLink"/>
              </w:rPr>
              <w:t>254</w:t>
            </w:r>
          </w:hyperlink>
        </w:p>
        <w:p>
          <w:pPr>
            <w:pStyle w:val="Contents4"/>
            <w:tabs>
              <w:tab w:val="clear" w:pos="8176"/>
              <w:tab w:val="right" w:pos="9026" w:leader="dot"/>
            </w:tabs>
            <w:rPr/>
          </w:pPr>
          <w:hyperlink w:anchor="__RefHeading___Toc3103786_373438147">
            <w:r>
              <w:rPr>
                <w:webHidden/>
                <w:rStyle w:val="IndexLink"/>
                <w:rtl w:val="true"/>
              </w:rPr>
              <w:t>يستفاد من هذا النصّ أمور</w:t>
            </w:r>
            <w:r>
              <w:rPr>
                <w:rStyle w:val="IndexLink"/>
                <w:rtl w:val="true"/>
              </w:rPr>
              <w:t>:</w:t>
              <w:tab/>
            </w:r>
            <w:r>
              <w:rPr>
                <w:rStyle w:val="IndexLink"/>
              </w:rPr>
              <w:t>255</w:t>
            </w:r>
          </w:hyperlink>
        </w:p>
        <w:p>
          <w:pPr>
            <w:pStyle w:val="Contents3"/>
            <w:tabs>
              <w:tab w:val="clear" w:pos="8459"/>
              <w:tab w:val="right" w:pos="9026" w:leader="dot"/>
            </w:tabs>
            <w:rPr/>
          </w:pPr>
          <w:hyperlink w:anchor="__RefHeading___Toc3103788_373438147">
            <w:r>
              <w:rPr>
                <w:webHidden/>
                <w:rStyle w:val="IndexLink"/>
                <w:rtl w:val="true"/>
              </w:rPr>
              <w:t>الروايات من طريق أهل البيت عليهم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3103790_37343814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3103792_373438147">
            <w:r>
              <w:rPr>
                <w:webHidden/>
                <w:rStyle w:val="IndexLink"/>
                <w:rtl w:val="true"/>
              </w:rPr>
              <w:t>أمّا القسم الأول</w:t>
            </w:r>
            <w:r>
              <w:rPr>
                <w:rStyle w:val="IndexLink"/>
                <w:rtl w:val="true"/>
              </w:rPr>
              <w:t>:</w:t>
              <w:tab/>
            </w:r>
            <w:r>
              <w:rPr>
                <w:rStyle w:val="IndexLink"/>
              </w:rPr>
              <w:t>256</w:t>
            </w:r>
          </w:hyperlink>
        </w:p>
        <w:p>
          <w:pPr>
            <w:pStyle w:val="Contents3"/>
            <w:tabs>
              <w:tab w:val="clear" w:pos="8459"/>
              <w:tab w:val="right" w:pos="9026" w:leader="dot"/>
            </w:tabs>
            <w:rPr/>
          </w:pPr>
          <w:hyperlink w:anchor="__RefHeading___Toc3103794_373438147">
            <w:r>
              <w:rPr>
                <w:webHidden/>
                <w:rStyle w:val="IndexLink"/>
                <w:rtl w:val="true"/>
              </w:rPr>
              <w:t>الدليل القرآني على مسح الأرجل</w:t>
            </w:r>
            <w:r>
              <w:rPr>
                <w:rStyle w:val="IndexLink"/>
                <w:rtl w:val="true"/>
              </w:rPr>
              <w:tab/>
            </w:r>
            <w:r>
              <w:rPr>
                <w:rStyle w:val="IndexLink"/>
              </w:rPr>
              <w:t>258</w:t>
            </w:r>
          </w:hyperlink>
        </w:p>
        <w:p>
          <w:pPr>
            <w:pStyle w:val="Contents3"/>
            <w:tabs>
              <w:tab w:val="clear" w:pos="8459"/>
              <w:tab w:val="right" w:pos="9026" w:leader="dot"/>
            </w:tabs>
            <w:rPr/>
          </w:pPr>
          <w:hyperlink w:anchor="__RefHeading___Toc3103796_373438147">
            <w:r>
              <w:rPr>
                <w:webHidden/>
                <w:rStyle w:val="IndexLink"/>
                <w:rtl w:val="true"/>
              </w:rPr>
              <w:t>رأي العامّة</w:t>
            </w:r>
            <w:r>
              <w:rPr>
                <w:rStyle w:val="IndexLink"/>
                <w:rtl w:val="true"/>
              </w:rPr>
              <w:tab/>
            </w:r>
            <w:r>
              <w:rPr>
                <w:rStyle w:val="IndexLink"/>
              </w:rPr>
              <w:t>259</w:t>
            </w:r>
          </w:hyperlink>
        </w:p>
        <w:p>
          <w:pPr>
            <w:pStyle w:val="Contents3"/>
            <w:tabs>
              <w:tab w:val="clear" w:pos="8459"/>
              <w:tab w:val="right" w:pos="9026" w:leader="dot"/>
            </w:tabs>
            <w:rPr/>
          </w:pPr>
          <w:hyperlink w:anchor="__RefHeading___Toc3103798_373438147">
            <w:r>
              <w:rPr>
                <w:webHidden/>
                <w:rStyle w:val="IndexLink"/>
                <w:rtl w:val="true"/>
              </w:rPr>
              <w:t>المسح على الأرجل عند الصحابة</w:t>
            </w:r>
            <w:r>
              <w:rPr>
                <w:rStyle w:val="IndexLink"/>
                <w:rtl w:val="true"/>
              </w:rPr>
              <w:tab/>
            </w:r>
            <w:r>
              <w:rPr>
                <w:rStyle w:val="IndexLink"/>
              </w:rPr>
              <w:t>261</w:t>
            </w:r>
          </w:hyperlink>
        </w:p>
        <w:p>
          <w:pPr>
            <w:pStyle w:val="Contents3"/>
            <w:tabs>
              <w:tab w:val="clear" w:pos="8459"/>
              <w:tab w:val="right" w:pos="9026" w:leader="dot"/>
            </w:tabs>
            <w:rPr/>
          </w:pPr>
          <w:hyperlink w:anchor="__RefHeading___Toc3103800_373438147">
            <w:r>
              <w:rPr>
                <w:webHidden/>
                <w:rStyle w:val="IndexLink"/>
                <w:rtl w:val="true"/>
              </w:rPr>
              <w:t>تهافت المفسّرين</w:t>
            </w:r>
            <w:r>
              <w:rPr>
                <w:rStyle w:val="IndexLink"/>
                <w:rtl w:val="true"/>
              </w:rPr>
              <w:tab/>
            </w:r>
            <w:r>
              <w:rPr>
                <w:rStyle w:val="IndexLink"/>
              </w:rPr>
              <w:t>263</w:t>
            </w:r>
          </w:hyperlink>
        </w:p>
        <w:p>
          <w:pPr>
            <w:pStyle w:val="Contents2"/>
            <w:tabs>
              <w:tab w:val="clear" w:pos="8743"/>
              <w:tab w:val="right" w:pos="9026" w:leader="dot"/>
            </w:tabs>
            <w:rPr/>
          </w:pPr>
          <w:hyperlink w:anchor="__RefHeading___Toc3103802_373438147">
            <w:r>
              <w:rPr>
                <w:webHidden/>
                <w:rStyle w:val="IndexLink"/>
                <w:rtl w:val="true"/>
              </w:rPr>
              <w:t>القسم السادس دراسة حول صوم عاشوراء</w:t>
            </w:r>
            <w:r>
              <w:rPr>
                <w:rStyle w:val="IndexLink"/>
                <w:rtl w:val="true"/>
              </w:rPr>
              <w:tab/>
            </w:r>
            <w:r>
              <w:rPr>
                <w:rStyle w:val="IndexLink"/>
              </w:rPr>
              <w:t>265</w:t>
            </w:r>
          </w:hyperlink>
        </w:p>
        <w:p>
          <w:pPr>
            <w:pStyle w:val="Contents3"/>
            <w:tabs>
              <w:tab w:val="clear" w:pos="8459"/>
              <w:tab w:val="right" w:pos="9026" w:leader="dot"/>
            </w:tabs>
            <w:rPr/>
          </w:pPr>
          <w:hyperlink w:anchor="__RefHeading___Toc3103804_373438147">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3103806_373438147">
            <w:r>
              <w:rPr>
                <w:webHidden/>
                <w:rStyle w:val="IndexLink"/>
                <w:rtl w:val="true"/>
              </w:rPr>
              <w:t>عاشوراء في اللغة</w:t>
            </w:r>
            <w:r>
              <w:rPr>
                <w:rStyle w:val="IndexLink"/>
                <w:rtl w:val="true"/>
              </w:rPr>
              <w:tab/>
            </w:r>
            <w:r>
              <w:rPr>
                <w:rStyle w:val="IndexLink"/>
              </w:rPr>
              <w:t>266</w:t>
            </w:r>
          </w:hyperlink>
        </w:p>
        <w:p>
          <w:pPr>
            <w:pStyle w:val="Contents3"/>
            <w:tabs>
              <w:tab w:val="clear" w:pos="8459"/>
              <w:tab w:val="right" w:pos="9026" w:leader="dot"/>
            </w:tabs>
            <w:rPr/>
          </w:pPr>
          <w:hyperlink w:anchor="__RefHeading___Toc3103808_373438147">
            <w:r>
              <w:rPr>
                <w:webHidden/>
                <w:rStyle w:val="IndexLink"/>
                <w:rtl w:val="true"/>
              </w:rPr>
              <w:t>عاشوراء و جذورها التأريخيّة</w:t>
            </w:r>
            <w:r>
              <w:rPr>
                <w:rStyle w:val="IndexLink"/>
                <w:rtl w:val="true"/>
              </w:rPr>
              <w:tab/>
            </w:r>
            <w:r>
              <w:rPr>
                <w:rStyle w:val="IndexLink"/>
              </w:rPr>
              <w:t>266</w:t>
            </w:r>
          </w:hyperlink>
        </w:p>
        <w:p>
          <w:pPr>
            <w:pStyle w:val="Contents3"/>
            <w:tabs>
              <w:tab w:val="clear" w:pos="8459"/>
              <w:tab w:val="right" w:pos="9026" w:leader="dot"/>
            </w:tabs>
            <w:rPr/>
          </w:pPr>
          <w:hyperlink w:anchor="__RefHeading___Toc3103810_373438147">
            <w:r>
              <w:rPr>
                <w:webHidden/>
                <w:rStyle w:val="IndexLink"/>
                <w:rtl w:val="true"/>
              </w:rPr>
              <w:t>حكم صوم عاشوراء</w:t>
            </w:r>
            <w:r>
              <w:rPr>
                <w:rStyle w:val="IndexLink"/>
                <w:rtl w:val="true"/>
              </w:rPr>
              <w:tab/>
            </w:r>
            <w:r>
              <w:rPr>
                <w:rStyle w:val="IndexLink"/>
              </w:rPr>
              <w:t>267</w:t>
            </w:r>
          </w:hyperlink>
        </w:p>
        <w:p>
          <w:pPr>
            <w:pStyle w:val="Contents3"/>
            <w:tabs>
              <w:tab w:val="clear" w:pos="8459"/>
              <w:tab w:val="right" w:pos="9026" w:leader="dot"/>
            </w:tabs>
            <w:rPr/>
          </w:pPr>
          <w:hyperlink w:anchor="__RefHeading___Toc3103812_373438147">
            <w:r>
              <w:rPr>
                <w:webHidden/>
                <w:rStyle w:val="IndexLink"/>
                <w:rtl w:val="true"/>
              </w:rPr>
              <w:t>تفصيل البحث في الروايات</w:t>
            </w:r>
            <w:r>
              <w:rPr>
                <w:rStyle w:val="IndexLink"/>
                <w:rtl w:val="true"/>
              </w:rPr>
              <w:tab/>
            </w:r>
            <w:r>
              <w:rPr>
                <w:rStyle w:val="IndexLink"/>
              </w:rPr>
              <w:t>268</w:t>
            </w:r>
          </w:hyperlink>
        </w:p>
        <w:p>
          <w:pPr>
            <w:pStyle w:val="Contents3"/>
            <w:tabs>
              <w:tab w:val="clear" w:pos="8459"/>
              <w:tab w:val="right" w:pos="9026" w:leader="dot"/>
            </w:tabs>
            <w:rPr/>
          </w:pPr>
          <w:hyperlink w:anchor="__RefHeading___Toc3103814_373438147">
            <w:r>
              <w:rPr>
                <w:webHidden/>
                <w:rStyle w:val="IndexLink"/>
                <w:rtl w:val="true"/>
              </w:rPr>
              <w:t>روايات الجواز</w:t>
            </w:r>
            <w:r>
              <w:rPr>
                <w:rStyle w:val="IndexLink"/>
                <w:rtl w:val="true"/>
              </w:rPr>
              <w:tab/>
            </w:r>
            <w:r>
              <w:rPr>
                <w:rStyle w:val="IndexLink"/>
              </w:rPr>
              <w:t>271</w:t>
            </w:r>
          </w:hyperlink>
        </w:p>
        <w:p>
          <w:pPr>
            <w:pStyle w:val="Contents3"/>
            <w:tabs>
              <w:tab w:val="clear" w:pos="8459"/>
              <w:tab w:val="right" w:pos="9026" w:leader="dot"/>
            </w:tabs>
            <w:rPr/>
          </w:pPr>
          <w:hyperlink w:anchor="__RefHeading___Toc3103816_373438147">
            <w:r>
              <w:rPr>
                <w:webHidden/>
                <w:rStyle w:val="IndexLink"/>
                <w:rtl w:val="true"/>
              </w:rPr>
              <w:t>الأحاديث من طريق السنّة</w:t>
            </w:r>
            <w:r>
              <w:rPr>
                <w:rStyle w:val="IndexLink"/>
                <w:rtl w:val="true"/>
              </w:rPr>
              <w:tab/>
            </w:r>
            <w:r>
              <w:rPr>
                <w:rStyle w:val="IndexLink"/>
              </w:rPr>
              <w:t>273</w:t>
            </w:r>
          </w:hyperlink>
        </w:p>
        <w:p>
          <w:pPr>
            <w:pStyle w:val="Contents4"/>
            <w:tabs>
              <w:tab w:val="clear" w:pos="8176"/>
              <w:tab w:val="right" w:pos="9026" w:leader="dot"/>
            </w:tabs>
            <w:rPr/>
          </w:pPr>
          <w:hyperlink w:anchor="__RefHeading___Toc3103818_37343814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3103820_373438147">
            <w:r>
              <w:rPr>
                <w:webHidden/>
                <w:rStyle w:val="IndexLink"/>
                <w:rtl w:val="true"/>
              </w:rPr>
              <w:t>مناقشة الروايات</w:t>
            </w:r>
            <w:r>
              <w:rPr>
                <w:rStyle w:val="IndexLink"/>
                <w:rtl w:val="true"/>
              </w:rPr>
              <w:t>:</w:t>
              <w:tab/>
            </w:r>
            <w:r>
              <w:rPr>
                <w:rStyle w:val="IndexLink"/>
              </w:rPr>
              <w:t>276</w:t>
            </w:r>
          </w:hyperlink>
        </w:p>
        <w:p>
          <w:pPr>
            <w:pStyle w:val="Contents3"/>
            <w:tabs>
              <w:tab w:val="clear" w:pos="8459"/>
              <w:tab w:val="right" w:pos="9026" w:leader="dot"/>
            </w:tabs>
            <w:rPr/>
          </w:pPr>
          <w:hyperlink w:anchor="__RefHeading___Toc3103822_373438147">
            <w:r>
              <w:rPr>
                <w:webHidden/>
                <w:rStyle w:val="IndexLink"/>
                <w:rtl w:val="true"/>
              </w:rPr>
              <w:t>آراء الفقهاء في صوم عاشوراء</w:t>
            </w:r>
            <w:r>
              <w:rPr>
                <w:rStyle w:val="IndexLink"/>
                <w:rtl w:val="true"/>
              </w:rPr>
              <w:tab/>
            </w:r>
            <w:r>
              <w:rPr>
                <w:rStyle w:val="IndexLink"/>
              </w:rPr>
              <w:t>277</w:t>
            </w:r>
          </w:hyperlink>
        </w:p>
        <w:p>
          <w:pPr>
            <w:pStyle w:val="Contents3"/>
            <w:tabs>
              <w:tab w:val="clear" w:pos="8459"/>
              <w:tab w:val="right" w:pos="9026" w:leader="dot"/>
            </w:tabs>
            <w:rPr/>
          </w:pPr>
          <w:hyperlink w:anchor="__RefHeading___Toc3103824_373438147">
            <w:r>
              <w:rPr>
                <w:webHidden/>
                <w:rStyle w:val="IndexLink"/>
                <w:rtl w:val="true"/>
              </w:rPr>
              <w:t>نص بعض الكلمات</w:t>
            </w:r>
            <w:r>
              <w:rPr>
                <w:rStyle w:val="IndexLink"/>
                <w:rtl w:val="true"/>
              </w:rPr>
              <w:t>:</w:t>
              <w:tab/>
            </w:r>
            <w:r>
              <w:rPr>
                <w:rStyle w:val="IndexLink"/>
              </w:rPr>
              <w:t>279</w:t>
            </w:r>
          </w:hyperlink>
        </w:p>
        <w:p>
          <w:pPr>
            <w:pStyle w:val="Contents3"/>
            <w:tabs>
              <w:tab w:val="clear" w:pos="8459"/>
              <w:tab w:val="right" w:pos="9026" w:leader="dot"/>
            </w:tabs>
            <w:rPr/>
          </w:pPr>
          <w:hyperlink w:anchor="__RefHeading___Toc3103826_373438147">
            <w:r>
              <w:rPr>
                <w:webHidden/>
                <w:rStyle w:val="IndexLink"/>
                <w:rtl w:val="true"/>
              </w:rPr>
              <w:t>موقف الأيادي الأثيمة من عاشوراء</w:t>
            </w:r>
            <w:r>
              <w:rPr>
                <w:rStyle w:val="IndexLink"/>
                <w:rtl w:val="true"/>
              </w:rPr>
              <w:tab/>
            </w:r>
            <w:r>
              <w:rPr>
                <w:rStyle w:val="IndexLink"/>
              </w:rPr>
              <w:t>281</w:t>
            </w:r>
          </w:hyperlink>
        </w:p>
        <w:p>
          <w:pPr>
            <w:pStyle w:val="Contents3"/>
            <w:tabs>
              <w:tab w:val="clear" w:pos="8459"/>
              <w:tab w:val="right" w:pos="9026" w:leader="dot"/>
            </w:tabs>
            <w:rPr/>
          </w:pPr>
          <w:hyperlink w:anchor="__RefHeading___Toc3103828_373438147">
            <w:r>
              <w:rPr>
                <w:webHidden/>
                <w:rStyle w:val="IndexLink"/>
                <w:rtl w:val="true"/>
              </w:rPr>
              <w:t>موقف أهل البيت عليهم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3103830_373438147">
            <w:r>
              <w:rPr>
                <w:webHidden/>
                <w:rStyle w:val="IndexLink"/>
                <w:rtl w:val="true"/>
              </w:rPr>
              <w:t>كيف يجتمع النسيء مع صوم عاشوراء؟</w:t>
            </w:r>
            <w:r>
              <w:rPr>
                <w:rStyle w:val="IndexLink"/>
                <w:rtl w:val="true"/>
              </w:rPr>
              <w:tab/>
            </w:r>
            <w:r>
              <w:rPr>
                <w:rStyle w:val="IndexLink"/>
              </w:rPr>
              <w:t>283</w:t>
            </w:r>
          </w:hyperlink>
        </w:p>
        <w:p>
          <w:pPr>
            <w:pStyle w:val="Contents3"/>
            <w:tabs>
              <w:tab w:val="clear" w:pos="8459"/>
              <w:tab w:val="right" w:pos="9026" w:leader="dot"/>
            </w:tabs>
            <w:rPr/>
          </w:pPr>
          <w:hyperlink w:anchor="__RefHeading___Toc3103832_373438147">
            <w:r>
              <w:rPr>
                <w:webHidden/>
                <w:rStyle w:val="IndexLink"/>
                <w:rtl w:val="true"/>
              </w:rPr>
              <w:t>عاشوراء عيد الأمويّين</w:t>
            </w:r>
            <w:r>
              <w:rPr>
                <w:rStyle w:val="IndexLink"/>
                <w:rtl w:val="true"/>
              </w:rPr>
              <w:tab/>
            </w:r>
            <w:r>
              <w:rPr>
                <w:rStyle w:val="IndexLink"/>
              </w:rPr>
              <w:t>283</w:t>
            </w:r>
          </w:hyperlink>
        </w:p>
        <w:p>
          <w:pPr>
            <w:pStyle w:val="Contents3"/>
            <w:tabs>
              <w:tab w:val="clear" w:pos="8459"/>
              <w:tab w:val="right" w:pos="9026" w:leader="dot"/>
            </w:tabs>
            <w:rPr/>
          </w:pPr>
          <w:hyperlink w:anchor="__RefHeading___Toc3103834_373438147">
            <w:r>
              <w:rPr>
                <w:webHidden/>
                <w:rStyle w:val="IndexLink"/>
                <w:rtl w:val="true"/>
              </w:rPr>
              <w:t>تصريحات للمؤرّخين</w:t>
            </w:r>
            <w:r>
              <w:rPr>
                <w:rStyle w:val="IndexLink"/>
                <w:rtl w:val="true"/>
              </w:rPr>
              <w:tab/>
            </w:r>
            <w:r>
              <w:rPr>
                <w:rStyle w:val="IndexLink"/>
              </w:rPr>
              <w:t>284</w:t>
            </w:r>
          </w:hyperlink>
        </w:p>
        <w:p>
          <w:pPr>
            <w:pStyle w:val="Contents2"/>
            <w:tabs>
              <w:tab w:val="clear" w:pos="8743"/>
              <w:tab w:val="right" w:pos="9026" w:leader="dot"/>
            </w:tabs>
            <w:rPr/>
          </w:pPr>
          <w:hyperlink w:anchor="__RefHeading___Toc3103836_373438147">
            <w:r>
              <w:rPr>
                <w:webHidden/>
                <w:rStyle w:val="IndexLink"/>
                <w:rtl w:val="true"/>
              </w:rPr>
              <w:t>الفهارس الفنّيّة</w:t>
            </w:r>
            <w:r>
              <w:rPr>
                <w:rStyle w:val="IndexLink"/>
                <w:rtl w:val="true"/>
              </w:rPr>
              <w:tab/>
            </w:r>
            <w:r>
              <w:rPr>
                <w:rStyle w:val="IndexLink"/>
              </w:rPr>
              <w:t>287</w:t>
            </w:r>
          </w:hyperlink>
        </w:p>
        <w:p>
          <w:pPr>
            <w:pStyle w:val="Contents3"/>
            <w:tabs>
              <w:tab w:val="clear" w:pos="8459"/>
              <w:tab w:val="right" w:pos="9026" w:leader="dot"/>
            </w:tabs>
            <w:rPr/>
          </w:pPr>
          <w:hyperlink w:anchor="__RefHeading___Toc3103838_37343814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3103840_373438147">
            <w:r>
              <w:rPr>
                <w:webHidden/>
                <w:rStyle w:val="IndexLink"/>
                <w:rtl w:val="true"/>
              </w:rPr>
              <w:t>الآيات الكريمة</w:t>
            </w:r>
            <w:r>
              <w:rPr>
                <w:rStyle w:val="IndexLink"/>
                <w:rtl w:val="true"/>
              </w:rPr>
              <w:tab/>
            </w:r>
            <w:r>
              <w:rPr>
                <w:rStyle w:val="IndexLink"/>
              </w:rPr>
              <w:t>288</w:t>
            </w:r>
          </w:hyperlink>
        </w:p>
        <w:p>
          <w:pPr>
            <w:pStyle w:val="Contents3"/>
            <w:tabs>
              <w:tab w:val="clear" w:pos="8459"/>
              <w:tab w:val="right" w:pos="9026" w:leader="dot"/>
            </w:tabs>
            <w:rPr/>
          </w:pPr>
          <w:hyperlink w:anchor="__RefHeading___Toc3103842_373438147">
            <w:r>
              <w:rPr>
                <w:webHidden/>
                <w:rStyle w:val="IndexLink"/>
                <w:rtl w:val="true"/>
              </w:rPr>
              <w:t>الأحاديث الشريفة</w:t>
            </w:r>
            <w:r>
              <w:rPr>
                <w:rStyle w:val="IndexLink"/>
                <w:rtl w:val="true"/>
              </w:rPr>
              <w:tab/>
            </w:r>
            <w:r>
              <w:rPr>
                <w:rStyle w:val="IndexLink"/>
              </w:rPr>
              <w:t>290</w:t>
            </w:r>
          </w:hyperlink>
        </w:p>
        <w:p>
          <w:pPr>
            <w:pStyle w:val="Contents3"/>
            <w:tabs>
              <w:tab w:val="clear" w:pos="8459"/>
              <w:tab w:val="right" w:pos="9026" w:leader="dot"/>
            </w:tabs>
            <w:rPr/>
          </w:pPr>
          <w:hyperlink w:anchor="__RefHeading___Toc3103844_373438147">
            <w:r>
              <w:rPr>
                <w:webHidden/>
                <w:rStyle w:val="IndexLink"/>
                <w:rtl w:val="true"/>
              </w:rPr>
              <w:t>الآثار</w:t>
            </w:r>
            <w:r>
              <w:rPr>
                <w:rStyle w:val="IndexLink"/>
                <w:rtl w:val="true"/>
              </w:rPr>
              <w:tab/>
            </w:r>
            <w:r>
              <w:rPr>
                <w:rStyle w:val="IndexLink"/>
              </w:rPr>
              <w:t>296</w:t>
            </w:r>
          </w:hyperlink>
        </w:p>
        <w:p>
          <w:pPr>
            <w:pStyle w:val="Contents3"/>
            <w:tabs>
              <w:tab w:val="clear" w:pos="8459"/>
              <w:tab w:val="right" w:pos="9026" w:leader="dot"/>
            </w:tabs>
            <w:rPr/>
          </w:pPr>
          <w:hyperlink w:anchor="__RefHeading___Toc3103846_373438147">
            <w:r>
              <w:rPr>
                <w:webHidden/>
                <w:rStyle w:val="IndexLink"/>
                <w:rtl w:val="true"/>
              </w:rPr>
              <w:t>أسماء المعصومين عليهم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3103848_373438147">
            <w:r>
              <w:rPr>
                <w:webHidden/>
                <w:rStyle w:val="IndexLink"/>
                <w:rtl w:val="true"/>
              </w:rPr>
              <w:t xml:space="preserve">الأعلام </w:t>
            </w:r>
            <w:r>
              <w:rPr>
                <w:rStyle w:val="IndexLink"/>
                <w:rtl w:val="true"/>
              </w:rPr>
              <w:t>(</w:t>
            </w:r>
            <w:r>
              <w:rPr>
                <w:rStyle w:val="IndexLink"/>
                <w:rtl w:val="true"/>
              </w:rPr>
              <w:t>الأشخاص، الأمكنة و الكتب</w:t>
            </w:r>
            <w:r>
              <w:rPr>
                <w:rStyle w:val="IndexLink"/>
                <w:rtl w:val="true"/>
              </w:rPr>
              <w:t>)</w:t>
              <w:tab/>
            </w:r>
            <w:r>
              <w:rPr>
                <w:rStyle w:val="IndexLink"/>
              </w:rPr>
              <w:t>299</w:t>
            </w:r>
          </w:hyperlink>
        </w:p>
        <w:p>
          <w:pPr>
            <w:pStyle w:val="Contents3"/>
            <w:tabs>
              <w:tab w:val="clear" w:pos="8459"/>
              <w:tab w:val="right" w:pos="9026" w:leader="dot"/>
            </w:tabs>
            <w:rPr/>
          </w:pPr>
          <w:hyperlink w:anchor="__RefHeading___Toc3103850_373438147">
            <w:r>
              <w:rPr>
                <w:webHidden/>
                <w:rStyle w:val="IndexLink"/>
                <w:rtl w:val="true"/>
              </w:rPr>
              <w:t>مصادر الكتاب</w:t>
            </w:r>
            <w:r>
              <w:rPr>
                <w:rStyle w:val="IndexLink"/>
                <w:rtl w:val="true"/>
              </w:rPr>
              <w:tab/>
            </w:r>
            <w:r>
              <w:rPr>
                <w:rStyle w:val="IndexLink"/>
              </w:rPr>
              <w:t>359</w:t>
            </w:r>
          </w:hyperlink>
        </w:p>
        <w:p>
          <w:pPr>
            <w:pStyle w:val="Contents3"/>
            <w:tabs>
              <w:tab w:val="clear" w:pos="8459"/>
              <w:tab w:val="right" w:pos="9026" w:leader="dot"/>
            </w:tabs>
            <w:rPr/>
          </w:pPr>
          <w:hyperlink w:anchor="__RefHeading___Toc3103852_373438147">
            <w:r>
              <w:rPr>
                <w:webHidden/>
                <w:rStyle w:val="IndexLink"/>
                <w:rtl w:val="true"/>
              </w:rPr>
              <w:t>الموضوعات</w:t>
            </w:r>
            <w:r>
              <w:rPr>
                <w:rStyle w:val="IndexLink"/>
                <w:rtl w:val="true"/>
              </w:rPr>
              <w:tab/>
            </w:r>
            <w:r>
              <w:rPr>
                <w:rStyle w:val="IndexLink"/>
              </w:rPr>
              <w:t>382</w:t>
            </w:r>
          </w:hyperlink>
        </w:p>
        <w:p>
          <w:pPr>
            <w:pStyle w:val="Contents2"/>
            <w:tabs>
              <w:tab w:val="clear" w:pos="8743"/>
              <w:tab w:val="right" w:pos="9026" w:leader="dot"/>
            </w:tabs>
            <w:rPr/>
          </w:pPr>
          <w:hyperlink w:anchor="__RefHeading___Toc3103854_373438147">
            <w:r>
              <w:rPr>
                <w:webHidden/>
                <w:rStyle w:val="IndexLink"/>
                <w:rtl w:val="true"/>
              </w:rPr>
              <w:t>چكيده</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_13185"/>
      <w:bookmarkStart w:id="1" w:name="pg1254_13185"/>
      <w:bookmarkEnd w:id="1"/>
    </w:p>
    <w:p>
      <w:pPr>
        <w:pStyle w:val="Heading2"/>
        <w:numPr>
          <w:ilvl w:val="1"/>
          <w:numId w:val="1"/>
        </w:numPr>
        <w:rPr/>
      </w:pPr>
      <w:bookmarkStart w:id="2" w:name="pg1254_13185"/>
      <w:bookmarkStart w:id="3" w:name="__RefHeading___Toc3103360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فقهية في مسائل خلافية</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فقهیة فی مسائل 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 استدلالیة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الزواج‌الموقت عندالصحابه والتابعین، صلاةالتراویح والارسال والتکفیر بین‌السنة والبدعة، الجمع بین‌الصلاتین، کیفیةالوضوء و صموم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نجم‌الدین‌الطبسی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بوستان کتاب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مرکزالنشرالتابع لمکتب‌الاعلام‌الاسلامی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استدلالی؛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فقه و حقوق؛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Jurisprudential studies on conteroversial issues:Reasoned discussions on: Temporary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الحوزه‌العلمیه بقم، مکتب‌الاعلام الاسلامی، مرکزالنشر،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و دانشجویان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تراویح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BP169/7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297/324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1318216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03362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دراسات فقهیة فی مسائل 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 استدلالیة حول</w:t>
      </w:r>
    </w:p>
    <w:p>
      <w:pPr>
        <w:pStyle w:val="BookText"/>
        <w:rPr/>
      </w:pPr>
      <w:r>
        <w:rPr>
          <w:rFonts w:ascii="IRNazanin" w:hAnsi="IRNazanin" w:eastAsia="IRNazanin"/>
          <w:color w:val="111111"/>
          <w:sz w:val="28"/>
          <w:sz w:val="28"/>
          <w:szCs w:val="28"/>
          <w:rtl w:val="true"/>
          <w:lang w:bidi="fa-IR"/>
        </w:rPr>
        <w:t>الزواج‌الموقت عندالصحابه والتابعین، صلاةالتراویح والارسال والتکفیر بین‌السنة والبدعة، الجمع بین‌الصلاتین، کیفیةالوضوء و صموم عاشورا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نجم‌الدین‌الطبسی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bookmarkStart w:id="7" w:name="pg1254_13193"/>
    </w:p>
    <w:p>
      <w:pPr>
        <w:pStyle w:val="Heading2"/>
        <w:numPr>
          <w:ilvl w:val="1"/>
          <w:numId w:val="1"/>
        </w:numPr>
        <w:rPr/>
      </w:pPr>
      <w:bookmarkStart w:id="8" w:name="__RefHeading___Toc3103364_37343814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بن عبد اللّه، و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 الزواج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أخذت حجما كبيرا في المسائل الخلافيّة بين المسلمين، فهم بين مثبت له عن دليل، و منكر له رغم تظافر النصوص الصحيحة الّتي تنصّ على الإباحة و الجواز، و أنّ الصحابة كانت ثابتة على جوازها بعد وفاة الرسول الأعظم صلّى اللّه عليه و آله إلى عصر الخلفاء و ما بعدهم،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في هذا الحقل عشرات من الكتب، و نشرت مئات المقالات</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ذكرها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تؤكّد على استمراريّة الجواز و عدم النسخ</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عدم التكرار لما ألّف و أنجز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 المؤلّفين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أتناول جانبا خاصّا من الموضوع، و أعرض القضيّة بأسلوب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أسرد قائمة بأسماء من تمتّع من الصحابة و التابعين و المحدّثين في عصر الخلفاء و ما بعدهم، أو من كان رأيه الفقهي هو</w:t>
      </w:r>
    </w:p>
    <w:p>
      <w:pPr>
        <w:pStyle w:val="BookText"/>
        <w:rPr/>
      </w:pPr>
      <w:r>
        <w:rPr>
          <w:rFonts w:ascii="Amiri" w:hAnsi="Amiri" w:eastAsia="Amiri" w:cs="Amiri"/>
          <w:color w:val="111111"/>
          <w:sz w:val="28"/>
          <w:sz w:val="28"/>
          <w:szCs w:val="28"/>
          <w:rtl w:val="true"/>
          <w:lang w:bidi="ar-SA"/>
        </w:rPr>
        <w:t>الجواز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التتبّع عثرت على عشرات الأسماء من كبار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فجمعت النصوص الدالّة على ذلك، مع الإشارة إلى مكانتهم العلميّة، و موقعهم الاجتماعي، و أبحاث أخرى ترتبط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يحتوي على فصول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الصحابة الذين كانوا يرون حلّيّة المتعة، بل كانوا يعملون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التابعين و الفقهاء الذين ثبتوا على حلّيّة المتعة، بل بعضهم لم يتزوّج إلاّ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تساؤلات و مناقشات ترتبط بشأن النسخ، و روايات مفادها النهي عن المتعة، و أبحاث أخرى يقف عليها القارئ حين المطالعة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توفيقي إلاّ باللّه</w:t>
      </w:r>
      <w:r>
        <w:rPr>
          <w:rFonts w:eastAsia="Amiri" w:cs="Amiri" w:ascii="Amiri" w:hAnsi="Amiri"/>
          <w:color w:val="111111"/>
          <w:sz w:val="28"/>
          <w:szCs w:val="28"/>
          <w:rtl w:val="true"/>
          <w:lang w:bidi="ar-SA"/>
        </w:rPr>
        <w:t>.</w:t>
      </w:r>
      <w:bookmarkStart w:id="10" w:name="pg1254_13195"/>
    </w:p>
    <w:p>
      <w:pPr>
        <w:pStyle w:val="Heading2"/>
        <w:numPr>
          <w:ilvl w:val="1"/>
          <w:numId w:val="1"/>
        </w:numPr>
        <w:rPr/>
      </w:pPr>
      <w:bookmarkStart w:id="11" w:name="__RefHeading___Toc3103366_373438147"/>
      <w:bookmarkStart w:id="12" w:name="_Toc4"/>
      <w:bookmarkEnd w:id="10"/>
      <w:bookmarkEnd w:id="11"/>
      <w:r>
        <w:rPr>
          <w:rtl w:val="true"/>
        </w:rPr>
        <w:t>القسم الأوّل الزواج الموقّت عند الصحابة و التابعين</w:t>
      </w:r>
      <w:bookmarkEnd w:id="12"/>
    </w:p>
    <w:p>
      <w:pPr>
        <w:pStyle w:val="Heading3"/>
        <w:numPr>
          <w:ilvl w:val="2"/>
          <w:numId w:val="1"/>
        </w:numPr>
        <w:rPr/>
      </w:pPr>
      <w:bookmarkStart w:id="13" w:name="__RefHeading___Toc3103368_373438147"/>
      <w:bookmarkStart w:id="14" w:name="_Toc5"/>
      <w:bookmarkEnd w:id="13"/>
      <w:r>
        <w:rPr>
          <w:rtl w:val="true"/>
        </w:rPr>
        <w:t>اشارة</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تتناول من تمتّع أو كان رأيه الفقهيّ جواز التمتّع من الصحابة و التابعين و الفقهاء و المحدّثين الذين لهم المكانة عند السنّة</w:t>
      </w:r>
      <w:bookmarkStart w:id="15" w:name="pg1254_13196"/>
    </w:p>
    <w:p>
      <w:pPr>
        <w:pStyle w:val="Heading3"/>
        <w:numPr>
          <w:ilvl w:val="2"/>
          <w:numId w:val="1"/>
        </w:numPr>
        <w:rPr/>
      </w:pPr>
      <w:bookmarkStart w:id="16" w:name="__RefHeading___Toc3103370_373438147"/>
      <w:bookmarkStart w:id="17" w:name="_Toc6"/>
      <w:bookmarkEnd w:id="15"/>
      <w:bookmarkEnd w:id="16"/>
      <w:r>
        <w:rPr>
          <w:rtl w:val="true"/>
        </w:rPr>
        <w:t>روايات من أهل السنة</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صلّى اللّه عليه و آله و سلّم و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التفسير الكبير،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سوادة مخاطبا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عابت أمّتك منك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أنّك حرّمت متعة النساء و قد كانت رخصة من اللّه نستمتع بقبضة و نفارق عن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جريج هو أحد الأعلام الثقات، و هو في نفسه مجمع على ثقته، مع كونه قد تزوّج نحوا من سبعين امرأة نكاح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bookmarkStart w:id="18" w:name="pg1254_13197"/>
    </w:p>
    <w:p>
      <w:pPr>
        <w:pStyle w:val="Heading3"/>
        <w:numPr>
          <w:ilvl w:val="2"/>
          <w:numId w:val="1"/>
        </w:numPr>
        <w:rPr/>
      </w:pPr>
      <w:bookmarkStart w:id="19" w:name="__RefHeading___Toc3103372_373438147"/>
      <w:bookmarkStart w:id="20" w:name="_Toc7"/>
      <w:bookmarkEnd w:id="18"/>
      <w:bookmarkEnd w:id="19"/>
      <w:r>
        <w:rPr>
          <w:rtl w:val="true"/>
        </w:rPr>
        <w:t>الفصل الأوّل</w:t>
      </w:r>
      <w:r>
        <w:rPr>
          <w:rtl w:val="true"/>
        </w:rPr>
        <w:t xml:space="preserve">: </w:t>
      </w:r>
      <w:r>
        <w:rPr>
          <w:rtl w:val="true"/>
        </w:rPr>
        <w:t>الصحابة</w:t>
      </w:r>
      <w:bookmarkEnd w:id="20"/>
    </w:p>
    <w:p>
      <w:pPr>
        <w:pStyle w:val="Heading4"/>
        <w:numPr>
          <w:ilvl w:val="3"/>
          <w:numId w:val="1"/>
        </w:numPr>
        <w:rPr/>
      </w:pPr>
      <w:bookmarkStart w:id="21" w:name="__RefHeading___Toc3103374_373438147"/>
      <w:bookmarkStart w:id="22" w:name="_Toc8"/>
      <w:bookmarkEnd w:id="21"/>
      <w:r>
        <w:rPr>
          <w:rtl w:val="true"/>
        </w:rPr>
        <w:t xml:space="preserve">تعريف المتعة </w:t>
      </w:r>
      <w:r>
        <w:rPr>
          <w:rtl w:val="true"/>
        </w:rPr>
        <w:t>(</w:t>
      </w:r>
      <w:r>
        <w:rPr>
          <w:rtl w:val="true"/>
        </w:rPr>
        <w:t>الزواج الموقّت</w:t>
      </w:r>
      <w:r>
        <w:rPr>
          <w:rtl w:val="true"/>
        </w:rPr>
        <w:t>)</w:t>
      </w:r>
      <w:bookmarkEnd w:id="22"/>
    </w:p>
    <w:p>
      <w:pPr>
        <w:pStyle w:val="BookText"/>
        <w:rPr/>
      </w:pPr>
      <w:r>
        <w:rPr>
          <w:rFonts w:ascii="Amiri" w:hAnsi="Amiri" w:eastAsia="Amiri" w:cs="Amiri"/>
          <w:color w:val="111111"/>
          <w:sz w:val="28"/>
          <w:sz w:val="28"/>
          <w:szCs w:val="28"/>
          <w:rtl w:val="true"/>
          <w:lang w:bidi="ar-SA"/>
        </w:rPr>
        <w:t>قبل أن نذكر أسماء الصحابة القائلين بالمتعة و الثابتين عليها، ينبغي الإشارة إلى تعريف المتعة أو الزواج الموقّت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تقييد الزواج و النكاح بوقت معيّن و مهر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نكاح ينعقد بأجل معيّن و مهر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نكاح المتعة أن يتزوّج المرأة مدّة،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شهرا، أو سنة، أو إلى انقضاء الموسم، أو قدوم الحاجّ، سواء كانت المدّة معلومة أو مجهولة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مجهوليّة المدّة تبطل المتعة، و مع عدم ذكر المدّة و الأجل انعقد دائما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النظم المستعذب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المتاع، و هو ما يتبلّغ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bookmarkStart w:id="23" w:name="pg1254_13198"/>
    </w:p>
    <w:p>
      <w:pPr>
        <w:pStyle w:val="BookText"/>
        <w:rPr/>
      </w:pPr>
      <w:bookmarkEnd w:id="23"/>
      <w:r>
        <w:rPr>
          <w:rFonts w:ascii="Amiri" w:hAnsi="Amiri" w:eastAsia="Amiri" w:cs="Amiri"/>
          <w:color w:val="111111"/>
          <w:sz w:val="28"/>
          <w:sz w:val="28"/>
          <w:szCs w:val="28"/>
          <w:rtl w:val="true"/>
          <w:lang w:bidi="ar-SA"/>
        </w:rPr>
        <w:t>به إلى حين، و التمتّع أيضا الانتفاع بالشيء، كأنّه ينتفع صاحبه، و يتبلّغ بنكاحها إلى الوقت الّذي وقّته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المستعذب،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الفقه على المذاهب الأربعة،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103376_373438147"/>
      <w:bookmarkStart w:id="25" w:name="_Toc9"/>
      <w:bookmarkEnd w:id="24"/>
      <w:r>
        <w:rPr>
          <w:rtl w:val="true"/>
        </w:rPr>
        <w:t>الزواج الموقّت عند الصحابة</w:t>
      </w:r>
      <w:bookmarkEnd w:id="25"/>
    </w:p>
    <w:p>
      <w:pPr>
        <w:pStyle w:val="Heading5"/>
        <w:numPr>
          <w:ilvl w:val="4"/>
          <w:numId w:val="1"/>
        </w:numPr>
        <w:rPr/>
      </w:pPr>
      <w:bookmarkStart w:id="26" w:name="__RefHeading___Toc3103378_373438147"/>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لقد ثبت تأريخيّا و من خلال نصوص معتبرة و تصريحات فقهاء العامّة بأنّ ثلّة من الصحابة كانوا يرون نكاح المتعة حتّى بعد وفاة الرسول الأعظم صلّى اللّه عليه و آله أي أيّام خلافة الخلفاء و ما بعدها طيلة حياته، و كان رأيهم الفقهي على الجواز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نذكر أسماء بعضهم، و ما يدلّ على التزامهم بالمتعة، و موقعهم الاجتماعي و العلمي</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3103380_373438147"/>
      <w:bookmarkStart w:id="29" w:name="_Toc11"/>
      <w:bookmarkEnd w:id="28"/>
      <w:r>
        <w:rPr/>
        <w:t>1</w:t>
      </w:r>
      <w:r>
        <w:rPr>
          <w:rtl w:val="true"/>
        </w:rPr>
        <w:t xml:space="preserve">. </w:t>
      </w:r>
      <w:r>
        <w:rPr>
          <w:rtl w:val="true"/>
        </w:rPr>
        <w:t xml:space="preserve">عمران بن الحصين الخزاعي </w:t>
      </w:r>
      <w:r>
        <w:rPr>
          <w:rtl w:val="true"/>
        </w:rPr>
        <w:t>(</w:t>
      </w:r>
      <w:r>
        <w:rPr>
          <w:rtl w:val="true"/>
        </w:rPr>
        <w:t xml:space="preserve">ت </w:t>
      </w:r>
      <w:r>
        <w:rPr/>
        <w:t>52</w:t>
      </w:r>
      <w:r>
        <w:rPr>
          <w:rtl w:val="true"/>
        </w:rPr>
        <w:t xml:space="preserve"> </w:t>
      </w:r>
      <w:r>
        <w:rPr>
          <w:rtl w:val="true"/>
        </w:rPr>
        <w:t>ه</w:t>
      </w:r>
      <w:r>
        <w:rPr>
          <w:rtl w:val="true"/>
        </w:rPr>
        <w:t xml:space="preserve">. </w:t>
      </w:r>
      <w:r>
        <w:rPr>
          <w:rtl w:val="true"/>
        </w:rPr>
        <w:t>ق</w:t>
      </w:r>
      <w:r>
        <w:rPr>
          <w:rtl w:val="true"/>
        </w:rPr>
        <w:t>)</w:t>
      </w:r>
      <w:bookmarkEnd w:id="29"/>
    </w:p>
    <w:p>
      <w:pPr>
        <w:pStyle w:val="Heading6"/>
        <w:numPr>
          <w:ilvl w:val="5"/>
          <w:numId w:val="1"/>
        </w:numPr>
        <w:rPr/>
      </w:pPr>
      <w:bookmarkStart w:id="30" w:name="__RefHeading___Toc3103382_373438147"/>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عن عمران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ففعلناها مع رسول اللّه و لم ينزل قرآن يحرّمه، و لم ينه عنها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برأيه ما شاء</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المقصود هنا هو الخليفة عمر بن الخطّاب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إمام الحنابلة في مسنده بإسناد رجاله كلّهم ثقات،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تعالى، و عملنا بها مع رسول اللّه، فلم تنزل آية تنسخها، و لم ينه عنها النبيّ صلّى اللّه عليه و آله حتى مات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كان يرى المتعة من أصحاب النبيّ صلّى اللّه عليه و آله عمران بن حصين الخزاعي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صاحب كتاب المحبّر أخباري، صدوق، واسع الرواية، عارف بأيّام الناس، متبحّر في ذلك، و هو ابن ملاعنة، فنسب إلى أمّه حبيب، أخذ عن هشام بن محمد الكلبي و غيره، و توفّي سنة خمس و أربعين و مائتين، ذكره الخطيب في الملخّص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بالنسب، روى عنه محمد بن أحمد بن عرّابة الكوفي، و أبو سعيد الحسن بن الحسين الشكري، و أبو رؤبة البغدادي،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الإسلام،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عمران بن الحصين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تعالى، و لم ينزل بعدها آية تنسخها، و أمرنا بها رسول اللّه صلّى اللّه عليه و آله و تمتّعنا بها، و مات و لم ينهنا عنه، ثمّ قال رجل برأيه ما شاء</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بالرجل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الرازي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نكاح المتعة إلاّ عمران بن الحصين و بعض الصحابة</w:t>
      </w:r>
      <w:r>
        <w:rPr>
          <w:rFonts w:eastAsia="Amiri" w:cs="Amiri" w:ascii="Amiri" w:hAnsi="Amiri"/>
          <w:color w:val="111111"/>
          <w:sz w:val="28"/>
          <w:szCs w:val="28"/>
          <w:rtl w:val="true"/>
          <w:lang w:bidi="ar-SA"/>
        </w:rPr>
        <w:t>....</w:t>
      </w:r>
      <w:r>
        <w:rPr>
          <w:rStyle w:val="FootnoteAnchor"/>
          <w:rtl w:val="true"/>
        </w:rPr>
        <w:footnoteReference w:id="9"/>
      </w:r>
      <w:bookmarkStart w:id="32" w:name="pg1254_13200"/>
    </w:p>
    <w:p>
      <w:pPr>
        <w:pStyle w:val="BookText"/>
        <w:rPr/>
      </w:pPr>
      <w:bookmarkEnd w:id="3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نكاح المتعة إلاّ عمران بن الحصين و</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3103384_373438147"/>
      <w:bookmarkStart w:id="34" w:name="_Toc13"/>
      <w:bookmarkEnd w:id="33"/>
      <w:r>
        <w:rPr>
          <w:rtl w:val="true"/>
        </w:rPr>
        <w:t>التعريف بعمران</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عام خيبر، و غزا مع رسول اللّه غزوات، بعثه عمر بن الخطّاب إلى البصرة ليفقّه أهلها، و كان من فضلاء الصحابة، و استقضاه عبد اللّه بن عامر على البصرة، فأقام قاضيا يسيرا، ثمّ استعفى 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في البصرة أحدا من أصحاب النبيّ صلّى اللّه عليه و آله يفضّل على عمران بن حصين، و كان مجاب الدعوة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القدوة الإمام، صاحب رسول اللّه، أسلم سنة سبع، و له عدّة أحاديث، روى له أرباب الصحاح الستّة، و اتّفق الشيخان له على تسعة أحاديث، و انفرد البخاري بأربعة أحاديث، و مسلم بتسعة، و مسنده مائة و ثمانون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الجدير بالذكر أنّ عمران أسلم عام خيبر، و هو العام الّذي ادّعى القوم تحريمها 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من الحسان بلا شبهة، و في الوجيزة و البلغة أنّه ممدوح</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فهو مقبول عندنا، كما عن التستري</w:t>
      </w:r>
      <w:r>
        <w:rPr>
          <w:rFonts w:eastAsia="Amiri" w:cs="Amiri" w:ascii="Amiri" w:hAnsi="Amiri"/>
          <w:color w:val="111111"/>
          <w:sz w:val="28"/>
          <w:szCs w:val="28"/>
          <w:rtl w:val="true"/>
          <w:lang w:bidi="ar-SA"/>
        </w:rPr>
        <w:t>.</w:t>
      </w:r>
      <w:r>
        <w:rPr>
          <w:rStyle w:val="FootnoteAnchor"/>
          <w:rtl w:val="true"/>
        </w:rPr>
        <w:footnoteReference w:id="13"/>
      </w:r>
      <w:bookmarkStart w:id="35" w:name="pg1254_13201"/>
    </w:p>
    <w:p>
      <w:pPr>
        <w:pStyle w:val="Heading5"/>
        <w:numPr>
          <w:ilvl w:val="4"/>
          <w:numId w:val="1"/>
        </w:numPr>
        <w:rPr/>
      </w:pPr>
      <w:bookmarkStart w:id="36" w:name="__RefHeading___Toc3103386_373438147"/>
      <w:bookmarkStart w:id="37" w:name="_Toc14"/>
      <w:bookmarkEnd w:id="35"/>
      <w:bookmarkEnd w:id="36"/>
      <w:r>
        <w:rPr/>
        <w:t>2</w:t>
      </w:r>
      <w:r>
        <w:rPr>
          <w:rtl w:val="true"/>
        </w:rPr>
        <w:t xml:space="preserve">. </w:t>
      </w:r>
      <w:r>
        <w:rPr>
          <w:rtl w:val="true"/>
        </w:rPr>
        <w:t xml:space="preserve">أبو سعيد الخدري </w:t>
      </w:r>
      <w:r>
        <w:rPr>
          <w:rtl w:val="true"/>
        </w:rPr>
        <w:t>(</w:t>
      </w:r>
      <w:r>
        <w:rPr>
          <w:rtl w:val="true"/>
        </w:rPr>
        <w:t xml:space="preserve">ت </w:t>
      </w:r>
      <w:r>
        <w:rPr/>
        <w:t>74</w:t>
      </w:r>
      <w:r>
        <w:rPr>
          <w:rtl w:val="true"/>
        </w:rPr>
        <w:t xml:space="preserve"> </w:t>
      </w:r>
      <w:r>
        <w:rPr>
          <w:rtl w:val="true"/>
        </w:rPr>
        <w:t>ه</w:t>
      </w:r>
      <w:r>
        <w:rPr>
          <w:rtl w:val="true"/>
        </w:rPr>
        <w:t xml:space="preserve">. </w:t>
      </w:r>
      <w:r>
        <w:rPr>
          <w:rtl w:val="true"/>
        </w:rPr>
        <w:t>ق</w:t>
      </w:r>
      <w:r>
        <w:rPr>
          <w:rtl w:val="true"/>
        </w:rPr>
        <w:t>)</w:t>
      </w:r>
      <w:bookmarkEnd w:id="37"/>
    </w:p>
    <w:p>
      <w:pPr>
        <w:pStyle w:val="Heading6"/>
        <w:numPr>
          <w:ilvl w:val="5"/>
          <w:numId w:val="1"/>
        </w:numPr>
        <w:rPr/>
      </w:pPr>
      <w:bookmarkStart w:id="38" w:name="__RefHeading___Toc3103388_373438147"/>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ثبت على تحليل المتعة، أبو سعيد الخدري</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شرح الزرقاني،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و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إلى نصف من خلافة عمر حتى نهى عمر الناس عنها في شأن عمرو بن حريث</w:t>
      </w:r>
      <w:r>
        <w:rPr>
          <w:rFonts w:eastAsia="Amiri" w:cs="Amiri" w:ascii="Amiri" w:hAnsi="Amiri"/>
          <w:color w:val="111111"/>
          <w:sz w:val="28"/>
          <w:szCs w:val="28"/>
          <w:rtl w:val="true"/>
          <w:lang w:bidi="ar-SA"/>
        </w:rPr>
        <w:t>.</w:t>
      </w:r>
      <w:r>
        <w:rPr>
          <w:rStyle w:val="FootnoteAnchor"/>
          <w:rtl w:val="true"/>
        </w:rPr>
        <w:footnoteReference w:id="15"/>
      </w:r>
    </w:p>
    <w:p>
      <w:pPr>
        <w:pStyle w:val="Heading6"/>
        <w:numPr>
          <w:ilvl w:val="5"/>
          <w:numId w:val="1"/>
        </w:numPr>
        <w:rPr/>
      </w:pPr>
      <w:bookmarkStart w:id="40" w:name="__RefHeading___Toc3103390_373438147"/>
      <w:bookmarkStart w:id="41" w:name="_Toc16"/>
      <w:bookmarkEnd w:id="40"/>
      <w:r>
        <w:rPr>
          <w:rtl w:val="true"/>
        </w:rPr>
        <w:t>التعريف بأبي سعيد الخدري</w:t>
      </w:r>
      <w:bookmarkEnd w:id="41"/>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المجاهد، مفتي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الخندق و بيعة الرضوان، حدّث عن النبيّ صلّى اللّه عليه و آله فأكثر و أطاب، و كان أحد الفقهاء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أحد من أحداث أصحاب رسول اللّه أعلم من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الصحاح الستّة، و مسنده ألف و مائة و سبعون حديثا، ففي صحيح البخاري و مسلم ثلاثة و أربعون، و انفرد البخاري بستّة عشر حديثا، و مسلم باثنين و خمسين</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الصحابي الّذي تصدّر منصب الإفتاء تراه يصرّح بالتزامه العملي بالنكاح الموقّت، و أنّ عمر هو الّذي نهى عنه، لا أنّه استند في ذلك إلى النسخ، أو نهي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عندنا، فقد عدّه المامقاني من الثقات</w:t>
      </w:r>
      <w:r>
        <w:rPr>
          <w:rFonts w:eastAsia="Amiri" w:cs="Amiri" w:ascii="Amiri" w:hAnsi="Amiri"/>
          <w:color w:val="111111"/>
          <w:sz w:val="28"/>
          <w:szCs w:val="28"/>
          <w:rtl w:val="true"/>
          <w:lang w:bidi="ar-SA"/>
        </w:rPr>
        <w:t>.</w:t>
      </w:r>
      <w:r>
        <w:rPr>
          <w:rStyle w:val="FootnoteAnchor"/>
          <w:rtl w:val="true"/>
        </w:rPr>
        <w:footnoteReference w:id="17"/>
      </w:r>
      <w:bookmarkStart w:id="42" w:name="pg1254_13202"/>
    </w:p>
    <w:p>
      <w:pPr>
        <w:pStyle w:val="Heading5"/>
        <w:numPr>
          <w:ilvl w:val="4"/>
          <w:numId w:val="1"/>
        </w:numPr>
        <w:rPr/>
      </w:pPr>
      <w:bookmarkStart w:id="43" w:name="__RefHeading___Toc3103392_373438147"/>
      <w:bookmarkStart w:id="44" w:name="_Toc17"/>
      <w:bookmarkEnd w:id="42"/>
      <w:bookmarkEnd w:id="43"/>
      <w:r>
        <w:rPr/>
        <w:t>3</w:t>
      </w:r>
      <w:r>
        <w:rPr>
          <w:rtl w:val="true"/>
        </w:rPr>
        <w:t xml:space="preserve">. </w:t>
      </w:r>
      <w:r>
        <w:rPr>
          <w:rtl w:val="true"/>
        </w:rPr>
        <w:t xml:space="preserve">جابر بن عبد اللّه الأنصاري </w:t>
      </w:r>
      <w:r>
        <w:rPr>
          <w:rtl w:val="true"/>
        </w:rPr>
        <w:t>(</w:t>
      </w:r>
      <w:r>
        <w:rPr>
          <w:rtl w:val="true"/>
        </w:rPr>
        <w:t xml:space="preserve">ت </w:t>
      </w:r>
      <w:r>
        <w:rPr/>
        <w:t>78</w:t>
      </w:r>
      <w:r>
        <w:rPr>
          <w:rtl w:val="true"/>
        </w:rPr>
        <w:t xml:space="preserve"> </w:t>
      </w:r>
      <w:r>
        <w:rPr>
          <w:rtl w:val="true"/>
        </w:rPr>
        <w:t>ه</w:t>
      </w:r>
      <w:r>
        <w:rPr>
          <w:rtl w:val="true"/>
        </w:rPr>
        <w:t xml:space="preserve">. </w:t>
      </w:r>
      <w:r>
        <w:rPr>
          <w:rtl w:val="true"/>
        </w:rPr>
        <w:t>ق</w:t>
      </w:r>
      <w:r>
        <w:rPr>
          <w:rtl w:val="true"/>
        </w:rPr>
        <w:t>)</w:t>
      </w:r>
      <w:bookmarkEnd w:id="44"/>
    </w:p>
    <w:p>
      <w:pPr>
        <w:pStyle w:val="Heading6"/>
        <w:numPr>
          <w:ilvl w:val="5"/>
          <w:numId w:val="1"/>
        </w:numPr>
        <w:rPr/>
      </w:pPr>
      <w:bookmarkStart w:id="45" w:name="__RefHeading___Toc3103394_373438147"/>
      <w:bookmarkStart w:id="46" w:name="_Toc18"/>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رافع، حدّثنا عبد الرزّاق، أخبرنا ابن جريج، أخبرني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 الدقيق الأيّام على عهد رسول اللّه و أبي بكر حتى نهى عنه عمر في شأن عمرو بن حريث</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مصنّف عبد الرزّاق،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فتح الباري،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بداية المجتهد،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الحلواني، حدّثنا عبد الرزّاق، 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جابر بن عبد اللّه معتمرا فجئناه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على عهد رسول اللّه و أبي بكر و عمر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يتمتّعون من النساء حتى نهاهم عمر بن الخطّاب</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شبة حدّثنا محمد بن جعفر قال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قتادة يحدّث عن أبي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 كان ابن الزبير ينهى عنها، فذكرت ذلك لجابر بن عبد اللّه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يدي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يحلّ لرسوله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شاء</w:t>
      </w:r>
      <w:bookmarkStart w:id="47" w:name="pg1254_13203"/>
    </w:p>
    <w:p>
      <w:pPr>
        <w:pStyle w:val="BookText"/>
        <w:rPr/>
      </w:pPr>
      <w:bookmarkEnd w:id="47"/>
      <w:r>
        <w:rPr>
          <w:rFonts w:ascii="Amiri" w:hAnsi="Amiri" w:eastAsia="Amiri" w:cs="Amiri"/>
          <w:color w:val="111111"/>
          <w:sz w:val="28"/>
          <w:sz w:val="28"/>
          <w:szCs w:val="28"/>
          <w:rtl w:val="true"/>
          <w:lang w:bidi="ar-SA"/>
        </w:rPr>
        <w:t>بأنّ القرآن قد نزل منازله، فأتمّوا الحجّ و العمرة كما أمركم اللّه، و أتمّوا نكاح هذه النساء، و لن أوتي برجل نكح امرأة إلى أجل إلاّ رجمته بالحجارة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استمتعت من النساء على عهد رسول اللّه، و زمن أبي بكر ثم زمن عمر حتى كان من شأن عمرو بن حريث الذي كان،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نستمتع و نفي، و إنّي أراكم تستمتعون و لا تفون، فانكحوا و لا تستمتعوا</w:t>
      </w:r>
      <w:r>
        <w:rPr>
          <w:rFonts w:eastAsia="Amiri" w:cs="Amiri" w:ascii="Amiri" w:hAnsi="Amiri"/>
          <w:color w:val="111111"/>
          <w:sz w:val="28"/>
          <w:szCs w:val="28"/>
          <w:rtl w:val="true"/>
          <w:lang w:bidi="ar-SA"/>
        </w:rPr>
        <w:t>.</w:t>
      </w:r>
      <w:r>
        <w:rPr>
          <w:rStyle w:val="FootnoteAnchor"/>
          <w:rtl w:val="true"/>
        </w:rPr>
        <w:footnoteReference w:id="22"/>
      </w:r>
    </w:p>
    <w:p>
      <w:pPr>
        <w:pStyle w:val="Heading6"/>
        <w:numPr>
          <w:ilvl w:val="5"/>
          <w:numId w:val="1"/>
        </w:numPr>
        <w:rPr/>
      </w:pPr>
      <w:bookmarkStart w:id="48" w:name="__RefHeading___Toc3103396_373438147"/>
      <w:bookmarkStart w:id="49" w:name="_Toc19"/>
      <w:bookmarkEnd w:id="48"/>
      <w:r>
        <w:rPr>
          <w:rtl w:val="true"/>
        </w:rPr>
        <w:t>التعريف بجابر بن عبد اللّه</w:t>
      </w:r>
      <w:bookmarkEnd w:id="49"/>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الكبير، المجتهد الحافظ، صاحب رسول اللّه صلّى اللّه عليه و آله، الفقيه، من أهل بيعة الرضوان، روى علما كثيرا من النبيّ صلّى اللّه عليه و آله، و كان مفتي المدينة في زمانه، و قد بلغ مسنده ألفا و خمسمائة و 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له الشيخان على ثمانية و خمسين حديثا، و انفرد له البخاري بستّة و عشرين حديثا، و مسلم بمائة و ستّة و عشرين حديثا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مفتي المدينة، و من كبار الفقهاء، و راوي علم كثير عن الرسول صلّى اللّه عليه و آله، هل يخفى عليه تحريم المتعة و 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فتراه يداوم الزواج الموقّت إلى حين نهى عمر عنه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بالذكر أنّ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كان سائغا، شائعا، معروفا بين الصحابة إلى عهد الخليفة عمر</w:t>
      </w:r>
      <w:r>
        <w:rPr>
          <w:rFonts w:eastAsia="Amiri" w:cs="Amiri" w:ascii="Amiri" w:hAnsi="Amiri"/>
          <w:color w:val="111111"/>
          <w:sz w:val="28"/>
          <w:szCs w:val="28"/>
          <w:rtl w:val="true"/>
          <w:lang w:bidi="ar-SA"/>
        </w:rPr>
        <w:t>.</w:t>
      </w:r>
      <w:bookmarkStart w:id="50" w:name="pg1254_13204"/>
    </w:p>
    <w:p>
      <w:pPr>
        <w:pStyle w:val="Heading5"/>
        <w:numPr>
          <w:ilvl w:val="4"/>
          <w:numId w:val="1"/>
        </w:numPr>
        <w:rPr/>
      </w:pPr>
      <w:bookmarkStart w:id="51" w:name="__RefHeading___Toc3103398_373438147"/>
      <w:bookmarkStart w:id="52" w:name="_Toc20"/>
      <w:bookmarkEnd w:id="50"/>
      <w:bookmarkEnd w:id="51"/>
      <w:r>
        <w:rPr/>
        <w:t>4</w:t>
      </w:r>
      <w:r>
        <w:rPr>
          <w:rtl w:val="true"/>
        </w:rPr>
        <w:t xml:space="preserve">. </w:t>
      </w:r>
      <w:r>
        <w:rPr>
          <w:rtl w:val="true"/>
        </w:rPr>
        <w:t xml:space="preserve">زيد بن ثابت الأنصاري </w:t>
      </w:r>
      <w:r>
        <w:rPr>
          <w:rtl w:val="true"/>
        </w:rPr>
        <w:t>(</w:t>
      </w:r>
      <w:r>
        <w:rPr>
          <w:rtl w:val="true"/>
        </w:rPr>
        <w:t xml:space="preserve">ت </w:t>
      </w:r>
      <w:r>
        <w:rPr/>
        <w:t>55</w:t>
      </w:r>
      <w:r>
        <w:rPr>
          <w:rtl w:val="true"/>
        </w:rPr>
        <w:t xml:space="preserve"> </w:t>
      </w:r>
      <w:r>
        <w:rPr>
          <w:rtl w:val="true"/>
        </w:rPr>
        <w:t>ه</w:t>
      </w:r>
      <w:r>
        <w:rPr>
          <w:rtl w:val="true"/>
        </w:rPr>
        <w:t xml:space="preserve">. </w:t>
      </w:r>
      <w:r>
        <w:rPr>
          <w:rtl w:val="true"/>
        </w:rPr>
        <w:t>ق</w:t>
      </w:r>
      <w:r>
        <w:rPr>
          <w:rtl w:val="true"/>
        </w:rPr>
        <w:t>)</w:t>
      </w:r>
      <w:bookmarkEnd w:id="52"/>
    </w:p>
    <w:p>
      <w:pPr>
        <w:pStyle w:val="Heading6"/>
        <w:numPr>
          <w:ilvl w:val="5"/>
          <w:numId w:val="1"/>
        </w:numPr>
        <w:rPr/>
      </w:pPr>
      <w:bookmarkStart w:id="53" w:name="__RefHeading___Toc3103400_373438147"/>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كان يرى المتعة من أصحاب النبيّ صلّى اللّه عليه و آله زيد بن ثابت الأنصاري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3103402_373438147"/>
      <w:bookmarkStart w:id="56" w:name="_Toc22"/>
      <w:bookmarkEnd w:id="55"/>
      <w:r>
        <w:rPr>
          <w:rtl w:val="true"/>
        </w:rPr>
        <w:t>التعريف بزيد بن ثابت</w:t>
      </w:r>
      <w:bookmarkEnd w:id="56"/>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الكبير، شيخ المقرئين، مفتي المدينة، كاتب الوحي، و جامع القرآن على عهد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ثابت كان عالم الناس في خلافة عمر و حبرها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عمر و عثمان يقدّمان على زيد أحدا في الفرائض، و الفتوى، و القراءة،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المحفوظون من أصحاب محمد صلّى اللّه عليه و آله أنّ زيد بن ثابت من 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حبر الأمّة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إذن يقول بحلّيّة المتعة من هو عالم الناس و حبرها، و من هو مقدّم على الناس في الفتوى و القراءة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هو من الراسخين في العلم، و لم يعتن و لا يعترف بنهي عمر بن الخطّاب، و لا يراه حاكيا عن النسخ و تحريم الرسول صلّى اللّه عليه و آله فتأمّل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كونه عثمانيّا كفاية في بيان حاله</w:t>
      </w:r>
      <w:r>
        <w:rPr>
          <w:rFonts w:eastAsia="Amiri" w:cs="Amiri" w:ascii="Amiri" w:hAnsi="Amiri"/>
          <w:color w:val="111111"/>
          <w:sz w:val="28"/>
          <w:szCs w:val="28"/>
          <w:rtl w:val="true"/>
          <w:lang w:bidi="ar-SA"/>
        </w:rPr>
        <w:t>.</w:t>
      </w:r>
      <w:bookmarkStart w:id="57" w:name="pg1254_13205"/>
    </w:p>
    <w:p>
      <w:pPr>
        <w:pStyle w:val="BookText"/>
        <w:rPr/>
      </w:pPr>
      <w:bookmarkEnd w:id="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 و لم يشهد مع علّي عليه السّلام شيئا من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على زيد بن ثابت لقد حكم في الفرائض بحكم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نسبة جمعه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السيد الخوئي عنه بالتفصيل</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البيان في تفسير القرآن،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103404_373438147"/>
      <w:bookmarkStart w:id="59" w:name="_Toc23"/>
      <w:bookmarkEnd w:id="58"/>
      <w:r>
        <w:rPr/>
        <w:t>5</w:t>
      </w:r>
      <w:r>
        <w:rPr>
          <w:rtl w:val="true"/>
        </w:rPr>
        <w:t xml:space="preserve">. </w:t>
      </w:r>
      <w:r>
        <w:rPr>
          <w:rtl w:val="true"/>
        </w:rPr>
        <w:t xml:space="preserve">عبد اللّه بن مسعود </w:t>
      </w:r>
      <w:r>
        <w:rPr>
          <w:rtl w:val="true"/>
        </w:rPr>
        <w:t>(</w:t>
      </w:r>
      <w:r>
        <w:rPr>
          <w:rtl w:val="true"/>
        </w:rPr>
        <w:t xml:space="preserve">ت </w:t>
      </w:r>
      <w:r>
        <w:rPr/>
        <w:t>32</w:t>
      </w:r>
      <w:r>
        <w:rPr>
          <w:rtl w:val="true"/>
        </w:rPr>
        <w:t xml:space="preserve"> </w:t>
      </w:r>
      <w:r>
        <w:rPr>
          <w:rtl w:val="true"/>
        </w:rPr>
        <w:t>ه</w:t>
      </w:r>
      <w:r>
        <w:rPr>
          <w:rtl w:val="true"/>
        </w:rPr>
        <w:t xml:space="preserve">. </w:t>
      </w:r>
      <w:r>
        <w:rPr>
          <w:rtl w:val="true"/>
        </w:rPr>
        <w:t>ق</w:t>
      </w:r>
      <w:r>
        <w:rPr>
          <w:rtl w:val="true"/>
        </w:rPr>
        <w:t>)</w:t>
      </w:r>
      <w:bookmarkEnd w:id="59"/>
    </w:p>
    <w:p>
      <w:pPr>
        <w:pStyle w:val="Heading6"/>
        <w:numPr>
          <w:ilvl w:val="5"/>
          <w:numId w:val="1"/>
        </w:numPr>
        <w:rPr/>
      </w:pPr>
      <w:bookmarkStart w:id="60" w:name="__RefHeading___Toc3103406_373438147"/>
      <w:bookmarkStart w:id="61" w:name="_Toc24"/>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على تحليلها بعد رسول اللّه صلّى اللّه عليه و آله جماعة من السلف، منهم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المفيد عن المحبّر إنّ ابن مسعود، كان يقول بالمتعة</w:t>
      </w:r>
      <w:r>
        <w:rPr>
          <w:rFonts w:eastAsia="Amiri" w:cs="Amiri" w:ascii="Amiri" w:hAnsi="Amiri"/>
          <w:color w:val="111111"/>
          <w:sz w:val="28"/>
          <w:szCs w:val="28"/>
          <w:rtl w:val="true"/>
          <w:lang w:bidi="ar-SA"/>
        </w:rPr>
        <w:t>.</w:t>
      </w:r>
      <w:r>
        <w:rPr>
          <w:rStyle w:val="FootnoteAnchor"/>
          <w:rtl w:val="true"/>
        </w:rPr>
        <w:footnoteReference w:id="28"/>
      </w:r>
    </w:p>
    <w:p>
      <w:pPr>
        <w:pStyle w:val="Heading6"/>
        <w:numPr>
          <w:ilvl w:val="5"/>
          <w:numId w:val="1"/>
        </w:numPr>
        <w:rPr/>
      </w:pPr>
      <w:bookmarkStart w:id="62" w:name="__RefHeading___Toc3103408_373438147"/>
      <w:bookmarkStart w:id="63" w:name="_Toc25"/>
      <w:bookmarkEnd w:id="62"/>
      <w:r>
        <w:rPr>
          <w:rtl w:val="true"/>
        </w:rPr>
        <w:t>التعريف بابن مسعود</w:t>
      </w:r>
      <w:bookmarkEnd w:id="63"/>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الحبر، فقيه الأمّة، كان من السابقين الأوّلين، و من النجباء العالمين، شهد بدرا، و هاجر الهجرتين، و كان يوم اليرموك على النفل، و مناقبه غزيرة، روى علما كثيرا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غليّم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الأربعة الذين ثبتوا مع رسول اللّه صلّى اللّه عليه و آله يوم أحد</w:t>
      </w:r>
      <w:r>
        <w:rPr>
          <w:rFonts w:eastAsia="Amiri" w:cs="Amiri" w:ascii="Amiri" w:hAnsi="Amiri"/>
          <w:color w:val="111111"/>
          <w:sz w:val="28"/>
          <w:szCs w:val="28"/>
          <w:rtl w:val="true"/>
          <w:lang w:bidi="ar-SA"/>
        </w:rPr>
        <w:t>.</w:t>
      </w:r>
      <w:bookmarkStart w:id="64" w:name="pg1254_13206"/>
    </w:p>
    <w:p>
      <w:pPr>
        <w:pStyle w:val="BookText"/>
        <w:rPr/>
      </w:pPr>
      <w:bookmarkEnd w:id="64"/>
      <w:r>
        <w:rPr>
          <w:rFonts w:ascii="Amiri" w:hAnsi="Amiri" w:eastAsia="Amiri" w:cs="Amiri"/>
          <w:color w:val="111111"/>
          <w:sz w:val="28"/>
          <w:sz w:val="28"/>
          <w:szCs w:val="28"/>
          <w:rtl w:val="true"/>
          <w:lang w:bidi="ar-SA"/>
        </w:rPr>
        <w:t>و قال أبو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أعلم النبيّ صلّى اللّه عليه و آله ترك أحدا أعلم بكتاب اللّه من هذا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 عليه السّلام عن ابن مسعود،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القرآن، ثمّ وقف عنده، و كفى به، و علم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اتّفقا في الصحيحين على أربعة و ستّين، و انفرد له البخاري بإخراج أحد و عشرين حديثا، و مسلم بإخراج خمسة و ثلاثين حديثا، و له عند بقّي بالمكرّر ثماني و أربعون حديثا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طبقات ابن سعد،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تأريخ خليفة،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الجرح و التعديل،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تذكرة الحفّاظ،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والى القوم و مال معهم و لم يتبع عليّا عليه السّلام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إذن، ثبت على تحليل المتعة من اعترفوا له بأنّه عالم الأمّة و فقيهها، و العالم بكتاب اللّه</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103410_373438147"/>
      <w:bookmarkStart w:id="66" w:name="_Toc26"/>
      <w:bookmarkEnd w:id="65"/>
      <w:r>
        <w:rPr/>
        <w:t>6</w:t>
      </w:r>
      <w:r>
        <w:rPr>
          <w:rtl w:val="true"/>
        </w:rPr>
        <w:t xml:space="preserve">. </w:t>
      </w:r>
      <w:r>
        <w:rPr>
          <w:rtl w:val="true"/>
        </w:rPr>
        <w:t xml:space="preserve">سلمة بن الأكوع </w:t>
      </w:r>
      <w:r>
        <w:rPr>
          <w:rtl w:val="true"/>
        </w:rPr>
        <w:t>(</w:t>
      </w:r>
      <w:r>
        <w:rPr>
          <w:rtl w:val="true"/>
        </w:rPr>
        <w:t xml:space="preserve">ت </w:t>
      </w:r>
      <w:r>
        <w:rPr/>
        <w:t>74</w:t>
      </w:r>
      <w:r>
        <w:rPr>
          <w:rtl w:val="true"/>
        </w:rPr>
        <w:t xml:space="preserve"> </w:t>
      </w:r>
      <w:r>
        <w:rPr>
          <w:rtl w:val="true"/>
        </w:rPr>
        <w:t>ه</w:t>
      </w:r>
      <w:r>
        <w:rPr>
          <w:rtl w:val="true"/>
        </w:rPr>
        <w:t xml:space="preserve">. </w:t>
      </w:r>
      <w:r>
        <w:rPr>
          <w:rtl w:val="true"/>
        </w:rPr>
        <w:t>ق</w:t>
      </w:r>
      <w:r>
        <w:rPr>
          <w:rtl w:val="true"/>
        </w:rPr>
        <w:t>)</w:t>
      </w:r>
      <w:bookmarkEnd w:id="66"/>
    </w:p>
    <w:p>
      <w:pPr>
        <w:pStyle w:val="Heading6"/>
        <w:numPr>
          <w:ilvl w:val="5"/>
          <w:numId w:val="1"/>
        </w:numPr>
        <w:rPr/>
      </w:pPr>
      <w:bookmarkStart w:id="67" w:name="__RefHeading___Toc3103412_373438147"/>
      <w:bookmarkStart w:id="68" w:name="_Toc27"/>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كان يرى المتعة من أصحاب النبيّ، سلمة بن الأكوع الأسلمي</w:t>
      </w:r>
      <w:r>
        <w:rPr>
          <w:rFonts w:eastAsia="Amiri" w:cs="Amiri" w:ascii="Amiri" w:hAnsi="Amiri"/>
          <w:color w:val="111111"/>
          <w:sz w:val="28"/>
          <w:szCs w:val="28"/>
          <w:rtl w:val="true"/>
          <w:lang w:bidi="ar-SA"/>
        </w:rPr>
        <w:t>.</w:t>
      </w:r>
      <w:r>
        <w:rPr>
          <w:rStyle w:val="FootnoteAnchor"/>
          <w:rtl w:val="true"/>
        </w:rPr>
        <w:footnoteReference w:id="31"/>
      </w:r>
    </w:p>
    <w:p>
      <w:pPr>
        <w:pStyle w:val="Heading6"/>
        <w:numPr>
          <w:ilvl w:val="5"/>
          <w:numId w:val="1"/>
        </w:numPr>
        <w:rPr/>
      </w:pPr>
      <w:bookmarkStart w:id="69" w:name="__RefHeading___Toc3103414_373438147"/>
      <w:bookmarkStart w:id="70" w:name="_Toc28"/>
      <w:bookmarkEnd w:id="69"/>
      <w:r>
        <w:rPr>
          <w:rtl w:val="true"/>
        </w:rPr>
        <w:t>التعريف بابن الأكوع</w:t>
      </w:r>
      <w:bookmarkEnd w:id="7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مؤتة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أهل بيعة الرضوان</w:t>
      </w:r>
      <w:r>
        <w:rPr>
          <w:rFonts w:eastAsia="Amiri" w:cs="Amiri" w:ascii="Amiri" w:hAnsi="Amiri"/>
          <w:color w:val="111111"/>
          <w:sz w:val="28"/>
          <w:szCs w:val="28"/>
          <w:rtl w:val="true"/>
          <w:lang w:bidi="ar-SA"/>
        </w:rPr>
        <w:t>.</w:t>
      </w:r>
      <w:bookmarkStart w:id="71" w:name="pg1254_13207"/>
    </w:p>
    <w:p>
      <w:pPr>
        <w:pStyle w:val="BookText"/>
        <w:rPr/>
      </w:pPr>
      <w:bookmarkEnd w:id="7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آله على الموت، و غزوت معه سبع 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رسول اللّه مرارا، و مسح على وجهي مرارا، و استغفر لي مرارا، عدد ما في يديّ من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زياد بن ميناء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سلمة بن الأكوع مع أشباه لهم يفتون بالمدينة، و يحدّثون من لدن توفّي عثمان إلى أن 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الصحاح الستّة، و حديثه من عوالي صحيح البخاري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انظر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أتانا فأذن لنا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أنّ ابن الأكوع كان يفتي بالمدينة و يحدّث بعد وفاة عثمان و ذلك هو بداية رفع الضغط عمّن يروي حديث رسول اللّه، فهذا المحدّث و المفتي يرى جواز المتعة و لا يرى أهميّة لنهي الخليفة، لأنّه صادر عن اجتهاد و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كونه إماميّا و يكون ما ذكر مدحا مدرّجا له في الحسان</w:t>
      </w:r>
      <w:r>
        <w:rPr>
          <w:rFonts w:eastAsia="Amiri" w:cs="Amiri" w:ascii="Amiri" w:hAnsi="Amiri"/>
          <w:color w:val="111111"/>
          <w:sz w:val="28"/>
          <w:szCs w:val="28"/>
          <w:rtl w:val="true"/>
          <w:lang w:bidi="ar-SA"/>
        </w:rPr>
        <w:t>.</w:t>
      </w:r>
      <w:r>
        <w:rPr>
          <w:rStyle w:val="FootnoteAnchor"/>
          <w:rtl w:val="true"/>
        </w:rPr>
        <w:footnoteReference w:id="33"/>
      </w:r>
    </w:p>
    <w:p>
      <w:pPr>
        <w:pStyle w:val="Heading5"/>
        <w:numPr>
          <w:ilvl w:val="4"/>
          <w:numId w:val="1"/>
        </w:numPr>
        <w:rPr/>
      </w:pPr>
      <w:bookmarkStart w:id="72" w:name="__RefHeading___Toc3103416_373438147"/>
      <w:bookmarkStart w:id="73" w:name="_Toc29"/>
      <w:bookmarkEnd w:id="72"/>
      <w:r>
        <w:rPr/>
        <w:t>7</w:t>
      </w:r>
      <w:r>
        <w:rPr>
          <w:rtl w:val="true"/>
        </w:rPr>
        <w:t xml:space="preserve">. </w:t>
      </w:r>
      <w:r>
        <w:rPr>
          <w:rtl w:val="true"/>
        </w:rPr>
        <w:t xml:space="preserve">علي بن أبي طالب عليه السّلام </w:t>
      </w:r>
      <w:r>
        <w:rPr>
          <w:rtl w:val="true"/>
        </w:rPr>
        <w:t>(</w:t>
      </w:r>
      <w:r>
        <w:rPr>
          <w:rtl w:val="true"/>
        </w:rPr>
        <w:t xml:space="preserve">ت </w:t>
      </w:r>
      <w:r>
        <w:rPr/>
        <w:t>40</w:t>
      </w:r>
      <w:r>
        <w:rPr>
          <w:rtl w:val="true"/>
        </w:rPr>
        <w:t xml:space="preserve"> </w:t>
      </w:r>
      <w:r>
        <w:rPr>
          <w:rtl w:val="true"/>
        </w:rPr>
        <w:t>ه</w:t>
      </w:r>
      <w:r>
        <w:rPr>
          <w:rtl w:val="true"/>
        </w:rPr>
        <w:t xml:space="preserve">. </w:t>
      </w:r>
      <w:r>
        <w:rPr>
          <w:rtl w:val="true"/>
        </w:rPr>
        <w:t>ق</w:t>
      </w:r>
      <w:r>
        <w:rPr>
          <w:rtl w:val="true"/>
        </w:rPr>
        <w:t>)</w:t>
      </w:r>
      <w:bookmarkEnd w:id="73"/>
    </w:p>
    <w:p>
      <w:pPr>
        <w:pStyle w:val="Heading6"/>
        <w:numPr>
          <w:ilvl w:val="5"/>
          <w:numId w:val="1"/>
        </w:numPr>
        <w:rPr/>
      </w:pPr>
      <w:bookmarkStart w:id="74" w:name="__RefHeading___Toc3103418_373438147"/>
      <w:bookmarkStart w:id="75" w:name="_Toc30"/>
      <w:bookmarkEnd w:id="74"/>
      <w:r>
        <w:rPr>
          <w:rtl w:val="true"/>
        </w:rPr>
        <w:t>اشارة</w:t>
      </w:r>
      <w:bookmarkEnd w:id="7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بالمتعة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34"/>
      </w:r>
      <w:bookmarkStart w:id="76" w:name="pg1254_13208"/>
    </w:p>
    <w:p>
      <w:pPr>
        <w:pStyle w:val="BookText"/>
        <w:rPr/>
      </w:pPr>
      <w:bookmarkEnd w:id="7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عن عليّ بن أبي طالب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عمر نهى الناس عن المتعة ما زنى إلاّ شقيّ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45728</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الناسخ موجودا لكان ذلك الناسخ إمّا أن يكون معلوما بالتواتر أو بالآحاد، فإن كان معلوما بالتواتر كان عليّ بن أبي طالب، و عبد اللّه بن عبّاس، و عمران بن الحصين منكرين؛ لما عرف ثبوته بالتواتر من دين محمد، و ذلك يوجب تكفيرهم، و هو باطل قطعا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هذا الكلام منه صريح في أنّ عليّا عليه السّلام كان يرى حلّ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الحرّ العاملي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نكح امرأة بالكوفة من بني نهشل متعة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هذا النكاح وقع أيام خلافته بالكوفة</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3103420_373438147"/>
      <w:bookmarkStart w:id="78" w:name="_Toc31"/>
      <w:bookmarkEnd w:id="77"/>
      <w:r>
        <w:rPr>
          <w:rtl w:val="true"/>
        </w:rPr>
        <w:t>التعريف بعليّ بن أبي طالب عليه السّلام</w:t>
      </w:r>
      <w:bookmarkEnd w:id="78"/>
    </w:p>
    <w:p>
      <w:pPr>
        <w:pStyle w:val="BookText"/>
        <w:rPr/>
      </w:pPr>
      <w:r>
        <w:rPr>
          <w:rFonts w:ascii="Amiri" w:hAnsi="Amiri" w:eastAsia="Amiri" w:cs="Amiri"/>
          <w:color w:val="111111"/>
          <w:sz w:val="28"/>
          <w:sz w:val="28"/>
          <w:szCs w:val="28"/>
          <w:rtl w:val="true"/>
          <w:lang w:bidi="ar-SA"/>
        </w:rPr>
        <w:t>ما أقول فيمن هو باب مدينة الحكمة و العلم، و من هو مع القرآن و القرآن معه، و من هو مع الحقّ و الحقّ معه، و من هو لولاه لهلك الخلفاء، بل لولاه لما قام للدين قائمة؟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أقول فيمن قال فيه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آدم في خلقه و إلى إبراهيم في خلّته، و إلى موسى في مناجاته، و إلى يحيى في</w:t>
      </w:r>
      <w:bookmarkStart w:id="79" w:name="pg1254_13209"/>
    </w:p>
    <w:p>
      <w:pPr>
        <w:pStyle w:val="BookText"/>
        <w:rPr/>
      </w:pPr>
      <w:bookmarkEnd w:id="79"/>
      <w:r>
        <w:rPr>
          <w:rFonts w:ascii="Amiri" w:hAnsi="Amiri" w:eastAsia="Amiri" w:cs="Amiri"/>
          <w:color w:val="111111"/>
          <w:sz w:val="28"/>
          <w:sz w:val="28"/>
          <w:szCs w:val="28"/>
          <w:rtl w:val="true"/>
          <w:lang w:bidi="ar-SA"/>
        </w:rPr>
        <w:t>زهده، و إلى عيسى في سمته، فلينظر إلى عليّ بن أبي طالب</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دمشق،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أقول فيمن قال الرسول الأعظم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يخلو منّي ما دام عليّ حيّا في الدنيا، بقيّة من بعدي، عليّ في الدنيا عوض منّي بعدي، عليّ كجلدي، عليّ كلحمي، عليّ عظمي، عليّ كدمي، عليّ عروقي، عليّ أخي و وصيّي في أهلي و خليفتي في قومي، و منجز عداتي، و قاضي ديني، قد صحبني عليّ في ملمّات أمري، و قاتل معي أحزاب الكفّار، و شاهدني في الوحي، و أكل معي طعام الأبرار و صافحه جبرئيل مرارا نهارا جهارا، و قبّل جبرئيل عليه السّلام خدّ عليّ اليسار، و شهد جبرئيل و أشهدني أن عليّا من الطيّبين الأخيار، و أنا أشهدكم معاشر الناس لا تتساءلون من علم أمركم ما دام عليّ فيكم</w:t>
      </w:r>
      <w:r>
        <w:rPr>
          <w:rFonts w:eastAsia="Amiri" w:cs="Amiri" w:ascii="Amiri" w:hAnsi="Amiri"/>
          <w:color w:val="111111"/>
          <w:sz w:val="28"/>
          <w:szCs w:val="28"/>
          <w:rtl w:val="true"/>
          <w:lang w:bidi="ar-SA"/>
        </w:rPr>
        <w:t>».</w:t>
      </w:r>
      <w:r>
        <w:rPr>
          <w:rStyle w:val="FootnoteAnchor"/>
          <w:rtl w:val="true"/>
        </w:rPr>
        <w:footnoteReference w:id="39"/>
      </w:r>
    </w:p>
    <w:p>
      <w:pPr>
        <w:pStyle w:val="Heading5"/>
        <w:numPr>
          <w:ilvl w:val="4"/>
          <w:numId w:val="1"/>
        </w:numPr>
        <w:rPr/>
      </w:pPr>
      <w:bookmarkStart w:id="80" w:name="__RefHeading___Toc3103422_373438147"/>
      <w:bookmarkStart w:id="81" w:name="_Toc32"/>
      <w:bookmarkEnd w:id="80"/>
      <w:r>
        <w:rPr/>
        <w:t>8</w:t>
      </w:r>
      <w:r>
        <w:rPr>
          <w:rtl w:val="true"/>
        </w:rPr>
        <w:t xml:space="preserve">. </w:t>
      </w:r>
      <w:r>
        <w:rPr>
          <w:rtl w:val="true"/>
        </w:rPr>
        <w:t xml:space="preserve">عمرو بن حريث </w:t>
      </w:r>
      <w:r>
        <w:rPr>
          <w:rtl w:val="true"/>
        </w:rPr>
        <w:t>(</w:t>
      </w:r>
      <w:r>
        <w:rPr>
          <w:rtl w:val="true"/>
        </w:rPr>
        <w:t xml:space="preserve">ت </w:t>
      </w:r>
      <w:r>
        <w:rPr/>
        <w:t>85</w:t>
      </w:r>
      <w:r>
        <w:rPr>
          <w:rtl w:val="true"/>
        </w:rPr>
        <w:t xml:space="preserve"> </w:t>
      </w:r>
      <w:r>
        <w:rPr>
          <w:rtl w:val="true"/>
        </w:rPr>
        <w:t>ه</w:t>
      </w:r>
      <w:r>
        <w:rPr>
          <w:rtl w:val="true"/>
        </w:rPr>
        <w:t xml:space="preserve">. </w:t>
      </w:r>
      <w:r>
        <w:rPr>
          <w:rtl w:val="true"/>
        </w:rPr>
        <w:t>ق</w:t>
      </w:r>
      <w:r>
        <w:rPr>
          <w:rtl w:val="true"/>
        </w:rPr>
        <w:t>)</w:t>
      </w:r>
      <w:bookmarkEnd w:id="81"/>
    </w:p>
    <w:p>
      <w:pPr>
        <w:pStyle w:val="Heading6"/>
        <w:numPr>
          <w:ilvl w:val="5"/>
          <w:numId w:val="1"/>
        </w:numPr>
        <w:rPr/>
      </w:pPr>
      <w:bookmarkStart w:id="82" w:name="__RefHeading___Toc3103424_373438147"/>
      <w:bookmarkStart w:id="83" w:name="_Toc33"/>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إنّ هذا الصحابي ممّن ثبت أنّه استمتع في خلافة عمر بن الخطّاب بشهادة جابر بن عبد اللّه الأنصاري، كما نقل ذلك عبد الرزّاق في مصنّفه و الطبري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على تحليلها بعد رسول اللّه جماعة من السلف، منهم من الصحابة عمرو بن حريث</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من سمعت منه</w:t>
      </w:r>
    </w:p>
    <w:p>
      <w:pPr>
        <w:pStyle w:val="BookText"/>
        <w:rPr/>
      </w:pPr>
      <w:r>
        <w:rPr>
          <w:rFonts w:ascii="Amiri" w:hAnsi="Amiri" w:eastAsia="Amiri" w:cs="Amiri"/>
          <w:color w:val="111111"/>
          <w:sz w:val="28"/>
          <w:sz w:val="28"/>
          <w:szCs w:val="28"/>
          <w:rtl w:val="true"/>
          <w:lang w:bidi="ar-SA"/>
        </w:rPr>
        <w:t>المتعة، صفوان بن يعلى، فأنكرت ذلك عليه، فدخلنا على ابن عبّاس، فذكر له بعضنا،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يقرّ في نفسي، حتى قدم جابر بن عبد اللّه، فجئناه في منزله، فسأله القوم عن أشياء، ثمّ ذكروا له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استمتعنا على عهد رسول اللّه، و أبي بكر و عمر، حتّى إذا كان في آخر خلافة عمر استمتع عمرو بن حريث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جابر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المرأة، فبلغ ذلك عمر، فدعاها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أشهد؟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أم وليّها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45712</w:t>
      </w:r>
      <w:r>
        <w:rPr>
          <w:rFonts w:ascii="Amiri" w:hAnsi="Amiri" w:eastAsia="Amiri" w:cs="Amiri"/>
          <w:color w:val="111111"/>
          <w:sz w:val="28"/>
          <w:sz w:val="28"/>
          <w:szCs w:val="28"/>
          <w:rtl w:val="true"/>
          <w:lang w:bidi="ar-SA"/>
        </w:rPr>
        <w:t xml:space="preserve">؛ فتح الباري،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في نكاح المتعة محذورا لو لا عدم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الشهود في النكاح، و عدمه مخلّ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جميع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قول ابن حزم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الخطّاب أنّه إنّما أنكرها إذا لم يشهد عليها عدلان فقط، و أباحها بشهادة عدلين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 ابن حريث و ابن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له من المتعة زمان أبي بكر و عمر</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كان ابن حريث الصحابي قد أتى بالفاحشة و ارتكب الزنا، و ولد له</w:t>
      </w:r>
    </w:p>
    <w:p>
      <w:pPr>
        <w:pStyle w:val="BookText"/>
        <w:rPr/>
      </w:pPr>
      <w:r>
        <w:rPr>
          <w:rFonts w:ascii="Amiri" w:hAnsi="Amiri" w:eastAsia="Amiri" w:cs="Amiri"/>
          <w:color w:val="111111"/>
          <w:sz w:val="28"/>
          <w:sz w:val="28"/>
          <w:szCs w:val="28"/>
          <w:rtl w:val="true"/>
          <w:lang w:bidi="ar-SA"/>
        </w:rPr>
        <w:t>أولاد زنا أو شبهة؟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حريث من الكوفة، فاستمتع بمولاة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بها عمرو هي حبلى،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بي عمرو بن حريث، فسأله، فأخبره بذلك أمرا ظاهرا،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غيرها؟ فذلك حين نهى عنها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حريث استمتع من امرأة من بني سعد بن بكر، فولدت فجحد ولدها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شبة حدّثنا ابن أبي خداش الموصلي،</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الأجلح</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يروى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عمرو بن حريث من امرأة بالمدينة فحملت فأتي بها عمر، فأراد أن يضربها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تمتّع منّي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نكاحك؟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و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وليّ و لا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عمرو بن حريث، فقام عليه،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 عمر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نكاح فاسد، و قد دخل فيه ما ترون، فرأى عمر أن يحرّمه، فقال أبو الزبير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بينهما 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84" w:name="pg1254_13212"/>
    </w:p>
    <w:p>
      <w:pPr>
        <w:pStyle w:val="Heading6"/>
        <w:numPr>
          <w:ilvl w:val="5"/>
          <w:numId w:val="1"/>
        </w:numPr>
        <w:rPr/>
      </w:pPr>
      <w:bookmarkStart w:id="85" w:name="__RefHeading___Toc3103426_373438147"/>
      <w:bookmarkStart w:id="86" w:name="_Toc34"/>
      <w:bookmarkEnd w:id="84"/>
      <w:bookmarkEnd w:id="85"/>
      <w:r>
        <w:rPr>
          <w:rtl w:val="true"/>
        </w:rPr>
        <w:t>التعريف بعمرو بن حريث</w:t>
      </w:r>
      <w:bookmarkEnd w:id="86"/>
    </w:p>
    <w:p>
      <w:pPr>
        <w:pStyle w:val="BookText"/>
        <w:rPr/>
      </w:pPr>
      <w:r>
        <w:rPr>
          <w:rFonts w:ascii="Amiri" w:hAnsi="Amiri" w:eastAsia="Amiri" w:cs="Amiri"/>
          <w:color w:val="111111"/>
          <w:sz w:val="28"/>
          <w:sz w:val="28"/>
          <w:szCs w:val="28"/>
          <w:rtl w:val="true"/>
          <w:lang w:bidi="ar-SA"/>
        </w:rPr>
        <w:t>إنّه من بقايا أصحاب رسول اللّه صلّى اللّه عليه و آله الذين نزلوا الكوفة، مولده قبيل الهجرة، له صحبة و رواية، روى عنه أصحاب الصحاح الستّة، يقول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إلى رسول اللّه صلّى اللّه عليه و آله، و أنا غلام، فدعا لي بالبركة، و مسح رأسي، و خطّ لي دارا بالمدينة بقوس،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أزيدك؟</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و لعمرو بن حريث اثنتا عشرة سنة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ولي لبني أميّة بالكوفة و كانوا يميلون إليه، و يتقوّون به و كان هواه معهم، خرجت كلمة كبيرة من فيه، و له صحيفة سوداء، نعوذ باللّه من الشرك و النفاق</w:t>
      </w:r>
      <w:r>
        <w:rPr>
          <w:rFonts w:eastAsia="Amiri" w:cs="Amiri" w:ascii="Amiri" w:hAnsi="Amiri"/>
          <w:color w:val="111111"/>
          <w:sz w:val="28"/>
          <w:szCs w:val="28"/>
          <w:rtl w:val="true"/>
          <w:lang w:bidi="ar-SA"/>
        </w:rPr>
        <w:t>.</w:t>
      </w:r>
      <w:r>
        <w:rPr>
          <w:rStyle w:val="FootnoteAnchor"/>
          <w:rtl w:val="true"/>
        </w:rPr>
        <w:footnoteReference w:id="49"/>
      </w:r>
    </w:p>
    <w:p>
      <w:pPr>
        <w:pStyle w:val="Heading5"/>
        <w:numPr>
          <w:ilvl w:val="4"/>
          <w:numId w:val="1"/>
        </w:numPr>
        <w:rPr/>
      </w:pPr>
      <w:bookmarkStart w:id="87" w:name="__RefHeading___Toc3103428_373438147"/>
      <w:bookmarkStart w:id="88" w:name="_Toc35"/>
      <w:bookmarkEnd w:id="87"/>
      <w:r>
        <w:rPr/>
        <w:t>9</w:t>
      </w:r>
      <w:r>
        <w:rPr>
          <w:rtl w:val="true"/>
        </w:rPr>
        <w:t xml:space="preserve">. </w:t>
      </w:r>
      <w:r>
        <w:rPr>
          <w:rtl w:val="true"/>
        </w:rPr>
        <w:t xml:space="preserve">معاوية بن أبي سفيان </w:t>
      </w:r>
      <w:r>
        <w:rPr>
          <w:rtl w:val="true"/>
        </w:rPr>
        <w:t>(</w:t>
      </w:r>
      <w:r>
        <w:rPr>
          <w:rtl w:val="true"/>
        </w:rPr>
        <w:t xml:space="preserve">ت </w:t>
      </w:r>
      <w:r>
        <w:rPr/>
        <w:t>60</w:t>
      </w:r>
      <w:r>
        <w:rPr>
          <w:rtl w:val="true"/>
        </w:rPr>
        <w:t xml:space="preserve"> </w:t>
      </w:r>
      <w:r>
        <w:rPr>
          <w:rtl w:val="true"/>
        </w:rPr>
        <w:t>ه</w:t>
      </w:r>
      <w:r>
        <w:rPr>
          <w:rtl w:val="true"/>
        </w:rPr>
        <w:t xml:space="preserve">. </w:t>
      </w:r>
      <w:r>
        <w:rPr>
          <w:rtl w:val="true"/>
        </w:rPr>
        <w:t>ق</w:t>
      </w:r>
      <w:r>
        <w:rPr>
          <w:rtl w:val="true"/>
        </w:rPr>
        <w:t>)</w:t>
      </w:r>
      <w:bookmarkEnd w:id="8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على تحليلها بعد رسول اللّه جماعة من السلف، منهم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معاوية بن أبي سفيان مقدمه من الطائف على ثقيف بمولاة ابن الحضرمي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أدركت معانة خلافة معاوية حيّة، فكان معاوية يرسل إليها بجائزة في كلّ عام حتّى ماتت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من سمعت منه المتعة صفوان بن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يعلى أنّ معاوية استمتع بامرأة بالطائف، فأنكرت ذلك عليه، فدخلنا على ابن عبّاس، فذكر له بعضنا،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يقرّ في نفسي حتى قدم جابر بن عبد اللّه، فجئناه في منزله، فسأله القوم عن أشياء، ثمّ ذكروا له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على عهد رسول اللّه و أبي بكر و عمر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هذه المتعة كانت من معاوية بعد وفاة النبيّ؛ إذ لا يتردّد أحد في جوازها على عهد رسول اللّه إلى يوم الفتح على حديث سبرة، أو الفتح و أوطاس على حديث جابر</w:t>
      </w:r>
      <w:r>
        <w:rPr>
          <w:rStyle w:val="FootnoteAnchor"/>
          <w:rtl w:val="true"/>
        </w:rPr>
        <w:footnoteReference w:id="54"/>
      </w:r>
      <w:r>
        <w:rPr>
          <w:rFonts w:ascii="Amiri" w:hAnsi="Amiri" w:eastAsia="Amiri" w:cs="Amiri"/>
          <w:color w:val="111111"/>
          <w:sz w:val="28"/>
          <w:sz w:val="28"/>
          <w:szCs w:val="28"/>
          <w:rtl w:val="true"/>
          <w:lang w:bidi="ar-SA"/>
        </w:rPr>
        <w:t>، ثمّ لا معنى للسؤال من ابن عبّاس و جابر مع وجود النبيّ صلّى اللّه عليه و آله و عطاء هذا ولد عام خمسين للهجرة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 أسلم معاوية عام الفتح</w:t>
      </w:r>
      <w:r>
        <w:rPr>
          <w:rFonts w:eastAsia="Amiri" w:cs="Amiri" w:ascii="Amiri" w:hAnsi="Amiri"/>
          <w:color w:val="111111"/>
          <w:sz w:val="28"/>
          <w:szCs w:val="28"/>
          <w:rtl w:val="true"/>
          <w:lang w:bidi="ar-SA"/>
        </w:rPr>
        <w:t>.</w:t>
      </w:r>
      <w:bookmarkStart w:id="89" w:name="pg1254_13214"/>
    </w:p>
    <w:p>
      <w:pPr>
        <w:pStyle w:val="Heading5"/>
        <w:numPr>
          <w:ilvl w:val="4"/>
          <w:numId w:val="1"/>
        </w:numPr>
        <w:rPr/>
      </w:pPr>
      <w:bookmarkStart w:id="90" w:name="__RefHeading___Toc3103430_373438147"/>
      <w:bookmarkStart w:id="91" w:name="_Toc36"/>
      <w:bookmarkEnd w:id="89"/>
      <w:bookmarkEnd w:id="90"/>
      <w:r>
        <w:rPr/>
        <w:t>10</w:t>
      </w:r>
      <w:r>
        <w:rPr>
          <w:rtl w:val="true"/>
        </w:rPr>
        <w:t xml:space="preserve">. </w:t>
      </w:r>
      <w:r>
        <w:rPr>
          <w:rtl w:val="true"/>
        </w:rPr>
        <w:t>سلمة بن أميّة</w:t>
      </w:r>
      <w:bookmarkEnd w:id="91"/>
    </w:p>
    <w:p>
      <w:pPr>
        <w:pStyle w:val="Heading6"/>
        <w:numPr>
          <w:ilvl w:val="5"/>
          <w:numId w:val="1"/>
        </w:numPr>
        <w:rPr/>
      </w:pPr>
      <w:bookmarkStart w:id="92" w:name="__RefHeading___Toc3103432_373438147"/>
      <w:bookmarkStart w:id="93" w:name="_Toc37"/>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على تحليلها بعد رسول اللّه جماعة من السلف، منهم من الصحابة 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معبد و سلمة أبناء أميّة بن خلف</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شرح الزرقاني،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دينار،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عمر، إلاّ أمّ أراكة قد خرجت حبلى، فسألها عمر عن حملها؟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بي سلمة بن أميّة بن خلف، فلمّا أنكر صفوان على ابن عبّاس بعض ما يقول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عمّك هل استمتع</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الصحيح أنكر ابن صفوان، لا صفوان، و عمّه سلمة بن أميّة، و هو الّذي تمتّع بأمّ أراكة على عهد عمر، و ذلك لأنّ هذه المناقشات كانت في عهد ابن الزبير، و أمّا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توفّي أيّام عثمان، و ابن صفوان هو المعترض، و قد قتل مع ابن الزبير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صفوان، و ربيعة، و مسعود، 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سلمة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سلمة، أمّه أمّ أراكة نكحها سلمة نكاح متعة في عهد عمر، أو في عهد أبي بكر، فولد له منها</w:t>
      </w:r>
      <w:r>
        <w:rPr>
          <w:rStyle w:val="FootnoteAnchor"/>
          <w:rtl w:val="true"/>
        </w:rPr>
        <w:footnoteReference w:id="58"/>
      </w:r>
      <w:r>
        <w:rPr>
          <w:rFonts w:ascii="Amiri" w:hAnsi="Amiri" w:eastAsia="Amiri" w:cs="Amiri"/>
          <w:color w:val="111111"/>
          <w:sz w:val="28"/>
          <w:sz w:val="28"/>
          <w:szCs w:val="28"/>
          <w:rtl w:val="true"/>
          <w:lang w:bidi="ar-SA"/>
        </w:rPr>
        <w:t>، كما أورده عبد الرزّاق في مصنّفه مع تفاصيل لقصّة تمتّع رجل من بني جمح و هو سلمة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bookmarkStart w:id="94" w:name="pg1254_13215"/>
    </w:p>
    <w:p>
      <w:pPr>
        <w:pStyle w:val="BookText"/>
        <w:rPr/>
      </w:pPr>
      <w:bookmarkEnd w:id="94"/>
      <w:r>
        <w:rPr>
          <w:rFonts w:ascii="Amiri" w:hAnsi="Amiri" w:eastAsia="Amiri" w:cs="Amiri"/>
          <w:color w:val="111111"/>
          <w:sz w:val="28"/>
          <w:sz w:val="28"/>
          <w:szCs w:val="28"/>
          <w:rtl w:val="true"/>
          <w:lang w:bidi="ar-SA"/>
        </w:rPr>
        <w:t>ابن عبّاس يفتي بالزنا،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أفتي بالزنا، أفنسي صفوان أمّ أراكة، فو اللّه؛ إنّ ابنها لمن ذلك، أفزنا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استمتع بها رجل من بنى جمح</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سلمة بن أميّة بن خلف الجمحي، كما أكّد كلّ من عمر بن شبّة و ابن الكلبي و ابن حزم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العسقلاني أيضا إلى ذلك في الإصابة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استمتع سلمة بن أميّة من سلمى مولاة حكيم بن أميّة بن الأوقص الأسلمي فولدت له، فجحد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ذلك ابن الكلبي، و زاد فبلغ ذلك عمر، فنهى عن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سلمة استمتع بامرأة فبلغ عمر، فتوعّده</w:t>
      </w:r>
      <w:r>
        <w:rPr>
          <w:rFonts w:eastAsia="Amiri" w:cs="Amiri" w:ascii="Amiri" w:hAnsi="Amiri"/>
          <w:color w:val="111111"/>
          <w:sz w:val="28"/>
          <w:szCs w:val="28"/>
          <w:rtl w:val="true"/>
          <w:lang w:bidi="ar-SA"/>
        </w:rPr>
        <w:t>....</w:t>
      </w:r>
      <w:r>
        <w:rPr>
          <w:rStyle w:val="FootnoteAnchor"/>
          <w:rtl w:val="true"/>
        </w:rPr>
        <w:footnoteReference w:id="61"/>
      </w:r>
    </w:p>
    <w:p>
      <w:pPr>
        <w:pStyle w:val="Heading6"/>
        <w:numPr>
          <w:ilvl w:val="5"/>
          <w:numId w:val="1"/>
        </w:numPr>
        <w:rPr/>
      </w:pPr>
      <w:bookmarkStart w:id="95" w:name="__RefHeading___Toc3103434_373438147"/>
      <w:bookmarkStart w:id="96" w:name="_Toc38"/>
      <w:bookmarkEnd w:id="95"/>
      <w:r>
        <w:rPr>
          <w:rtl w:val="true"/>
        </w:rPr>
        <w:t>التعريف بسلمة بن أميّة</w:t>
      </w:r>
      <w:bookmarkEnd w:id="96"/>
    </w:p>
    <w:p>
      <w:pPr>
        <w:pStyle w:val="BookText"/>
        <w:rPr/>
      </w:pPr>
      <w:r>
        <w:rPr>
          <w:rFonts w:ascii="Amiri" w:hAnsi="Amiri" w:eastAsia="Amiri" w:cs="Amiri"/>
          <w:color w:val="111111"/>
          <w:sz w:val="28"/>
          <w:sz w:val="28"/>
          <w:szCs w:val="28"/>
          <w:rtl w:val="true"/>
          <w:lang w:bidi="ar-SA"/>
        </w:rPr>
        <w:t>لا شكّ في أنّه من الصحابة و قد شهد تبوك، و قصّته معروفة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يعلى، عن أبيه و عمّه سلمة بن أميّة، أنّهما خرجا مع رسول اللّه صلّى اللّه عليه و آله في غزوة تبوك و معنا صاحب لنا، فقاتله رجل من الناس فعضّ بذراعه فاجتذبها من فيه فسقطت ثنيّتاه، فذهب إلى رسول اللّه صلّى اللّه عليه و آله يلتمس العقل</w:t>
      </w:r>
      <w:r>
        <w:rPr>
          <w:rStyle w:val="FootnoteAnchor"/>
          <w:rtl w:val="true"/>
        </w:rPr>
        <w:footnoteReference w:id="62"/>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أحدكم إلى أخيه</w:t>
      </w:r>
      <w:bookmarkStart w:id="97" w:name="pg1254_13216"/>
    </w:p>
    <w:p>
      <w:pPr>
        <w:pStyle w:val="BookText"/>
        <w:rPr/>
      </w:pPr>
      <w:bookmarkEnd w:id="97"/>
      <w:r>
        <w:rPr>
          <w:rFonts w:ascii="Amiri" w:hAnsi="Amiri" w:eastAsia="Amiri" w:cs="Amiri"/>
          <w:color w:val="111111"/>
          <w:sz w:val="28"/>
          <w:sz w:val="28"/>
          <w:szCs w:val="28"/>
          <w:rtl w:val="true"/>
          <w:lang w:bidi="ar-SA"/>
        </w:rPr>
        <w:t>يعضّه عضّ الفحل ثمّ يأتي يلتمس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فأطلّها</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ذكره خليفة بن خيّاط فيمن سكن مكّة من الصحابة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روى عن النبيّ صلّى اللّه عليه و آله، روى له النسائي، و ابن ماجة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المامقاني لم أتحقّق حاله</w:t>
      </w:r>
      <w:r>
        <w:rPr>
          <w:rFonts w:eastAsia="Amiri" w:cs="Amiri" w:ascii="Amiri" w:hAnsi="Amiri"/>
          <w:color w:val="111111"/>
          <w:sz w:val="28"/>
          <w:szCs w:val="28"/>
          <w:rtl w:val="true"/>
          <w:lang w:bidi="ar-SA"/>
        </w:rPr>
        <w:t>.</w:t>
      </w:r>
      <w:r>
        <w:rPr>
          <w:rStyle w:val="FootnoteAnchor"/>
          <w:rtl w:val="true"/>
        </w:rPr>
        <w:footnoteReference w:id="66"/>
      </w:r>
    </w:p>
    <w:p>
      <w:pPr>
        <w:pStyle w:val="Heading5"/>
        <w:numPr>
          <w:ilvl w:val="4"/>
          <w:numId w:val="1"/>
        </w:numPr>
        <w:rPr/>
      </w:pPr>
      <w:bookmarkStart w:id="98" w:name="__RefHeading___Toc3103436_373438147"/>
      <w:bookmarkStart w:id="99" w:name="_Toc39"/>
      <w:bookmarkEnd w:id="98"/>
      <w:r>
        <w:rPr/>
        <w:t>11</w:t>
      </w:r>
      <w:r>
        <w:rPr>
          <w:rtl w:val="true"/>
        </w:rPr>
        <w:t xml:space="preserve">. </w:t>
      </w:r>
      <w:r>
        <w:rPr>
          <w:rtl w:val="true"/>
        </w:rPr>
        <w:t>ربيعة بن أميّة</w:t>
      </w:r>
      <w:bookmarkEnd w:id="99"/>
    </w:p>
    <w:p>
      <w:pPr>
        <w:pStyle w:val="Heading6"/>
        <w:numPr>
          <w:ilvl w:val="5"/>
          <w:numId w:val="1"/>
        </w:numPr>
        <w:rPr/>
      </w:pPr>
      <w:bookmarkStart w:id="100" w:name="__RefHeading___Toc3103438_373438147"/>
      <w:bookmarkStart w:id="101" w:name="_Toc40"/>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ابن شهاب، عن عروة بن الزبير، أنّ خولة</w:t>
      </w:r>
      <w:r>
        <w:rPr>
          <w:rStyle w:val="FootnoteAnchor"/>
          <w:rtl w:val="true"/>
        </w:rPr>
        <w:footnoteReference w:id="67"/>
      </w:r>
      <w:r>
        <w:rPr>
          <w:rFonts w:ascii="Amiri" w:hAnsi="Amiri" w:eastAsia="Amiri" w:cs="Amiri"/>
          <w:color w:val="111111"/>
          <w:sz w:val="28"/>
          <w:sz w:val="28"/>
          <w:szCs w:val="28"/>
          <w:rtl w:val="true"/>
          <w:lang w:bidi="ar-SA"/>
        </w:rPr>
        <w:t>بنت حكيم دخلت على عمر بن الخطّاب،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ربيعة بن أميّة استمتع بامرأة فحملت منه، فخرج عمر بن الخطّاب فزعا يجرّ رداءه،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و لو كنت تقدّمت فيها لرجمت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إسناده عندهم صحيح، و رجاله كلّهم ثقات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ربيعة بن أميّة بن خلف تزوّج مولّدة من</w:t>
      </w:r>
      <w:bookmarkStart w:id="102" w:name="pg1254_13217"/>
    </w:p>
    <w:p>
      <w:pPr>
        <w:pStyle w:val="BookText"/>
        <w:rPr/>
      </w:pPr>
      <w:bookmarkEnd w:id="102"/>
      <w:r>
        <w:rPr>
          <w:rFonts w:ascii="Amiri" w:hAnsi="Amiri" w:eastAsia="Amiri" w:cs="Amiri"/>
          <w:color w:val="111111"/>
          <w:sz w:val="28"/>
          <w:sz w:val="28"/>
          <w:szCs w:val="28"/>
          <w:rtl w:val="true"/>
          <w:lang w:bidi="ar-SA"/>
        </w:rPr>
        <w:t>مولّدات المدينة بشهادة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و كانت امرأة صالحة فلم يفجأهم إلاّ الوليدة قد حملت، فذكرت ذلك خولة لعمر بن الخطّاب، فقام يجرّ صنفة</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 الأثر،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ردائه من الغضب حتى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ربيعة بن أميّة تزوّج مولّدة من مولّدات المدينة بشهادة امرأتين، و إنّي لو كنت تقدّمت في هذا لرجمت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3" w:name="__RefHeading___Toc3103440_373438147"/>
      <w:bookmarkStart w:id="104" w:name="_Toc41"/>
      <w:bookmarkEnd w:id="103"/>
      <w:r>
        <w:rPr>
          <w:rtl w:val="true"/>
        </w:rPr>
        <w:t>التعريف بربيعة بن أميّة</w:t>
      </w:r>
      <w:bookmarkEnd w:id="104"/>
    </w:p>
    <w:p>
      <w:pPr>
        <w:pStyle w:val="BookText"/>
        <w:rPr/>
      </w:pPr>
      <w:r>
        <w:rPr>
          <w:rFonts w:ascii="Amiri" w:hAnsi="Amiri" w:eastAsia="Amiri" w:cs="Amiri"/>
          <w:color w:val="111111"/>
          <w:sz w:val="28"/>
          <w:sz w:val="28"/>
          <w:szCs w:val="28"/>
          <w:rtl w:val="true"/>
          <w:lang w:bidi="ar-SA"/>
        </w:rPr>
        <w:t>هو الذي كان ينادي يوم عرفة تحت لبّة</w:t>
      </w:r>
      <w:r>
        <w:rPr>
          <w:rStyle w:val="FootnoteAnchor"/>
          <w:rtl w:val="true"/>
        </w:rPr>
        <w:footnoteReference w:id="70"/>
      </w:r>
      <w:r>
        <w:rPr>
          <w:rFonts w:ascii="Amiri" w:hAnsi="Amiri" w:eastAsia="Amiri" w:cs="Amiri"/>
          <w:color w:val="111111"/>
          <w:sz w:val="28"/>
          <w:sz w:val="28"/>
          <w:szCs w:val="28"/>
          <w:rtl w:val="true"/>
          <w:lang w:bidi="ar-SA"/>
        </w:rPr>
        <w:t>ناقة رسول اللّه صلّى اللّه عليه و آله حينما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تدرون أيّ شهر هذا</w:t>
      </w:r>
      <w:r>
        <w:rPr>
          <w:rFonts w:eastAsia="Amiri" w:cs="Amiri" w:ascii="Amiri" w:hAnsi="Amiri"/>
          <w:color w:val="111111"/>
          <w:sz w:val="28"/>
          <w:szCs w:val="28"/>
          <w:rtl w:val="true"/>
          <w:lang w:bidi="ar-SA"/>
        </w:rPr>
        <w:t>.</w:t>
      </w:r>
      <w:r>
        <w:rPr>
          <w:rStyle w:val="FootnoteAnchor"/>
          <w:rtl w:val="true"/>
        </w:rPr>
        <w:footnoteReference w:id="71"/>
      </w:r>
    </w:p>
    <w:p>
      <w:pPr>
        <w:pStyle w:val="Heading5"/>
        <w:numPr>
          <w:ilvl w:val="4"/>
          <w:numId w:val="1"/>
        </w:numPr>
        <w:rPr/>
      </w:pPr>
      <w:bookmarkStart w:id="105" w:name="__RefHeading___Toc3103442_373438147"/>
      <w:bookmarkStart w:id="106" w:name="_Toc42"/>
      <w:bookmarkEnd w:id="105"/>
      <w:r>
        <w:rPr/>
        <w:t>12</w:t>
      </w:r>
      <w:r>
        <w:rPr>
          <w:rtl w:val="true"/>
        </w:rPr>
        <w:t xml:space="preserve">. </w:t>
      </w:r>
      <w:r>
        <w:rPr>
          <w:rtl w:val="true"/>
        </w:rPr>
        <w:t>عمرو بن حوشب</w:t>
      </w:r>
      <w:bookmarkEnd w:id="10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عثمان بن خثيم، أنّ محمد بن الأسود بن خلف، أخبره أنّ عمرو بن حوشب استمتع بجارية بكر من بني عامر بن لؤي فحملت، فذكر ذلك لعمر،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منها عمرو بن حوشب، فسأله، فاعترف،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أو أختها، أو أخاها و أمّها، فقام عمر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يعملون بالمتعة و لا يشهدون عدولا، و لم يبيّنها إلاّ حددته</w:t>
      </w:r>
      <w:r>
        <w:rPr>
          <w:rFonts w:eastAsia="Amiri" w:cs="Amiri" w:ascii="Amiri" w:hAnsi="Amiri"/>
          <w:color w:val="111111"/>
          <w:sz w:val="28"/>
          <w:szCs w:val="28"/>
          <w:rtl w:val="true"/>
          <w:lang w:bidi="ar-SA"/>
        </w:rPr>
        <w:t>.</w:t>
      </w:r>
      <w:bookmarkStart w:id="107" w:name="pg1254_13218"/>
    </w:p>
    <w:p>
      <w:pPr>
        <w:pStyle w:val="BookText"/>
        <w:rPr/>
      </w:pPr>
      <w:bookmarkEnd w:id="1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هذا القول عن عمر من كان تحت منبره، سمعه حين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الناس منه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النصّ صريح في أنّ الخليفة لم يمنع المتعة بالمرّة، بل منع المتعة من دون الإشهاد، كما صرّح بهذا المعنى جمع من فقهاء السنّة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كما أنّ مفاد هذا النص هو أنّ المنع لم يكن في عهد رسول اللّه صلّى اللّه عليه و آله، بل كان في عهد عمر بن الخطّاب و ذلك حين تحقّقت المتعة من عمرو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عمرو بن حوشب تصحيف،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بعض المعلّقين على المصنّف؛ إذ لم يرد له ذكر في كتب الرجال و التراجم، حسب تتبّعنا</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103444_373438147"/>
      <w:bookmarkStart w:id="109" w:name="_Toc43"/>
      <w:bookmarkEnd w:id="108"/>
      <w:r>
        <w:rPr/>
        <w:t>13</w:t>
      </w:r>
      <w:r>
        <w:rPr>
          <w:rtl w:val="true"/>
        </w:rPr>
        <w:t xml:space="preserve">. </w:t>
      </w:r>
      <w:r>
        <w:rPr>
          <w:rtl w:val="true"/>
        </w:rPr>
        <w:t xml:space="preserve">أبيّ بن كعب </w:t>
      </w:r>
      <w:r>
        <w:rPr>
          <w:rtl w:val="true"/>
        </w:rPr>
        <w:t>(</w:t>
      </w:r>
      <w:r>
        <w:rPr>
          <w:rtl w:val="true"/>
        </w:rPr>
        <w:t xml:space="preserve">ت </w:t>
      </w:r>
      <w:r>
        <w:rPr/>
        <w:t>30</w:t>
      </w:r>
      <w:r>
        <w:rPr>
          <w:rtl w:val="true"/>
        </w:rPr>
        <w:t xml:space="preserve"> </w:t>
      </w:r>
      <w:r>
        <w:rPr>
          <w:rtl w:val="true"/>
        </w:rPr>
        <w:t>ه</w:t>
      </w:r>
      <w:r>
        <w:rPr>
          <w:rtl w:val="true"/>
        </w:rPr>
        <w:t xml:space="preserve">. </w:t>
      </w:r>
      <w:r>
        <w:rPr>
          <w:rtl w:val="true"/>
        </w:rPr>
        <w:t>ق</w:t>
      </w:r>
      <w:r>
        <w:rPr>
          <w:rtl w:val="true"/>
        </w:rPr>
        <w:t>)</w:t>
      </w:r>
      <w:bookmarkEnd w:id="109"/>
    </w:p>
    <w:p>
      <w:pPr>
        <w:pStyle w:val="Heading6"/>
        <w:numPr>
          <w:ilvl w:val="5"/>
          <w:numId w:val="1"/>
        </w:numPr>
        <w:rPr/>
      </w:pPr>
      <w:bookmarkStart w:id="110" w:name="__RefHeading___Toc3103446_373438147"/>
      <w:bookmarkStart w:id="111" w:name="_Toc44"/>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كان رأي أبيّ في قراءة الآية الكريمة بحيث يتناسب مع النكاح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ثنا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أبيّ بن كعب 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الأنباري في المصاحف عن سعيد بن جبير قراءة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75"/>
      </w:r>
      <w:bookmarkStart w:id="112" w:name="pg1254_13219"/>
    </w:p>
    <w:p>
      <w:pPr>
        <w:pStyle w:val="BookText"/>
        <w:rPr/>
      </w:pPr>
      <w:bookmarkEnd w:id="11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عبّاس و أبيّ بن كعب 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البحر المحيط،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3103448_373438147"/>
      <w:bookmarkStart w:id="114" w:name="_Toc45"/>
      <w:bookmarkEnd w:id="113"/>
      <w:r>
        <w:rPr>
          <w:rtl w:val="true"/>
        </w:rPr>
        <w:t>التعريف بأبيّ بن كعب</w:t>
      </w:r>
      <w:bookmarkEnd w:id="114"/>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القرّاء، شهد العقبة و بدرا، و جمع القرآن في حياة النبيّ صلّى اللّه عليه و آله، و عرض على النبيّ صلّى اللّه عليه و آله و حفظ عنه علما مباركا، و كان رأسا في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لأبيّ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أقرأ عليك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النبيّ صلّى اللّه عليه و آله بسيّد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مائة و أربعة و ستّون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ثلاثة أحاديث، و انفرد البخاري بثلاثة و مسلم بسبعة، و له في الكتب الستّة نيّف و ستّون حديثا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أورده العلاّمة في الخلاصة و ابن داود في قسم المعتمدين، و يرى المامقاني و ثاقته و قوّة إيمانه</w:t>
      </w:r>
      <w:r>
        <w:rPr>
          <w:rFonts w:eastAsia="Amiri" w:cs="Amiri" w:ascii="Amiri" w:hAnsi="Amiri"/>
          <w:color w:val="111111"/>
          <w:sz w:val="28"/>
          <w:szCs w:val="28"/>
          <w:rtl w:val="true"/>
          <w:lang w:bidi="ar-SA"/>
        </w:rPr>
        <w:t>....</w:t>
      </w:r>
      <w:r>
        <w:rPr>
          <w:rStyle w:val="FootnoteAnchor"/>
          <w:rtl w:val="true"/>
        </w:rPr>
        <w:footnoteReference w:id="78"/>
      </w:r>
    </w:p>
    <w:p>
      <w:pPr>
        <w:pStyle w:val="Heading5"/>
        <w:numPr>
          <w:ilvl w:val="4"/>
          <w:numId w:val="1"/>
        </w:numPr>
        <w:rPr/>
      </w:pPr>
      <w:bookmarkStart w:id="115" w:name="__RefHeading___Toc3103450_373438147"/>
      <w:bookmarkStart w:id="116" w:name="_Toc46"/>
      <w:bookmarkEnd w:id="115"/>
      <w:r>
        <w:rPr/>
        <w:t>14</w:t>
      </w:r>
      <w:r>
        <w:rPr>
          <w:rtl w:val="true"/>
        </w:rPr>
        <w:t xml:space="preserve">. </w:t>
      </w:r>
      <w:r>
        <w:rPr>
          <w:rtl w:val="true"/>
        </w:rPr>
        <w:t xml:space="preserve">أسماء بنت أبي بكر </w:t>
      </w:r>
      <w:r>
        <w:rPr>
          <w:rtl w:val="true"/>
        </w:rPr>
        <w:t>(</w:t>
      </w:r>
      <w:r>
        <w:rPr>
          <w:rtl w:val="true"/>
        </w:rPr>
        <w:t xml:space="preserve">ت </w:t>
      </w:r>
      <w:r>
        <w:rPr/>
        <w:t>73</w:t>
      </w:r>
      <w:r>
        <w:rPr>
          <w:rtl w:val="true"/>
        </w:rPr>
        <w:t xml:space="preserve"> </w:t>
      </w:r>
      <w:r>
        <w:rPr>
          <w:rtl w:val="true"/>
        </w:rPr>
        <w:t>ه</w:t>
      </w:r>
      <w:r>
        <w:rPr>
          <w:rtl w:val="true"/>
        </w:rPr>
        <w:t xml:space="preserve">. </w:t>
      </w:r>
      <w:r>
        <w:rPr>
          <w:rtl w:val="true"/>
        </w:rPr>
        <w:t>ق</w:t>
      </w:r>
      <w:r>
        <w:rPr>
          <w:rtl w:val="true"/>
        </w:rPr>
        <w:t>)</w:t>
      </w:r>
      <w:bookmarkEnd w:id="116"/>
    </w:p>
    <w:p>
      <w:pPr>
        <w:pStyle w:val="Heading6"/>
        <w:numPr>
          <w:ilvl w:val="5"/>
          <w:numId w:val="1"/>
        </w:numPr>
        <w:rPr/>
      </w:pPr>
      <w:bookmarkStart w:id="117" w:name="__RefHeading___Toc3103452_373438147"/>
      <w:bookmarkStart w:id="118" w:name="_Toc47"/>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على تحليل المتعة بعد رسول اللّه جماعة من السلف، منهم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 بنت أبي بكر</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أسماء بنت أبي بكر،</w:t>
      </w:r>
    </w:p>
    <w:p>
      <w:pPr>
        <w:pStyle w:val="BookText"/>
        <w:rPr/>
      </w:pPr>
      <w:r>
        <w:rPr>
          <w:rFonts w:ascii="Amiri" w:hAnsi="Amiri" w:eastAsia="Amiri" w:cs="Amiri"/>
          <w:color w:val="111111"/>
          <w:sz w:val="28"/>
          <w:sz w:val="28"/>
          <w:szCs w:val="28"/>
          <w:rtl w:val="true"/>
          <w:lang w:bidi="ar-SA"/>
        </w:rPr>
        <w:t>فسألناها عن متعة النساء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فعلناها على عهد النبيّ صلّى اللّه عليه و آله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ترخّص في المتعة؟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يا عريّة؟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أراكم منتهين حتى يعذّبكم اللّه، نحدّثكم عن النبيّ و تحدّثونا عن أبي بكر و عمر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عبد اللّه بن الزبير عبد اللّه بن عبّاس بتحليله المتعة،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كيف سطعت المجامر بينها و بين أبيك، فسألها،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ولدتك إلاّ في متعة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مجمر سطع في المتعة مجمر آل الزبير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نصّ الحوار في بعض مصادر الإماميّة،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أنّ علماء أهل البيت عليهم السّلام ذكروا عن ابن عبّاس، لمّا دخل مكّة و عبد اللّه بن الزبير على المنبر يخطب، فوقع نظره على ابن عبّاس و كان قد أضرّ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أتاكم أعمى، أعمى اللّه قلبه، يسبّ عائشة أمّ المؤمنين، و يلعن حواري رسول اللّه صلّى اللّه عليه و آله، و يحلّ المتعة، و هي الزنى المحض، فوقع كلامه في أذن عبد اللّه بن عبّاس، و كان متوكّئا على يد 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أدنني منه، فأدناه حتى وقف بإزائه، فقال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إنّا إذا مافئة نلقاها نردّ أولاها على أخراها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أنصف الفأرة من زاواها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المتعة و هي الزنى المحض، فو اللّه؛ لقد عمل بها على عهد رسول اللّه صلّى اللّه عليه و آله، و لم يأت بعده رسول، لا يحرّم و لا يحلّل، و الدليل على ذلك قول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فأنا أمنع عنهما و أعاقب عليهما، فقبلنا شهادته و لم نقبل تحريمه، و إنّك من متعة؛ فإذا نزلت عن عودك هذا، فاسأل أمّك عن بردي عوسجة، و مضى عبد اللّه بن عبّاس و نزل عبد اللّه بن الزبير مهرولا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عن بردي عوسجة و ألحّ عليها مغضبا،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مع رسول اللّه صلّى اللّه عليه و آله، و قد أهدى له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عوسجة، بردين، فشكا أبوك إلى رسول اللّه صلّى اللّه عليه و آله العزبة، فأعطاه بردا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فتمتّعني به و مضى، فمكث عنّى برهة و إذا به قد أتاني ببردتين فتمتّعني بهما، فعلقت بك و إنّك من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وصلك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عبّاس،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بني هاشم، و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ألسنة لا تطاق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الضرارة العمى، و أضرّ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الاستغاثة،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19" w:name="pg1254_13221"/>
    </w:p>
    <w:p>
      <w:pPr>
        <w:pStyle w:val="BookText"/>
        <w:rPr/>
      </w:pPr>
      <w:bookmarkEnd w:id="1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حاول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و تفسير العبارة بما يتنافي مع الظاهر، و أنّ المراد بها متعة الحجّ لا متعة النساء، و لكنّها محاولة يائسة، و كأنّه لم يتنبّه لأصل المحاورة، و اعتراض ابن الزبير على ابن عبّاس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أفتيت بزواج المتعة</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3103454_373438147"/>
      <w:bookmarkStart w:id="121" w:name="_Toc48"/>
      <w:bookmarkEnd w:id="120"/>
      <w:r>
        <w:rPr>
          <w:rtl w:val="true"/>
        </w:rPr>
        <w:t>التعريف بأسماء بنت أبي بكر</w:t>
      </w:r>
      <w:bookmarkEnd w:id="121"/>
    </w:p>
    <w:p>
      <w:pPr>
        <w:pStyle w:val="BookText"/>
        <w:rPr/>
      </w:pPr>
      <w:r>
        <w:rPr>
          <w:rFonts w:ascii="Amiri" w:hAnsi="Amiri" w:eastAsia="Amiri" w:cs="Amiri"/>
          <w:color w:val="111111"/>
          <w:sz w:val="28"/>
          <w:sz w:val="28"/>
          <w:szCs w:val="28"/>
          <w:rtl w:val="true"/>
          <w:lang w:bidi="ar-SA"/>
        </w:rPr>
        <w:t xml:space="preserve">إنّها أمّ عبد اللّه و عروة بني الزبير بن العوّام، و هي أخت عائشة، و آخر المهاجرات وفاة، كانت أكبر من عائشة بعشر سنين، و ماتت بعد مقتل ابنها بأيّام،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انظر العبر،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نساء مبشّرات بالجنّة،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122" w:name="pg1254_13222"/>
    </w:p>
    <w:p>
      <w:pPr>
        <w:pStyle w:val="BookText"/>
        <w:rPr/>
      </w:pPr>
      <w:bookmarkEnd w:id="122"/>
      <w:r>
        <w:rPr>
          <w:rFonts w:ascii="Amiri" w:hAnsi="Amiri" w:eastAsia="Amiri" w:cs="Amiri"/>
          <w:color w:val="111111"/>
          <w:sz w:val="28"/>
          <w:sz w:val="28"/>
          <w:szCs w:val="28"/>
          <w:rtl w:val="true"/>
          <w:lang w:bidi="ar-SA"/>
        </w:rPr>
        <w:t>هاجرت و هي حامل بعبد اللّه، و شهدت اليرموك مع زوجها الزبير، روى عنها الصحاح الستّة، و مسندها ثمانية و خمسون حديثا، و اتّفق لها البخاري و مسلم على ثلاثة عشر حديثا، و انفرد البخاري بخمسة أحاديث، و مسلم بأربعة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عندنا، 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أستثبت حالها</w:t>
      </w:r>
      <w:r>
        <w:rPr>
          <w:rFonts w:eastAsia="Amiri" w:cs="Amiri" w:ascii="Amiri" w:hAnsi="Amiri"/>
          <w:color w:val="111111"/>
          <w:sz w:val="28"/>
          <w:szCs w:val="28"/>
          <w:rtl w:val="true"/>
          <w:lang w:bidi="ar-SA"/>
        </w:rPr>
        <w:t>.</w:t>
      </w:r>
      <w:r>
        <w:rPr>
          <w:rStyle w:val="FootnoteAnchor"/>
          <w:rtl w:val="true"/>
        </w:rPr>
        <w:footnoteReference w:id="86"/>
      </w:r>
    </w:p>
    <w:p>
      <w:pPr>
        <w:pStyle w:val="Heading5"/>
        <w:numPr>
          <w:ilvl w:val="4"/>
          <w:numId w:val="1"/>
        </w:numPr>
        <w:rPr/>
      </w:pPr>
      <w:bookmarkStart w:id="123" w:name="__RefHeading___Toc3103456_373438147"/>
      <w:bookmarkStart w:id="124" w:name="_Toc49"/>
      <w:bookmarkEnd w:id="123"/>
      <w:r>
        <w:rPr/>
        <w:t>15</w:t>
      </w:r>
      <w:r>
        <w:rPr>
          <w:rtl w:val="true"/>
        </w:rPr>
        <w:t xml:space="preserve">. </w:t>
      </w:r>
      <w:r>
        <w:rPr>
          <w:rtl w:val="true"/>
        </w:rPr>
        <w:t>أمّ عبد اللّه ابنة أبي خيثمة</w:t>
      </w:r>
      <w:bookmarkEnd w:id="124"/>
    </w:p>
    <w:p>
      <w:pPr>
        <w:pStyle w:val="Heading6"/>
        <w:numPr>
          <w:ilvl w:val="5"/>
          <w:numId w:val="1"/>
        </w:numPr>
        <w:rPr/>
      </w:pPr>
      <w:bookmarkStart w:id="125" w:name="__RefHeading___Toc3103458_373438147"/>
      <w:bookmarkStart w:id="126" w:name="_Toc50"/>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المتّقي الهندي عن ابن جرير، عن سليمان بن يسار، عن أمّ عبد اللّه ابنة أبي خيثمة أنّ رجلا قدم من الشام فنزل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العزبة قد اشتدّت عليّ فابغيني امرأة أتمتّع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فدللته على امرأة فشارطها، فأشهدوا على ذلك عدولا، فمكث معها ما شاء اللّه أن يمكث، ثمّ إنّه خرج، فأخبر عن ذلك عمر بن الخطّاب، فأرسل إليّ،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حدّثت؟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فآذنيني به، فلمّا قدم أخبرته،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الّذي فعلته؟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فعلته مع رسول اللّه صلّى اللّه عليه و آله، ثمّ لم ينهنا عنه حتى قبضه اللّه، ثمّ مع أبي بكر فلم ينهنا عنه حتى قبضه اللّه، ثمّ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تحدّث لنا فيه نهيا،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لو كنت تقدّمت في نهي لرجمتك، بيّنوا حتى يعرف النكاح من السفاح</w:t>
      </w:r>
      <w:r>
        <w:rPr>
          <w:rFonts w:eastAsia="Amiri" w:cs="Amiri" w:ascii="Amiri" w:hAnsi="Amiri"/>
          <w:color w:val="111111"/>
          <w:sz w:val="28"/>
          <w:szCs w:val="28"/>
          <w:rtl w:val="true"/>
          <w:lang w:bidi="ar-SA"/>
        </w:rPr>
        <w:t>.</w:t>
      </w:r>
      <w:r>
        <w:rPr>
          <w:rStyle w:val="FootnoteAnchor"/>
          <w:rtl w:val="true"/>
        </w:rPr>
        <w:footnoteReference w:id="87"/>
      </w:r>
      <w:bookmarkStart w:id="127" w:name="pg1254_13223"/>
    </w:p>
    <w:p>
      <w:pPr>
        <w:pStyle w:val="BookText"/>
        <w:rPr/>
      </w:pPr>
      <w:bookmarkEnd w:id="127"/>
      <w:r>
        <w:rPr>
          <w:rFonts w:ascii="Amiri" w:hAnsi="Amiri" w:eastAsia="Amiri" w:cs="Amiri"/>
          <w:color w:val="111111"/>
          <w:sz w:val="28"/>
          <w:sz w:val="28"/>
          <w:szCs w:val="28"/>
          <w:rtl w:val="true"/>
          <w:lang w:bidi="ar-SA"/>
        </w:rPr>
        <w:t>يفهم من النصّ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الشامي كان صحابيّا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الشهود لم ينكروا عليه هذا الأمر، بل شهدوا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المتعة لم تنسخ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حياة النبيّ صلّى اللّه عليه و آله، و أنّها كانت شائعة و ثابتة مدّة خلافة أبي بكر، و شطرا من خلافة عمر، كما أنّ الخليفة عمر لم ينكر هذه الدعوى من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المتعة لو كانت محرّمة و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يزعمون‌لكانت أمّ عبد اللّه شريكة في هذه الجريمة؛ لأنّها هي الّتي دلّته على المرأة، و توسّطت بينهما، فيصدق عليها أنّها قوّادة و على الأقلّ عليها التعزير</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القوّادة الّتي تفسد النساء و الرجال أقلّ ما يجب عليها الضرب البليغ و ينبغى شهرة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القناع،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الفتاوى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النفي و التغريب،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موارد السجن،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 أنّ الخليفة عمر لم يتعرّض لها بشيء، و لا أشار إلى ذلك</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3103460_373438147"/>
      <w:bookmarkStart w:id="129" w:name="_Toc51"/>
      <w:bookmarkEnd w:id="128"/>
      <w:r>
        <w:rPr>
          <w:rtl w:val="true"/>
        </w:rPr>
        <w:t>التعريف بابن يسار</w:t>
      </w:r>
      <w:bookmarkEnd w:id="129"/>
    </w:p>
    <w:p>
      <w:pPr>
        <w:pStyle w:val="BookText"/>
        <w:rPr/>
      </w:pPr>
      <w:r>
        <w:rPr>
          <w:rFonts w:ascii="Amiri" w:hAnsi="Amiri" w:eastAsia="Amiri" w:cs="Amiri"/>
          <w:color w:val="111111"/>
          <w:sz w:val="28"/>
          <w:sz w:val="28"/>
          <w:szCs w:val="28"/>
          <w:rtl w:val="true"/>
          <w:lang w:bidi="ar-SA"/>
        </w:rPr>
        <w:t>إنّ الراوي لهذا الأثر هو سليمان بن يسار التابعي، و يكفيه وثاقة عند العامّة، رواية الصحاح الستّة عنه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الفقيه الإمام، عالم المدينة و مفتيها، مولى أمّ المؤمنين ميمونة الهلاليّة،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مكاتبا لأمّ سلمة، ولد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أوعية العلم بحيث إنّ بعضهم قد فضّله على سعيد بن المسيّب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يسار من علماء الناس بعد سعيد بن المسيّب</w:t>
      </w:r>
      <w:r>
        <w:rPr>
          <w:rFonts w:eastAsia="Amiri" w:cs="Amiri" w:ascii="Amiri" w:hAnsi="Amiri"/>
          <w:color w:val="111111"/>
          <w:sz w:val="28"/>
          <w:szCs w:val="28"/>
          <w:rtl w:val="true"/>
          <w:lang w:bidi="ar-SA"/>
        </w:rPr>
        <w:t>.</w:t>
      </w:r>
      <w:bookmarkStart w:id="130" w:name="pg1254_13224"/>
    </w:p>
    <w:p>
      <w:pPr>
        <w:pStyle w:val="BookText"/>
        <w:rPr/>
      </w:pPr>
      <w:bookmarkEnd w:id="130"/>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فاضل،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عالما، رفيعا، فقيها، كثير الحديث، مات سنة سبع و مائة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يذكروه، و قد روى عن ابن عبّاس، عن رسول اللّه صلّى اللّه عليه و آله رواية شريفة عظيمة في فضائل أمير المؤمنين عليه السّلام</w:t>
      </w:r>
      <w:r>
        <w:rPr>
          <w:rFonts w:eastAsia="Amiri" w:cs="Amiri" w:ascii="Amiri" w:hAnsi="Amiri"/>
          <w:color w:val="111111"/>
          <w:sz w:val="28"/>
          <w:szCs w:val="28"/>
          <w:rtl w:val="true"/>
          <w:lang w:bidi="ar-SA"/>
        </w:rPr>
        <w:t>.</w:t>
      </w:r>
      <w:r>
        <w:rPr>
          <w:rStyle w:val="FootnoteAnchor"/>
          <w:rtl w:val="true"/>
        </w:rPr>
        <w:footnoteReference w:id="90"/>
      </w:r>
    </w:p>
    <w:p>
      <w:pPr>
        <w:pStyle w:val="Heading5"/>
        <w:numPr>
          <w:ilvl w:val="4"/>
          <w:numId w:val="1"/>
        </w:numPr>
        <w:rPr/>
      </w:pPr>
      <w:bookmarkStart w:id="131" w:name="__RefHeading___Toc3103462_373438147"/>
      <w:bookmarkStart w:id="132" w:name="_Toc52"/>
      <w:bookmarkEnd w:id="131"/>
      <w:r>
        <w:rPr/>
        <w:t>16</w:t>
      </w:r>
      <w:r>
        <w:rPr>
          <w:rtl w:val="true"/>
        </w:rPr>
        <w:t xml:space="preserve">. </w:t>
      </w:r>
      <w:r>
        <w:rPr>
          <w:rtl w:val="true"/>
        </w:rPr>
        <w:t xml:space="preserve">عبد اللّه بن عبّاس بن عبد المطّلب </w:t>
      </w:r>
      <w:r>
        <w:rPr>
          <w:rtl w:val="true"/>
        </w:rPr>
        <w:t>(</w:t>
      </w:r>
      <w:r>
        <w:rPr>
          <w:rtl w:val="true"/>
        </w:rPr>
        <w:t xml:space="preserve">ت </w:t>
      </w:r>
      <w:r>
        <w:rPr/>
        <w:t>68</w:t>
      </w:r>
      <w:r>
        <w:rPr>
          <w:rtl w:val="true"/>
        </w:rPr>
        <w:t xml:space="preserve"> </w:t>
      </w:r>
      <w:r>
        <w:rPr>
          <w:rtl w:val="true"/>
        </w:rPr>
        <w:t>ه</w:t>
      </w:r>
      <w:r>
        <w:rPr>
          <w:rtl w:val="true"/>
        </w:rPr>
        <w:t xml:space="preserve">. </w:t>
      </w:r>
      <w:r>
        <w:rPr>
          <w:rtl w:val="true"/>
        </w:rPr>
        <w:t>ق</w:t>
      </w:r>
      <w:r>
        <w:rPr>
          <w:rtl w:val="true"/>
        </w:rPr>
        <w:t>)</w:t>
      </w:r>
      <w:bookmarkEnd w:id="132"/>
    </w:p>
    <w:p>
      <w:pPr>
        <w:pStyle w:val="Heading6"/>
        <w:numPr>
          <w:ilvl w:val="5"/>
          <w:numId w:val="1"/>
        </w:numPr>
        <w:rPr/>
      </w:pPr>
      <w:bookmarkStart w:id="133" w:name="__RefHeading___Toc3103464_373438147"/>
      <w:bookmarkStart w:id="134" w:name="_Toc53"/>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على تحليلها بعد رسول اللّه صلّى اللّه عليه و آله جماعة من السلف، منهم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ما كانت المتعة إلاّ رخصة من اللّه عز و جلّ رحم بها أمّة محمد صلّى اللّه عليه و آله فلو لا نهيه عنها ما احتاج إلى الزنا إلاّ شقيّ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و اللّه؛ أسمع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Style w:val="FootnoteAnchor"/>
          <w:rtl w:val="true"/>
        </w:rPr>
        <w:footnoteReference w:id="92"/>
      </w:r>
      <w:r>
        <w:rPr>
          <w:rFonts w:ascii="Amiri" w:hAnsi="Amiri" w:eastAsia="Amiri" w:cs="Amiri"/>
          <w:color w:val="111111"/>
          <w:sz w:val="28"/>
          <w:sz w:val="28"/>
          <w:szCs w:val="28"/>
          <w:rtl w:val="true"/>
          <w:lang w:bidi="ar-SA"/>
        </w:rPr>
        <w:t>إلى كذا و كذا من الأجل</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طاووسا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ابن عبّاس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ابن عبّاس رجالا كانوا من أهل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أذكر ممّن عدّد غير ابن أميّة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متعة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النساء؟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تقرأ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قرأتها هكذا 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كذا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نصير بن أبي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حبيب بن أبي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ابن عبّاس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قراءة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المصحف عند نصير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رسول اللّه صلّى اللّه عليه و آله،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 عمر عن المتعة،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 عمر عن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سيهلكون،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 عمر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الذهبي على هذا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عروة معارضة النبيّ صلّى اللّه عليه و آله بهما، بل رأى أنّهما ما نهيا عن المتعة إلاّ و قد اطّلعا على ناسخ</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تعليق غريب، إذ لم يدّع الخليفة عمر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المنع حصل في حكومة عمر، لا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المحشّين ضعّف هذا الحديث لضعف شريك، و لكن شريك ممّن قوّاه الذهبي،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الحافظ الصادق، أحد الأئمّة،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الأمّة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 غير ذلك</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ترخّص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أراكم منتهين حتى يعذّبكم اللّه، أحدّثكم عن رسول اللّه صلّى اللّه عليه و آله و تحدّثونا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أعلم بسنّة رسول اللّه و أتبع لها منك</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رجاله ثقات، أخرجه أبو مسلم الكجي من طريق سليمان بن حرب، عن حمّاد بن زيد، عن أيّوب السختياني، عن</w:t>
      </w:r>
    </w:p>
    <w:p>
      <w:pPr>
        <w:pStyle w:val="BookText"/>
        <w:rPr/>
      </w:pPr>
      <w:r>
        <w:rPr>
          <w:rFonts w:ascii="Amiri" w:hAnsi="Amiri" w:eastAsia="Amiri" w:cs="Amiri"/>
          <w:color w:val="111111"/>
          <w:sz w:val="28"/>
          <w:sz w:val="28"/>
          <w:szCs w:val="28"/>
          <w:rtl w:val="true"/>
          <w:lang w:bidi="ar-SA"/>
        </w:rPr>
        <w:t>ابن أبي مليكة، عن عروة،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إسناد صحيح</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حرملة بن يحيى، أخبرنا ابن وهب، أخبرني يونس،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 عبد اللّه بن الزبير قام بمكّة،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ناسا أعمى اللّه</w:t>
      </w:r>
      <w:r>
        <w:rPr>
          <w:rStyle w:val="FootnoteAnchor"/>
          <w:rtl w:val="true"/>
        </w:rPr>
        <w:footnoteReference w:id="102"/>
      </w:r>
      <w:r>
        <w:rPr>
          <w:rFonts w:ascii="Amiri" w:hAnsi="Amiri" w:eastAsia="Amiri" w:cs="Amiri"/>
          <w:color w:val="111111"/>
          <w:sz w:val="28"/>
          <w:sz w:val="28"/>
          <w:szCs w:val="28"/>
          <w:rtl w:val="true"/>
          <w:lang w:bidi="ar-SA"/>
        </w:rPr>
        <w:t>قلوبهم كما أعمى أبصارهم يفتون بالمتعة يعرّض برجل، فناداه،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لجلف جافّ‌</w:t>
      </w:r>
      <w:r>
        <w:rPr>
          <w:rStyle w:val="FootnoteAnchor"/>
          <w:rtl w:val="true"/>
        </w:rPr>
        <w:footnoteReference w:id="103"/>
      </w:r>
      <w:r>
        <w:rPr>
          <w:rFonts w:ascii="Amiri" w:hAnsi="Amiri" w:eastAsia="Amiri" w:cs="Amiri"/>
          <w:color w:val="111111"/>
          <w:sz w:val="28"/>
          <w:sz w:val="28"/>
          <w:szCs w:val="28"/>
          <w:rtl w:val="true"/>
          <w:lang w:bidi="ar-SA"/>
        </w:rPr>
        <w:t xml:space="preserve">فلعمري؛ لقد كانت المتعة تفعل على عهد 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فو اللّه؛ لئن فعلتها لأرجمنّك بأحجارك</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خالد بن المهاجر بن سيف اللّه أنّه بينا هو جالس عند رجل جاءه رجل فاستفتاه في المتعة، فأمره بها، فقال له ابن أبي عمرة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 اللّه؛ لقد فعلت في عهد إمام المتّقين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رخصة في أوّل الإسلام لمن اضطرّ إليها كالميتة و الدم و لحم الخنزير، ثمّ أحكم اللّه الدين و نهى عنها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المتعة محكمة ليست بمنسوخة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الخازن،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رواية مسلم أنّ ابن عبّاس كان يرى المتعة و يفتي بجوازها إلى آخر عمره بدليل أنّ هذا الحوار جرى بينه و بين ابن الزبير أيّام خلافته الّتي كانت بعد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مصرّا على هذا الرأي و لم يتردّد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في كمال إيمان ابن عبّاس، و تقواه، وسعة علمه، و معرفته بالناسخ و المنسوخ كما سيأتي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خالد بن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أنّ قول ابن أبي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رخصة ثمّ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محض و تخرّص من دون أيّ دليل و شاهد؛ إذ لم يكن عبد الرحمن بن أبي عمرة صحابيّا، و لم يكن شهد مشهدا من المشاهد حتى يحتمل في حقّه السماع من النبيّ صلّى اللّه عليه و آله، نعم، لعلّه يروي عمّن سمع من النبيّ صلّى اللّه عليه و آله و من غيره، و لكنّه مرسل إذ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 في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صحبة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اختلف في الآية أمحكمة هي أم منسوخة؟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محكمة و رخص في المتعة</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داود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bookmarkStart w:id="135" w:name="pg1254_13229"/>
    </w:p>
    <w:p>
      <w:pPr>
        <w:pStyle w:val="BookText"/>
        <w:rPr/>
      </w:pPr>
      <w:bookmarkEnd w:id="13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أقرأها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و اللّه؛ لهكذا أنزلها اللّه، ثلاث مرّات</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Heading6"/>
        <w:numPr>
          <w:ilvl w:val="5"/>
          <w:numId w:val="1"/>
        </w:numPr>
        <w:rPr/>
      </w:pPr>
      <w:bookmarkStart w:id="136" w:name="__RefHeading___Toc3103466_373438147"/>
      <w:bookmarkStart w:id="137" w:name="_Toc54"/>
      <w:bookmarkEnd w:id="136"/>
      <w:r>
        <w:rPr>
          <w:rtl w:val="true"/>
        </w:rPr>
        <w:t>التعريف بابن عبّاس</w:t>
      </w:r>
      <w:bookmarkEnd w:id="137"/>
    </w:p>
    <w:p>
      <w:pPr>
        <w:pStyle w:val="BookText"/>
        <w:rPr/>
      </w:pPr>
      <w:r>
        <w:rPr>
          <w:rFonts w:ascii="Amiri" w:hAnsi="Amiri" w:eastAsia="Amiri" w:cs="Amiri"/>
          <w:color w:val="111111"/>
          <w:sz w:val="28"/>
          <w:sz w:val="28"/>
          <w:szCs w:val="28"/>
          <w:rtl w:val="true"/>
          <w:lang w:bidi="ar-SA"/>
        </w:rPr>
        <w:t>إنّه أجلى من أن يعرّف و يترجم له، فهو حبر الأمّة، و فقيه العصر، و إمام التفسير، صحب النبيّ صلّى اللّه عليه و آله نحوا من ثلاثين شهرا</w:t>
      </w:r>
      <w:r>
        <w:rPr>
          <w:rStyle w:val="FootnoteAnchor"/>
          <w:rtl w:val="true"/>
        </w:rPr>
        <w:footnoteReference w:id="110"/>
      </w:r>
      <w:r>
        <w:rPr>
          <w:rFonts w:ascii="Amiri" w:hAnsi="Amiri" w:eastAsia="Amiri" w:cs="Amiri"/>
          <w:color w:val="111111"/>
          <w:sz w:val="28"/>
          <w:sz w:val="28"/>
          <w:szCs w:val="28"/>
          <w:rtl w:val="true"/>
          <w:lang w:bidi="ar-SA"/>
        </w:rPr>
        <w:t>، و حدّث عنه بجملة صالحة، روى عنه عشرات الرواة، و كان مهيبا، كامل العقل، ذكيّ النفس، من رجال الكمال، و هو الّذي مسح النبيّ صلّى اللّه عليه و آله رأسه، و دعا له بالحكمة، و دعا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تأويل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تعظيما لحرمات اللّه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لأسأل عن الأمر الواحد ثلاثين من أصحاب النبيّ صلّى اللّه عليه و آله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عن 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أعلم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عبّاس</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شدّة ورعه و تقواه في عدم نسبته شيئا إلى الرسول الأكرم صلّى اللّه عليه و آله إلاّ بعد أن يتيقّن و يقطع به، و ذلك بأن يسأل من ثلاثين شخصا من الصحابة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هذا النصّ، و صحّح الذهبي إسناده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فعندما ينسب ابن عبّاس جواز المتعة إلى الدين، و إلى النبيّ</w:t>
      </w:r>
    </w:p>
    <w:p>
      <w:pPr>
        <w:pStyle w:val="BookText"/>
        <w:rPr/>
      </w:pPr>
      <w:r>
        <w:rPr>
          <w:rFonts w:ascii="Amiri" w:hAnsi="Amiri" w:eastAsia="Amiri" w:cs="Amiri"/>
          <w:color w:val="111111"/>
          <w:sz w:val="28"/>
          <w:sz w:val="28"/>
          <w:szCs w:val="28"/>
          <w:rtl w:val="true"/>
          <w:lang w:bidi="ar-SA"/>
        </w:rPr>
        <w:t>الكريم صلّى اللّه عليه و آله، فهو على يقين من أمره، لا أنّه يفتي برأيه و اجتهاده، أو لم يبلغه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هو الّذي قال فيه 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فتى الكهول، إنّ له لسانا سؤولا، و قلبا 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علما ما 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ابن عبّاس في عشرين كتابا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أحضر فهما، و لا ألبّ لبّا، و لا أكثر علما، و لا أوسع حلما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عمر يدعوه للمعضلات،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معضلة، ثمّ لا يجاوز قوله، و إنّ حوله لأهل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نحوا من خمسمائة من الصحابة إذا ذاكروا ابن عبّاس فخالفوه، فلم يزل يقرّرهم حتى ينتهوا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مسنده ألف و ستّمائة و ستّون حديثا، و له من ذلك في الصحيحين خمسة و سبعون، و تفرّد له البخاري بمائة و عشرين حديثا، و تفرّد مسلم بتسعة أحاديث</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بلغ في التقوى و الورع في الدين إلى حدّ يسأل ثلاثين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صحابيّ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ثمّ ينسبها إلى النبيّ صلّى اللّه عليه و آله و سلّم حتى أنّ عمر بن الخطّاب عبّر عنه بالسؤول، و وصفه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علما لم يعلّمه عمر،</w:t>
      </w:r>
      <w:bookmarkStart w:id="138" w:name="pg1254_13231"/>
    </w:p>
    <w:p>
      <w:pPr>
        <w:pStyle w:val="BookText"/>
        <w:rPr/>
      </w:pPr>
      <w:bookmarkEnd w:id="138"/>
      <w:r>
        <w:rPr>
          <w:rFonts w:ascii="Amiri" w:hAnsi="Amiri" w:eastAsia="Amiri" w:cs="Amiri"/>
          <w:color w:val="111111"/>
          <w:sz w:val="28"/>
          <w:sz w:val="28"/>
          <w:szCs w:val="28"/>
          <w:rtl w:val="true"/>
          <w:lang w:bidi="ar-SA"/>
        </w:rPr>
        <w:t>و أنّه كان يدعوه للمعضلات، و لم يتجاوز قوله، و بلغ حدّا يحاور خمسمائة صحابيا و كلّهم يتراجع و يخضع لابن عبّاس، 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ينسب من كان بهذه المثابة و هذا الموقع شيئا إلى النبيّ صلّى اللّه عليه و آله و سلّم بدون علم و يقين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ابن عمر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 عبّاس؛ فإنّه أعلم من بقي بما أنزل على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نفخر على الناس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فقيهنا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فقه أهل مكّة حين نزل ابن عبّاس بأظهرهم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103468_373438147"/>
      <w:bookmarkStart w:id="140" w:name="_Toc55"/>
      <w:bookmarkEnd w:id="139"/>
      <w:r>
        <w:rPr>
          <w:rtl w:val="true"/>
        </w:rPr>
        <w:t>دعاوي و ردود</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لم يعلم بالنسخ، كما ادّعاه العسقلاني في فتح الباري، و بعض شرّاح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جابرا و من نقل عنه استمرارهم على ذلك بعده إلى أن نهى عنها عمر لم يبلغهم النهي، و ممّا يستفاد أنّ عمر لم ينه عنه اجتهادا و إنّما نهى عنها مستندا إلى نهي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إصرار ابن عبّاس و استمراره على القول و الفتوى بالحلّيّة لم يكن إلى حين نهى عمر عن المتعة، بل كان مستمرّا إلى أيّام عبد اللّه بن الزبير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ممّا يدلّ على أنّ المتعة لم تكن منسوخة و أنّ منع عمر كان عن اجتهاده و رأيه لا عن استناده إلى نهي رسول اللّه صلّى اللّه عليه و آله و سلّم، بل لم نعثر على تصريح من عمر ينسب فيه المنع إلى النبيّ صلّى اللّه عليه و آله و سلّم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روي أنّهم كانوا يستمتعون على عهد النبيّ صلّى اللّه عليه و آله و أبي بكر و عمر حتى نهى عنها عمر، فمحمول على أنّ الّذي استمتع لم يكن</w:t>
      </w:r>
    </w:p>
    <w:p>
      <w:pPr>
        <w:pStyle w:val="BookText"/>
        <w:rPr/>
      </w:pPr>
      <w:r>
        <w:rPr>
          <w:rFonts w:ascii="Amiri" w:hAnsi="Amiri" w:eastAsia="Amiri" w:cs="Amiri"/>
          <w:color w:val="111111"/>
          <w:sz w:val="28"/>
          <w:sz w:val="28"/>
          <w:szCs w:val="28"/>
          <w:rtl w:val="true"/>
          <w:lang w:bidi="ar-SA"/>
        </w:rPr>
        <w:t>بلغه النسخ، و نهي عمر كان لإظهار ذلك؛ لشيوعها في عهده ممّن لم يبلغه النهي</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دلائل و شواهد على أنّ العمل بالمتعة كان رائجا و متداولا عند الصحابة و التابعين حتى بعد نهي عمر عنها، كما مرّ عن أمّ عبد اللّه، و يأتي عن سعيد و غيره، و هذا يفنّد دعوى نسخ جواز المتعة على عهد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يدّعى رجوع ابن عبّاس عن القول بجواز المتعة، و قد نسبت هذه الدعوى إلى البيهقي، و أبي عوانة، و القفّال،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عبد اللّه بن عبّاس رضى اللّه عنه أنّه أجازه، و هو 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أنّ ابن عبّاس رجع عن ذلك</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رجوع ابن عبّاس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خلف القاضي المعروف بوكيع، و روى الرجوع أيضا البيهقي و أبو عوانة</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الذهني في شرحه على مسلم عن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ابن عبّاس أنّه رجع عن القول بحلّها حين قال له عليّ عليه السّلام هذ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تائه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سبق ما يدلّ على عدم رجوعه عن ذلك بعد قول عليّ عليه السّلام له ذلك؛ فإنّ ما جرى بين ابن عبّاس و بين ابن الزبير من المكالمات العنيفة</w:t>
      </w:r>
    </w:p>
    <w:p>
      <w:pPr>
        <w:pStyle w:val="BookText"/>
        <w:rPr/>
      </w:pPr>
      <w:r>
        <w:rPr>
          <w:rFonts w:ascii="Amiri" w:hAnsi="Amiri" w:eastAsia="Amiri" w:cs="Amiri"/>
          <w:color w:val="111111"/>
          <w:sz w:val="28"/>
          <w:sz w:val="28"/>
          <w:szCs w:val="28"/>
          <w:rtl w:val="true"/>
          <w:lang w:bidi="ar-SA"/>
        </w:rPr>
        <w:t>المتقدّمة، إنّما كان في خلافة عبد اللّه بن الزبير، و ذلك بعد وفاة عليّ رضى اللّه عنه، فالظاهر، كما في المرقاة أنّ ابن عبّاس رجع عن الجواز المطلق و قيّد جوازها بحال الرخصة، نحو ما مرّ في قول ابن أبي عمرة من تخصيص إباحتها للمضطرّين حال اضطرارهم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المبسوط للسرخسي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نطالب بالدليل على هذا التفصيل لابن عبّاس، و أنّه يراه حلالا في حال الاضطرار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بالاضطرار يحلّ كلّ شيء، و لا خصوصيّة للمتعة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منّا القول بأنّ كلام ابن أبي عمرة غير مقبول، لأنّه اجتهاد منه لا أنّه كلام و قول من النبيّ الكريم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النصوص الّتي مفادها رجوع ابن عبّاس، كما صرّح بذلك ابن بطّال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أهل مكّة و اليمن عن ابن عبّاس إباحة المتعة، و روي عنه الرجوع بأسانيد ضعيفة، و إجازة المتعة عنه أصحّ</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جزمت جماعة من الأئمّة بتفرّد ابن عبّاس بإباحتها، و لكن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ابن عبّاس من أهل مكّة و اليمن على إباحتها</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عن ابن عبّاس تحليلها، و تبع ابن عبّاس على القول بها أصحابه من أهل مكّة و أهل اليمن</w:t>
      </w:r>
      <w:r>
        <w:rPr>
          <w:rFonts w:eastAsia="Amiri" w:cs="Amiri" w:ascii="Amiri" w:hAnsi="Amiri"/>
          <w:color w:val="111111"/>
          <w:sz w:val="28"/>
          <w:szCs w:val="28"/>
          <w:rtl w:val="true"/>
          <w:lang w:bidi="ar-SA"/>
        </w:rPr>
        <w:t>.</w:t>
      </w:r>
      <w:r>
        <w:rPr>
          <w:rStyle w:val="FootnoteAnchor"/>
          <w:rtl w:val="true"/>
        </w:rPr>
        <w:footnoteReference w:id="123"/>
      </w:r>
      <w:bookmarkStart w:id="141" w:name="pg1254_13234"/>
    </w:p>
    <w:p>
      <w:pPr>
        <w:pStyle w:val="Heading5"/>
        <w:numPr>
          <w:ilvl w:val="4"/>
          <w:numId w:val="1"/>
        </w:numPr>
        <w:rPr/>
      </w:pPr>
      <w:bookmarkStart w:id="142" w:name="__RefHeading___Toc3103470_373438147"/>
      <w:bookmarkStart w:id="143" w:name="_Toc56"/>
      <w:bookmarkEnd w:id="141"/>
      <w:bookmarkEnd w:id="142"/>
      <w:r>
        <w:rPr/>
        <w:t>17</w:t>
      </w:r>
      <w:r>
        <w:rPr>
          <w:rtl w:val="true"/>
        </w:rPr>
        <w:t xml:space="preserve">. </w:t>
      </w:r>
      <w:r>
        <w:rPr>
          <w:rtl w:val="true"/>
        </w:rPr>
        <w:t xml:space="preserve">سمير </w:t>
      </w:r>
      <w:r>
        <w:rPr>
          <w:rtl w:val="true"/>
        </w:rPr>
        <w:t>(</w:t>
      </w:r>
      <w:r>
        <w:rPr>
          <w:rtl w:val="true"/>
        </w:rPr>
        <w:t xml:space="preserve">ت </w:t>
      </w:r>
      <w:r>
        <w:rPr/>
        <w:t>59</w:t>
      </w:r>
      <w:r>
        <w:rPr>
          <w:rtl w:val="true"/>
        </w:rPr>
        <w:t xml:space="preserve"> </w:t>
      </w:r>
      <w:r>
        <w:rPr>
          <w:rtl w:val="true"/>
        </w:rPr>
        <w:t>ه</w:t>
      </w:r>
      <w:r>
        <w:rPr>
          <w:rtl w:val="true"/>
        </w:rPr>
        <w:t xml:space="preserve">. </w:t>
      </w:r>
      <w:r>
        <w:rPr>
          <w:rtl w:val="true"/>
        </w:rPr>
        <w:t>ق</w:t>
      </w:r>
      <w:r>
        <w:rPr>
          <w:rtl w:val="true"/>
        </w:rPr>
        <w:t>)</w:t>
      </w:r>
      <w:bookmarkEnd w:id="143"/>
    </w:p>
    <w:p>
      <w:pPr>
        <w:pStyle w:val="Heading6"/>
        <w:numPr>
          <w:ilvl w:val="5"/>
          <w:numId w:val="1"/>
        </w:numPr>
        <w:rPr/>
      </w:pPr>
      <w:bookmarkStart w:id="144" w:name="__RefHeading___Toc3103472_373438147"/>
      <w:bookmarkStart w:id="145" w:name="_Toc57"/>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سمرة بن جندب، روى ابن مندة عن طريق مبشّر بن إسماعيل، عن جرير بن عثمان، عن سليمان بن سمير،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نتمتّع على عهد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3103474_373438147"/>
      <w:bookmarkStart w:id="147" w:name="_Toc58"/>
      <w:bookmarkEnd w:id="146"/>
      <w:r>
        <w:rPr>
          <w:rtl w:val="true"/>
        </w:rPr>
        <w:t>التعريف بسمرة</w:t>
      </w:r>
      <w:bookmarkEnd w:id="147"/>
    </w:p>
    <w:p>
      <w:pPr>
        <w:pStyle w:val="BookText"/>
        <w:rPr/>
      </w:pPr>
      <w:r>
        <w:rPr>
          <w:rFonts w:ascii="Amiri" w:hAnsi="Amiri" w:eastAsia="Amiri" w:cs="Amiri"/>
          <w:color w:val="111111"/>
          <w:sz w:val="28"/>
          <w:sz w:val="28"/>
          <w:szCs w:val="28"/>
          <w:rtl w:val="true"/>
          <w:lang w:bidi="ar-SA"/>
        </w:rPr>
        <w:t>إنّه من شرار من صحب رسول اللّه صلّى اللّه عليه و آله، و قد قال النبيّ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أصحابي موتا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سمرة بالبصرة و أبو محذورة بمكّة، و كان سمرة يسأل من يقدم من الحجاز عن أبي محذورة حتى مات أبو محذورة قبله، و سقط هو في قدر مملوءة ماءا حارّا فمات</w:t>
      </w:r>
      <w:r>
        <w:rPr>
          <w:rFonts w:eastAsia="Amiri" w:cs="Amiri" w:ascii="Amiri" w:hAnsi="Amiri"/>
          <w:color w:val="111111"/>
          <w:sz w:val="28"/>
          <w:szCs w:val="28"/>
          <w:rtl w:val="true"/>
          <w:lang w:bidi="ar-SA"/>
        </w:rPr>
        <w:t>.</w:t>
      </w:r>
      <w:r>
        <w:rPr>
          <w:rStyle w:val="FootnoteAnchor"/>
          <w:rtl w:val="true"/>
        </w:rPr>
        <w:footnoteReference w:id="125"/>
      </w:r>
    </w:p>
    <w:p>
      <w:pPr>
        <w:pStyle w:val="Heading5"/>
        <w:numPr>
          <w:ilvl w:val="4"/>
          <w:numId w:val="1"/>
        </w:numPr>
        <w:rPr/>
      </w:pPr>
      <w:bookmarkStart w:id="148" w:name="__RefHeading___Toc3103476_373438147"/>
      <w:bookmarkStart w:id="149" w:name="_Toc59"/>
      <w:bookmarkEnd w:id="148"/>
      <w:r>
        <w:rPr/>
        <w:t>18</w:t>
      </w:r>
      <w:r>
        <w:rPr>
          <w:rtl w:val="true"/>
        </w:rPr>
        <w:t xml:space="preserve">. </w:t>
      </w:r>
      <w:r>
        <w:rPr>
          <w:rtl w:val="true"/>
        </w:rPr>
        <w:t xml:space="preserve">أنس بن مالك </w:t>
      </w:r>
      <w:r>
        <w:rPr>
          <w:rtl w:val="true"/>
        </w:rPr>
        <w:t>(</w:t>
      </w:r>
      <w:r>
        <w:rPr>
          <w:rtl w:val="true"/>
        </w:rPr>
        <w:t xml:space="preserve">ت </w:t>
      </w:r>
      <w:r>
        <w:rPr/>
        <w:t>93</w:t>
      </w:r>
      <w:r>
        <w:rPr>
          <w:rtl w:val="true"/>
        </w:rPr>
        <w:t xml:space="preserve"> </w:t>
      </w:r>
      <w:r>
        <w:rPr>
          <w:rtl w:val="true"/>
        </w:rPr>
        <w:t>ه</w:t>
      </w:r>
      <w:r>
        <w:rPr>
          <w:rtl w:val="true"/>
        </w:rPr>
        <w:t xml:space="preserve">. </w:t>
      </w:r>
      <w:r>
        <w:rPr>
          <w:rtl w:val="true"/>
        </w:rPr>
        <w:t>ق</w:t>
      </w:r>
      <w:r>
        <w:rPr>
          <w:rtl w:val="true"/>
        </w:rPr>
        <w:t>)</w:t>
      </w:r>
      <w:bookmarkEnd w:id="149"/>
    </w:p>
    <w:p>
      <w:pPr>
        <w:pStyle w:val="Heading6"/>
        <w:numPr>
          <w:ilvl w:val="5"/>
          <w:numId w:val="1"/>
        </w:numPr>
        <w:rPr/>
      </w:pPr>
      <w:bookmarkStart w:id="150" w:name="__RefHeading___Toc3103478_373438147"/>
      <w:bookmarkStart w:id="151" w:name="_Toc60"/>
      <w:bookmarkEnd w:id="150"/>
      <w:r>
        <w:rPr>
          <w:rtl w:val="true"/>
        </w:rPr>
        <w:t>اشارة</w:t>
      </w:r>
      <w:bookmarkEnd w:id="1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كان يرى جواز المتعة من الصحابة هو أنس بن مالك، كما نقله الشيخ المفيد عن محمد بن حبيب في المحبّر، و لكنّ الأيادي الأمينة حذفته في الطبعة الحديثة للمحبّر، كما حذفت أسماء أخرى ممّن كان يرى حلّيّة المتعة، و قد أشار إليها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جعفر محمد بن حبيب في كتابه المعروف بكتاب المحبّر أنّه كان يقول بالمتعة من الصحابة جماعة</w:t>
      </w:r>
      <w:bookmarkStart w:id="152" w:name="pg1254_13235"/>
    </w:p>
    <w:p>
      <w:pPr>
        <w:pStyle w:val="BookText"/>
        <w:rPr/>
      </w:pPr>
      <w:bookmarkEnd w:id="152"/>
      <w:r>
        <w:rPr>
          <w:rFonts w:ascii="Amiri" w:hAnsi="Amiri" w:eastAsia="Amiri" w:cs="Amiri"/>
          <w:color w:val="111111"/>
          <w:sz w:val="28"/>
          <w:sz w:val="28"/>
          <w:szCs w:val="28"/>
          <w:rtl w:val="true"/>
          <w:lang w:bidi="ar-SA"/>
        </w:rPr>
        <w:t>ممّن سمّيناه، و زاد فيهم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أخّرناه و لم نذكره في الأوّل؛ لأنّا لم نعثر على مصدر يشير إليه غيره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سلسلة مؤلّفات الشيخ المفيد،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103480_373438147"/>
      <w:bookmarkStart w:id="154" w:name="_Toc61"/>
      <w:bookmarkEnd w:id="153"/>
      <w:r>
        <w:rPr>
          <w:rtl w:val="true"/>
        </w:rPr>
        <w:t>التعريف بأنس بن مالك</w:t>
      </w:r>
      <w:bookmarkEnd w:id="154"/>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المفتي، المقرئ، المحدّث، راوية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آله المدينة و أنا ابن عشر، و مات و أنا ابن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أنس النبيّ صلّى اللّه عليه و آله أتمّ الصحبة، و لازمه أكمل الملازمة منذ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مائة و ثلاث أو سبع سنين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مسنده ألفان و مائتان و ستّة و ثمانون؛ اتّفق له البخاري و مسلم على مائة و ثمانين حديثا، و انفرد البخاري بثمانين حديثا، و مسلم بتسعين</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الملفت للنظر هو أنّ هذا الصحابيّ الّذي ادّعوا أنّه راوية الإسلام، و صحب النبيّ صلّى اللّه عليه و آله أيّام جهاده و فتوحاته، و روى عنه صلّى اللّه عليه و آله مئات الروايات، بحيث إنّه لم يبق شاردة إلاّ رواها حتّى أنّه روى وصف هيئة النبيّ صلّى اللّه عليه و آله حين وروده مكّة يوم الفتح، و روى أوامره و نواهيه في الفتح، كما روى أمره صلّى اللّه عليه و آله بقتل ابن الأخطل، مع ذلك لم يرد عنه حديث واحد في تحريم المتعة، عام الفتح و لا في غيره، رغم التساؤلات و الصراعات الّتي حصلت بهذا الشأن بين الأمّة</w:t>
      </w:r>
      <w:r>
        <w:rPr>
          <w:rFonts w:eastAsia="Amiri" w:cs="Amiri" w:ascii="Amiri" w:hAnsi="Amiri"/>
          <w:color w:val="111111"/>
          <w:sz w:val="28"/>
          <w:szCs w:val="28"/>
          <w:rtl w:val="true"/>
          <w:lang w:bidi="ar-SA"/>
        </w:rPr>
        <w:t>:</w:t>
      </w:r>
      <w:bookmarkStart w:id="155" w:name="pg1254_13236"/>
    </w:p>
    <w:p>
      <w:pPr>
        <w:pStyle w:val="BookText"/>
        <w:rPr/>
      </w:pPr>
      <w:bookmarkEnd w:id="155"/>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الساخن بين ابن عبّاس و عبد اللّه بن الزبير، و بين ابن عبّاس و عروة بن الزبير، و بين ابن عبّاس و خالد بن المهاجر</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حوار مهمّ بين المأمون و ابن أكثم؛ وفيات الأعيان،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مراة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راجعنا مسنده و أحاديثه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نعثر على رواية له في المقام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على أنس استفهامات و ملاحظات؛ إذ هو الّذي ابتلي بالبرص، أصابه نتيجة لدعوة عليّ عليه السّلام، حيث إنّه كتم الشهادة بشأن حديث الطير</w:t>
      </w:r>
      <w:r>
        <w:rPr>
          <w:rStyle w:val="FootnoteAnchor"/>
          <w:rtl w:val="true"/>
        </w:rPr>
        <w:footnoteReference w:id="129"/>
      </w:r>
      <w:r>
        <w:rPr>
          <w:rFonts w:ascii="Amiri" w:hAnsi="Amiri" w:eastAsia="Amiri" w:cs="Amiri"/>
          <w:color w:val="111111"/>
          <w:sz w:val="28"/>
          <w:sz w:val="28"/>
          <w:szCs w:val="28"/>
          <w:rtl w:val="true"/>
          <w:lang w:bidi="ar-SA"/>
        </w:rPr>
        <w:t>أو الغدير</w:t>
      </w:r>
      <w:r>
        <w:rPr>
          <w:rStyle w:val="FootnoteAnchor"/>
          <w:rtl w:val="true"/>
        </w:rPr>
        <w:footnoteReference w:id="130"/>
      </w:r>
      <w:r>
        <w:rPr>
          <w:rFonts w:ascii="Amiri" w:hAnsi="Amiri" w:eastAsia="Amiri" w:cs="Amiri"/>
          <w:color w:val="111111"/>
          <w:sz w:val="28"/>
          <w:sz w:val="28"/>
          <w:szCs w:val="28"/>
          <w:rtl w:val="true"/>
          <w:lang w:bidi="ar-SA"/>
        </w:rPr>
        <w:t>، و هو الّذي روى عن الكثيرين من الصحابة، و لكنّه أهمل الرواية عن عليّ عليه السّلام و هو الّذي نسب إلى النبيّ صلّى اللّه عليه و آله أنّه سمل يد رجل إلى الحائط، و من ثمّ استحلّ الأمراء تعذيب الناس</w:t>
      </w:r>
      <w:r>
        <w:rPr>
          <w:rFonts w:eastAsia="Amiri" w:cs="Amiri" w:ascii="Amiri" w:hAnsi="Amiri"/>
          <w:color w:val="111111"/>
          <w:sz w:val="28"/>
          <w:szCs w:val="28"/>
          <w:rtl w:val="true"/>
          <w:lang w:bidi="ar-SA"/>
        </w:rPr>
        <w:t>.</w:t>
      </w:r>
      <w:r>
        <w:rPr>
          <w:rStyle w:val="FootnoteAnchor"/>
          <w:rtl w:val="true"/>
        </w:rPr>
        <w:footnoteReference w:id="131"/>
      </w:r>
    </w:p>
    <w:p>
      <w:pPr>
        <w:pStyle w:val="Heading5"/>
        <w:numPr>
          <w:ilvl w:val="4"/>
          <w:numId w:val="1"/>
        </w:numPr>
        <w:rPr/>
      </w:pPr>
      <w:bookmarkStart w:id="156" w:name="__RefHeading___Toc3103482_373438147"/>
      <w:bookmarkStart w:id="157" w:name="_Toc62"/>
      <w:bookmarkEnd w:id="156"/>
      <w:r>
        <w:rPr/>
        <w:t>19</w:t>
      </w:r>
      <w:r>
        <w:rPr>
          <w:rtl w:val="true"/>
        </w:rPr>
        <w:t xml:space="preserve">. </w:t>
      </w:r>
      <w:r>
        <w:rPr>
          <w:rtl w:val="true"/>
        </w:rPr>
        <w:t xml:space="preserve">ابن عمر </w:t>
      </w:r>
      <w:r>
        <w:rPr>
          <w:rtl w:val="true"/>
        </w:rPr>
        <w:t>(</w:t>
      </w:r>
      <w:r>
        <w:rPr>
          <w:rtl w:val="true"/>
        </w:rPr>
        <w:t xml:space="preserve">ت </w:t>
      </w:r>
      <w:r>
        <w:rPr/>
        <w:t>74</w:t>
      </w:r>
      <w:r>
        <w:rPr>
          <w:rtl w:val="true"/>
        </w:rPr>
        <w:t xml:space="preserve"> </w:t>
      </w:r>
      <w:r>
        <w:rPr>
          <w:rtl w:val="true"/>
        </w:rPr>
        <w:t>ه</w:t>
      </w:r>
      <w:r>
        <w:rPr>
          <w:rtl w:val="true"/>
        </w:rPr>
        <w:t xml:space="preserve">. </w:t>
      </w:r>
      <w:r>
        <w:rPr>
          <w:rtl w:val="true"/>
        </w:rPr>
        <w:t>ق</w:t>
      </w:r>
      <w:r>
        <w:rPr>
          <w:rtl w:val="true"/>
        </w:rPr>
        <w:t>)</w:t>
      </w:r>
      <w:bookmarkEnd w:id="157"/>
    </w:p>
    <w:p>
      <w:pPr>
        <w:pStyle w:val="BookText"/>
        <w:rPr/>
      </w:pPr>
      <w:r>
        <w:rPr>
          <w:rFonts w:ascii="Amiri" w:hAnsi="Amiri" w:eastAsia="Amiri" w:cs="Amiri"/>
          <w:color w:val="111111"/>
          <w:sz w:val="28"/>
          <w:sz w:val="28"/>
          <w:szCs w:val="28"/>
          <w:rtl w:val="true"/>
          <w:lang w:bidi="ar-SA"/>
        </w:rPr>
        <w:t>و قد ورد في بعض النصوص أنّ ابن عمر أيضا كان يرى حلّيّة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إمام الحنابلة في مسنده بإسناده عن عبد الرحمن بن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عمر عن المتعة و أنا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كنّا على عهد رسول اللّه صلّى اللّه عليه و آله زانين و لا مسافحين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هذا ظاهر في صحّة تلك النسبة إلى ابن عمر، و أنّه كان يقول بحلّيّة المتعة، و لكن لا نصرّ على ذلك لوجود المعارض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ورد في بعض النصوص أن عفراء أخت الخليفة عمر، تمتّعت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حبلت و أنجبت طفلا، فلمّا دخل عليها، و وجد في حجرها طفلا يرضع من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أخذ الطفل على يده و خرج به إلى المسجد و نادى الناس، فلمّا جمعوا حكى لهم قصّة أخته التي كانت غير متبعّلة و أتت بولد،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تمتّعت، ثم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أبى ضربت جنبيه بالسوط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لكنّا لا نصرّ على هذا النصّ و لا نحتجّ به على السنّة؛ لعدم العثور عليه في مصادرهم، و عندنا أيضا مورد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ابن شبة قائمة بأسماء من تمتّع قبل تحريم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استمتع قبل تحريم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 سعد بن أبي طلحة من بني عبد الدار عن عميرة مولاة لكندة، فولدت عبد اللّه بن سعد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استمتع منها فضالة بن جعفر بن أميّة بن عابد المخزومي فولدت له أميّة بن فضالة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استمتع عبد اللّه بن أبي عوف بن جبيرة من بنت أبي لبيبة مولاة هشام بن الوليد بن المغيرة، و كانت تبيع الشراب و يغشى بيتها، فولدت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و لا عقب له،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تعترف بهذا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لرجمتك بأحجارك، و كان عمر يعرف هذه المرأة بالسوء، فحرّم المتعة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على ترجمة هؤلاء رغم التتبّع</w:t>
      </w:r>
      <w:r>
        <w:rPr>
          <w:rFonts w:eastAsia="Amiri" w:cs="Amiri" w:ascii="Amiri" w:hAnsi="Amiri"/>
          <w:color w:val="111111"/>
          <w:sz w:val="28"/>
          <w:szCs w:val="28"/>
          <w:rtl w:val="true"/>
          <w:lang w:bidi="ar-SA"/>
        </w:rPr>
        <w:t>.</w:t>
      </w:r>
      <w:bookmarkStart w:id="158" w:name="pg1254_13239"/>
    </w:p>
    <w:p>
      <w:pPr>
        <w:pStyle w:val="Heading3"/>
        <w:numPr>
          <w:ilvl w:val="2"/>
          <w:numId w:val="1"/>
        </w:numPr>
        <w:rPr/>
      </w:pPr>
      <w:bookmarkStart w:id="159" w:name="__RefHeading___Toc3103484_373438147"/>
      <w:bookmarkStart w:id="160" w:name="_Toc63"/>
      <w:bookmarkEnd w:id="158"/>
      <w:bookmarkEnd w:id="159"/>
      <w:r>
        <w:rPr>
          <w:rtl w:val="true"/>
        </w:rPr>
        <w:t>الفصل الثاني</w:t>
      </w:r>
      <w:r>
        <w:rPr>
          <w:rtl w:val="true"/>
        </w:rPr>
        <w:t xml:space="preserve">: </w:t>
      </w:r>
      <w:r>
        <w:rPr>
          <w:rtl w:val="true"/>
        </w:rPr>
        <w:t>في التابعين و الفقهاء</w:t>
      </w:r>
      <w:bookmarkEnd w:id="160"/>
    </w:p>
    <w:p>
      <w:pPr>
        <w:pStyle w:val="Heading4"/>
        <w:numPr>
          <w:ilvl w:val="3"/>
          <w:numId w:val="1"/>
        </w:numPr>
        <w:rPr/>
      </w:pPr>
      <w:bookmarkStart w:id="161" w:name="__RefHeading___Toc3103486_373438147"/>
      <w:bookmarkStart w:id="162" w:name="_Toc64"/>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لقد تبنّى القول بالجواز جمع من التابعين و تابعي التابعين، و ثلّة من المحدّثين الذين هم ممّن اتّفق أرباب الصحاح الستّة و غيرهم على النقل منهم، و الاعتماد عليهم، كابن جريج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يفنّد جانب القول بالحرمة و أنّها نسخت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أسماؤهم مع بيان موقعهم العلمي، و مكانتهم الاجتماعيّة عندهم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103488_373438147"/>
      <w:bookmarkStart w:id="164" w:name="_Toc65"/>
      <w:bookmarkEnd w:id="163"/>
      <w:r>
        <w:rPr/>
        <w:t>1</w:t>
      </w:r>
      <w:r>
        <w:rPr>
          <w:rtl w:val="true"/>
        </w:rPr>
        <w:t xml:space="preserve">. </w:t>
      </w:r>
      <w:r>
        <w:rPr>
          <w:rtl w:val="true"/>
        </w:rPr>
        <w:t xml:space="preserve">مالك بن أنس </w:t>
      </w:r>
      <w:r>
        <w:rPr>
          <w:rtl w:val="true"/>
        </w:rPr>
        <w:t>(</w:t>
      </w:r>
      <w:r>
        <w:rPr>
          <w:rtl w:val="true"/>
        </w:rPr>
        <w:t xml:space="preserve">ت </w:t>
      </w:r>
      <w:r>
        <w:rPr/>
        <w:t>179</w:t>
      </w:r>
      <w:r>
        <w:rPr>
          <w:rtl w:val="true"/>
        </w:rPr>
        <w:t xml:space="preserve"> </w:t>
      </w:r>
      <w:r>
        <w:rPr>
          <w:rtl w:val="true"/>
        </w:rPr>
        <w:t>ه</w:t>
      </w:r>
      <w:r>
        <w:rPr>
          <w:rtl w:val="true"/>
        </w:rPr>
        <w:t xml:space="preserve">. </w:t>
      </w:r>
      <w:r>
        <w:rPr>
          <w:rtl w:val="true"/>
        </w:rPr>
        <w:t>ق</w:t>
      </w:r>
      <w:r>
        <w:rPr>
          <w:rtl w:val="true"/>
        </w:rPr>
        <w:t>)</w:t>
      </w:r>
      <w:bookmarkEnd w:id="164"/>
    </w:p>
    <w:p>
      <w:pPr>
        <w:pStyle w:val="Heading5"/>
        <w:numPr>
          <w:ilvl w:val="4"/>
          <w:numId w:val="1"/>
        </w:numPr>
        <w:rPr/>
      </w:pPr>
      <w:bookmarkStart w:id="165" w:name="__RefHeading___Toc3103490_373438147"/>
      <w:bookmarkStart w:id="166" w:name="_Toc66"/>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المتعة أن يقول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أستمتع بك بكذا من المدّة بكذا من المال، و هذا باطل عندنا، جائز عند مالك بن أنس، و هو الظاهر من قول ابن عبّاس</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للسرخسي،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شرح الموطّأ للزرقاني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قولي مالك</w:t>
      </w:r>
      <w:r>
        <w:rPr>
          <w:rFonts w:eastAsia="Amiri" w:cs="Amiri" w:ascii="Amiri" w:hAnsi="Amiri"/>
          <w:color w:val="111111"/>
          <w:sz w:val="28"/>
          <w:szCs w:val="28"/>
          <w:rtl w:val="true"/>
          <w:lang w:bidi="ar-SA"/>
        </w:rPr>
        <w:t>.</w:t>
      </w:r>
      <w:r>
        <w:rPr>
          <w:rStyle w:val="FootnoteAnchor"/>
          <w:rtl w:val="true"/>
        </w:rPr>
        <w:footnoteReference w:id="135"/>
      </w:r>
      <w:bookmarkStart w:id="167" w:name="pg1254_13240"/>
    </w:p>
    <w:p>
      <w:pPr>
        <w:pStyle w:val="BookText"/>
        <w:rPr/>
      </w:pPr>
      <w:bookmarkEnd w:id="16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 الدين، أبو محمد، عثمان بن علي الزيلعي في تبيان الحقائق في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لأنّه كان مشروعا، فيبقى إلى أن يظهر ناسخه، و اشتهر عن ابن عبّاس تحليلها، و تبعه على ذلك أكثر أصحابه من أهل اليمن و مكّة، و كان يستدلّ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برهان الدين المرغيناني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 باطل، و هو أن يقول 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أتمتّع بك كذا مدّة بكذا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لأنّه كان مباحا فيبقى إلى أن يظهر ناسخه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لازم؛ لأنّ النكاح لا يبطل بالشروط الفاسدة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الأميني ينسب جواز المتعة إلى مالك في فتاوى الفرغاني تأليف القاضي فخر الدين، حسن بن منصور الفرغاني، و في خزانة الروايات في الفروع الحنفيّة تأليف القاضي جكن الحنفي، و في كتاب الكافي في الفروع الحنفيّة، و في العناية بشرح الهداية تأليف أكمل الدين الحنفي</w:t>
      </w:r>
      <w:r>
        <w:rPr>
          <w:rFonts w:eastAsia="Amiri" w:cs="Amiri" w:ascii="Amiri" w:hAnsi="Amiri"/>
          <w:color w:val="111111"/>
          <w:sz w:val="28"/>
          <w:szCs w:val="28"/>
          <w:rtl w:val="true"/>
          <w:lang w:bidi="ar-SA"/>
        </w:rPr>
        <w:t>.</w:t>
      </w:r>
      <w:r>
        <w:rPr>
          <w:rStyle w:val="FootnoteAnchor"/>
          <w:rtl w:val="true"/>
        </w:rPr>
        <w:footnoteReference w:id="138"/>
      </w:r>
    </w:p>
    <w:p>
      <w:pPr>
        <w:pStyle w:val="Heading5"/>
        <w:numPr>
          <w:ilvl w:val="4"/>
          <w:numId w:val="1"/>
        </w:numPr>
        <w:rPr/>
      </w:pPr>
      <w:bookmarkStart w:id="168" w:name="__RefHeading___Toc3103492_373438147"/>
      <w:bookmarkStart w:id="169" w:name="_Toc67"/>
      <w:bookmarkEnd w:id="168"/>
      <w:r>
        <w:rPr>
          <w:rtl w:val="true"/>
        </w:rPr>
        <w:t>التعريف بمالك بن أنس</w:t>
      </w:r>
      <w:bookmarkEnd w:id="1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الأمّة، إمام دار الهجرة، مولده عام ثلاث و تسعين، عام موت أنس خادم رسول اللّه صلّى اللّه عليه و آله، طلب العلم و هو حدث بعيد موت القاسم و</w:t>
      </w:r>
    </w:p>
    <w:p>
      <w:pPr>
        <w:pStyle w:val="BookText"/>
        <w:rPr/>
      </w:pPr>
      <w:r>
        <w:rPr>
          <w:rFonts w:ascii="Amiri" w:hAnsi="Amiri" w:eastAsia="Amiri" w:cs="Amiri"/>
          <w:color w:val="111111"/>
          <w:sz w:val="28"/>
          <w:sz w:val="28"/>
          <w:szCs w:val="28"/>
          <w:rtl w:val="true"/>
          <w:lang w:bidi="ar-SA"/>
        </w:rPr>
        <w:t>سالم، فأخذ عن نافع و سعيد المقبري، و عامر بن عبد اللّه بن الزبير، و ابن المنكدر، و الزهري، و جعفر بن محمد عليهما السّلام، و ربيعة الرأي و</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أوردهم الذهبي و هم عشرات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 المدينة بعد رسول اللّه صلّى اللّه عليه و آله و صاحبيه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عالم أهل الحجاز، و هو حجّة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العلماء فمالك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بالمدينة عالم من بعد التابعين يشبه مالكا في العلم و الفقه و الجلالة و الحفظ، فقد كان بها بعد الصحابة مثل سعيد بن المسيّب و الفقهاء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مالك هو المقدّم فيهم على الإطلاق، و الذي تضرب إليه آباط الإبل من الآفاق</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يدور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الليث،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الأوزاعي أنّه كان إذا ذكر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العلماء، و مفتي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بقيّة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على وجه الأرض أعلم بسنّة ماضية منك يا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أبي حنيفة، و مالك، و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في الحديث و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يقتدى 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من حجج اللّه على خلقه</w:t>
      </w:r>
      <w:r>
        <w:rPr>
          <w:rFonts w:eastAsia="Amiri" w:cs="Amiri" w:ascii="Amiri" w:hAnsi="Amiri"/>
          <w:color w:val="111111"/>
          <w:sz w:val="28"/>
          <w:szCs w:val="28"/>
          <w:rtl w:val="true"/>
          <w:lang w:bidi="ar-SA"/>
        </w:rPr>
        <w:t>....</w:t>
      </w:r>
      <w:r>
        <w:rPr>
          <w:rStyle w:val="FootnoteAnchor"/>
          <w:rtl w:val="true"/>
        </w:rPr>
        <w:footnoteReference w:id="141"/>
      </w:r>
      <w:bookmarkStart w:id="170" w:name="pg1254_13242"/>
    </w:p>
    <w:p>
      <w:pPr>
        <w:pStyle w:val="BookText"/>
        <w:rPr/>
      </w:pPr>
      <w:bookmarkEnd w:id="17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ليس بالرجل المجهول عند أهل السنّة، بل هو إمام من أئمّة مذاهبهم الأربعة المعروفة، و هو يرى حلّيّة المتعة، كما صرّح بذلك السرخسي، و الزرقاني، و الزيلعي، و الفرغاني، و القاضي جكن، و أكمل الدين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مسوّغ للقول بأنّ حلّيّة المتعة من متفرّدات الشيعة الإماميّة، كما زعم ذلك بعض من لا علم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ابن أبي عمير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على الصادق جعفر بن محمد عليهما السّلام، فيقدّم لي مخدّة و يعرف لي قدرا،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إنّي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أسرّ بذاك و أحمد اللّه عليه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أمالي الصدوق،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التستري عنه، أنّه كان يرى الغناء، و يعمل بالمصالح المرسلة، و له آراء سيّئة في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43"/>
      </w:r>
    </w:p>
    <w:p>
      <w:pPr>
        <w:pStyle w:val="Heading4"/>
        <w:numPr>
          <w:ilvl w:val="3"/>
          <w:numId w:val="1"/>
        </w:numPr>
        <w:rPr/>
      </w:pPr>
      <w:bookmarkStart w:id="171" w:name="__RefHeading___Toc3103494_373438147"/>
      <w:bookmarkStart w:id="172" w:name="_Toc68"/>
      <w:bookmarkEnd w:id="171"/>
      <w:r>
        <w:rPr/>
        <w:t>2</w:t>
      </w:r>
      <w:r>
        <w:rPr>
          <w:rtl w:val="true"/>
        </w:rPr>
        <w:t xml:space="preserve">. </w:t>
      </w:r>
      <w:r>
        <w:rPr>
          <w:rtl w:val="true"/>
        </w:rPr>
        <w:t xml:space="preserve">أحمد بن حنبل </w:t>
      </w:r>
      <w:r>
        <w:rPr>
          <w:rtl w:val="true"/>
        </w:rPr>
        <w:t>(</w:t>
      </w:r>
      <w:r>
        <w:rPr>
          <w:rtl w:val="true"/>
        </w:rPr>
        <w:t xml:space="preserve">ت </w:t>
      </w:r>
      <w:r>
        <w:rPr/>
        <w:t>241</w:t>
      </w:r>
      <w:r>
        <w:rPr>
          <w:rtl w:val="true"/>
        </w:rPr>
        <w:t xml:space="preserve"> </w:t>
      </w:r>
      <w:r>
        <w:rPr>
          <w:rtl w:val="true"/>
        </w:rPr>
        <w:t>ه</w:t>
      </w:r>
      <w:r>
        <w:rPr>
          <w:rtl w:val="true"/>
        </w:rPr>
        <w:t xml:space="preserve">. </w:t>
      </w:r>
      <w:r>
        <w:rPr>
          <w:rtl w:val="true"/>
        </w:rPr>
        <w:t>ق</w:t>
      </w:r>
      <w:r>
        <w:rPr>
          <w:rtl w:val="true"/>
        </w:rPr>
        <w:t>)</w:t>
      </w:r>
      <w:bookmarkEnd w:id="172"/>
    </w:p>
    <w:p>
      <w:pPr>
        <w:pStyle w:val="Heading5"/>
        <w:numPr>
          <w:ilvl w:val="4"/>
          <w:numId w:val="1"/>
        </w:numPr>
        <w:rPr/>
      </w:pPr>
      <w:bookmarkStart w:id="173" w:name="__RefHeading___Toc3103496_373438147"/>
      <w:bookmarkStart w:id="174" w:name="_Toc69"/>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فيها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مكروهة غير حرام؛ لأنّ ابن منصور سأل أحمد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يجتنبها أحبّ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هذا الكراهة دون التحريم</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الساجي في كتابه الاختلاف عن أحمد بن حنبل، أنّه سئل عن نكاح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و هذا يدلّ على أنّه لم يكن عازما على</w:t>
      </w:r>
      <w:bookmarkStart w:id="175" w:name="pg1254_13243"/>
    </w:p>
    <w:p>
      <w:pPr>
        <w:pStyle w:val="BookText"/>
        <w:rPr/>
      </w:pPr>
      <w:bookmarkEnd w:id="175"/>
      <w:r>
        <w:rPr>
          <w:rFonts w:ascii="Amiri" w:hAnsi="Amiri" w:eastAsia="Amiri" w:cs="Amiri"/>
          <w:color w:val="111111"/>
          <w:sz w:val="28"/>
          <w:sz w:val="28"/>
          <w:szCs w:val="28"/>
          <w:rtl w:val="true"/>
          <w:lang w:bidi="ar-SA"/>
        </w:rPr>
        <w:t>تحريمها ألبتّة، و إنّما كان يكرهها لضرب من الرأي</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سلسلة مؤلّفات الشيخ المفيد،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103498_373438147"/>
      <w:bookmarkStart w:id="177" w:name="_Toc70"/>
      <w:bookmarkEnd w:id="176"/>
      <w:r>
        <w:rPr>
          <w:rtl w:val="true"/>
        </w:rPr>
        <w:t>التعريف بابن حنبل</w:t>
      </w:r>
      <w:bookmarkEnd w:id="177"/>
    </w:p>
    <w:p>
      <w:pPr>
        <w:pStyle w:val="BookText"/>
        <w:rPr/>
      </w:pPr>
      <w:r>
        <w:rPr>
          <w:rFonts w:ascii="Amiri" w:hAnsi="Amiri" w:eastAsia="Amiri" w:cs="Amiri"/>
          <w:color w:val="111111"/>
          <w:sz w:val="28"/>
          <w:sz w:val="28"/>
          <w:szCs w:val="28"/>
          <w:rtl w:val="true"/>
          <w:lang w:bidi="ar-SA"/>
        </w:rPr>
        <w:t>هو أبو عبد اللّه، أحمد بن محمد بن حنبل بن هلال الشيباني المروزي، ثمّ البغدادي، خرجت به أمه من مرو و هي حامل، فولدته ببغداد، و بها طلب العلم، فروى عن بشر بن المفضّل، و إسماعيل بن عليّة، و سفيان بن عيينة، و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البخاري، و مسلم، و أبو داود، و الباقون مع البخاري أيضا بواسطة غيرهم</w:t>
      </w:r>
      <w:r>
        <w:rPr>
          <w:rFonts w:eastAsia="Amiri" w:cs="Amiri" w:ascii="Amiri" w:hAnsi="Amiri"/>
          <w:color w:val="111111"/>
          <w:sz w:val="28"/>
          <w:szCs w:val="28"/>
          <w:rtl w:val="true"/>
          <w:lang w:bidi="ar-SA"/>
        </w:rPr>
        <w:t>.</w:t>
      </w:r>
      <w:r>
        <w:rPr>
          <w:rStyle w:val="FootnoteAnchor"/>
          <w:rtl w:val="true"/>
        </w:rPr>
        <w:footnoteReference w:id="146"/>
      </w:r>
    </w:p>
    <w:p>
      <w:pPr>
        <w:pStyle w:val="Heading4"/>
        <w:numPr>
          <w:ilvl w:val="3"/>
          <w:numId w:val="1"/>
        </w:numPr>
        <w:rPr/>
      </w:pPr>
      <w:bookmarkStart w:id="178" w:name="__RefHeading___Toc3103500_373438147"/>
      <w:bookmarkStart w:id="179" w:name="_Toc71"/>
      <w:bookmarkEnd w:id="178"/>
      <w:r>
        <w:rPr/>
        <w:t>3</w:t>
      </w:r>
      <w:r>
        <w:rPr>
          <w:rtl w:val="true"/>
        </w:rPr>
        <w:t xml:space="preserve">. </w:t>
      </w:r>
      <w:r>
        <w:rPr>
          <w:rtl w:val="true"/>
        </w:rPr>
        <w:t xml:space="preserve">سعيد بن جبير </w:t>
      </w:r>
      <w:r>
        <w:rPr>
          <w:rtl w:val="true"/>
        </w:rPr>
        <w:t>(</w:t>
      </w:r>
      <w:r>
        <w:rPr>
          <w:rtl w:val="true"/>
        </w:rPr>
        <w:t xml:space="preserve">ت </w:t>
      </w:r>
      <w:r>
        <w:rPr/>
        <w:t>95</w:t>
      </w:r>
      <w:r>
        <w:rPr>
          <w:rtl w:val="true"/>
        </w:rPr>
        <w:t xml:space="preserve"> </w:t>
      </w:r>
      <w:r>
        <w:rPr>
          <w:rtl w:val="true"/>
        </w:rPr>
        <w:t>ه</w:t>
      </w:r>
      <w:r>
        <w:rPr>
          <w:rtl w:val="true"/>
        </w:rPr>
        <w:t xml:space="preserve">. </w:t>
      </w:r>
      <w:r>
        <w:rPr>
          <w:rtl w:val="true"/>
        </w:rPr>
        <w:t>ق</w:t>
      </w:r>
      <w:r>
        <w:rPr>
          <w:rtl w:val="true"/>
        </w:rPr>
        <w:t>)</w:t>
      </w:r>
      <w:bookmarkEnd w:id="179"/>
    </w:p>
    <w:p>
      <w:pPr>
        <w:pStyle w:val="Heading5"/>
        <w:numPr>
          <w:ilvl w:val="4"/>
          <w:numId w:val="1"/>
        </w:numPr>
        <w:rPr/>
      </w:pPr>
      <w:bookmarkStart w:id="180" w:name="__RefHeading___Toc3103502_373438147"/>
      <w:bookmarkStart w:id="181" w:name="_Toc72"/>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جبير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التابعين، منهم سعيد بن جبير</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عثمان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بمكّة امرأة عراقيّة تنسك</w:t>
      </w:r>
      <w:r>
        <w:rPr>
          <w:rStyle w:val="FootnoteAnchor"/>
          <w:rtl w:val="true"/>
        </w:rPr>
        <w:footnoteReference w:id="149"/>
      </w:r>
      <w:r>
        <w:rPr>
          <w:rFonts w:ascii="Amiri" w:hAnsi="Amiri" w:eastAsia="Amiri" w:cs="Amiri"/>
          <w:color w:val="111111"/>
          <w:sz w:val="28"/>
          <w:sz w:val="28"/>
          <w:szCs w:val="28"/>
          <w:rtl w:val="true"/>
          <w:lang w:bidi="ar-SA"/>
        </w:rPr>
        <w:t>جميلة، لها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و كان سعيد بن جبير يكثر الدخول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أكثر ما تدخل</w:t>
      </w:r>
      <w:bookmarkStart w:id="182" w:name="pg1254_13244"/>
    </w:p>
    <w:p>
      <w:pPr>
        <w:pStyle w:val="BookText"/>
        <w:rPr/>
      </w:pPr>
      <w:bookmarkEnd w:id="182"/>
      <w:r>
        <w:rPr>
          <w:rFonts w:ascii="Amiri" w:hAnsi="Amiri" w:eastAsia="Amiri" w:cs="Amiri"/>
          <w:color w:val="111111"/>
          <w:sz w:val="28"/>
          <w:sz w:val="28"/>
          <w:szCs w:val="28"/>
          <w:rtl w:val="true"/>
          <w:lang w:bidi="ar-SA"/>
        </w:rPr>
        <w:t>على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نكحناها ذلك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 سعيدا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أحلّ من 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الذين كانوا يقرؤون هذه الآية 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151"/>
      </w:r>
    </w:p>
    <w:p>
      <w:pPr>
        <w:pStyle w:val="Heading5"/>
        <w:numPr>
          <w:ilvl w:val="4"/>
          <w:numId w:val="1"/>
        </w:numPr>
        <w:rPr/>
      </w:pPr>
      <w:bookmarkStart w:id="183" w:name="__RefHeading___Toc3103504_373438147"/>
      <w:bookmarkStart w:id="184" w:name="_Toc73"/>
      <w:bookmarkEnd w:id="183"/>
      <w:r>
        <w:rPr>
          <w:rtl w:val="true"/>
        </w:rPr>
        <w:t>التعريف بسعيد بن جبير</w:t>
      </w:r>
      <w:bookmarkEnd w:id="184"/>
    </w:p>
    <w:p>
      <w:pPr>
        <w:pStyle w:val="BookText"/>
        <w:rPr/>
      </w:pPr>
      <w:r>
        <w:rPr>
          <w:rFonts w:ascii="Amiri" w:hAnsi="Amiri" w:eastAsia="Amiri" w:cs="Amiri"/>
          <w:color w:val="111111"/>
          <w:sz w:val="28"/>
          <w:sz w:val="28"/>
          <w:szCs w:val="28"/>
          <w:rtl w:val="true"/>
          <w:lang w:bidi="ar-SA"/>
        </w:rPr>
        <w:t>و هل يتأمّل أحد في جلالة سعيد و فضله و تقواه؟ فهو الإمام، الحافظ، المقرئ، المفسّر، الشهيد، أحد الأعلام، روى عنه الستّة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عن أبي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إمام، حجّة على المسلمين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عن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عابدا، فاضلا، ورعا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مولده في خلافة الإمام الحسن عليه السّلام، و مقتله عام خمس و تسعين</w:t>
      </w:r>
      <w:r>
        <w:rPr>
          <w:rFonts w:eastAsia="Amiri" w:cs="Amiri" w:ascii="Amiri" w:hAnsi="Amiri"/>
          <w:color w:val="111111"/>
          <w:sz w:val="28"/>
          <w:szCs w:val="28"/>
          <w:rtl w:val="true"/>
          <w:lang w:bidi="ar-SA"/>
        </w:rPr>
        <w:t>.</w:t>
      </w:r>
      <w:r>
        <w:rPr>
          <w:rStyle w:val="FootnoteAnchor"/>
          <w:rtl w:val="true"/>
        </w:rPr>
        <w:footnoteReference w:id="155"/>
      </w:r>
    </w:p>
    <w:p>
      <w:pPr>
        <w:pStyle w:val="Heading4"/>
        <w:numPr>
          <w:ilvl w:val="3"/>
          <w:numId w:val="1"/>
        </w:numPr>
        <w:rPr/>
      </w:pPr>
      <w:bookmarkStart w:id="185" w:name="__RefHeading___Toc3103506_373438147"/>
      <w:bookmarkStart w:id="186" w:name="_Toc74"/>
      <w:bookmarkEnd w:id="185"/>
      <w:r>
        <w:rPr/>
        <w:t>4</w:t>
      </w:r>
      <w:r>
        <w:rPr>
          <w:rtl w:val="true"/>
        </w:rPr>
        <w:t xml:space="preserve">. </w:t>
      </w:r>
      <w:r>
        <w:rPr>
          <w:rtl w:val="true"/>
        </w:rPr>
        <w:t xml:space="preserve">عبد الملك بن عبد العزيز بن جريج </w:t>
      </w:r>
      <w:r>
        <w:rPr>
          <w:rtl w:val="true"/>
        </w:rPr>
        <w:t>(</w:t>
      </w:r>
      <w:r>
        <w:rPr>
          <w:rtl w:val="true"/>
        </w:rPr>
        <w:t xml:space="preserve">ت </w:t>
      </w:r>
      <w:r>
        <w:rPr/>
        <w:t>150</w:t>
      </w:r>
      <w:r>
        <w:rPr>
          <w:rtl w:val="true"/>
        </w:rPr>
        <w:t xml:space="preserve"> </w:t>
      </w:r>
      <w:r>
        <w:rPr>
          <w:rtl w:val="true"/>
        </w:rPr>
        <w:t>ه</w:t>
      </w:r>
      <w:r>
        <w:rPr>
          <w:rtl w:val="true"/>
        </w:rPr>
        <w:t xml:space="preserve">. </w:t>
      </w:r>
      <w:r>
        <w:rPr>
          <w:rtl w:val="true"/>
        </w:rPr>
        <w:t>ق</w:t>
      </w:r>
      <w:r>
        <w:rPr>
          <w:rtl w:val="true"/>
        </w:rPr>
        <w:t>)</w:t>
      </w:r>
      <w:bookmarkEnd w:id="186"/>
    </w:p>
    <w:p>
      <w:pPr>
        <w:pStyle w:val="Heading5"/>
        <w:numPr>
          <w:ilvl w:val="4"/>
          <w:numId w:val="1"/>
        </w:numPr>
        <w:rPr/>
      </w:pPr>
      <w:bookmarkStart w:id="187" w:name="__RefHeading___Toc3103508_373438147"/>
      <w:bookmarkStart w:id="188" w:name="_Toc75"/>
      <w:bookmarkEnd w:id="187"/>
      <w:r>
        <w:rPr>
          <w:rtl w:val="true"/>
        </w:rPr>
        <w:t>اشارة</w:t>
      </w:r>
      <w:bookmarkEnd w:id="1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الأعلام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نفسه مجمع على ثقته</w:t>
      </w:r>
      <w:bookmarkStart w:id="189" w:name="pg1254_13245"/>
    </w:p>
    <w:p>
      <w:pPr>
        <w:pStyle w:val="BookText"/>
        <w:rPr/>
      </w:pPr>
      <w:bookmarkEnd w:id="189"/>
      <w:r>
        <w:rPr>
          <w:rFonts w:ascii="Amiri" w:hAnsi="Amiri" w:eastAsia="Amiri" w:cs="Amiri"/>
          <w:color w:val="111111"/>
          <w:sz w:val="28"/>
          <w:sz w:val="28"/>
          <w:szCs w:val="28"/>
          <w:rtl w:val="true"/>
          <w:lang w:bidi="ar-SA"/>
        </w:rPr>
        <w:t>مع كونه قد تزوّج نحوا من سبعين امرأة نكاح متعة، كان يرى الرخصة في ذلك، و كان فقيه أهل مكّة في زمانه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استمتع ابن جريج بتسعين امرأة، حتى إنّه كان يحتقن في الليل بأوقية شيرج طلبا للجماع</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أوصى بنيه بستّين امرأة،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تزوّجوا بهنّ فإنّهنّ أمّهاتكم، و كان يرى المتعة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عهد إلى أولاده في أسمائهنّ لئلاّ يغلط أحد منهم و يتزوّج واحدة ممّا نكح أبوه بالمتعة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جريج و الإماميّة جوازه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ابن جريج وحده ثمانية عشر حديثا في حلّيّة المتعة</w:t>
      </w:r>
      <w:r>
        <w:rPr>
          <w:rFonts w:eastAsia="Amiri" w:cs="Amiri" w:ascii="Amiri" w:hAnsi="Amiri"/>
          <w:color w:val="111111"/>
          <w:sz w:val="28"/>
          <w:szCs w:val="28"/>
          <w:rtl w:val="true"/>
          <w:lang w:bidi="ar-SA"/>
        </w:rPr>
        <w:t>.</w:t>
      </w:r>
      <w:r>
        <w:rPr>
          <w:rStyle w:val="FootnoteAnchor"/>
          <w:rtl w:val="true"/>
        </w:rPr>
        <w:footnoteReference w:id="161"/>
      </w:r>
    </w:p>
    <w:p>
      <w:pPr>
        <w:pStyle w:val="Heading5"/>
        <w:numPr>
          <w:ilvl w:val="4"/>
          <w:numId w:val="1"/>
        </w:numPr>
        <w:rPr/>
      </w:pPr>
      <w:bookmarkStart w:id="190" w:name="__RefHeading___Toc3103510_373438147"/>
      <w:bookmarkStart w:id="191" w:name="_Toc76"/>
      <w:bookmarkEnd w:id="190"/>
      <w:r>
        <w:rPr>
          <w:rtl w:val="true"/>
        </w:rPr>
        <w:t>رواية إسماعيل بن الفضل الهاشمي</w:t>
      </w:r>
      <w:bookmarkEnd w:id="1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عبد الملك بن جريج، فسله عنها؛ فإنّ عنده منها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فأملى عليّ شيئا كثيرا في استحلالها، و كان فيما روى لي فيها ابن جريج، أنّه ليس فيها وقت و لا عدد،</w:t>
      </w:r>
      <w:bookmarkStart w:id="192" w:name="pg1254_13246"/>
    </w:p>
    <w:p>
      <w:pPr>
        <w:pStyle w:val="BookText"/>
        <w:rPr/>
      </w:pPr>
      <w:bookmarkEnd w:id="192"/>
      <w:r>
        <w:rPr>
          <w:rFonts w:ascii="Amiri" w:hAnsi="Amiri" w:eastAsia="Amiri" w:cs="Amiri"/>
          <w:color w:val="111111"/>
          <w:sz w:val="28"/>
          <w:sz w:val="28"/>
          <w:szCs w:val="28"/>
          <w:rtl w:val="true"/>
          <w:lang w:bidi="ar-SA"/>
        </w:rPr>
        <w:t>إنّما هي بمنزلة الإماء يتزوّج منهنّ كم شاء، و صاحب الأربع نسوة يتزوّج منهنّ ما شاء بغير وليّ و لا شهود، فإذا انقضى الأجل بانت منه بغير طلاق، و يعطيها الشيء اليسير، و عدّتها حيضتان، و إن كانت لا تحيض فخمسة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بالكتاب أبا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به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مرآة العقول،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 حسّنه المجلسي</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103512_373438147"/>
      <w:bookmarkStart w:id="194" w:name="_Toc77"/>
      <w:bookmarkEnd w:id="193"/>
      <w:r>
        <w:rPr>
          <w:rtl w:val="true"/>
        </w:rPr>
        <w:t>التعريف بابن جريج</w:t>
      </w:r>
      <w:bookmarkEnd w:id="194"/>
    </w:p>
    <w:p>
      <w:pPr>
        <w:pStyle w:val="BookText"/>
        <w:rPr/>
      </w:pPr>
      <w:r>
        <w:rPr>
          <w:rFonts w:ascii="Amiri" w:hAnsi="Amiri" w:eastAsia="Amiri" w:cs="Amiri"/>
          <w:color w:val="111111"/>
          <w:sz w:val="28"/>
          <w:sz w:val="28"/>
          <w:szCs w:val="28"/>
          <w:rtl w:val="true"/>
          <w:lang w:bidi="ar-SA"/>
        </w:rPr>
        <w:t>إنّه ممّن روى عنه أرباب الصحاح و العشرات من المعاريف بمن فيهم ابن عليّة، و 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العلاّمة، الحافظ، شيخ الحرم، و صاحب التصانيف، و أوّل من دوّن العلم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شباب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يدور على ستّة، فذكرهم و ذكر ابن جريج، و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نسمّي كتب ابن جريج كتب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ثقة في كلّ ما روي عنه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في نفسه ثقة، و قد كان شيخ الحرم بعد الصحابة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و مجاهد، و خلفهما قيس بن سعد و ابن جريج، ثمّ تفرّد بالإمامة ابن جريج فدوّن العلم، و حمل عنه الناس، و عليه تفقّه مسلم بن خالد الزنجي، و تفقّه بالزنجي الإمام الشافعي</w:t>
      </w:r>
      <w:r>
        <w:rPr>
          <w:rFonts w:eastAsia="Amiri" w:cs="Amiri" w:ascii="Amiri" w:hAnsi="Amiri"/>
          <w:color w:val="111111"/>
          <w:sz w:val="28"/>
          <w:szCs w:val="28"/>
          <w:rtl w:val="true"/>
          <w:lang w:bidi="ar-SA"/>
        </w:rPr>
        <w:t>.</w:t>
      </w:r>
      <w:bookmarkStart w:id="195" w:name="pg1254_13247"/>
    </w:p>
    <w:p>
      <w:pPr>
        <w:pStyle w:val="BookText"/>
        <w:rPr/>
      </w:pPr>
      <w:bookmarkEnd w:id="195"/>
      <w:r>
        <w:rPr>
          <w:rFonts w:ascii="Amiri" w:hAnsi="Amiri" w:eastAsia="Amiri" w:cs="Amiri"/>
          <w:color w:val="111111"/>
          <w:sz w:val="28"/>
          <w:sz w:val="28"/>
          <w:szCs w:val="28"/>
          <w:rtl w:val="true"/>
          <w:lang w:bidi="ar-SA"/>
        </w:rPr>
        <w:t>و روايات ابن جريج وافرة في الكتب الستّة، و في مسند أحمد، و معجم الطبراني الأكبر، و في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ابن جريج علمت أنّه يخشى اللّه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جريج إلى العراق قبل موته، و حدّث بالبصرة، و أكثروا عنه و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صدوقا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فابن جريج مجمع على ثقته عند السنّة، و معتمد عليه عند المحدّثين و الرواة، و أنّه صدوق، و ثقة، و أنّه يخشى اللّه، و هو كان يرى حلّيّة المتعة و يعمل بها، لم يكن يعمل ذلك إلاّ لعدم ثبوت النسخ، بل ثبوت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رجال العامّة إلاّ أنّ له ميلا و محبّة شديدة، كما عن الكشّي، و صرّح المفيد و المرتضى بأنّه من علماء العامّة و أفتى بحلّيّة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المتعة كالإماميّة، كذلك روى كون الأذان من وحي السماء لا من رؤيا عبد اللّه بن زيد</w:t>
      </w:r>
      <w:r>
        <w:rPr>
          <w:rFonts w:eastAsia="Amiri" w:cs="Amiri" w:ascii="Amiri" w:hAnsi="Amiri"/>
          <w:color w:val="111111"/>
          <w:sz w:val="28"/>
          <w:szCs w:val="28"/>
          <w:rtl w:val="true"/>
          <w:lang w:bidi="ar-SA"/>
        </w:rPr>
        <w:t>.</w:t>
      </w:r>
      <w:r>
        <w:rPr>
          <w:rStyle w:val="FootnoteAnchor"/>
          <w:rtl w:val="true"/>
        </w:rPr>
        <w:footnoteReference w:id="165"/>
      </w:r>
    </w:p>
    <w:p>
      <w:pPr>
        <w:pStyle w:val="Heading5"/>
        <w:numPr>
          <w:ilvl w:val="4"/>
          <w:numId w:val="1"/>
        </w:numPr>
        <w:rPr/>
      </w:pPr>
      <w:bookmarkStart w:id="196" w:name="__RefHeading___Toc3103514_373438147"/>
      <w:bookmarkStart w:id="197" w:name="_Toc78"/>
      <w:bookmarkEnd w:id="196"/>
      <w:r>
        <w:rPr>
          <w:rtl w:val="true"/>
        </w:rPr>
        <w:t>ملاحظة هل رجع ابن جريج عن رأيه؟</w:t>
      </w:r>
      <w:bookmarkEnd w:id="1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برجوع ابن جريج عن رأيه، و إعلان ذلك في البصرة، كما نسبه الشوكاني إلى أبي عوانة،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أبو عوانة في صحيحه عن</w:t>
      </w:r>
      <w:bookmarkStart w:id="198" w:name="pg1254_13248"/>
    </w:p>
    <w:p>
      <w:pPr>
        <w:pStyle w:val="BookText"/>
        <w:rPr/>
      </w:pPr>
      <w:bookmarkEnd w:id="198"/>
      <w:r>
        <w:rPr>
          <w:rFonts w:ascii="Amiri" w:hAnsi="Amiri" w:eastAsia="Amiri" w:cs="Amiri"/>
          <w:color w:val="111111"/>
          <w:sz w:val="28"/>
          <w:sz w:val="28"/>
          <w:szCs w:val="28"/>
          <w:rtl w:val="true"/>
          <w:lang w:bidi="ar-SA"/>
        </w:rPr>
        <w:t>ابن جريج أنّه قال لهم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رجعت عنها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النقل و هذه الرواية مرسلة، لأنّ ابن جريج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عوانة مولده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يمكنه الحديث عن ابن جريج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النقل مرسل و لم يعرف ناقله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103516_373438147"/>
      <w:bookmarkStart w:id="200" w:name="_Toc79"/>
      <w:bookmarkEnd w:id="199"/>
      <w:r>
        <w:rPr/>
        <w:t>5</w:t>
      </w:r>
      <w:r>
        <w:rPr>
          <w:rtl w:val="true"/>
        </w:rPr>
        <w:t xml:space="preserve">. </w:t>
      </w:r>
      <w:r>
        <w:rPr>
          <w:rtl w:val="true"/>
        </w:rPr>
        <w:t xml:space="preserve">عطاء بن أبي رباح </w:t>
      </w:r>
      <w:r>
        <w:rPr>
          <w:rtl w:val="true"/>
        </w:rPr>
        <w:t>(</w:t>
      </w:r>
      <w:r>
        <w:rPr>
          <w:rtl w:val="true"/>
        </w:rPr>
        <w:t xml:space="preserve">ت </w:t>
      </w:r>
      <w:r>
        <w:rPr/>
        <w:t>115</w:t>
      </w:r>
      <w:r>
        <w:rPr>
          <w:rtl w:val="true"/>
        </w:rPr>
        <w:t xml:space="preserve"> </w:t>
      </w:r>
      <w:r>
        <w:rPr>
          <w:rtl w:val="true"/>
        </w:rPr>
        <w:t>ه</w:t>
      </w:r>
      <w:r>
        <w:rPr>
          <w:rtl w:val="true"/>
        </w:rPr>
        <w:t xml:space="preserve">. </w:t>
      </w:r>
      <w:r>
        <w:rPr>
          <w:rtl w:val="true"/>
        </w:rPr>
        <w:t>ق</w:t>
      </w:r>
      <w:r>
        <w:rPr>
          <w:rtl w:val="true"/>
        </w:rPr>
        <w:t>)</w:t>
      </w:r>
      <w:bookmarkEnd w:id="200"/>
    </w:p>
    <w:p>
      <w:pPr>
        <w:pStyle w:val="Heading5"/>
        <w:numPr>
          <w:ilvl w:val="4"/>
          <w:numId w:val="1"/>
        </w:numPr>
        <w:rPr/>
      </w:pPr>
      <w:bookmarkStart w:id="201" w:name="__RefHeading___Toc3103518_373438147"/>
      <w:bookmarkStart w:id="202" w:name="_Toc80"/>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ثبت على تحليل المتعة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التابعين،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الحارث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أنّ محمد بن هشام سأل عطاء بن أبي رباح عن متعة النساء، فحدّثه فيها و لم ير بها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محمد بن هشام،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حدّثني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أرى عطاء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ابن هشام،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حدّث القاسم الذي حدّثتني في المتعة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حدّثتك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حدّثتني</w:t>
      </w:r>
      <w:r>
        <w:rPr>
          <w:rFonts w:eastAsia="Amiri" w:cs="Amiri" w:ascii="Amiri" w:hAnsi="Amiri"/>
          <w:color w:val="111111"/>
          <w:sz w:val="28"/>
          <w:szCs w:val="28"/>
          <w:rtl w:val="true"/>
          <w:lang w:bidi="ar-SA"/>
        </w:rPr>
        <w:t>.</w:t>
      </w:r>
      <w:bookmarkStart w:id="203" w:name="pg1254_13249"/>
    </w:p>
    <w:p>
      <w:pPr>
        <w:pStyle w:val="BookText"/>
        <w:rPr/>
      </w:pPr>
      <w:bookmarkEnd w:id="20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فلمّا خرج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كرهت أن أقولها بين يدي القاسم، فيلعنني و يلعنني أهل المدينة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لابن وهب الشاعر و إقدامه على المتعة بدينار ليوم و ليلة، نقلها عن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نقلها ابن عبد ربّه في العقد الفريد،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103520_373438147"/>
      <w:bookmarkStart w:id="205" w:name="_Toc81"/>
      <w:bookmarkEnd w:id="204"/>
      <w:r>
        <w:rPr>
          <w:rtl w:val="true"/>
        </w:rPr>
        <w:t>التعريف بعطاء</w:t>
      </w:r>
      <w:bookmarkEnd w:id="205"/>
    </w:p>
    <w:p>
      <w:pPr>
        <w:pStyle w:val="BookText"/>
        <w:rPr/>
      </w:pPr>
      <w:r>
        <w:rPr>
          <w:rFonts w:ascii="Amiri" w:hAnsi="Amiri" w:eastAsia="Amiri" w:cs="Amiri"/>
          <w:color w:val="111111"/>
          <w:sz w:val="28"/>
          <w:sz w:val="28"/>
          <w:szCs w:val="28"/>
          <w:rtl w:val="true"/>
          <w:lang w:bidi="ar-SA"/>
        </w:rPr>
        <w:t>إنّه مفتي أهل مكّة و محدّثهم، ولد في خلافة عثمان،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شيخ الإسلام، مفتي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كان فقيها، عالما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 مع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عطاء أهل مكّة في الفتوى</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عامّيّته، و لم يذكر أحد تشيّعه</w:t>
      </w:r>
      <w:r>
        <w:rPr>
          <w:rFonts w:eastAsia="Amiri" w:cs="Amiri" w:ascii="Amiri" w:hAnsi="Amiri"/>
          <w:color w:val="111111"/>
          <w:sz w:val="28"/>
          <w:szCs w:val="28"/>
          <w:rtl w:val="true"/>
          <w:lang w:bidi="ar-SA"/>
        </w:rPr>
        <w:t>.</w:t>
      </w:r>
      <w:r>
        <w:rPr>
          <w:rStyle w:val="FootnoteAnchor"/>
          <w:rtl w:val="true"/>
        </w:rPr>
        <w:footnoteReference w:id="171"/>
      </w:r>
    </w:p>
    <w:p>
      <w:pPr>
        <w:pStyle w:val="Heading4"/>
        <w:numPr>
          <w:ilvl w:val="3"/>
          <w:numId w:val="1"/>
        </w:numPr>
        <w:rPr/>
      </w:pPr>
      <w:bookmarkStart w:id="206" w:name="__RefHeading___Toc3103522_373438147"/>
      <w:bookmarkStart w:id="207" w:name="_Toc82"/>
      <w:bookmarkEnd w:id="206"/>
      <w:r>
        <w:rPr/>
        <w:t>6</w:t>
      </w:r>
      <w:r>
        <w:rPr>
          <w:rtl w:val="true"/>
        </w:rPr>
        <w:t xml:space="preserve">. </w:t>
      </w:r>
      <w:r>
        <w:rPr>
          <w:rtl w:val="true"/>
        </w:rPr>
        <w:t xml:space="preserve">طاووس اليماني </w:t>
      </w:r>
      <w:r>
        <w:rPr>
          <w:rtl w:val="true"/>
        </w:rPr>
        <w:t>(</w:t>
      </w:r>
      <w:r>
        <w:rPr>
          <w:rtl w:val="true"/>
        </w:rPr>
        <w:t xml:space="preserve">ت </w:t>
      </w:r>
      <w:r>
        <w:rPr/>
        <w:t>106</w:t>
      </w:r>
      <w:r>
        <w:rPr>
          <w:rtl w:val="true"/>
        </w:rPr>
        <w:t xml:space="preserve"> </w:t>
      </w:r>
      <w:r>
        <w:rPr>
          <w:rtl w:val="true"/>
        </w:rPr>
        <w:t>ه</w:t>
      </w:r>
      <w:r>
        <w:rPr>
          <w:rtl w:val="true"/>
        </w:rPr>
        <w:t xml:space="preserve">. </w:t>
      </w:r>
      <w:r>
        <w:rPr>
          <w:rtl w:val="true"/>
        </w:rPr>
        <w:t>ق</w:t>
      </w:r>
      <w:r>
        <w:rPr>
          <w:rtl w:val="true"/>
        </w:rPr>
        <w:t>)</w:t>
      </w:r>
      <w:bookmarkEnd w:id="207"/>
    </w:p>
    <w:p>
      <w:pPr>
        <w:pStyle w:val="Heading5"/>
        <w:numPr>
          <w:ilvl w:val="4"/>
          <w:numId w:val="1"/>
        </w:numPr>
        <w:rPr/>
      </w:pPr>
      <w:bookmarkStart w:id="208" w:name="__RefHeading___Toc3103524_373438147"/>
      <w:bookmarkStart w:id="209" w:name="_Toc83"/>
      <w:bookmarkEnd w:id="208"/>
      <w:r>
        <w:rPr>
          <w:rtl w:val="true"/>
        </w:rPr>
        <w:t>اشارة</w:t>
      </w:r>
      <w:bookmarkEnd w:id="20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ثبت على تحليل المتعة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w:t>
      </w:r>
      <w:r>
        <w:rPr>
          <w:rFonts w:eastAsia="Amiri" w:cs="Amiri" w:ascii="Amiri" w:hAnsi="Amiri"/>
          <w:color w:val="111111"/>
          <w:sz w:val="28"/>
          <w:szCs w:val="28"/>
          <w:rtl w:val="true"/>
          <w:lang w:bidi="ar-SA"/>
        </w:rPr>
        <w:t>.</w:t>
      </w:r>
      <w:r>
        <w:rPr>
          <w:rStyle w:val="FootnoteAnchor"/>
          <w:rtl w:val="true"/>
        </w:rPr>
        <w:footnoteReference w:id="172"/>
      </w:r>
      <w:bookmarkStart w:id="210" w:name="pg1254_13250"/>
    </w:p>
    <w:p>
      <w:pPr>
        <w:pStyle w:val="BookText"/>
        <w:rPr/>
      </w:pPr>
      <w:bookmarkEnd w:id="210"/>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التابعين منهم طاووس</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الصاغانية،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سلسلة مؤلّفات الشيخ المفيد،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3103526_373438147"/>
      <w:bookmarkStart w:id="212" w:name="_Toc84"/>
      <w:bookmarkEnd w:id="211"/>
      <w:r>
        <w:rPr>
          <w:rtl w:val="true"/>
        </w:rPr>
        <w:t>التعريف بطاووس</w:t>
      </w:r>
      <w:bookmarkEnd w:id="212"/>
    </w:p>
    <w:p>
      <w:pPr>
        <w:pStyle w:val="BookText"/>
        <w:rPr/>
      </w:pPr>
      <w:r>
        <w:rPr>
          <w:rFonts w:ascii="Amiri" w:hAnsi="Amiri" w:eastAsia="Amiri" w:cs="Amiri"/>
          <w:color w:val="111111"/>
          <w:sz w:val="28"/>
          <w:sz w:val="28"/>
          <w:szCs w:val="28"/>
          <w:rtl w:val="true"/>
          <w:lang w:bidi="ar-SA"/>
        </w:rPr>
        <w:t>هو أبو عبد الرحمن الفارسي الجندي، الفقيه، القدوة، عالم اليمن، الحافظ، و قد أدرك خمسين 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طاووسا علمت أنّه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تشيّع، فهو يسير لا يضرّ إن شاء اللّه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قال جعفر بن 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فينا أحدا أصدق لهجة من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 و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عبّاد أهل اليمن، و من سادات التابعين، مستجاب الدعوة، روى له الستّة في صحاحهم</w:t>
      </w:r>
      <w:r>
        <w:rPr>
          <w:rFonts w:eastAsia="Amiri" w:cs="Amiri" w:ascii="Amiri" w:hAnsi="Amiri"/>
          <w:color w:val="111111"/>
          <w:sz w:val="28"/>
          <w:szCs w:val="28"/>
          <w:rtl w:val="true"/>
          <w:lang w:bidi="ar-SA"/>
        </w:rPr>
        <w:t>.</w:t>
      </w:r>
      <w:r>
        <w:rPr>
          <w:rStyle w:val="FootnoteAnchor"/>
          <w:rtl w:val="true"/>
        </w:rPr>
        <w:footnoteReference w:id="175"/>
      </w:r>
    </w:p>
    <w:p>
      <w:pPr>
        <w:pStyle w:val="Heading4"/>
        <w:numPr>
          <w:ilvl w:val="3"/>
          <w:numId w:val="1"/>
        </w:numPr>
        <w:rPr/>
      </w:pPr>
      <w:bookmarkStart w:id="213" w:name="__RefHeading___Toc3103528_373438147"/>
      <w:bookmarkStart w:id="214" w:name="_Toc85"/>
      <w:bookmarkEnd w:id="213"/>
      <w:r>
        <w:rPr/>
        <w:t>7</w:t>
      </w:r>
      <w:r>
        <w:rPr>
          <w:rtl w:val="true"/>
        </w:rPr>
        <w:t xml:space="preserve">. </w:t>
      </w:r>
      <w:r>
        <w:rPr>
          <w:rtl w:val="true"/>
        </w:rPr>
        <w:t xml:space="preserve">عمرو بن دينار </w:t>
      </w:r>
      <w:r>
        <w:rPr>
          <w:rtl w:val="true"/>
        </w:rPr>
        <w:t>(</w:t>
      </w:r>
      <w:r>
        <w:rPr>
          <w:rtl w:val="true"/>
        </w:rPr>
        <w:t xml:space="preserve">ت </w:t>
      </w:r>
      <w:r>
        <w:rPr/>
        <w:t>126</w:t>
      </w:r>
      <w:r>
        <w:rPr>
          <w:rtl w:val="true"/>
        </w:rPr>
        <w:t xml:space="preserve"> </w:t>
      </w:r>
      <w:r>
        <w:rPr>
          <w:rtl w:val="true"/>
        </w:rPr>
        <w:t>ه</w:t>
      </w:r>
      <w:r>
        <w:rPr>
          <w:rtl w:val="true"/>
        </w:rPr>
        <w:t xml:space="preserve">. </w:t>
      </w:r>
      <w:r>
        <w:rPr>
          <w:rtl w:val="true"/>
        </w:rPr>
        <w:t>ق</w:t>
      </w:r>
      <w:r>
        <w:rPr>
          <w:rtl w:val="true"/>
        </w:rPr>
        <w:t>)</w:t>
      </w:r>
      <w:bookmarkEnd w:id="214"/>
    </w:p>
    <w:p>
      <w:pPr>
        <w:pStyle w:val="Heading5"/>
        <w:numPr>
          <w:ilvl w:val="4"/>
          <w:numId w:val="1"/>
        </w:numPr>
        <w:rPr/>
      </w:pPr>
      <w:bookmarkStart w:id="215" w:name="__RefHeading___Toc3103530_373438147"/>
      <w:bookmarkStart w:id="216" w:name="_Toc86"/>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قال 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التابعين، منهم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w:t>
      </w:r>
      <w:r>
        <w:rPr>
          <w:rStyle w:val="FootnoteAnchor"/>
          <w:rtl w:val="true"/>
        </w:rPr>
        <w:footnoteReference w:id="176"/>
      </w:r>
      <w:bookmarkStart w:id="217" w:name="pg1254_13251"/>
    </w:p>
    <w:p>
      <w:pPr>
        <w:pStyle w:val="Heading5"/>
        <w:numPr>
          <w:ilvl w:val="4"/>
          <w:numId w:val="1"/>
        </w:numPr>
        <w:rPr/>
      </w:pPr>
      <w:bookmarkStart w:id="218" w:name="__RefHeading___Toc3103532_373438147"/>
      <w:bookmarkStart w:id="219" w:name="_Toc87"/>
      <w:bookmarkEnd w:id="217"/>
      <w:bookmarkEnd w:id="218"/>
      <w:r>
        <w:rPr>
          <w:rtl w:val="true"/>
        </w:rPr>
        <w:t>التعريف بعمرو بن دينار</w:t>
      </w:r>
      <w:bookmarkEnd w:id="219"/>
    </w:p>
    <w:p>
      <w:pPr>
        <w:pStyle w:val="BookText"/>
        <w:rPr/>
      </w:pPr>
      <w:r>
        <w:rPr>
          <w:rFonts w:ascii="Amiri" w:hAnsi="Amiri" w:eastAsia="Amiri" w:cs="Amiri"/>
          <w:color w:val="111111"/>
          <w:sz w:val="28"/>
          <w:sz w:val="28"/>
          <w:szCs w:val="28"/>
          <w:rtl w:val="true"/>
          <w:lang w:bidi="ar-SA"/>
        </w:rPr>
        <w:t>هو إمام الحرم، أبو محمد الجمحي، مولاهم المكّي، الأثرم، ولد سنة ستّ و أربعين، سمع ابن عبّاس و ابن عمر و جابر بن عبد اللّه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تأريخ خليفة،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الكبير، أحد الأعلام، و شيخ الحرم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كبار التابعين، و كان من الحفّاظ المقدّمين، أفتى بمكّة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ينزل إلى أبي جعفر الباقر عليه السّلام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أوعية العلم، و أئمّة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أبي نجيع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ثقة،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نجيع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بأرضنا أعلم من عمرو بن دينار، و لا في جميع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عندنا أحد أفقه من عمرو بن دينار، و لا أعلم، و لا أحفظ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ثقة، ثبت</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فمختلف فيه، و قد وثّقه البعض، و مجهول عند آخرين</w:t>
      </w:r>
      <w:r>
        <w:rPr>
          <w:rFonts w:eastAsia="Amiri" w:cs="Amiri" w:ascii="Amiri" w:hAnsi="Amiri"/>
          <w:color w:val="111111"/>
          <w:sz w:val="28"/>
          <w:szCs w:val="28"/>
          <w:rtl w:val="true"/>
          <w:lang w:bidi="ar-SA"/>
        </w:rPr>
        <w:t>.</w:t>
      </w:r>
      <w:r>
        <w:rPr>
          <w:rStyle w:val="FootnoteAnchor"/>
          <w:rtl w:val="true"/>
        </w:rPr>
        <w:footnoteReference w:id="179"/>
      </w:r>
      <w:bookmarkStart w:id="220" w:name="pg1254_13252"/>
    </w:p>
    <w:p>
      <w:pPr>
        <w:pStyle w:val="BookText"/>
        <w:rPr/>
      </w:pPr>
      <w:bookmarkEnd w:id="220"/>
      <w:r>
        <w:rPr>
          <w:rFonts w:ascii="Amiri" w:hAnsi="Amiri" w:eastAsia="Amiri" w:cs="Amiri"/>
          <w:color w:val="111111"/>
          <w:sz w:val="28"/>
          <w:sz w:val="28"/>
          <w:szCs w:val="28"/>
          <w:rtl w:val="true"/>
          <w:lang w:bidi="ar-SA"/>
        </w:rPr>
        <w:t>و روى عمرو بن ثابت أنّه سمع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ليزيدني في الحجّ رغبة لقاء عمرو بن دينار، فإنّه يحبّنا و يفيدنا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103534_373438147"/>
      <w:bookmarkStart w:id="222" w:name="_Toc88"/>
      <w:bookmarkEnd w:id="221"/>
      <w:r>
        <w:rPr/>
        <w:t>8</w:t>
      </w:r>
      <w:r>
        <w:rPr>
          <w:rtl w:val="true"/>
        </w:rPr>
        <w:t xml:space="preserve">. </w:t>
      </w:r>
      <w:r>
        <w:rPr>
          <w:rtl w:val="true"/>
        </w:rPr>
        <w:t xml:space="preserve">مجاهد بن جبر </w:t>
      </w:r>
      <w:r>
        <w:rPr>
          <w:rtl w:val="true"/>
        </w:rPr>
        <w:t>(</w:t>
      </w:r>
      <w:r>
        <w:rPr>
          <w:rtl w:val="true"/>
        </w:rPr>
        <w:t xml:space="preserve">ت </w:t>
      </w:r>
      <w:r>
        <w:rPr/>
        <w:t>100</w:t>
      </w:r>
      <w:r>
        <w:rPr>
          <w:rtl w:val="true"/>
        </w:rPr>
        <w:t xml:space="preserve"> </w:t>
      </w:r>
      <w:r>
        <w:rPr>
          <w:rtl w:val="true"/>
        </w:rPr>
        <w:t>ه</w:t>
      </w:r>
      <w:r>
        <w:rPr>
          <w:rtl w:val="true"/>
        </w:rPr>
        <w:t xml:space="preserve">. </w:t>
      </w:r>
      <w:r>
        <w:rPr>
          <w:rtl w:val="true"/>
        </w:rPr>
        <w:t>ق</w:t>
      </w:r>
      <w:r>
        <w:rPr>
          <w:rtl w:val="true"/>
        </w:rPr>
        <w:t>)</w:t>
      </w:r>
      <w:bookmarkEnd w:id="222"/>
    </w:p>
    <w:p>
      <w:pPr>
        <w:pStyle w:val="Heading5"/>
        <w:numPr>
          <w:ilvl w:val="4"/>
          <w:numId w:val="1"/>
        </w:numPr>
        <w:rPr/>
      </w:pPr>
      <w:bookmarkStart w:id="223" w:name="__RefHeading___Toc3103536_373438147"/>
      <w:bookmarkStart w:id="224" w:name="_Toc89"/>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عن عيسى، عن ابن أبي نجيع،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نكاح المتعة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أبي حيّان الأندلسي</w:t>
      </w:r>
      <w:r>
        <w:rPr>
          <w:rStyle w:val="FootnoteAnchor"/>
          <w:rtl w:val="true"/>
        </w:rPr>
        <w:footnoteReference w:id="182"/>
      </w:r>
      <w:r>
        <w:rPr>
          <w:rFonts w:ascii="Amiri" w:hAnsi="Amiri" w:eastAsia="Amiri" w:cs="Amiri"/>
          <w:color w:val="111111"/>
          <w:sz w:val="28"/>
          <w:sz w:val="28"/>
          <w:szCs w:val="28"/>
          <w:rtl w:val="true"/>
          <w:lang w:bidi="ar-SA"/>
        </w:rPr>
        <w:t xml:space="preserve">،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ابن كثير الدمشقي</w:t>
      </w:r>
      <w:r>
        <w:rPr>
          <w:rStyle w:val="FootnoteAnchor"/>
          <w:rtl w:val="true"/>
        </w:rPr>
        <w:footnoteReference w:id="183"/>
      </w:r>
      <w:r>
        <w:rPr>
          <w:rFonts w:ascii="Amiri" w:hAnsi="Amiri" w:eastAsia="Amiri" w:cs="Amiri"/>
          <w:color w:val="111111"/>
          <w:sz w:val="28"/>
          <w:sz w:val="28"/>
          <w:szCs w:val="28"/>
          <w:rtl w:val="true"/>
          <w:lang w:bidi="ar-SA"/>
        </w:rPr>
        <w:t xml:space="preserve">،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ابن عبّاس و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في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عنه ما يدلّ على نسخها، كما لم ينسب إليه القول بالنسخ</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103538_373438147"/>
      <w:bookmarkStart w:id="226" w:name="_Toc90"/>
      <w:bookmarkEnd w:id="225"/>
      <w:r>
        <w:rPr>
          <w:rtl w:val="true"/>
        </w:rPr>
        <w:t>التعريف بمجاهد</w:t>
      </w:r>
      <w:bookmarkEnd w:id="226"/>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شيخ القرّاء و المفسّرين، أبو حجّاج المكّي، و هو الذي عرض القرآن على ابن عبّاس ثلاثين 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ثلاث عرضات على ابن عبّاس، أقفه عند كلّ آية، أسأله فيم نزلت، و كيف كانت؟</w:t>
      </w:r>
    </w:p>
    <w:p>
      <w:pPr>
        <w:pStyle w:val="BookText"/>
        <w:rPr/>
      </w:pPr>
      <w:r>
        <w:rPr>
          <w:rFonts w:ascii="Amiri" w:hAnsi="Amiri" w:eastAsia="Amiri" w:cs="Amiri"/>
          <w:color w:val="111111"/>
          <w:sz w:val="28"/>
          <w:sz w:val="28"/>
          <w:szCs w:val="28"/>
          <w:rtl w:val="true"/>
          <w:lang w:bidi="ar-SA"/>
        </w:rPr>
        <w:t>و قال خصيف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بالتفسير مجاهد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يحيى بن معين و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له في الصحاح الستّة</w:t>
      </w:r>
      <w:r>
        <w:rPr>
          <w:rFonts w:eastAsia="Amiri" w:cs="Amiri" w:ascii="Amiri" w:hAnsi="Amiri"/>
          <w:color w:val="111111"/>
          <w:sz w:val="28"/>
          <w:szCs w:val="28"/>
          <w:rtl w:val="true"/>
          <w:lang w:bidi="ar-SA"/>
        </w:rPr>
        <w:t>.</w:t>
      </w:r>
      <w:bookmarkStart w:id="227" w:name="pg1254_13253"/>
    </w:p>
    <w:p>
      <w:pPr>
        <w:pStyle w:val="BookText"/>
        <w:rPr/>
      </w:pPr>
      <w:bookmarkEnd w:id="227"/>
      <w:r>
        <w:rPr>
          <w:rFonts w:ascii="Amiri" w:hAnsi="Amiri" w:eastAsia="Amiri" w:cs="Amiri"/>
          <w:color w:val="111111"/>
          <w:sz w:val="28"/>
          <w:sz w:val="28"/>
          <w:szCs w:val="28"/>
          <w:rtl w:val="true"/>
          <w:lang w:bidi="ar-SA"/>
        </w:rPr>
        <w:t>و مات عام مائة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البداية و النهاية،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مائلا إلى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تفسير مجاهد مخالف؟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من أهل الكتاب</w:t>
      </w:r>
      <w:r>
        <w:rPr>
          <w:rFonts w:eastAsia="Amiri" w:cs="Amiri" w:ascii="Amiri" w:hAnsi="Amiri"/>
          <w:color w:val="111111"/>
          <w:sz w:val="28"/>
          <w:szCs w:val="28"/>
          <w:rtl w:val="true"/>
          <w:lang w:bidi="ar-SA"/>
        </w:rPr>
        <w:t>.</w:t>
      </w:r>
      <w:r>
        <w:rPr>
          <w:rStyle w:val="FootnoteAnchor"/>
          <w:rtl w:val="true"/>
        </w:rPr>
        <w:footnoteReference w:id="185"/>
      </w:r>
    </w:p>
    <w:p>
      <w:pPr>
        <w:pStyle w:val="Heading4"/>
        <w:numPr>
          <w:ilvl w:val="3"/>
          <w:numId w:val="1"/>
        </w:numPr>
        <w:rPr/>
      </w:pPr>
      <w:bookmarkStart w:id="228" w:name="__RefHeading___Toc3103540_373438147"/>
      <w:bookmarkStart w:id="229" w:name="_Toc91"/>
      <w:bookmarkEnd w:id="228"/>
      <w:r>
        <w:rPr/>
        <w:t>9</w:t>
      </w:r>
      <w:r>
        <w:rPr>
          <w:rtl w:val="true"/>
        </w:rPr>
        <w:t xml:space="preserve">. </w:t>
      </w:r>
      <w:r>
        <w:rPr>
          <w:rtl w:val="true"/>
        </w:rPr>
        <w:t xml:space="preserve">السدّي </w:t>
      </w:r>
      <w:r>
        <w:rPr>
          <w:rtl w:val="true"/>
        </w:rPr>
        <w:t>(</w:t>
      </w:r>
      <w:r>
        <w:rPr>
          <w:rtl w:val="true"/>
        </w:rPr>
        <w:t xml:space="preserve">ت </w:t>
      </w:r>
      <w:r>
        <w:rPr/>
        <w:t>127</w:t>
      </w:r>
      <w:r>
        <w:rPr>
          <w:rtl w:val="true"/>
        </w:rPr>
        <w:t xml:space="preserve"> </w:t>
      </w:r>
      <w:r>
        <w:rPr>
          <w:rtl w:val="true"/>
        </w:rPr>
        <w:t>ه</w:t>
      </w:r>
      <w:r>
        <w:rPr>
          <w:rtl w:val="true"/>
        </w:rPr>
        <w:t xml:space="preserve">. </w:t>
      </w:r>
      <w:r>
        <w:rPr>
          <w:rtl w:val="true"/>
        </w:rPr>
        <w:t>ق</w:t>
      </w:r>
      <w:r>
        <w:rPr>
          <w:rtl w:val="true"/>
        </w:rPr>
        <w:t>)</w:t>
      </w:r>
      <w:bookmarkEnd w:id="229"/>
    </w:p>
    <w:p>
      <w:pPr>
        <w:pStyle w:val="Heading5"/>
        <w:numPr>
          <w:ilvl w:val="4"/>
          <w:numId w:val="1"/>
        </w:numPr>
        <w:rPr/>
      </w:pPr>
      <w:bookmarkStart w:id="230" w:name="__RefHeading___Toc3103542_373438147"/>
      <w:bookmarkStart w:id="231" w:name="_Toc92"/>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حيّان محمد بن يوسف الأندلسي،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نكاح المتعة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 وَ لاٰ جُنٰاحَ عَلَيْكُمْ فِيمٰا تَرٰاضَيْتُمْ بِهِ مِنْ بَعْدِ الْفَرِيضَةِ فهذه المتعة، الرجل ينكح المرأة بشرط إلى أجل مسمّى و يشهد شاهدين و ينكح بإذن وليّها، و إذا انقضت المدّة فليس له عليها سبيل، و هي منه بريّة، و عليها أن تستبرئ ما في رحمها، و ليس بينهما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يرث واحد منهما صاحبه</w:t>
      </w:r>
      <w:r>
        <w:rPr>
          <w:rFonts w:eastAsia="Amiri" w:cs="Amiri" w:ascii="Amiri" w:hAnsi="Amiri"/>
          <w:color w:val="111111"/>
          <w:sz w:val="28"/>
          <w:szCs w:val="28"/>
          <w:rtl w:val="true"/>
          <w:lang w:bidi="ar-SA"/>
        </w:rPr>
        <w:t>.</w:t>
      </w:r>
      <w:r>
        <w:rPr>
          <w:rStyle w:val="FootnoteAnchor"/>
          <w:rtl w:val="true"/>
        </w:rPr>
        <w:footnoteReference w:id="187"/>
      </w:r>
    </w:p>
    <w:p>
      <w:pPr>
        <w:pStyle w:val="Heading5"/>
        <w:numPr>
          <w:ilvl w:val="4"/>
          <w:numId w:val="1"/>
        </w:numPr>
        <w:rPr/>
      </w:pPr>
      <w:bookmarkStart w:id="232" w:name="__RefHeading___Toc3103544_373438147"/>
      <w:bookmarkStart w:id="233" w:name="_Toc93"/>
      <w:bookmarkEnd w:id="232"/>
      <w:r>
        <w:rPr>
          <w:rtl w:val="true"/>
        </w:rPr>
        <w:t>التعريف بالسدّي</w:t>
      </w:r>
      <w:bookmarkEnd w:id="2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إسماعيل بن عبد الرحمن بن أبي كريمة، الإمام، المفسّر، أبو محمد</w:t>
      </w:r>
      <w:bookmarkStart w:id="234" w:name="pg1254_13254"/>
    </w:p>
    <w:p>
      <w:pPr>
        <w:pStyle w:val="BookText"/>
        <w:rPr/>
      </w:pPr>
      <w:bookmarkEnd w:id="234"/>
      <w:r>
        <w:rPr>
          <w:rFonts w:ascii="Amiri" w:hAnsi="Amiri" w:eastAsia="Amiri" w:cs="Amiri"/>
          <w:color w:val="111111"/>
          <w:sz w:val="28"/>
          <w:sz w:val="28"/>
          <w:szCs w:val="28"/>
          <w:rtl w:val="true"/>
          <w:lang w:bidi="ar-SA"/>
        </w:rPr>
        <w:t>الحجازي، حدّث عن أنس بن مالك و ابن عبّاس، و حدّث عنه شعبة و سفيان الثوري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عنه أنّه رأى أبا هريرة، و الإمام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السدّي أعلم بالقرآن من الشعبي</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فمختلف فيه، قال المامقاني في إسماعيل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ذلك كلّه كون الرجل من الحسان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الآية في المتعة لا يلازم أنّ السدّي كان قائلا بالمتعة، فلعلّه يرى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عن السدّي رأي مخالف لما فسّر الآية به، و أنّها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تحدّث عن القائلين بالمتعة أورد اسم السدّي أيضا، فهذه القرائن تكفي للمقام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103546_373438147"/>
      <w:bookmarkStart w:id="236" w:name="_Toc94"/>
      <w:bookmarkEnd w:id="235"/>
      <w:r>
        <w:rPr/>
        <w:t>10</w:t>
      </w:r>
      <w:r>
        <w:rPr>
          <w:rtl w:val="true"/>
        </w:rPr>
        <w:t xml:space="preserve">. </w:t>
      </w:r>
      <w:r>
        <w:rPr>
          <w:rtl w:val="true"/>
        </w:rPr>
        <w:t xml:space="preserve">الحكم بن عتيبة </w:t>
      </w:r>
      <w:r>
        <w:rPr>
          <w:rtl w:val="true"/>
        </w:rPr>
        <w:t>(</w:t>
      </w:r>
      <w:r>
        <w:rPr>
          <w:rtl w:val="true"/>
        </w:rPr>
        <w:t xml:space="preserve">ت </w:t>
      </w:r>
      <w:r>
        <w:rPr/>
        <w:t>125</w:t>
      </w:r>
      <w:r>
        <w:rPr>
          <w:rtl w:val="true"/>
        </w:rPr>
        <w:t xml:space="preserve"> </w:t>
      </w:r>
      <w:r>
        <w:rPr>
          <w:rtl w:val="true"/>
        </w:rPr>
        <w:t>ه</w:t>
      </w:r>
      <w:r>
        <w:rPr>
          <w:rtl w:val="true"/>
        </w:rPr>
        <w:t xml:space="preserve">. </w:t>
      </w:r>
      <w:r>
        <w:rPr>
          <w:rtl w:val="true"/>
        </w:rPr>
        <w:t>ق</w:t>
      </w:r>
      <w:r>
        <w:rPr>
          <w:rtl w:val="true"/>
        </w:rPr>
        <w:t>)</w:t>
      </w:r>
      <w:bookmarkEnd w:id="236"/>
    </w:p>
    <w:p>
      <w:pPr>
        <w:pStyle w:val="Heading5"/>
        <w:numPr>
          <w:ilvl w:val="4"/>
          <w:numId w:val="1"/>
        </w:numPr>
        <w:rPr/>
      </w:pPr>
      <w:bookmarkStart w:id="237" w:name="__RefHeading___Toc3103548_373438147"/>
      <w:bookmarkStart w:id="238" w:name="_Toc95"/>
      <w:bookmarkEnd w:id="237"/>
      <w:r>
        <w:rPr>
          <w:rtl w:val="true"/>
        </w:rPr>
        <w:t>اشارة</w:t>
      </w:r>
      <w:bookmarkEnd w:id="2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bookmarkStart w:id="239" w:name="pg1254_13255"/>
    </w:p>
    <w:p>
      <w:pPr>
        <w:pStyle w:val="BookText"/>
        <w:rPr/>
      </w:pPr>
      <w:bookmarkEnd w:id="239"/>
      <w:r>
        <w:rPr>
          <w:rFonts w:ascii="Amiri" w:hAnsi="Amiri" w:eastAsia="Amiri" w:cs="Amiri"/>
          <w:color w:val="111111"/>
          <w:sz w:val="28"/>
          <w:sz w:val="28"/>
          <w:szCs w:val="28"/>
          <w:rtl w:val="true"/>
          <w:lang w:bidi="ar-SA"/>
        </w:rPr>
        <w:t>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الْمُحْصَنٰاتُ مِنَ النِّسٰاءِ إِلاّٰ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أ منسوخة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عمر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7115</w:t>
      </w:r>
      <w:r>
        <w:rPr>
          <w:rFonts w:ascii="Amiri" w:hAnsi="Amiri" w:eastAsia="Amiri" w:cs="Amiri"/>
          <w:color w:val="111111"/>
          <w:sz w:val="28"/>
          <w:sz w:val="28"/>
          <w:szCs w:val="28"/>
          <w:rtl w:val="true"/>
          <w:lang w:bidi="ar-SA"/>
        </w:rPr>
        <w:t xml:space="preserve">؛ الكشف و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103550_373438147"/>
      <w:bookmarkStart w:id="241" w:name="_Toc96"/>
      <w:bookmarkEnd w:id="240"/>
      <w:r>
        <w:rPr>
          <w:rtl w:val="true"/>
        </w:rPr>
        <w:t>التعريف بالحكم</w:t>
      </w:r>
      <w:bookmarkEnd w:id="241"/>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الكبير، عالم أهل الكوفة، حدّث عن أبي جحيفة، و شريح، و ابن أبي ليلى، و النخعي، و سعيد بن جبير، و عكرمة، و طاووس،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الأعمش، و أبان بن تغلب، و الأوزاعي، و أبو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 لابتيها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بالكوفة مثل الحكم و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ثقة، ثبتا، فقيها من كبار أصحاب إبراهيم، و كان صاحب سنّة و أتباع</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مذموم، ضعيف، بتريّ؛ كما في الخلاصة و التحرير الطاووسي، و غيرهما</w:t>
      </w:r>
      <w:r>
        <w:rPr>
          <w:rFonts w:eastAsia="Amiri" w:cs="Amiri" w:ascii="Amiri" w:hAnsi="Amiri"/>
          <w:color w:val="111111"/>
          <w:sz w:val="28"/>
          <w:szCs w:val="28"/>
          <w:rtl w:val="true"/>
          <w:lang w:bidi="ar-SA"/>
        </w:rPr>
        <w:t>.</w:t>
      </w:r>
      <w:r>
        <w:rPr>
          <w:rStyle w:val="FootnoteAnchor"/>
          <w:rtl w:val="true"/>
        </w:rPr>
        <w:footnoteReference w:id="192"/>
      </w:r>
      <w:bookmarkStart w:id="242" w:name="pg1254_13256"/>
    </w:p>
    <w:p>
      <w:pPr>
        <w:pStyle w:val="Heading4"/>
        <w:numPr>
          <w:ilvl w:val="3"/>
          <w:numId w:val="1"/>
        </w:numPr>
        <w:rPr/>
      </w:pPr>
      <w:bookmarkStart w:id="243" w:name="__RefHeading___Toc3103552_373438147"/>
      <w:bookmarkStart w:id="244" w:name="_Toc97"/>
      <w:bookmarkEnd w:id="242"/>
      <w:bookmarkEnd w:id="243"/>
      <w:r>
        <w:rPr/>
        <w:t>11</w:t>
      </w:r>
      <w:r>
        <w:rPr>
          <w:rtl w:val="true"/>
        </w:rPr>
        <w:t xml:space="preserve">. </w:t>
      </w:r>
      <w:r>
        <w:rPr>
          <w:rtl w:val="true"/>
        </w:rPr>
        <w:t xml:space="preserve">ابن أبي مليكة </w:t>
      </w:r>
      <w:r>
        <w:rPr>
          <w:rtl w:val="true"/>
        </w:rPr>
        <w:t>(</w:t>
      </w:r>
      <w:r>
        <w:rPr>
          <w:rtl w:val="true"/>
        </w:rPr>
        <w:t xml:space="preserve">ت </w:t>
      </w:r>
      <w:r>
        <w:rPr/>
        <w:t>117</w:t>
      </w:r>
      <w:r>
        <w:rPr>
          <w:rtl w:val="true"/>
        </w:rPr>
        <w:t xml:space="preserve"> </w:t>
      </w:r>
      <w:r>
        <w:rPr>
          <w:rtl w:val="true"/>
        </w:rPr>
        <w:t>ه</w:t>
      </w:r>
      <w:r>
        <w:rPr>
          <w:rtl w:val="true"/>
        </w:rPr>
        <w:t xml:space="preserve">. </w:t>
      </w:r>
      <w:r>
        <w:rPr>
          <w:rtl w:val="true"/>
        </w:rPr>
        <w:t>ق</w:t>
      </w:r>
      <w:r>
        <w:rPr>
          <w:rtl w:val="true"/>
        </w:rPr>
        <w:t>)</w:t>
      </w:r>
      <w:bookmarkEnd w:id="244"/>
    </w:p>
    <w:p>
      <w:pPr>
        <w:pStyle w:val="Heading5"/>
        <w:numPr>
          <w:ilvl w:val="4"/>
          <w:numId w:val="1"/>
        </w:numPr>
        <w:rPr/>
      </w:pPr>
      <w:bookmarkStart w:id="245" w:name="__RefHeading___Toc3103554_373438147"/>
      <w:bookmarkStart w:id="246" w:name="_Toc98"/>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قال الماوردي في باب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ابن عبّاس، و ابن أبي مليكة، و ابن جريج، و الإماميّة جوازه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الكبير،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103556_373438147"/>
      <w:bookmarkStart w:id="248" w:name="_Toc99"/>
      <w:bookmarkEnd w:id="247"/>
      <w:r>
        <w:rPr>
          <w:rtl w:val="true"/>
        </w:rPr>
        <w:t>التعريف بابن أبي مليكة</w:t>
      </w:r>
      <w:bookmarkEnd w:id="248"/>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عبيد اللّه بن أبي مليكة، ولد في خلافة الإمام علي عليه السّلام أو قبلها حدّث عن أمّ سلمة و عائشة و أختها أسماء، و ابن عبّاس و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عطاء و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أبو زرعة و أبو حاتم، روى عنه أصحاب الصحاح الستّة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مهمل، و لم نعثر عليه في كتبنا الرجاليّة رغم التتبّع و الفحص، إلاّ في القاموس و مختصرا</w:t>
      </w:r>
      <w:r>
        <w:rPr>
          <w:rStyle w:val="FootnoteAnchor"/>
          <w:rtl w:val="true"/>
        </w:rPr>
        <w:footnoteReference w:id="195"/>
      </w:r>
      <w:r>
        <w:rPr>
          <w:rFonts w:ascii="Amiri" w:hAnsi="Amiri" w:eastAsia="Amiri" w:cs="Amiri"/>
          <w:color w:val="111111"/>
          <w:sz w:val="28"/>
          <w:sz w:val="28"/>
          <w:szCs w:val="28"/>
          <w:rtl w:val="true"/>
          <w:lang w:bidi="ar-SA"/>
        </w:rPr>
        <w:t>لكن في بعض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مؤذّنا لابن الزبير و قاضيا له</w:t>
      </w:r>
      <w:r>
        <w:rPr>
          <w:rFonts w:eastAsia="Amiri" w:cs="Amiri" w:ascii="Amiri" w:hAnsi="Amiri"/>
          <w:color w:val="111111"/>
          <w:sz w:val="28"/>
          <w:szCs w:val="28"/>
          <w:rtl w:val="true"/>
          <w:lang w:bidi="ar-SA"/>
        </w:rPr>
        <w:t>.</w:t>
      </w:r>
      <w:r>
        <w:rPr>
          <w:rStyle w:val="FootnoteAnchor"/>
          <w:rtl w:val="true"/>
        </w:rPr>
        <w:footnoteReference w:id="196"/>
      </w:r>
    </w:p>
    <w:p>
      <w:pPr>
        <w:pStyle w:val="Heading4"/>
        <w:numPr>
          <w:ilvl w:val="3"/>
          <w:numId w:val="1"/>
        </w:numPr>
        <w:rPr/>
      </w:pPr>
      <w:bookmarkStart w:id="249" w:name="__RefHeading___Toc3103558_373438147"/>
      <w:bookmarkStart w:id="250" w:name="_Toc100"/>
      <w:bookmarkEnd w:id="249"/>
      <w:r>
        <w:rPr/>
        <w:t>12</w:t>
      </w:r>
      <w:r>
        <w:rPr>
          <w:rtl w:val="true"/>
        </w:rPr>
        <w:t xml:space="preserve">. </w:t>
      </w:r>
      <w:r>
        <w:rPr>
          <w:rtl w:val="true"/>
        </w:rPr>
        <w:t>زفر بن أوس بن الحدثان المدنيّ‌</w:t>
      </w:r>
      <w:bookmarkEnd w:id="250"/>
    </w:p>
    <w:p>
      <w:pPr>
        <w:pStyle w:val="Heading5"/>
        <w:numPr>
          <w:ilvl w:val="4"/>
          <w:numId w:val="1"/>
        </w:numPr>
        <w:rPr/>
      </w:pPr>
      <w:bookmarkStart w:id="251" w:name="__RefHeading___Toc3103560_373438147"/>
      <w:bookmarkStart w:id="252" w:name="_Toc101"/>
      <w:bookmarkEnd w:id="251"/>
      <w:r>
        <w:rPr>
          <w:rtl w:val="true"/>
        </w:rPr>
        <w:t>اشارة</w:t>
      </w:r>
      <w:bookmarkEnd w:id="2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إليه ابن نجيم، القول بالمتعة</w:t>
      </w:r>
      <w:r>
        <w:rPr>
          <w:rFonts w:eastAsia="Amiri" w:cs="Amiri" w:ascii="Amiri" w:hAnsi="Amiri"/>
          <w:color w:val="111111"/>
          <w:sz w:val="28"/>
          <w:szCs w:val="28"/>
          <w:rtl w:val="true"/>
          <w:lang w:bidi="ar-SA"/>
        </w:rPr>
        <w:t>.</w:t>
      </w:r>
      <w:bookmarkStart w:id="253" w:name="pg1254_13257"/>
    </w:p>
    <w:p>
      <w:pPr>
        <w:pStyle w:val="Heading5"/>
        <w:numPr>
          <w:ilvl w:val="4"/>
          <w:numId w:val="1"/>
        </w:numPr>
        <w:rPr/>
      </w:pPr>
      <w:bookmarkStart w:id="254" w:name="__RefHeading___Toc3103562_373438147"/>
      <w:bookmarkStart w:id="255" w:name="_Toc102"/>
      <w:bookmarkEnd w:id="253"/>
      <w:bookmarkEnd w:id="254"/>
      <w:r>
        <w:rPr>
          <w:rtl w:val="true"/>
        </w:rPr>
        <w:t>التعريف بزفر</w:t>
      </w:r>
      <w:bookmarkEnd w:id="255"/>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أوس بن الحدثان النصريّ المدنيّ، أخو مالك، روى عن أبي السنابل، و عنه عبيد اللّه بن عبد اللّه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مندة و أبو نعيم في كتاب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النبيّ صلّى اللّه عليه و آله و لا تعرف له رواية و لا صحبة، و لم يذكره البخاري و لا أبو حاتم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تقريب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عامّيّ، و روى له الكليني في باب إبطال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 عبّاس لمّا أنكر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أعال؟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تشير برأيك على عمر؟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هيبته</w:t>
      </w:r>
      <w:r>
        <w:rPr>
          <w:rFonts w:eastAsia="Amiri" w:cs="Amiri" w:ascii="Amiri" w:hAnsi="Amiri"/>
          <w:color w:val="111111"/>
          <w:sz w:val="28"/>
          <w:szCs w:val="28"/>
          <w:rtl w:val="true"/>
          <w:lang w:bidi="ar-SA"/>
        </w:rPr>
        <w:t>.</w:t>
      </w:r>
      <w:r>
        <w:rPr>
          <w:rStyle w:val="FootnoteAnchor"/>
          <w:rtl w:val="true"/>
        </w:rPr>
        <w:footnoteReference w:id="198"/>
      </w:r>
    </w:p>
    <w:p>
      <w:pPr>
        <w:pStyle w:val="Heading5"/>
        <w:numPr>
          <w:ilvl w:val="4"/>
          <w:numId w:val="1"/>
        </w:numPr>
        <w:rPr/>
      </w:pPr>
      <w:bookmarkStart w:id="256" w:name="__RefHeading___Toc3103564_373438147"/>
      <w:bookmarkStart w:id="257" w:name="_Toc103"/>
      <w:bookmarkEnd w:id="256"/>
      <w:r>
        <w:rPr>
          <w:rtl w:val="true"/>
        </w:rPr>
        <w:t>ملاحظة زفر بن الهذيل</w:t>
      </w:r>
      <w:bookmarkEnd w:id="2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غير زفر بن الهذيل العنبري، تلميذ أبي حنيفة، بل أكبر تلامذته، المولود عام مائة و عشرة، و المتوفّى عام ثمان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الفقهاء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في الحديث بشيء</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فإنّ زفر هذا له رأي خاصّ في عقد المتعة،</w:t>
      </w:r>
      <w:bookmarkStart w:id="258" w:name="pg1254_13258"/>
    </w:p>
    <w:p>
      <w:pPr>
        <w:pStyle w:val="BookText"/>
        <w:rPr/>
      </w:pPr>
      <w:bookmarkEnd w:id="258"/>
      <w:r>
        <w:rPr>
          <w:rFonts w:ascii="Amiri" w:hAnsi="Amiri" w:eastAsia="Amiri" w:cs="Amiri"/>
          <w:color w:val="111111"/>
          <w:sz w:val="28"/>
          <w:sz w:val="28"/>
          <w:szCs w:val="28"/>
          <w:rtl w:val="true"/>
          <w:lang w:bidi="ar-SA"/>
        </w:rPr>
        <w:t>و هو أنّه يقع عقدا لازما، كما أشار إلى ذلك ابن قدامة و المرغيناني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النكاح و يبطل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المرغيناني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العقد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لازم، لأنّ النكاح لا يبطل بالشروط الفاسدة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إليه من القول بالمتعة غير صحيح، و يؤيّده ما ورد في بعض رواياتنا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9" w:name="__RefHeading___Toc3103566_373438147"/>
      <w:bookmarkStart w:id="260" w:name="_Toc104"/>
      <w:bookmarkEnd w:id="259"/>
      <w:r>
        <w:rPr/>
        <w:t>13</w:t>
      </w:r>
      <w:r>
        <w:rPr>
          <w:rtl w:val="true"/>
        </w:rPr>
        <w:t xml:space="preserve">. </w:t>
      </w:r>
      <w:r>
        <w:rPr>
          <w:rtl w:val="true"/>
        </w:rPr>
        <w:t xml:space="preserve">طلحة بن مصرّف اليامي </w:t>
      </w:r>
      <w:r>
        <w:rPr>
          <w:rtl w:val="true"/>
        </w:rPr>
        <w:t>(</w:t>
      </w:r>
      <w:r>
        <w:rPr>
          <w:rtl w:val="true"/>
        </w:rPr>
        <w:t xml:space="preserve">ت </w:t>
      </w:r>
      <w:r>
        <w:rPr/>
        <w:t>112</w:t>
      </w:r>
      <w:r>
        <w:rPr>
          <w:rtl w:val="true"/>
        </w:rPr>
        <w:t xml:space="preserve"> </w:t>
      </w:r>
      <w:r>
        <w:rPr>
          <w:rtl w:val="true"/>
        </w:rPr>
        <w:t>ه</w:t>
      </w:r>
      <w:r>
        <w:rPr>
          <w:rtl w:val="true"/>
        </w:rPr>
        <w:t xml:space="preserve">. </w:t>
      </w:r>
      <w:r>
        <w:rPr>
          <w:rtl w:val="true"/>
        </w:rPr>
        <w:t>ق</w:t>
      </w:r>
      <w:r>
        <w:rPr>
          <w:rtl w:val="true"/>
        </w:rPr>
        <w:t>)</w:t>
      </w:r>
      <w:bookmarkEnd w:id="260"/>
    </w:p>
    <w:p>
      <w:pPr>
        <w:pStyle w:val="Heading5"/>
        <w:numPr>
          <w:ilvl w:val="4"/>
          <w:numId w:val="1"/>
        </w:numPr>
        <w:rPr/>
      </w:pPr>
      <w:bookmarkStart w:id="261" w:name="__RefHeading___Toc3103568_373438147"/>
      <w:bookmarkStart w:id="262" w:name="_Toc105"/>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عيسى بن عمر، عن طلحة بن مصرّف أنّه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3" w:name="__RefHeading___Toc3103570_373438147"/>
      <w:bookmarkStart w:id="264" w:name="_Toc106"/>
      <w:bookmarkEnd w:id="263"/>
      <w:r>
        <w:rPr>
          <w:rtl w:val="true"/>
        </w:rPr>
        <w:t>التعريف بطلحة بن مصرّف</w:t>
      </w:r>
      <w:bookmarkEnd w:id="264"/>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المقرئ، المجوّد، شيخ الإسلام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يسمّونه سيد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 و كان من أقرأ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الهداية في شرح بداية المبتدي،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شرح فتح القدير،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المحلّى،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bookmarkStart w:id="265" w:name="pg1254_13259"/>
    </w:p>
    <w:p>
      <w:pPr>
        <w:pStyle w:val="BookText"/>
        <w:rPr/>
      </w:pPr>
      <w:bookmarkEnd w:id="265"/>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 له أحاديث صالحة، و ذكره ابن حبّان في الثقات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الحلية في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عدّه في أولياء أعدائه تعالى كان 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ارباب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ادّعوا له أنّه سيّد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 أهل الكوفة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تراه يقرأ الآية إلى أجل مسمى كما قرأها ابن 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إلى جانب القائلين بالجواز</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103572_373438147"/>
      <w:bookmarkStart w:id="267" w:name="_Toc107"/>
      <w:bookmarkEnd w:id="266"/>
      <w:r>
        <w:rPr/>
        <w:t>14</w:t>
      </w:r>
      <w:r>
        <w:rPr>
          <w:rtl w:val="true"/>
        </w:rPr>
        <w:t xml:space="preserve">. </w:t>
      </w:r>
      <w:r>
        <w:rPr>
          <w:rtl w:val="true"/>
        </w:rPr>
        <w:t>أهل مكّة و اليمن</w:t>
      </w:r>
      <w:bookmarkEnd w:id="26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ابن عبّاس من أهل مكّة و اليمن كلّهم يرون المتعة حلالا على مذهب ابن عبّاس</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كانوا يستعملونها كثيرا</w:t>
      </w:r>
      <w:r>
        <w:rPr>
          <w:rFonts w:eastAsia="Amiri" w:cs="Amiri" w:ascii="Amiri" w:hAnsi="Amiri"/>
          <w:color w:val="111111"/>
          <w:sz w:val="28"/>
          <w:szCs w:val="28"/>
          <w:rtl w:val="true"/>
          <w:lang w:bidi="ar-SA"/>
        </w:rPr>
        <w:t>.</w:t>
      </w:r>
      <w:r>
        <w:rPr>
          <w:rStyle w:val="FootnoteAnchor"/>
          <w:rtl w:val="true"/>
        </w:rPr>
        <w:footnoteReference w:id="202"/>
      </w:r>
    </w:p>
    <w:p>
      <w:pPr>
        <w:pStyle w:val="Heading4"/>
        <w:numPr>
          <w:ilvl w:val="3"/>
          <w:numId w:val="1"/>
        </w:numPr>
        <w:rPr/>
      </w:pPr>
      <w:bookmarkStart w:id="268" w:name="__RefHeading___Toc3103574_373438147"/>
      <w:bookmarkStart w:id="269" w:name="_Toc108"/>
      <w:bookmarkEnd w:id="268"/>
      <w:r>
        <w:rPr/>
        <w:t>15</w:t>
      </w:r>
      <w:r>
        <w:rPr>
          <w:rtl w:val="true"/>
        </w:rPr>
        <w:t xml:space="preserve">. </w:t>
      </w:r>
      <w:r>
        <w:rPr>
          <w:rtl w:val="true"/>
        </w:rPr>
        <w:t>أهل البيت عليهم السّلام و التابعون</w:t>
      </w:r>
      <w:bookmarkEnd w:id="269"/>
    </w:p>
    <w:p>
      <w:pPr>
        <w:pStyle w:val="Heading5"/>
        <w:numPr>
          <w:ilvl w:val="4"/>
          <w:numId w:val="1"/>
        </w:numPr>
        <w:rPr/>
      </w:pPr>
      <w:bookmarkStart w:id="270" w:name="__RefHeading___Toc3103576_373438147"/>
      <w:bookmarkStart w:id="271" w:name="_Toc109"/>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إباحتها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جماعة من أهل البيت عليهم السّلام و التابعين</w:t>
      </w:r>
      <w:r>
        <w:rPr>
          <w:rFonts w:eastAsia="Amiri" w:cs="Amiri" w:ascii="Amiri" w:hAnsi="Amiri"/>
          <w:color w:val="111111"/>
          <w:sz w:val="28"/>
          <w:szCs w:val="28"/>
          <w:rtl w:val="true"/>
          <w:lang w:bidi="ar-SA"/>
        </w:rPr>
        <w:t>.</w:t>
      </w:r>
      <w:r>
        <w:rPr>
          <w:rStyle w:val="FootnoteAnchor"/>
          <w:rtl w:val="true"/>
        </w:rPr>
        <w:footnoteReference w:id="203"/>
      </w:r>
    </w:p>
    <w:p>
      <w:pPr>
        <w:pStyle w:val="Heading5"/>
        <w:numPr>
          <w:ilvl w:val="4"/>
          <w:numId w:val="1"/>
        </w:numPr>
        <w:rPr/>
      </w:pPr>
      <w:bookmarkStart w:id="272" w:name="__RefHeading___Toc3103578_373438147"/>
      <w:bookmarkStart w:id="273" w:name="_Toc110"/>
      <w:bookmarkEnd w:id="272"/>
      <w:r>
        <w:rPr>
          <w:rtl w:val="true"/>
        </w:rPr>
        <w:t>لائحة بأسماء آخرين</w:t>
      </w:r>
      <w:bookmarkEnd w:id="27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العلاّمة الأميني أورد أسماء آخرين من الصحابة و التابعين كانوا</w:t>
      </w:r>
    </w:p>
    <w:p>
      <w:pPr>
        <w:pStyle w:val="BookText"/>
        <w:rPr/>
      </w:pPr>
      <w:r>
        <w:rPr>
          <w:rFonts w:ascii="Amiri" w:hAnsi="Amiri" w:eastAsia="Amiri" w:cs="Amiri"/>
          <w:color w:val="111111"/>
          <w:sz w:val="28"/>
          <w:sz w:val="28"/>
          <w:szCs w:val="28"/>
          <w:rtl w:val="true"/>
          <w:lang w:bidi="ar-SA"/>
        </w:rPr>
        <w:t>يقولون بالمتعة، مثل عبد اللّه بن عمر، و خالد بن مهاجر و</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خالد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أشار إلى حديث مسلم الذي ذكرناه فيما يتعلّق بابن عبّاس</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مهاجر هو الراوي للواقعة، لا أنّه يقول بالمتعة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ابن عمر</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 ما يخالف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قبل صفحات، و يأتي أيضا في الفصل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الشيخ المفيد أورد في كتابيه أسماء من يقول بالمتعة، نقلا عن كتاب الأقضية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صفوان و يعلى ابنا أميّة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يعلى بن أميّة، ابن منية، و منية أمّه؛ التميمي، حليف قريش، عامل عمر على نجران؛ له صحبة</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أميّة بن خلف، أبو وهب الجمحى، له صحبة</w:t>
      </w:r>
      <w:r>
        <w:rPr>
          <w:rFonts w:eastAsia="Amiri" w:cs="Amiri" w:ascii="Amiri" w:hAnsi="Amiri"/>
          <w:color w:val="111111"/>
          <w:sz w:val="28"/>
          <w:szCs w:val="28"/>
          <w:rtl w:val="true"/>
          <w:lang w:bidi="ar-SA"/>
        </w:rPr>
        <w:t>.</w:t>
      </w:r>
      <w:r>
        <w:rPr>
          <w:rStyle w:val="FootnoteAnchor"/>
          <w:rtl w:val="true"/>
        </w:rPr>
        <w:footnoteReference w:id="209"/>
      </w:r>
      <w:bookmarkStart w:id="274" w:name="pg1254_13261"/>
    </w:p>
    <w:p>
      <w:pPr>
        <w:pStyle w:val="Heading3"/>
        <w:numPr>
          <w:ilvl w:val="2"/>
          <w:numId w:val="1"/>
        </w:numPr>
        <w:rPr/>
      </w:pPr>
      <w:bookmarkStart w:id="275" w:name="__RefHeading___Toc3103580_373438147"/>
      <w:bookmarkStart w:id="276" w:name="_Toc111"/>
      <w:bookmarkEnd w:id="274"/>
      <w:bookmarkEnd w:id="275"/>
      <w:r>
        <w:rPr>
          <w:rtl w:val="true"/>
        </w:rPr>
        <w:t>الفصل الثالث</w:t>
      </w:r>
      <w:r>
        <w:rPr>
          <w:rtl w:val="true"/>
        </w:rPr>
        <w:t xml:space="preserve">: </w:t>
      </w:r>
      <w:r>
        <w:rPr>
          <w:rtl w:val="true"/>
        </w:rPr>
        <w:t>إثارات و مناقشات</w:t>
      </w:r>
      <w:bookmarkEnd w:id="276"/>
    </w:p>
    <w:p>
      <w:pPr>
        <w:pStyle w:val="Heading4"/>
        <w:numPr>
          <w:ilvl w:val="3"/>
          <w:numId w:val="1"/>
        </w:numPr>
        <w:rPr/>
      </w:pPr>
      <w:bookmarkStart w:id="277" w:name="__RefHeading___Toc3103582_373438147"/>
      <w:bookmarkStart w:id="278" w:name="_Toc112"/>
      <w:bookmarkEnd w:id="277"/>
      <w:r>
        <w:rPr/>
        <w:t>1</w:t>
      </w:r>
      <w:r>
        <w:rPr>
          <w:rtl w:val="true"/>
        </w:rPr>
        <w:t xml:space="preserve">. </w:t>
      </w:r>
      <w:r>
        <w:rPr>
          <w:rtl w:val="true"/>
        </w:rPr>
        <w:t>هل القائلون بالمتعة لم يبلغهم النسخ؟</w:t>
      </w:r>
      <w:bookmarkEnd w:id="278"/>
    </w:p>
    <w:p>
      <w:pPr>
        <w:pStyle w:val="BookText"/>
        <w:rPr/>
      </w:pPr>
      <w:r>
        <w:rPr>
          <w:rFonts w:ascii="Amiri" w:hAnsi="Amiri" w:eastAsia="Amiri" w:cs="Amiri"/>
          <w:color w:val="111111"/>
          <w:sz w:val="28"/>
          <w:sz w:val="28"/>
          <w:szCs w:val="28"/>
          <w:rtl w:val="true"/>
          <w:lang w:bidi="ar-SA"/>
        </w:rPr>
        <w:t xml:space="preserve">حاول البعض التغطية على الموقف الإيجابي لبعض الصحابة من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للخليفة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أنّه لم يبلغهم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أجيب عن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يبلغه النسخ، و كذلك يحمل عليه فعل غيره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تعسّف، و لكنّه أوجب المصير إليه حديث سبرة الصحيح المصرّح بالتحريم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متعبّدون بما بلغنا عن الشارع، و قد صحّ لنا عنه التحريم المؤبّد، و مخالفة طائفة من الصحابة غير قادحة في حجّيّته، و لا قائمة بالمعذرة عن العمل به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الشوكاني يعترف بأنّ هذا الجواب تعسّف و ضعيف فكيف يأخذ به؟</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جمع من الصحابة مع النصّ الصريح توجب الإعراض عن رأيهم،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نصّ صريح؛ إذ العمدة حديث سبرة، و سيأتي النقاش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أنّ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جابر و أبي سعيد و الإمام عليّ عليه السّلام و ابن عبّاس لم يتعبّدوا بما بلغهم من الشارع، و لكنّ الشوكاني متعبّد بما بلغه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الشوكاني بأنّ طائفة من الصحابة تخالف الرأي بالتحريم، و ترى الحلّيّة، و لكنّه مع ذلك يتركهم لحديث يراه صحيحا، و إن كان مخالفا لأحاديث و أقوال جمع من الصحابة الّذين نسبوا الجواز إلى قول رسول اللّه صلّى اللّه عليه و آله أو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المتتبّع لأحوال هؤلاء الصحابة و موقعهم العلمي و الاجتماعي، حينما ينظر إلى كلام الشوكاني بأنّه لم يبلغهم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يقف موقف المتحيّر المتعجّب من زعمه و زعم من يحذو حذوه؛ إذ أنّ من هؤلاء الصحابة من كان مفتي المدينة و المرجع للأحكام الشرعيّة، و منهم من هو جامع القرآن و كاتب الوحي، و منهم من هو الأعلم بكتاب اللّه و السنّة النبويّة، و منهم من هو حبر الامّة و فقيه العصر، و لم يطمئنّ في مسألة حتى يسأل ثلاثين صحابيّا و بعد ذلك ينسبها إلى النبيّ صلّى اللّه عليه و آله كيف من كان بهذه الرتبة و المقام لم يطّلع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 على الحلّيّة و الجواز إلى آخر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 من لا نقاش في جلالته و هم يفتون بالحلّيّة و يعملون بها، و هذا ممّا يثير الشبهة، بل يوجب الاطمئنان بأنّ القول بالحرمة هو رأي الخليفة عمر بن الخطّاب و اجتهاده،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يكفينا في هذا المقام كلام الرازي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عمر قال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مشروعتين في عهد رسول اللّه صلّى اللّه عليه و آله و أنا أنهى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تنصيص على أنّ متعة النكاح كانت موجودة في عهد الرسول،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الرسول صلّى اللّه عليه و آله ما نسخه، و إنّما عمر هو الّذي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يدلّ على أنّ حلّ المتعة كان ثابتا في عهد الرسول، و أنّه ما نسخه، و أنّه ليس ناسخ إلاّ نسخ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هذا وجب أن لا يصير منسوخا؛ لأنّ ما كان ثابتا في زمن الرسول صلّى اللّه عليه و آله و ما نسخه الرسول صلّى اللّه عليه و آله يمتنع أن يصير منسوخا بنسخ عمر، و هذا هو الحجّة الّتي احتجّ بها عمران بن الحصين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في المتعة آية و ما نسخها بآية أخرى، و أمرنا رسول اللّه صلّى اللّه عليه و آله بالمتعة و ما نهانا عنها، ثمّ قال رجل برأيه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عمر نهى عنها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بما لا يرجع إلى محصّل؛ فإنّ الحجّة و الدليل قويّ و لا يعارضه هذا الردّ الضعيف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الناسخ موجودا لكان ذلك الناسخ إمّا أن يكون معلوما بالتواتر أو بالآحاد، فإن كان معلوما بالتواتر كان عليّ بن أبي طالب عليه السّلام و عبد اللّه بن عبّاس و عمران بن الحصين منكرين لما عرف ثبوته بالتواتر من دين محمّد صلّى اللّه عليه و آله، و ذلك يوجب تكفيرهم و هو باطل قطعا</w:t>
      </w:r>
      <w:r>
        <w:rPr>
          <w:rFonts w:eastAsia="Amiri" w:cs="Amiri" w:ascii="Amiri" w:hAnsi="Amiri"/>
          <w:color w:val="111111"/>
          <w:sz w:val="28"/>
          <w:szCs w:val="28"/>
          <w:rtl w:val="true"/>
          <w:lang w:bidi="ar-SA"/>
        </w:rPr>
        <w:t>.</w:t>
      </w:r>
      <w:r>
        <w:rPr>
          <w:rStyle w:val="FootnoteAnchor"/>
          <w:rtl w:val="true"/>
        </w:rPr>
        <w:footnoteReference w:id="212"/>
      </w:r>
      <w:bookmarkStart w:id="279" w:name="pg1254_13264"/>
    </w:p>
    <w:p>
      <w:pPr>
        <w:pStyle w:val="BookText"/>
        <w:rPr/>
      </w:pPr>
      <w:bookmarkEnd w:id="279"/>
      <w:r>
        <w:rPr>
          <w:rFonts w:ascii="Amiri" w:hAnsi="Amiri" w:eastAsia="Amiri" w:cs="Amiri"/>
          <w:color w:val="111111"/>
          <w:sz w:val="28"/>
          <w:sz w:val="28"/>
          <w:szCs w:val="28"/>
          <w:rtl w:val="true"/>
          <w:lang w:bidi="ar-SA"/>
        </w:rPr>
        <w:t>و الحاصل أنّ جابر بن عبد اللّه و أبا سعيد و عبد اللّه بن مسعود و ابن عبّاس و عمران بن حصين و أمثالهم الّذين هم من مشاهير الصحابة و معاريفهم و المكثرين للحديث عن النبيّ صلّى اللّه عليه و آله، تراهم يرون جواز المتعة، و عمل الصحابة على ذلك، فإنّهم ينسبون العمل و الجواز إلى جميع الصحابة لا إلى خصوص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ارتضاه المحقّقون منهم و سيأتي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سبرة، حيث نقل التحريم يوم الفتح، و أين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الهويّة الّذي لم يعرف عنه إلاّ نقله حديثا أو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أسعد وحيد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المعاصرين للخليفة عمر، و من بعده بعض المحدّثين البسطاء، لمّا غفلوا عن معرفة سرّ نهي الخليفة عن زواج المتعة استكبروا منه أن يحرّم ما أحلّ اللّه، و اضطرّوا إلى استخراج مبرّر لذلك، فلم يجدوا سوى دعوى النسخ من النبيّ صلّى اللّه عليه و آله بعد الإباحة، فارتبكوا ذلك الارتباك، و اضطربت كلماتهم ذلك الاضطراب</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الشيعة الاثني عشريّة،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103584_373438147"/>
      <w:bookmarkStart w:id="281" w:name="_Toc113"/>
      <w:bookmarkEnd w:id="280"/>
      <w:r>
        <w:rPr/>
        <w:t>2</w:t>
      </w:r>
      <w:r>
        <w:rPr>
          <w:rtl w:val="true"/>
        </w:rPr>
        <w:t xml:space="preserve">. </w:t>
      </w:r>
      <w:r>
        <w:rPr>
          <w:rtl w:val="true"/>
        </w:rPr>
        <w:t>المنع أمر حكومي و صادر عن الخليفة عمر</w:t>
      </w:r>
      <w:bookmarkEnd w:id="281"/>
    </w:p>
    <w:p>
      <w:pPr>
        <w:pStyle w:val="Heading5"/>
        <w:numPr>
          <w:ilvl w:val="4"/>
          <w:numId w:val="1"/>
        </w:numPr>
        <w:rPr/>
      </w:pPr>
      <w:bookmarkStart w:id="282" w:name="__RefHeading___Toc3103586_373438147"/>
      <w:bookmarkStart w:id="283" w:name="_Toc114"/>
      <w:bookmarkEnd w:id="282"/>
      <w:r>
        <w:rPr>
          <w:rtl w:val="true"/>
        </w:rPr>
        <w:t>اشارة</w:t>
      </w:r>
      <w:bookmarkEnd w:id="2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لدينا شواهد تؤكّد على أنّ المنع عن المتعة لم يكن لنهي النبيّ صلّى اللّه عليه و آله عنها، و لم يكن لنسخ الحكم، بل توفّي النبيّ صلّى اللّه عليه و آله و الحكم باق، و قائم على قدم و ساق، و المسلمون لم يزالوا يعملون به برهة من حكومة الخليفة عمر، ثمّ منعها هو عن رأي و اجتهاد، لا عن نهي صادر من الرسول الأكرم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لدينا دلائل على ذلك نشير إلى بعضها</w:t>
      </w:r>
      <w:r>
        <w:rPr>
          <w:rFonts w:eastAsia="Amiri" w:cs="Amiri" w:ascii="Amiri" w:hAnsi="Amiri"/>
          <w:color w:val="111111"/>
          <w:sz w:val="28"/>
          <w:szCs w:val="28"/>
          <w:rtl w:val="true"/>
          <w:lang w:bidi="ar-SA"/>
        </w:rPr>
        <w:t>:</w:t>
      </w:r>
      <w:bookmarkStart w:id="284" w:name="pg1254_13265"/>
    </w:p>
    <w:p>
      <w:pPr>
        <w:pStyle w:val="Heading5"/>
        <w:numPr>
          <w:ilvl w:val="4"/>
          <w:numId w:val="1"/>
        </w:numPr>
        <w:rPr/>
      </w:pPr>
      <w:bookmarkStart w:id="285" w:name="__RefHeading___Toc3103588_373438147"/>
      <w:bookmarkStart w:id="286" w:name="_Toc115"/>
      <w:bookmarkEnd w:id="284"/>
      <w:bookmarkEnd w:id="285"/>
      <w:r>
        <w:rPr>
          <w:rtl w:val="true"/>
        </w:rPr>
        <w:t>الشاهد الأوّل</w:t>
      </w:r>
      <w:r>
        <w:rPr>
          <w:rtl w:val="true"/>
        </w:rPr>
        <w:t xml:space="preserve">: </w:t>
      </w:r>
      <w:r>
        <w:rPr>
          <w:rtl w:val="true"/>
        </w:rPr>
        <w:t>تأكيد ابن عمر على عهد أبيه</w:t>
      </w:r>
      <w:bookmarkEnd w:id="286"/>
    </w:p>
    <w:p>
      <w:pPr>
        <w:pStyle w:val="BookText"/>
        <w:rPr/>
      </w:pPr>
      <w:r>
        <w:rPr>
          <w:rFonts w:ascii="Amiri" w:hAnsi="Amiri" w:eastAsia="Amiri" w:cs="Amiri"/>
          <w:color w:val="111111"/>
          <w:sz w:val="28"/>
          <w:sz w:val="28"/>
          <w:szCs w:val="28"/>
          <w:rtl w:val="true"/>
          <w:lang w:bidi="ar-SA"/>
        </w:rPr>
        <w:t>لدينا نصوص مفادها أنّ ابن عمر يهدّد القائلين بجواز المتعة، و يذكّرهم بأنّهم ما كانوا يتجرّأون أن يتفوّهوا بذلك في عهد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صدر التحريم و النسخ في عهد النبيّ صلّى اللّه عليه و آله، فما هذا التأكيد من ابن عمر على خصوص عهد أبيه؟ هل معناه أنّ النبيّ صلّى اللّه عليه و آله لم يكن خشنا في ذات اللّه بقدر ما كان عمر خشنا في تنفيذ أحكام اللّه و الوقوف بوجه المتمرّدين؟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عن معمّر، عن الزهري، عن سالم، 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يرخّص في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ابن عبّاس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 إنّه ليقوله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كان ليقول هذا في زمن عمر، و إن كان عمر لينكّلهم عن هذا، و ما أعلمه إلاّ السفاح</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نافع، عن ابن عمر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يفتي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تزمزم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في زمن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إذن لم يكن النهي صادرا عن النبيّ صلّى اللّه عليه و آله، بل صدر عن الخليفة، و إلاّ فلا خصوصيّة لعهد دون عهد، طالما هي منسوخة و محرّمة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الصحابة لم تكن تبرز رأيها خلاف اجتهاد عمر؛ خوفا من سوطه و درّته، كما كان أبو هريرة و غيره يخشى من نقل الحديث على عهد عمر بن الخطّاب،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حتى</w:t>
      </w:r>
      <w:bookmarkStart w:id="287" w:name="pg1254_13266"/>
    </w:p>
    <w:p>
      <w:pPr>
        <w:pStyle w:val="BookText"/>
        <w:rPr/>
      </w:pPr>
      <w:bookmarkEnd w:id="287"/>
      <w:r>
        <w:rPr>
          <w:rFonts w:ascii="Amiri" w:hAnsi="Amiri" w:eastAsia="Amiri" w:cs="Amiri"/>
          <w:color w:val="111111"/>
          <w:sz w:val="28"/>
          <w:sz w:val="28"/>
          <w:szCs w:val="28"/>
          <w:rtl w:val="true"/>
          <w:lang w:bidi="ar-SA"/>
        </w:rPr>
        <w:t>قبض عمر، كنّا نخاف السياط</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تأريخ دمشق،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لأحدّث أحاديث لو تكلّمت بها في زمن عمر لشجّ رأسي</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تعليق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الذهبي على كلام أبي هريرة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الحديث عن رسول اللّه صلّى اللّه عليه و آله، و زجر غير واحد من الصحابة عن بثّ الحديث، و هذا مذهب لعمر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إذا كان الإكثار من الحديث في دولة عمر كانوا يمنعون منه مع صدقهم و عدالتهم و عدم الأسانيد</w:t>
      </w:r>
      <w:r>
        <w:rPr>
          <w:rStyle w:val="FootnoteAnchor"/>
          <w:rtl w:val="true"/>
        </w:rPr>
        <w:footnoteReference w:id="217"/>
      </w:r>
      <w:r>
        <w:rPr>
          <w:rFonts w:ascii="Amiri" w:hAnsi="Amiri" w:eastAsia="Amiri" w:cs="Amiri"/>
          <w:color w:val="111111"/>
          <w:sz w:val="28"/>
          <w:sz w:val="28"/>
          <w:szCs w:val="28"/>
          <w:rtl w:val="true"/>
          <w:lang w:bidi="ar-SA"/>
        </w:rPr>
        <w:t>إذن عرفت أنّ المنع من المتعة كان مذهبا و اجتهادا لعمر بن الخطّاب، كما كان المنع من الحديث مذهبا خاصّا له، لا لرسول اللّه صلّى اللّه عليه و آله و للشرع حيث إنّ الخليفة يمنع الحديث ممّن هو صادق و عادل و سمع الحديث من النبيّ صلّى اللّه عليه و آله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مذهب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منع الزواج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نسبوه إلى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 له خاصّة</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3103590_373438147"/>
      <w:bookmarkStart w:id="289" w:name="_Toc116"/>
      <w:bookmarkEnd w:id="288"/>
      <w:r>
        <w:rPr>
          <w:rtl w:val="true"/>
        </w:rPr>
        <w:t>الشاهد الثاني</w:t>
      </w:r>
      <w:r>
        <w:rPr>
          <w:rtl w:val="true"/>
        </w:rPr>
        <w:t xml:space="preserve">: </w:t>
      </w:r>
      <w:r>
        <w:rPr>
          <w:rtl w:val="true"/>
        </w:rPr>
        <w:t>تصريح جابر</w:t>
      </w:r>
      <w:bookmarkEnd w:id="289"/>
    </w:p>
    <w:p>
      <w:pPr>
        <w:pStyle w:val="BookText"/>
        <w:rPr/>
      </w:pPr>
      <w:r>
        <w:rPr>
          <w:rFonts w:ascii="Amiri" w:hAnsi="Amiri" w:eastAsia="Amiri" w:cs="Amiri"/>
          <w:color w:val="111111"/>
          <w:sz w:val="28"/>
          <w:sz w:val="28"/>
          <w:szCs w:val="28"/>
          <w:rtl w:val="true"/>
          <w:lang w:bidi="ar-SA"/>
        </w:rPr>
        <w:t>صرّح جابر بن عبد اللّه الأنصاري بأنّ المنع لم يكن على عهد النبيّ صلّى اللّه عليه و آله و لا على أبي بكر، بل صدر من عمر و على عهده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صلّى اللّه عليه و آله و 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هذا الرسول، و إنّ القرآن هذا القرآن، و إنّهما كانتا متعتين على عهد رسول اللّه صلّى اللّه عليه و اله و أنا أنهى عنهما و أعاقب عليهما</w:t>
      </w:r>
      <w:r>
        <w:rPr>
          <w:rFonts w:eastAsia="Amiri" w:cs="Amiri" w:ascii="Amiri" w:hAnsi="Amiri"/>
          <w:color w:val="111111"/>
          <w:sz w:val="28"/>
          <w:szCs w:val="28"/>
          <w:rtl w:val="true"/>
          <w:lang w:bidi="ar-SA"/>
        </w:rPr>
        <w:t>:</w:t>
      </w:r>
      <w:bookmarkStart w:id="290" w:name="pg1254_13267"/>
    </w:p>
    <w:p>
      <w:pPr>
        <w:pStyle w:val="BookText"/>
        <w:rPr/>
      </w:pPr>
      <w:bookmarkEnd w:id="290"/>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لا أقدر على رجل تزوّج امرأة إلى أجل إلاّ غيّبته بالحجارة، و الأخرى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افصلوا حجّكم من عمرتكم، فإنّه أتمّ لحجّكم و أتمّ لعمرتكم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أحكام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المغني،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الشرح الكبير،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المحاضرات،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تاريخ المدينة،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مسلم في الصحيح من وجه آخر عن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غيّبته بالحجارة، أي أنّه يجري عليه حدّ الزنا، مع أنّه لم يفت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العامّة، بل غاية ما قالوا بالتعزير أو مختلف فيه، و لو انعقد ولد فهو شبهة لا أنّه ابن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يعاقب فاعل نكاح المتعة و لكن لا يحدّ؛ لأنّ له شبهة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فلا حدّ فيه، لما فيه من شبهة</w:t>
      </w:r>
      <w:r>
        <w:rPr>
          <w:rFonts w:eastAsia="Amiri" w:cs="Amiri" w:ascii="Amiri" w:hAnsi="Amiri"/>
          <w:color w:val="111111"/>
          <w:sz w:val="28"/>
          <w:szCs w:val="28"/>
          <w:rtl w:val="true"/>
          <w:lang w:bidi="ar-SA"/>
        </w:rPr>
        <w:t>....</w:t>
      </w:r>
      <w:r>
        <w:rPr>
          <w:rStyle w:val="FootnoteAnchor"/>
          <w:rtl w:val="true"/>
        </w:rPr>
        <w:footnoteReference w:id="219"/>
      </w:r>
    </w:p>
    <w:p>
      <w:pPr>
        <w:pStyle w:val="Heading5"/>
        <w:numPr>
          <w:ilvl w:val="4"/>
          <w:numId w:val="1"/>
        </w:numPr>
        <w:rPr/>
      </w:pPr>
      <w:bookmarkStart w:id="291" w:name="__RefHeading___Toc3103592_373438147"/>
      <w:bookmarkStart w:id="292" w:name="_Toc117"/>
      <w:bookmarkEnd w:id="291"/>
      <w:r>
        <w:rPr>
          <w:rtl w:val="true"/>
        </w:rPr>
        <w:t>الشاهد الثالث</w:t>
      </w:r>
      <w:r>
        <w:rPr>
          <w:rtl w:val="true"/>
        </w:rPr>
        <w:t xml:space="preserve">: </w:t>
      </w:r>
      <w:r>
        <w:rPr>
          <w:rtl w:val="true"/>
        </w:rPr>
        <w:t>محاورة عمران بن سوادة</w:t>
      </w:r>
      <w:bookmarkEnd w:id="292"/>
    </w:p>
    <w:p>
      <w:pPr>
        <w:pStyle w:val="BookText"/>
        <w:rPr/>
      </w:pPr>
      <w:r>
        <w:rPr>
          <w:rFonts w:ascii="Amiri" w:hAnsi="Amiri" w:eastAsia="Amiri" w:cs="Amiri"/>
          <w:color w:val="111111"/>
          <w:sz w:val="28"/>
          <w:sz w:val="28"/>
          <w:szCs w:val="28"/>
          <w:rtl w:val="true"/>
          <w:lang w:bidi="ar-SA"/>
        </w:rPr>
        <w:t>روى الطبري بسنده عن عمران بن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الصبح مع عمر فقرأ سبحان و سورة معها، ثمّ انصرف و قمت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حاجة؟ قلت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فلمّا دخل أذن لي، فإذا هو على سرير ليس فوقه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بالناصح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عابت أمّتك منك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 درّته في ذقنه، و وضع أسفلها على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أنّك حرّمت العمرة في أشهر الحجّ و لم يفعل ذلك رسول اللّه صلّى اللّه عليه و آله و لا أبو بكر، و هي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أنّك حرّمت متعة النساء و قد كانت رخصة من اللّه نستمتع بقبضة و نفارق عن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أحلّها في زمان ضرورة، ثمّ رجع الناس إلى السّعة، ثمّ لم أعلم أحدا من المسلمين عمل بها و لا عاد إليها، فالآن من شاء نكح بقبضة و فارق عن ثلاث بطلاق، و قد أصبت</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شرح ابن أبي الحديد،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القوشجي الأشعري،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عمر قال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 صلّى اللّه عليه و آله و أنا أنهى عنهنّ و أحرّمهنّ و أعاقب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متعة الحجّ، و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ممّا يوجب قدحا فيه؛ فإنّ مخالفة المجتهد لغيره في المسائل الاجتهاديّة ليس ببدع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اضحك و ابك على هذا التعليق من القوشجي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النصّ صريح في أنّ المنع كان عن اجتهاد و رأي لعمر، و الناس معترضة عليه مخالفته سنّة الرسول الأعظم صلّى اللّه عليه و آله، و لكنّها لا تستطيع مواجهته خوفا من درّته و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كلام الخليفة هو الإقرار بعدم صدور النسخ في حياة النبيّ صلّى اللّه عليه و آله، فإنّه هو الّذي اجتهد، فحرّم المتعة عن رأيه بحجّة أنّ الناس رجعت إلى سعة، و أنّ المتعة كانت لأجل ضيق الناس في المعيشة، و عدم الاستطاعة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الخليفة لم يعلم و لم يطّلع على تحقّق المتعة بعد زمان السعة</w:t>
      </w:r>
      <w:r>
        <w:rPr>
          <w:rFonts w:eastAsia="Amiri" w:cs="Amiri" w:ascii="Amiri" w:hAnsi="Amiri"/>
          <w:color w:val="111111"/>
          <w:sz w:val="28"/>
          <w:szCs w:val="28"/>
          <w:rtl w:val="true"/>
          <w:lang w:bidi="ar-SA"/>
        </w:rPr>
        <w:t>!</w:t>
      </w:r>
      <w:bookmarkStart w:id="293" w:name="pg1254_13269"/>
    </w:p>
    <w:p>
      <w:pPr>
        <w:pStyle w:val="BookText"/>
        <w:rPr/>
      </w:pPr>
      <w:bookmarkEnd w:id="293"/>
      <w:r>
        <w:rPr>
          <w:rFonts w:ascii="Amiri" w:hAnsi="Amiri" w:eastAsia="Amiri" w:cs="Amiri"/>
          <w:color w:val="111111"/>
          <w:sz w:val="28"/>
          <w:sz w:val="28"/>
          <w:szCs w:val="28"/>
          <w:rtl w:val="true"/>
          <w:lang w:bidi="ar-SA"/>
        </w:rPr>
        <w:t>يا ترى هل من الضروري و اللازم على من أراد التمتّع أن يخبر الخليفة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قبل تسلّمه للخلافة؟ و هل عدم علم الخليفة بذلك دليل على حرمة المتعة؟</w:t>
      </w:r>
    </w:p>
    <w:p>
      <w:pPr>
        <w:pStyle w:val="Heading5"/>
        <w:numPr>
          <w:ilvl w:val="4"/>
          <w:numId w:val="1"/>
        </w:numPr>
        <w:rPr/>
      </w:pPr>
      <w:bookmarkStart w:id="294" w:name="__RefHeading___Toc3103594_373438147"/>
      <w:bookmarkStart w:id="295" w:name="_Toc118"/>
      <w:bookmarkEnd w:id="294"/>
      <w:r>
        <w:rPr>
          <w:rtl w:val="true"/>
        </w:rPr>
        <w:t>الشاهد الرابع</w:t>
      </w:r>
      <w:r>
        <w:rPr>
          <w:rtl w:val="true"/>
        </w:rPr>
        <w:t xml:space="preserve">: </w:t>
      </w:r>
      <w:r>
        <w:rPr>
          <w:rtl w:val="true"/>
        </w:rPr>
        <w:t>تصريح الإمام عليّ عليه السّلام</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من أصدّق أنّ عليّا قال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ما سبق من رأي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ابن الخطّاب‌لأمرت بالمتعة، ثمّ ما زنى إلاّ 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لعلّ هذه الاجتهادات هي التي سمّيت بسيرة الشيخين الّتي يطالب من بعدهما من الخلفاء بالسير وفقا لها</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103596_373438147"/>
      <w:bookmarkStart w:id="297" w:name="_Toc119"/>
      <w:bookmarkEnd w:id="296"/>
      <w:r>
        <w:rPr>
          <w:rtl w:val="true"/>
        </w:rPr>
        <w:t>الشاهد الخامس</w:t>
      </w:r>
      <w:r>
        <w:rPr>
          <w:rtl w:val="true"/>
        </w:rPr>
        <w:t xml:space="preserve">: </w:t>
      </w:r>
      <w:r>
        <w:rPr>
          <w:rtl w:val="true"/>
        </w:rPr>
        <w:t>تصريح المؤلّفين و الأعلام</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يفعلها،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حلّها؟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 عمر هو الّذي نهى عنها و عاقب على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و أنا أحرّمهما،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أقبل روايته في شرعيّتهما على عهد رسول اللّه صلّى اللّه عليه و آله و لا أقبل نهيه من قبل نفسه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14029</w:t>
      </w:r>
      <w:r>
        <w:rPr>
          <w:rFonts w:ascii="Amiri" w:hAnsi="Amiri" w:eastAsia="Amiri" w:cs="Amiri"/>
          <w:color w:val="111111"/>
          <w:sz w:val="28"/>
          <w:sz w:val="28"/>
          <w:szCs w:val="28"/>
          <w:rtl w:val="true"/>
          <w:lang w:bidi="ar-SA"/>
        </w:rPr>
        <w:t>، مثله عن ابن عبّاس؛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آخر قال يحيى بن أكثم لشيخ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اقتديت في جواز المتعة؛ المصدر،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حرّم المتعة بالنساء، و هي أن تنكح المرأة على شيء إلى أجل، و كانت مباحة قبل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هكذا و لكن ورد عن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نهى عن التمتّع معاوية، قاله ابن عبّاس رواه ابن أبي شيبة و أبو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تمتّع رسول اللّه صلّى اللّه عليه و آله و أبو بكر و عمر و عثمان و عليّ عليه السّلام، و أوّل من نهى عنه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مصادر الوسائل في معرفة الأوائل،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سهو القلم، أو خطأ مطبعيّ، لأنّ معاوية كان رأيه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ابن حزم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شرح الزرقاني،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حرّم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أسعد وحيد القاسم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كلّ تلك النصوص الصريحة و الّتي تثبت مشروعيّة نكاح المتعة، و عدم نهي النبيّ صلّى اللّه عليه و آله عنها، و بقاء حلّها حتى نهى الخليفة عنها زمن خلافته، فإنّنا لا نجد حلاّ لهذه العقدة إلاّ أنّ الخليفة عمر قد اجتهد برأيه لمصلحة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بنظره‌للمسلمين في زمانه و أيّامه،، اقتضت أن يمنع من استعمال المتعة منعا مدنيّا لا دينيّا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مراده المنع الزمنيّ و التحريم المدنيّ لا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موقفه المتشدّد بشأن نكاح المتعة ليس الأوّل من نوعه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بعض رواياتنا أنّ الخليفة لم يحرّم المتعة بل منعه و نهى عنها، كما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عمر أنّ أهل العراق يزعمون أنّ عمر حرّم المتعة فأرسل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أنّي لم أحرّمها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لعمر أن يحرّم ما أحلّ اللّه، و لكنّ عمر قد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الإنافة في معالم الخلافة،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تأريخ الإصدار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العسكري هو الحسن بن عبد اللّه بن سهل يكنّى أبا هلال اللغوي،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الشيعة الاثني عشريّة،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bookmarkStart w:id="298" w:name="pg1254_13271"/>
    </w:p>
    <w:p>
      <w:pPr>
        <w:pStyle w:val="Heading4"/>
        <w:numPr>
          <w:ilvl w:val="3"/>
          <w:numId w:val="1"/>
        </w:numPr>
        <w:rPr/>
      </w:pPr>
      <w:bookmarkStart w:id="299" w:name="__RefHeading___Toc3103598_373438147"/>
      <w:bookmarkStart w:id="300" w:name="_Toc120"/>
      <w:bookmarkEnd w:id="298"/>
      <w:bookmarkEnd w:id="299"/>
      <w:r>
        <w:rPr/>
        <w:t>3</w:t>
      </w:r>
      <w:r>
        <w:rPr>
          <w:rtl w:val="true"/>
        </w:rPr>
        <w:t xml:space="preserve">. </w:t>
      </w:r>
      <w:r>
        <w:rPr>
          <w:rtl w:val="true"/>
        </w:rPr>
        <w:t>هل ادّعى عمر النسخ؟</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عمر بن الخطّاب لم يدّع نسخ الحكم،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عنهما، بل كلامه هذا صريح في النهي عن المتعة من دون أن ينسبه إلى الرسول صلّى اللّه عليه و آله، فلو كان منسوخا لكان من الأحرى أن يدّعي ذلك، و ينسبه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نهي الخليفة لم يتلقّاه الصحابة نسخا، و الشاهد عليه هو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عمر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الآخر هو قول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في المتعة آية و ما نسخها بآية، و أمرنا رسول اللّه صلّى اللّه عليه و آله بالمتعة و ما نهانا عنها، ثمّ قال رجل برأيه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اجتهد برأيه مقابل النصّ، و هو مردود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فرض كون قول عمر رواية لكنّها تتعارض مع سائر الروايات المنقولة عن الصحابة في عدم نسخ الجواز، فتسقط و يرجع إلى الأصل الأوّلي و هو الإباحة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النسخ لا يثبت بأخبار الآحاد، كما صرّح بذلك بعض علماء السنّة مع أنّ دعوى عمر النسخ لا تتجاوز الآحاد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ينسخ نصّ قرآني، أو سنّة متواترة بسنّة غير متواترة أو بقياس؛ لأنّ الأقوى لا ينسخ بما هو أقلّ منه قوّة، و من أجل هذا تقرّر أنّه لا نسخ لحكم شرعيّ في القرآن أو سنّة بعد وفاة الرسول صلّى اللّه عليه و آله؛ لأنّه بعد وفاة</w:t>
      </w:r>
      <w:bookmarkStart w:id="301" w:name="pg1254_13272"/>
    </w:p>
    <w:p>
      <w:pPr>
        <w:pStyle w:val="BookText"/>
        <w:rPr/>
      </w:pPr>
      <w:bookmarkEnd w:id="301"/>
      <w:r>
        <w:rPr>
          <w:rFonts w:ascii="Amiri" w:hAnsi="Amiri" w:eastAsia="Amiri" w:cs="Amiri"/>
          <w:color w:val="111111"/>
          <w:sz w:val="28"/>
          <w:sz w:val="28"/>
          <w:szCs w:val="28"/>
          <w:rtl w:val="true"/>
          <w:lang w:bidi="ar-SA"/>
        </w:rPr>
        <w:t>الرسول انقطع ورود النصّ و استقرّت الأحكام، فلا يمكن أن ينسخ النصّ بقياس أو اجتهاد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حاشية البنائي على متن جمع الجوامع،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منسوخا كيف لم يطّلع عليه من الصحابة إلاّ عمر بن الخطّاب يشير بذلك بعد وفاة الرسول صلّى اللّه عليه و آله بأعوام، مع أنّه أمر مهمّ يدور بين النكاح و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302" w:name="__RefHeading___Toc3103600_373438147"/>
      <w:bookmarkStart w:id="303" w:name="_Toc121"/>
      <w:bookmarkEnd w:id="302"/>
      <w:r>
        <w:rPr/>
        <w:t>4</w:t>
      </w:r>
      <w:r>
        <w:rPr>
          <w:rtl w:val="true"/>
        </w:rPr>
        <w:t xml:space="preserve">. </w:t>
      </w:r>
      <w:r>
        <w:rPr>
          <w:rtl w:val="true"/>
        </w:rPr>
        <w:t>كلمات فقهاء العامّة و مفسّريهم</w:t>
      </w:r>
      <w:bookmarkEnd w:id="303"/>
    </w:p>
    <w:p>
      <w:pPr>
        <w:pStyle w:val="BookText"/>
        <w:rPr/>
      </w:pPr>
      <w:r>
        <w:rPr>
          <w:rFonts w:ascii="Amiri" w:hAnsi="Amiri" w:eastAsia="Amiri" w:cs="Amiri"/>
          <w:color w:val="111111"/>
          <w:sz w:val="28"/>
          <w:sz w:val="28"/>
          <w:szCs w:val="28"/>
          <w:rtl w:val="true"/>
          <w:lang w:bidi="ar-SA"/>
        </w:rPr>
        <w:t xml:space="preserve">لقد صرّح الفقهاء بأنّ هناك جمعا من الصحابة و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أئمّة المذاهب و شيوخ أصحاب الصحاح و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رأيهم الفقهي في المتعة هو الجواز، و يفتون به، و يعملون بالمتعة،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نكاح المتعة إلاّ عمران بن الحصين و بعض الصحابة و طائفة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ابن عبّاس من أهل مكّة و اليمن كلّهم يرون المتعة حلالا على مذهب ابن عبّاس</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ابن عبّاس و ابن أبي مليكة و ابن جريج و الإماميّة، جوازه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الهاشمي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يرى المتعة من أصحاب النبيّ صلّى اللّه عليه و آله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الحصين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العبّاس بن عبد المطلّب</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دائرة المعارف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الّتي نقل المفيد عنها،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على تحليلها بعد رسول اللّه صلّى اللّه عليه و آله جماعة من السلف، منهم من الصحابة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أبي بكر، و جابر بن عبد اللّه، و ابن مسعود، و ابن عبّاس، و معاوية بن أبي سفيان، و عمرو بن حريث، و أبو سعيد الخدري، و معبد، و سلمة، و أبناء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جابر بن عبد اللّه عن جميع الصحابة مدّة رسول اللّه صلّى اللّه عليه و آله، و مدّة أبي بكر و عمر إلى قرب آخر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إباحتها عن ابن الزبير، و عن عليّ فيها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الخطّاب أنّه إنّما أنكرها إذا لم يشهد عليها عدلان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أباحها بشهادة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طاووس، و عطاء، و سعيد بن جبير، و سائر فقهاء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تقصّينا الآثار المذكورة في كتابنا</w:t>
      </w:r>
      <w:r>
        <w:rPr>
          <w:rStyle w:val="FootnoteAnchor"/>
          <w:rtl w:val="true"/>
        </w:rPr>
        <w:footnoteReference w:id="227"/>
      </w:r>
      <w:r>
        <w:rPr>
          <w:rFonts w:ascii="Amiri" w:hAnsi="Amiri" w:eastAsia="Amiri" w:cs="Amiri"/>
          <w:color w:val="111111"/>
          <w:sz w:val="28"/>
          <w:sz w:val="28"/>
          <w:szCs w:val="28"/>
          <w:rtl w:val="true"/>
          <w:lang w:bidi="ar-SA"/>
        </w:rPr>
        <w:t>الموسوم بالإيصال</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هذه التصريحات، انظر إلى ما يقول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أصاب</w:t>
      </w:r>
      <w:bookmarkStart w:id="304" w:name="pg1254_13274"/>
    </w:p>
    <w:p>
      <w:pPr>
        <w:pStyle w:val="BookText"/>
        <w:rPr/>
      </w:pPr>
      <w:bookmarkEnd w:id="304"/>
      <w:r>
        <w:rPr>
          <w:rFonts w:ascii="Amiri" w:hAnsi="Amiri" w:eastAsia="Amiri" w:cs="Amiri"/>
          <w:color w:val="111111"/>
          <w:sz w:val="28"/>
          <w:sz w:val="28"/>
          <w:szCs w:val="28"/>
          <w:rtl w:val="true"/>
          <w:lang w:bidi="ar-SA"/>
        </w:rPr>
        <w:t>عمر وجه الصواب بإدراكه أن لا كبير فرق بين متعة وزنى</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الإسلام،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كيف يتّهم الصحابة و التابعين و يرميهم بأفحش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نكاح المتعة إلاّ عمران بن الحصين، و عبد اللّه بن عبّاس، و بعض أصحابه، و طائفة من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5" w:name="__RefHeading___Toc3103602_373438147"/>
      <w:bookmarkStart w:id="306" w:name="_Toc122"/>
      <w:bookmarkEnd w:id="305"/>
      <w:r>
        <w:rPr/>
        <w:t>5</w:t>
      </w:r>
      <w:r>
        <w:rPr>
          <w:rtl w:val="true"/>
        </w:rPr>
        <w:t xml:space="preserve">. </w:t>
      </w:r>
      <w:r>
        <w:rPr>
          <w:rtl w:val="true"/>
        </w:rPr>
        <w:t>لا إجماع على تحريم المتعة</w:t>
      </w:r>
      <w:bookmarkEnd w:id="306"/>
    </w:p>
    <w:p>
      <w:pPr>
        <w:pStyle w:val="BookText"/>
        <w:rPr/>
      </w:pPr>
      <w:r>
        <w:rPr>
          <w:rFonts w:ascii="Amiri" w:hAnsi="Amiri" w:eastAsia="Amiri" w:cs="Amiri"/>
          <w:color w:val="111111"/>
          <w:sz w:val="28"/>
          <w:sz w:val="28"/>
          <w:szCs w:val="28"/>
          <w:rtl w:val="true"/>
          <w:lang w:bidi="ar-SA"/>
        </w:rPr>
        <w:t>إنّ مخالفة ثلّة من الصحابة و قولهم بجواز المتعة، خير دليل على عدم انعقاد الإجماع على التحريم، و بذلك صرّح فقهاء العامّة في كتبهم، كالزرقاني، و الماوردي، و المرغيناني في المنتقى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أنّه لم ينعقد الإجماع على تحريمه أنّه يلحق به الولد، و لو انعقد الإجماع بتحريمه و أتاه أحد عالما بالتحريم، لوجب أن لا يلحق به الولد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الجواز عن جمع من الصحابة، كجابر، و ابن مسعود، و أبي سعيد، و معاوية، و أسماء بنت أبي بكر، و ابن عبّاس، و عمرو بن الحويرث، و سلمة، و عن جماعة من التابعين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بأنّ الخلاف إنّما كان في الصدر الأوّل إلى آخر خلافة عمر، و الإجماع إنّما هو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الأصوليّون في الاجتماع بعد الخلاف هل يرفع الخلاف السابق أم لا يرفعه، و يكون الخلاف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جاء الخلاف فيمن نكح متعة هل يحدّ أولا؟ لشبهة العقد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شرح الزرقاني،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خالفهم ابن عبّاس و مع خلافه لا ينعقد الإجماع،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ابن عبّاس عن إباحتها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 ما لا يخفى؛ إذ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رجوع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المحقّق تأريخيّا هو ثبوته على الجواز إلى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المخالف ابن عبّاس فقط، بل عشرات من الصحابة، كما مرّ ذكر أسمائهم، و حينئذ، لم يتحقّق الإجماع على الحرمة لدى الصحابة، و معه لا فائدة للإجماع بعد الخلاف، كما هو رأي جمع من الأصوليّين، و قد أشار الزرقاني إلى هذا البحث</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بإباحة نكاح المتعة، و هو مذهب عبد اللّه بن مسعود، و عبد اللّه بن عبّاس، و جابر بن عبد اللّه، و سلمة بن الأكوع، و يعلى بن أميّة، و صفوان بن أميّة، و معاوية بن أبي سفيان، و قال به من التابعين عطاء و طاووس، و سعيد بن جبير، و جابر بن يزيد، و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أبو علي</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فهما، عالما، فقيها، و له تصانيف كثيرة في الفقه و في الأصول تدلّ على حسن فهمه، و غزارة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علي بن</w:t>
      </w:r>
      <w:bookmarkStart w:id="307" w:name="pg1254_13276"/>
    </w:p>
    <w:p>
      <w:pPr>
        <w:pStyle w:val="BookText"/>
        <w:rPr/>
      </w:pPr>
      <w:bookmarkEnd w:id="307"/>
      <w:r>
        <w:rPr>
          <w:rFonts w:ascii="Amiri" w:hAnsi="Amiri" w:eastAsia="Amiri" w:cs="Amiri"/>
          <w:color w:val="111111"/>
          <w:sz w:val="28"/>
          <w:sz w:val="28"/>
          <w:szCs w:val="28"/>
          <w:rtl w:val="true"/>
          <w:lang w:bidi="ar-SA"/>
        </w:rPr>
        <w:t>يزيد في كتابه المعروف بكتاب الأقضية، و كان إماما من أئمّة العامّة، فقيها، ثقة عندهم،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جعفر، محمّد بن حبيب في كتابه المعروف بكتاب المحبّر أنّه كان يقول بالمتعة من الصحابة جماعة ممّن سمّيناه، و زاد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زيد بن ثابت، و عمران بن حصين،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مؤلّفات الشيخ المفيد،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3103604_373438147"/>
      <w:bookmarkStart w:id="309" w:name="_Toc123"/>
      <w:bookmarkEnd w:id="308"/>
      <w:r>
        <w:rPr/>
        <w:t>6</w:t>
      </w:r>
      <w:r>
        <w:rPr>
          <w:rtl w:val="true"/>
        </w:rPr>
        <w:t xml:space="preserve">. </w:t>
      </w:r>
      <w:r>
        <w:rPr>
          <w:rtl w:val="true"/>
        </w:rPr>
        <w:t>الاضطراب في أحاديث التحريم</w:t>
      </w:r>
      <w:bookmarkEnd w:id="309"/>
    </w:p>
    <w:p>
      <w:pPr>
        <w:pStyle w:val="BookText"/>
        <w:rPr/>
      </w:pPr>
      <w:r>
        <w:rPr>
          <w:rFonts w:ascii="Amiri" w:hAnsi="Amiri" w:eastAsia="Amiri" w:cs="Amiri"/>
          <w:color w:val="111111"/>
          <w:sz w:val="28"/>
          <w:sz w:val="28"/>
          <w:szCs w:val="28"/>
          <w:rtl w:val="true"/>
          <w:lang w:bidi="ar-SA"/>
        </w:rPr>
        <w:t>إنّ أحاديث التحريم مضطربة جدّا يخالف بعضها بعضا؛ لأنّه روي في بعضها أنّه صلّى اللّه عليه و آله حرّمها عام خيبر، و روي في بعضها أنّه صلّى اللّه عليه و آله حرّمها عام الفتح بمكّة، و روي في بعضها أنّه في غزوة تبوك، و روي في بعضها أنّه حرّمها فى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كلّ وقت و وقت زمان ممتدّ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أجيب بما لا يرجع إلى محصّل، فإنّهم أجابوا تارة بأنّها كانت حلالا فحرّمت عام خيبر، ثمّ أباحها بعد ذلك لمصلحة علمها، ثمّ حرّمها في حجّة الوداع</w:t>
      </w:r>
      <w:r>
        <w:rPr>
          <w:rFonts w:eastAsia="Amiri" w:cs="Amiri" w:ascii="Amiri" w:hAnsi="Amiri"/>
          <w:color w:val="111111"/>
          <w:sz w:val="28"/>
          <w:szCs w:val="28"/>
          <w:rtl w:val="true"/>
          <w:lang w:bidi="ar-SA"/>
        </w:rPr>
        <w:t>.</w:t>
      </w:r>
      <w:bookmarkStart w:id="310" w:name="pg1254_13277"/>
    </w:p>
    <w:p>
      <w:pPr>
        <w:pStyle w:val="BookText"/>
        <w:rPr/>
      </w:pPr>
      <w:bookmarkEnd w:id="310"/>
      <w:r>
        <w:rPr>
          <w:rFonts w:ascii="Amiri" w:hAnsi="Amiri" w:eastAsia="Amiri" w:cs="Amiri"/>
          <w:color w:val="111111"/>
          <w:sz w:val="28"/>
          <w:sz w:val="28"/>
          <w:szCs w:val="28"/>
          <w:rtl w:val="true"/>
          <w:lang w:bidi="ar-SA"/>
        </w:rPr>
        <w:t>و قد أجيب أيضا؛ بأنّه تأكيد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الثاني يتناقض مع الأوّل؛ إذ على الأوّل أحلّها النبيّ صلّى اللّه عليه و آله بعد التحريم مرّات، و على الثاني لم يحلّها بعد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ما روي أنّ النبيّ صلّى اللّه عليه و آله نهى عن نكاح المتعة زمن خيبر، ثمّ، و رواية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رخّص ذلك عام أوطاس ثلاثة أيّام، ثمّ نهى عنه، و رواية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أذن في ذلك عام فتح مكّة، ثمّ نهى عنها، و رواية أحمد و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نهى عنها حجّة الوداع فتأمّل هذا الاختلاف العظيم في رواية نسخها، و أين النهي عنها في خيبر، و الإذن فيها في أوطاس، ثمّ النهي عنها بعد ثلاثة أيّام، مع الحكم بأنّها كانت سائغة في أوّل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ذلك الحديث المقتضي لطول مدّة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الإذن فيها في فتح مكّة، و هي متأخّرة عن الجميع، ثمّ النهي عنها في ذلك الوقت، ثمّ في حجّة الوداع، و هي متأخّرة عن الجميع؟ فيلزم على هذا أن تكون شرّعت مرارا، و نسخت كذلك</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التفسير الكبير،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ذيل سورة النساء</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3103606_373438147"/>
      <w:bookmarkStart w:id="312" w:name="_Toc124"/>
      <w:bookmarkEnd w:id="311"/>
      <w:r>
        <w:rPr/>
        <w:t>7</w:t>
      </w:r>
      <w:r>
        <w:rPr>
          <w:rtl w:val="true"/>
        </w:rPr>
        <w:t xml:space="preserve">. </w:t>
      </w:r>
      <w:r>
        <w:rPr>
          <w:rtl w:val="true"/>
        </w:rPr>
        <w:t>مناقشة الأحاديث المعارضة</w:t>
      </w:r>
      <w:bookmarkEnd w:id="312"/>
    </w:p>
    <w:p>
      <w:pPr>
        <w:pStyle w:val="Heading5"/>
        <w:numPr>
          <w:ilvl w:val="4"/>
          <w:numId w:val="1"/>
        </w:numPr>
        <w:rPr/>
      </w:pPr>
      <w:bookmarkStart w:id="313" w:name="__RefHeading___Toc3103608_373438147"/>
      <w:bookmarkStart w:id="314" w:name="_Toc125"/>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وردت أحاديث معارضة لما نقل عن ابن عبّاس و سائر الصحابة، و لكنّها ضعيفة السند، أو محرّفة من حيث المتن، و فيما يلي بعض النصوص</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3103610_373438147"/>
      <w:bookmarkStart w:id="316" w:name="_Toc126"/>
      <w:bookmarkEnd w:id="315"/>
      <w:r>
        <w:rPr/>
        <w:t>1</w:t>
      </w:r>
      <w:r>
        <w:rPr>
          <w:rtl w:val="true"/>
        </w:rPr>
        <w:t xml:space="preserve">. </w:t>
      </w:r>
      <w:r>
        <w:rPr>
          <w:rtl w:val="true"/>
        </w:rPr>
        <w:t>حديث الترمذي</w:t>
      </w:r>
      <w:bookmarkEnd w:id="31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الترمذي عن موسى بن عبيدة، عن محمد بن كعب، عن ابن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المتعة في أوّل الإسلام كان الرجل يقدم البلدة ليس له بها معرفة فيتزوّج المرأة بقدر ما يرى أنّه يقيم، فتحفظ له متاعه، و تصلح له شيئه، حتى إذا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فرج سوى هذين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السند موسى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الحديث، لا تحلّ الرواية عنه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لمّا مرّ حديث موسى بن عبيدة، عن محمد بن كعب،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متاع موسى، و ضمّ فمه و عوّجه و نفض يديه،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يحفظ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عبيدة، ضعيف الحديث، حدّث بأحاديث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الّتي ذكرتها لموسى عامّتها غير محفوظة، و الضعف على رواياته بيّن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239"/>
      </w:r>
      <w:bookmarkStart w:id="317" w:name="pg1254_13279"/>
    </w:p>
    <w:p>
      <w:pPr>
        <w:pStyle w:val="BookText"/>
        <w:rPr/>
      </w:pPr>
      <w:bookmarkEnd w:id="317"/>
      <w:r>
        <w:rPr>
          <w:rFonts w:ascii="Amiri" w:hAnsi="Amiri" w:eastAsia="Amiri" w:cs="Amiri"/>
          <w:color w:val="111111"/>
          <w:sz w:val="28"/>
          <w:sz w:val="28"/>
          <w:szCs w:val="28"/>
          <w:rtl w:val="true"/>
          <w:lang w:bidi="ar-SA"/>
        </w:rPr>
        <w:t>إذن لا اعتبار بهذا المعارض، لأنّه ساقط من أساسه، و لذا لم يخرّجه أحد من أصحاب الكتب الستّة سوى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المعلّق أيضا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103612_373438147"/>
      <w:bookmarkStart w:id="319" w:name="_Toc127"/>
      <w:bookmarkEnd w:id="318"/>
      <w:r>
        <w:rPr/>
        <w:t>2</w:t>
      </w:r>
      <w:r>
        <w:rPr>
          <w:rtl w:val="true"/>
        </w:rPr>
        <w:t xml:space="preserve">. </w:t>
      </w:r>
      <w:r>
        <w:rPr>
          <w:rtl w:val="true"/>
        </w:rPr>
        <w:t>حديث سعيد بن جبير</w:t>
      </w:r>
      <w:bookmarkEnd w:id="319"/>
    </w:p>
    <w:p>
      <w:pPr>
        <w:pStyle w:val="BookText"/>
        <w:rPr/>
      </w:pPr>
      <w:r>
        <w:rPr>
          <w:rFonts w:ascii="Amiri" w:hAnsi="Amiri" w:eastAsia="Amiri" w:cs="Amiri"/>
          <w:color w:val="111111"/>
          <w:sz w:val="28"/>
          <w:sz w:val="28"/>
          <w:szCs w:val="28"/>
          <w:rtl w:val="true"/>
          <w:lang w:bidi="ar-SA"/>
        </w:rPr>
        <w:t>عن سعيد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صنعت و بما أفتيت؟ سارت بفتياك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اللّه ما بهذا أفتيت، و لا هذا أردت، و لا أحللت منها إلاّ ما أحلّ اللّه من الميتة و الدم و لحم الخنزير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كالميتة و الدم و لحم الخنزير، فأمّا إذن رسول اللّه فقد ثبت نسخه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سعيدا هو الّذي تمتّع بمكّة</w:t>
      </w:r>
      <w:r>
        <w:rPr>
          <w:rStyle w:val="FootnoteAnchor"/>
          <w:rtl w:val="true"/>
        </w:rPr>
        <w:footnoteReference w:id="242"/>
      </w:r>
      <w:r>
        <w:rPr>
          <w:rFonts w:ascii="Amiri" w:hAnsi="Amiri" w:eastAsia="Amiri" w:cs="Amiri"/>
          <w:color w:val="111111"/>
          <w:sz w:val="28"/>
          <w:sz w:val="28"/>
          <w:szCs w:val="28"/>
          <w:rtl w:val="true"/>
          <w:lang w:bidi="ar-SA"/>
        </w:rPr>
        <w:t>، و تزوّجها نكاح المتعة و معه لا معنى لهذا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ابن عبّاس من أهل مكّة و اليمن كلّهم يرون المتعة حلالا على مذهب ابن عبّاس</w:t>
      </w:r>
      <w:r>
        <w:rPr>
          <w:rStyle w:val="FootnoteAnchor"/>
          <w:rtl w:val="true"/>
        </w:rPr>
        <w:footnoteReference w:id="243"/>
      </w:r>
      <w:r>
        <w:rPr>
          <w:rFonts w:ascii="Amiri" w:hAnsi="Amiri" w:eastAsia="Amiri" w:cs="Amiri"/>
          <w:color w:val="111111"/>
          <w:sz w:val="28"/>
          <w:sz w:val="28"/>
          <w:szCs w:val="28"/>
          <w:rtl w:val="true"/>
          <w:lang w:bidi="ar-SA"/>
        </w:rPr>
        <w:t>، و لو كان ابن عبّاس قد رجع عن فتواه لما استمرّ أصحابه على ذلك</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أرطاة، و هو مدلّس،</w:t>
      </w:r>
      <w:bookmarkStart w:id="320" w:name="pg1254_13280"/>
    </w:p>
    <w:p>
      <w:pPr>
        <w:pStyle w:val="BookText"/>
        <w:rPr/>
      </w:pPr>
      <w:bookmarkEnd w:id="320"/>
      <w:r>
        <w:rPr>
          <w:rFonts w:ascii="Amiri" w:hAnsi="Amiri" w:eastAsia="Amiri" w:cs="Amiri"/>
          <w:color w:val="111111"/>
          <w:sz w:val="28"/>
          <w:sz w:val="28"/>
          <w:szCs w:val="28"/>
          <w:rtl w:val="true"/>
          <w:lang w:bidi="ar-SA"/>
        </w:rPr>
        <w:t>كما صرّح بذلك الهيثمي</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يعقوب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 الحديث، في حديثه اضطراب كثير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أمّا طريق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المنهال بن عمرو، فقد ترك شعبة الرواية عنه؛ لكونه سمع آلة الطرب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فيه أحمد بن سعيد بن بشر الهمداني، و هو ليس بالقويّ، كما عن النسائي</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فيه أيضا ابن وهب، و هو عبد اللّه بن محمد الدينوري، و هو يضع الحديث كما عن الدار قطني و كان عمر بن سهل يرميه بالكذب</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في سنده الثاني مجاهيل، و مع ذلك لا أدرى كيف يستدلّ البعض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321" w:name="__RefHeading___Toc3103614_373438147"/>
      <w:bookmarkStart w:id="322" w:name="_Toc128"/>
      <w:bookmarkEnd w:id="321"/>
      <w:r>
        <w:rPr/>
        <w:t>3</w:t>
      </w:r>
      <w:r>
        <w:rPr>
          <w:rtl w:val="true"/>
        </w:rPr>
        <w:t xml:space="preserve">. </w:t>
      </w:r>
      <w:r>
        <w:rPr>
          <w:rtl w:val="true"/>
        </w:rPr>
        <w:t>حديث الزهري</w:t>
      </w:r>
      <w:bookmarkEnd w:id="322"/>
    </w:p>
    <w:p>
      <w:pPr>
        <w:pStyle w:val="BookText"/>
        <w:rPr/>
      </w:pPr>
      <w:r>
        <w:rPr>
          <w:rFonts w:ascii="Amiri" w:hAnsi="Amiri" w:eastAsia="Amiri" w:cs="Amiri"/>
          <w:color w:val="111111"/>
          <w:sz w:val="28"/>
          <w:sz w:val="28"/>
          <w:szCs w:val="28"/>
          <w:rtl w:val="true"/>
          <w:lang w:bidi="ar-SA"/>
        </w:rPr>
        <w:t>و لعلّ هذا من أهمّ ما استدلّوا به على رجوع ابن عبّاس عن فتواه، و فيما يلي الحديث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شهاب الزهري، عن عبد اللّه و الحسن ابني محمد بن عليّ، عن أبيهما أنّه سمع أباه عليّ بن أبي طالب عليه السّلام يقول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امرؤ تائه،</w:t>
      </w:r>
    </w:p>
    <w:p>
      <w:pPr>
        <w:pStyle w:val="BookText"/>
        <w:rPr/>
      </w:pPr>
      <w:r>
        <w:rPr>
          <w:rFonts w:ascii="Amiri" w:hAnsi="Amiri" w:eastAsia="Amiri" w:cs="Amiri"/>
          <w:color w:val="111111"/>
          <w:sz w:val="28"/>
          <w:sz w:val="28"/>
          <w:szCs w:val="28"/>
          <w:rtl w:val="true"/>
          <w:lang w:bidi="ar-SA"/>
        </w:rPr>
        <w:t>إنّ رسول اللّه صلّى اللّه عليه و آله نهى عنها يوم خيبر و عن أكل لحوم الحمر الإنسيّة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مصنّف عبد الرزّاق،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 النووي</w:t>
      </w:r>
      <w:r>
        <w:rPr>
          <w:rStyle w:val="FootnoteAnchor"/>
          <w:rtl w:val="true"/>
        </w:rPr>
        <w:footnoteReference w:id="251"/>
      </w:r>
      <w:r>
        <w:rPr>
          <w:rFonts w:ascii="Amiri" w:hAnsi="Amiri" w:eastAsia="Amiri" w:cs="Amiri"/>
          <w:color w:val="111111"/>
          <w:sz w:val="28"/>
          <w:sz w:val="28"/>
          <w:szCs w:val="28"/>
          <w:rtl w:val="true"/>
          <w:lang w:bidi="ar-SA"/>
        </w:rPr>
        <w:t>على بطلان القول بالمتعة، و بأدلّة أخرى لا تزيد على كونها اجتهادات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غزوة خيبر تحريم متعة النساء، بل هذا لا يوافق الواقع التأريخي، و قد أبان ابن القيّم عن ذلك، كما نشير إليه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خيبر لم يكن فيها الصحابة يتمتّعون باليهود، و لا استأذنوا في ذلك رسول اللّه صلّى اللّه عليه و آله، و لا نقله أحد قطّ في هذه الغزوة، و لا كان للمتعة فيها ذكر ألبتّة، لا فعلا و لا تحريما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خيبر لم يكن فيها مسلمات، و إنّما كنّ يهوديّات، و إباحة نساء أهل الكتاب لم يكن ثبت بعد، إنّما أبحن بعد ذلك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w:t>
      </w:r>
      <w:r>
        <w:rPr>
          <w:rStyle w:val="FootnoteAnchor"/>
          <w:rtl w:val="true"/>
        </w:rPr>
        <w:footnoteReference w:id="253"/>
      </w:r>
      <w:r>
        <w:rPr>
          <w:rFonts w:ascii="Amiri" w:hAnsi="Amiri" w:eastAsia="Amiri" w:cs="Amiri"/>
          <w:color w:val="111111"/>
          <w:sz w:val="28"/>
          <w:sz w:val="28"/>
          <w:szCs w:val="28"/>
          <w:rtl w:val="true"/>
          <w:lang w:bidi="ar-SA"/>
        </w:rPr>
        <w:t>فلم تكن إباحة نساء أهل الكتاب ثابتة</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يوم خيبر ظرفا لمتعة النساء؛ لأنّه لم يقع في غزوة خيبر تمتّع بالنساء</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فالنهي يوم خيبر كان عن دخول بيوت أهل الكتاب إلاّ بإذنهم، و ضرب نسائهم و أكل ثمارهم، و ذلك بعد ما جاء صاحب خيبر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لكم أن تذبحوا حمرنا، و تأكلوا تمرنا، و</w:t>
      </w:r>
    </w:p>
    <w:p>
      <w:pPr>
        <w:pStyle w:val="BookText"/>
        <w:rPr/>
      </w:pPr>
      <w:r>
        <w:rPr>
          <w:rFonts w:ascii="Amiri" w:hAnsi="Amiri" w:eastAsia="Amiri" w:cs="Amiri"/>
          <w:color w:val="111111"/>
          <w:sz w:val="28"/>
          <w:sz w:val="28"/>
          <w:szCs w:val="28"/>
          <w:rtl w:val="true"/>
          <w:lang w:bidi="ar-SA"/>
        </w:rPr>
        <w:t>تضربوا 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يعني النبيّ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عوف؛ اركب فرسك، ثمّ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اجتمعوا للصلاة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عزّ و جل لم يحلّ لكم أن تدخلوا بيوت أهل الكتاب إلاّ بإذن، و لا ضرب نسائهم، و لا أكل ثمارهم إذا أعطوكم الّذي عليهم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في خطبة النبيّ صلّى اللّه عليه و آله يوم خيبر النهي عن المتعة، و لكنّ الأيدي الأمينة أضافت إلى هذه الرواية، أو ابتكرت، كما هي عادتها في وضع الأكاذيب رواية و نسبتها إلى ابني محمد، عن أبيهم، عن الإمام عليّ عليه السّلام، و لعلّه لأجل أن يكون أوقع في النفوس، و كأنّه نسي قول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عمر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 إنكاره على عمر، لتحريمه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حلّيّة المتعة أثناء فتح مكّة</w:t>
      </w:r>
      <w:r>
        <w:rPr>
          <w:rStyle w:val="FootnoteAnchor"/>
          <w:rtl w:val="true"/>
        </w:rPr>
        <w:footnoteReference w:id="258"/>
      </w:r>
      <w:r>
        <w:rPr>
          <w:rFonts w:ascii="Amiri" w:hAnsi="Amiri" w:eastAsia="Amiri" w:cs="Amiri"/>
          <w:color w:val="111111"/>
          <w:sz w:val="28"/>
          <w:sz w:val="28"/>
          <w:szCs w:val="28"/>
          <w:rtl w:val="true"/>
          <w:lang w:bidi="ar-SA"/>
        </w:rPr>
        <w:t>، فكيف يتقدّم زمان الناسخ على زمان المنسوخ؟ و كيف يكون يوم خيبر زمان نسخ حلّيّة المتعة مع أنّها كانت محلّلة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الرواية في سياق الردّ على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وصفه بأنّه رجل تائه‌لكان ينبغي أن يعدل عن رأيه، مع أنّه لم يثبت عدوله عن فتواه، و هذا يكشف عن أنّ عليّا عليه السّلام لم ينقل له رواية بتحريم المتعة عن النبيّ صلّى اللّه عليه و آله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ابن عبّاس أنّه رجع عن القول بحلّها حين قال له عليّ عليه السّلام هذا القول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تائه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سبق ما يدلّ على عدم رجوعه عن ذلك بعد قول عليّ عليه السّلام له ذلك، فإنّ ما جرى بين ابن عبّاس و بين</w:t>
      </w:r>
      <w:bookmarkStart w:id="323" w:name="pg1254_13283"/>
    </w:p>
    <w:p>
      <w:pPr>
        <w:pStyle w:val="BookText"/>
        <w:rPr/>
      </w:pPr>
      <w:bookmarkEnd w:id="323"/>
      <w:r>
        <w:rPr>
          <w:rFonts w:ascii="Amiri" w:hAnsi="Amiri" w:eastAsia="Amiri" w:cs="Amiri"/>
          <w:color w:val="111111"/>
          <w:sz w:val="28"/>
          <w:sz w:val="28"/>
          <w:szCs w:val="28"/>
          <w:rtl w:val="true"/>
          <w:lang w:bidi="ar-SA"/>
        </w:rPr>
        <w:t>ابن الزبير من المكالمات العنيفة المتقدّمة إنّما كان في خلافة عبد اللّه بن الزبير، و ذلك بعد وفاة عليّ عليه السّلام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يتّضح ضعف ما قاله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المتعة كالإجماع إلاّ عن بعض الشيعة، و لا يصحّ على قاعدتهم في الرجوع في المختلفات إلى عليّ عليه السّلام و آل بيته، فقد صحّ عن عليّ أنّها نسخت</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أين الحديث الصحيح عن عليّ عليه السّلام الدالّ على تحريم متعة النساء؟</w:t>
      </w:r>
    </w:p>
    <w:p>
      <w:pPr>
        <w:pStyle w:val="Heading5"/>
        <w:numPr>
          <w:ilvl w:val="4"/>
          <w:numId w:val="1"/>
        </w:numPr>
        <w:rPr/>
      </w:pPr>
      <w:bookmarkStart w:id="324" w:name="__RefHeading___Toc3103616_373438147"/>
      <w:bookmarkStart w:id="325" w:name="_Toc129"/>
      <w:bookmarkEnd w:id="324"/>
      <w:r>
        <w:rPr/>
        <w:t>4</w:t>
      </w:r>
      <w:r>
        <w:rPr>
          <w:rtl w:val="true"/>
        </w:rPr>
        <w:t xml:space="preserve">. </w:t>
      </w:r>
      <w:r>
        <w:rPr>
          <w:rtl w:val="true"/>
        </w:rPr>
        <w:t>حديث سبرة</w:t>
      </w:r>
      <w:bookmarkEnd w:id="325"/>
    </w:p>
    <w:p>
      <w:pPr>
        <w:pStyle w:val="BookText"/>
        <w:rPr/>
      </w:pPr>
      <w:r>
        <w:rPr>
          <w:rFonts w:ascii="Amiri" w:hAnsi="Amiri" w:eastAsia="Amiri" w:cs="Amiri"/>
          <w:color w:val="111111"/>
          <w:sz w:val="28"/>
          <w:sz w:val="28"/>
          <w:szCs w:val="28"/>
          <w:rtl w:val="true"/>
          <w:lang w:bidi="ar-SA"/>
        </w:rPr>
        <w:t>أمّا حديث سبرة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مسلم عن سبرة بطرق متعدّدة و الصحيح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قتيبة بن سعيد، عن الليث، عن الربيع بن سبرة، عن أبيه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شيء من هذه النساء الّتي يتمتّع فليخلّ سبيلها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صلّى اللّه عليه و آله أمرهم بفراق النسوة اللاتي تمتّعوا بهنّ استعدادا للرحيل من مكّة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المعذّرون للخليفة عمر بن الخطّاب و حرّفوا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حرام من يومكم هذا إلى يوم القيامة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أيضا مسلم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غزيّة، عن الربيع بن سبرة،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عن عبد العزيز بن عمر، حدّثني الربيع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عبد العزيز بن عمر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حكى الخطّابي، عن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أهل الحفظ و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ميمون بن الأصبغ عن 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مسلم بسنده عن عبد الملك بن الربيع بن سبرة الجهني،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أحاديث عبد الملك بن الربيع عن أبيه، عن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الجوزي عن ابن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عدالته، و إن كان مسلم أخرجه له، فغير محتجّ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مسلم إنّما أخرج له حديثا واحدا في المتعة متابعة، و قد نبّه على ذلك المؤلّف</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أمّا الربيع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في سند حديث علّقه البخاري</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سبرة</w:t>
      </w:r>
      <w:r>
        <w:rPr>
          <w:rStyle w:val="FootnoteAnchor"/>
          <w:rtl w:val="true"/>
        </w:rPr>
        <w:footnoteReference w:id="265"/>
      </w:r>
      <w:r>
        <w:rPr>
          <w:rFonts w:ascii="Amiri" w:hAnsi="Amiri" w:eastAsia="Amiri" w:cs="Amiri"/>
          <w:color w:val="111111"/>
          <w:sz w:val="28"/>
          <w:sz w:val="28"/>
          <w:szCs w:val="28"/>
          <w:rtl w:val="true"/>
          <w:lang w:bidi="ar-SA"/>
        </w:rPr>
        <w:t>و هو الراوي لهذا الحديث و إليه تنتهي هذه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w:t>
      </w:r>
      <w:bookmarkStart w:id="326" w:name="pg1254_13285"/>
    </w:p>
    <w:p>
      <w:pPr>
        <w:pStyle w:val="BookText"/>
        <w:rPr/>
      </w:pPr>
      <w:bookmarkEnd w:id="326"/>
      <w:r>
        <w:rPr>
          <w:rFonts w:ascii="Amiri" w:hAnsi="Amiri" w:eastAsia="Amiri" w:cs="Amiri"/>
          <w:color w:val="111111"/>
          <w:sz w:val="28"/>
          <w:sz w:val="28"/>
          <w:szCs w:val="28"/>
          <w:rtl w:val="true"/>
          <w:lang w:bidi="ar-SA"/>
        </w:rPr>
        <w:t>ذكروا له صحبة و لكن لم يترجموا له، و لا تعرّضوا لبيان شخصيّته و موقعه، فهو مجهول الهويّة، و لم يعرف عنه شيء إلاّ أنّه راوي لهذا الحديث أو الحديثين فقط، فالتعرّف عليه إنّما إنّما حصل من خلال روايته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من معاريف الصحابة و مشاهيرهم؛ كأبي سعيد و جابر بن عبد اللّه، و ابن عبّاس، و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يهمل هؤلاء، و يترك أقوالهم، و يؤخذ برواية مجهول الهويّة، مثل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الاختلاف في نقله الّذي يكشف عن الدخيل و التصرّف و التحريف بما يؤيّد و يبرّر موقف الخليفة عمر بن الخطّاب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المناقشة في هذه الطرق، و إلاّ ففي الطريق الأوّل أيضا تأمّل واضح، و ذلك لأنّ ليثا رمي بالتساهل في السماع و السهولة في الأخذ، كما قاله أحمد بن حنبل و ابن معين و الأزدي</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الطريق الثاني؛ إذ فيه عمارة بن غزيّة، و قد ذكره العقيلي في الضعفاء، و ضعّفه ابن حزم و المتأخّرون، كما قاله عبد الحقّ</w:t>
      </w:r>
      <w:r>
        <w:rPr>
          <w:rFonts w:eastAsia="Amiri" w:cs="Amiri" w:ascii="Amiri" w:hAnsi="Amiri"/>
          <w:color w:val="111111"/>
          <w:sz w:val="28"/>
          <w:szCs w:val="28"/>
          <w:rtl w:val="true"/>
          <w:lang w:bidi="ar-SA"/>
        </w:rPr>
        <w:t>.</w:t>
      </w:r>
      <w:r>
        <w:rPr>
          <w:rStyle w:val="FootnoteAnchor"/>
          <w:rtl w:val="true"/>
        </w:rPr>
        <w:footnoteReference w:id="267"/>
      </w:r>
    </w:p>
    <w:p>
      <w:pPr>
        <w:pStyle w:val="Heading5"/>
        <w:numPr>
          <w:ilvl w:val="4"/>
          <w:numId w:val="1"/>
        </w:numPr>
        <w:rPr/>
      </w:pPr>
      <w:bookmarkStart w:id="327" w:name="__RefHeading___Toc3103618_373438147"/>
      <w:bookmarkStart w:id="328" w:name="_Toc130"/>
      <w:bookmarkEnd w:id="327"/>
      <w:r>
        <w:rPr/>
        <w:t>5</w:t>
      </w:r>
      <w:r>
        <w:rPr>
          <w:rtl w:val="true"/>
        </w:rPr>
        <w:t xml:space="preserve">. </w:t>
      </w:r>
      <w:r>
        <w:rPr>
          <w:rtl w:val="true"/>
        </w:rPr>
        <w:t>حديث إياس</w:t>
      </w:r>
      <w:bookmarkEnd w:id="32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إياس بن عامر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لمن لم يجد، فلمّا أنزل النكاح، و الطلاق و العدّة، و الميراث بين الزوج و المرأة نسخت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329" w:name="pg1254_13286"/>
    </w:p>
    <w:p>
      <w:pPr>
        <w:pStyle w:val="BookText"/>
        <w:rPr/>
      </w:pPr>
      <w:bookmarkEnd w:id="329"/>
      <w:r>
        <w:rPr>
          <w:rFonts w:ascii="Amiri" w:hAnsi="Amiri" w:eastAsia="Amiri" w:cs="Amiri"/>
          <w:color w:val="111111"/>
          <w:sz w:val="28"/>
          <w:sz w:val="28"/>
          <w:szCs w:val="28"/>
          <w:rtl w:val="true"/>
          <w:lang w:bidi="ar-SA"/>
        </w:rPr>
        <w:t>و في السند موسى بن أيّوب، ذكره العقيلي في الضعفاء</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الكبير،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 و الساجى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أضف إلى ذلك أنّ في سنده سفيان بن عيينة الّذي كان مدلّسا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سفيان بن عيينة اختلط سنة سبع و سبعين و مائة، فمن سمع منه فيها، فسماعه لا شيء</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 أيضا كلام؛ إذ معناه أنّ النكاح، و الطلاق، و العدّة و الميراث لم يشرّع قبل المتعة، و لمّا شرّع النكاح و حلّ محلّ المتعة نسخت، مع أنّهم ادّعوا أنّ المتعة احلّت مرّات؛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عام الفتح، و هل معناه أنّ النكاح لم يشرّع إلى ذلك اليوم؟</w:t>
      </w:r>
    </w:p>
    <w:p>
      <w:pPr>
        <w:pStyle w:val="Heading5"/>
        <w:numPr>
          <w:ilvl w:val="4"/>
          <w:numId w:val="1"/>
        </w:numPr>
        <w:rPr/>
      </w:pPr>
      <w:bookmarkStart w:id="330" w:name="__RefHeading___Toc3103620_373438147"/>
      <w:bookmarkStart w:id="331" w:name="_Toc131"/>
      <w:bookmarkEnd w:id="330"/>
      <w:r>
        <w:rPr/>
        <w:t>6</w:t>
      </w:r>
      <w:r>
        <w:rPr>
          <w:rtl w:val="true"/>
        </w:rPr>
        <w:t xml:space="preserve">. </w:t>
      </w:r>
      <w:r>
        <w:rPr>
          <w:rtl w:val="true"/>
        </w:rPr>
        <w:t>حديث أبي هريرة</w:t>
      </w:r>
      <w:bookmarkEnd w:id="331"/>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في غزوة تبوك، فنزلنا بثنيّة الوداع، فرأى نساء يبكين،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تمتّع بهنّ أزواجهنّ، ثمّ فارقوهنّ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هدم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 الطلاق، و العدّة و الميراث</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السند مؤمّل بن إسماعيل، و هو أبو عبد الرحمن العدويّ</w:t>
      </w:r>
      <w:r>
        <w:rPr>
          <w:rFonts w:eastAsia="Amiri" w:cs="Amiri" w:ascii="Amiri" w:hAnsi="Amiri"/>
          <w:color w:val="111111"/>
          <w:sz w:val="28"/>
          <w:szCs w:val="28"/>
          <w:rtl w:val="true"/>
          <w:lang w:bidi="ar-SA"/>
        </w:rPr>
        <w:t>.</w:t>
      </w:r>
      <w:bookmarkStart w:id="332" w:name="pg1254_13287"/>
    </w:p>
    <w:p>
      <w:pPr>
        <w:pStyle w:val="BookText"/>
        <w:rPr/>
      </w:pPr>
      <w:bookmarkEnd w:id="332"/>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كتبه، فكان يحدّث فكثر خطاؤه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سائر ما ذكروه من الأحاديث المعارضة، فهي إمّا مخدوشة من حيث السند، و إمّا من حيث الدلالة و المتن</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3103622_373438147"/>
      <w:bookmarkStart w:id="334" w:name="_Toc132"/>
      <w:bookmarkEnd w:id="333"/>
      <w:r>
        <w:rPr/>
        <w:t>8</w:t>
      </w:r>
      <w:r>
        <w:rPr>
          <w:rtl w:val="true"/>
        </w:rPr>
        <w:t xml:space="preserve">. </w:t>
      </w:r>
      <w:r>
        <w:rPr>
          <w:rtl w:val="true"/>
        </w:rPr>
        <w:t>سلاح من أعياه الجواب</w:t>
      </w:r>
      <w:bookmarkEnd w:id="334"/>
    </w:p>
    <w:p>
      <w:pPr>
        <w:pStyle w:val="Heading5"/>
        <w:numPr>
          <w:ilvl w:val="4"/>
          <w:numId w:val="1"/>
        </w:numPr>
        <w:rPr/>
      </w:pPr>
      <w:bookmarkStart w:id="335" w:name="__RefHeading___Toc3103624_373438147"/>
      <w:bookmarkStart w:id="336" w:name="_Toc133"/>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سلاح يلجأ إليه من أعياه الجواب، و عجز عن ردّ الأدلّة و النصوص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يتمسّك بكل حشيش كالغريق تاركا للمنطق و البرهان و الاستدلال، فيواجه القائل بالجواز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يسرّك أنّ نساءك يفعلن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غاية ما يستدلّ به هذا العاجز، فكأنّه يراه جوابا دامغا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فوقه جواب، فهو نصر كبير حيث أفحم الخصم بهذه اللهجة و لم يقدر الخصم على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التجأ بعض المخالفين لجواز المتعة إلى هذه الذريعة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كعبد اللّه بن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و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نصّ الحوار</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3103626_373438147"/>
      <w:bookmarkStart w:id="338" w:name="_Toc134"/>
      <w:bookmarkEnd w:id="337"/>
      <w:r>
        <w:rPr/>
        <w:t>1</w:t>
      </w:r>
      <w:r>
        <w:rPr>
          <w:rtl w:val="true"/>
        </w:rPr>
        <w:t xml:space="preserve">. </w:t>
      </w:r>
      <w:r>
        <w:rPr>
          <w:rtl w:val="true"/>
        </w:rPr>
        <w:t>حوار بين الإمام الباقر عليه السّلام و الليثي</w:t>
      </w:r>
      <w:bookmarkEnd w:id="3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عبد اللّه بن معمّر الليثي</w:t>
      </w:r>
      <w:r>
        <w:rPr>
          <w:rStyle w:val="FootnoteAnchor"/>
          <w:rtl w:val="true"/>
        </w:rPr>
        <w:footnoteReference w:id="274"/>
      </w:r>
      <w:r>
        <w:rPr>
          <w:rFonts w:ascii="Amiri" w:hAnsi="Amiri" w:eastAsia="Amiri" w:cs="Amiri"/>
          <w:color w:val="111111"/>
          <w:sz w:val="28"/>
          <w:sz w:val="28"/>
          <w:szCs w:val="28"/>
          <w:rtl w:val="true"/>
          <w:lang w:bidi="ar-SA"/>
        </w:rPr>
        <w:t>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تفتي في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أحلّها اللّه في كتابه و سنّها رسول اللّه صلّى اللّه عليه و آله و عمل بها أصحابه</w:t>
      </w:r>
      <w:r>
        <w:rPr>
          <w:rFonts w:eastAsia="Amiri" w:cs="Amiri" w:ascii="Amiri" w:hAnsi="Amiri"/>
          <w:color w:val="111111"/>
          <w:sz w:val="28"/>
          <w:szCs w:val="28"/>
          <w:rtl w:val="true"/>
          <w:lang w:bidi="ar-SA"/>
        </w:rPr>
        <w:t>».</w:t>
      </w:r>
      <w:bookmarkStart w:id="339" w:name="pg1254_13288"/>
    </w:p>
    <w:p>
      <w:pPr>
        <w:pStyle w:val="BookText"/>
        <w:rPr/>
      </w:pPr>
      <w:bookmarkEnd w:id="339"/>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نهى عنها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على قول صاحبك، و أنا على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فيسرّك أنّ نساءك فعلن ذلك؟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 النساء هاهنا يا أنوك</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كالأحمق وزنا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 الذي أحلّها فى كتابه و أباحها لعباده أغير منك و ممّن نهى عنها تكلّفا، بل يسرّك أنّ بعض حرمك تحتّ حائك من حاكة يثرب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تحرّم ما أحلّ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أحرّم و لكنّ الحائك ما هو لي بكفو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ارتضى عمله و رغب فيه و زوّجه حورا، أفترغب عمّن رغب اللّه فيه؟ و تستنكف ممّن هو كفو لحور الجنان كبرا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صدوركم إلاّ منابت أشجار العلم فصار لكم ثمره، و للناس ورقه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 حسن المجلسي سنده، و فيه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أبو جعفر، و عن مقالته حين ذكر نساءه و بنات عمّه</w:t>
      </w:r>
      <w:r>
        <w:rPr>
          <w:rFonts w:eastAsia="Amiri" w:cs="Amiri" w:ascii="Amiri" w:hAnsi="Amiri"/>
          <w:color w:val="111111"/>
          <w:sz w:val="28"/>
          <w:szCs w:val="28"/>
          <w:rtl w:val="true"/>
          <w:lang w:bidi="ar-SA"/>
        </w:rPr>
        <w:t>.</w:t>
      </w:r>
      <w:r>
        <w:rPr>
          <w:rStyle w:val="FootnoteAnchor"/>
          <w:rtl w:val="true"/>
        </w:rPr>
        <w:footnoteReference w:id="277"/>
      </w:r>
    </w:p>
    <w:p>
      <w:pPr>
        <w:pStyle w:val="Heading5"/>
        <w:numPr>
          <w:ilvl w:val="4"/>
          <w:numId w:val="1"/>
        </w:numPr>
        <w:rPr/>
      </w:pPr>
      <w:bookmarkStart w:id="340" w:name="__RefHeading___Toc3103628_373438147"/>
      <w:bookmarkStart w:id="341" w:name="_Toc135"/>
      <w:bookmarkEnd w:id="340"/>
      <w:r>
        <w:rPr/>
        <w:t>2</w:t>
      </w:r>
      <w:r>
        <w:rPr>
          <w:rtl w:val="true"/>
        </w:rPr>
        <w:t xml:space="preserve">. </w:t>
      </w:r>
      <w:r>
        <w:rPr>
          <w:rtl w:val="true"/>
        </w:rPr>
        <w:t>حوار بين أبي حنيفة و مؤمن الطاق</w:t>
      </w:r>
      <w:bookmarkEnd w:id="3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حنيفة أبا جعفر، محمد بن النعمان صاحب الطّاق،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في المتعة؛ أتزعم أنّها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تأمر نساءك أن يستمتعن و يكتسبن عليك؟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الصناعات يرغب فيها و إن كانت</w:t>
      </w:r>
      <w:bookmarkStart w:id="342" w:name="pg1254_13289"/>
    </w:p>
    <w:p>
      <w:pPr>
        <w:pStyle w:val="BookText"/>
        <w:rPr/>
      </w:pPr>
      <w:bookmarkEnd w:id="342"/>
      <w:r>
        <w:rPr>
          <w:rFonts w:ascii="Amiri" w:hAnsi="Amiri" w:eastAsia="Amiri" w:cs="Amiri"/>
          <w:color w:val="111111"/>
          <w:sz w:val="28"/>
          <w:sz w:val="28"/>
          <w:szCs w:val="28"/>
          <w:rtl w:val="true"/>
          <w:lang w:bidi="ar-SA"/>
        </w:rPr>
        <w:t>حلالا و للناس أقدار و مراتب يرفعون أقدارهم، و لكن ما تقول يا أبا حنيفة في النبيذ؟ أتزعم أنّه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تقعد نساءك في الحوانيت نبّاذات فيكتسبن عليك؟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 سهمك أنفذ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إنّ الآية التي في سَأَلَ سٰائِلٌ </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تنطق بتحريم المتعة، و الرواية عن النبيّ صلّى اللّه عليه و آله قد جاءت بنسخها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حنيفة؛ إنّ سورة سَأَلَ سٰائِلٌ مكّيّة و آية المتعة مدنيّة و روايتك شاذّة 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الميراث أيضا تنطق بنسخ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النكاح بغير ميراث</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ذاك؟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من المسلمين تزوّج امرأة من أهل الكتاب ثمّ توفّي عنها ما تقول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ترث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النكاح بغير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w:t>
      </w:r>
      <w:r>
        <w:rPr>
          <w:rFonts w:eastAsia="Amiri" w:cs="Amiri" w:ascii="Amiri" w:hAnsi="Amiri"/>
          <w:color w:val="111111"/>
          <w:sz w:val="28"/>
          <w:szCs w:val="28"/>
          <w:rtl w:val="true"/>
          <w:lang w:bidi="ar-SA"/>
        </w:rPr>
        <w:t>.</w:t>
      </w:r>
      <w:r>
        <w:rPr>
          <w:rStyle w:val="FootnoteAnchor"/>
          <w:rtl w:val="true"/>
        </w:rPr>
        <w:footnoteReference w:id="280"/>
      </w:r>
    </w:p>
    <w:p>
      <w:pPr>
        <w:pStyle w:val="Heading4"/>
        <w:numPr>
          <w:ilvl w:val="3"/>
          <w:numId w:val="1"/>
        </w:numPr>
        <w:rPr/>
      </w:pPr>
      <w:bookmarkStart w:id="343" w:name="__RefHeading___Toc3103630_373438147"/>
      <w:bookmarkStart w:id="344" w:name="_Toc136"/>
      <w:bookmarkEnd w:id="343"/>
      <w:r>
        <w:rPr/>
        <w:t>9</w:t>
      </w:r>
      <w:r>
        <w:rPr>
          <w:rtl w:val="true"/>
        </w:rPr>
        <w:t xml:space="preserve">. </w:t>
      </w:r>
      <w:r>
        <w:rPr>
          <w:rtl w:val="true"/>
        </w:rPr>
        <w:t>ما كتب حول جواز المتعة</w:t>
      </w:r>
      <w:bookmarkEnd w:id="34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الكتب، و كتبوا مئات المقالات بشأن مسألة المتعة، و أحكامها، و نحن نكتفي بذكر أسماء بعض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المتعة لابن إسحاق النهاوندي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المتعة، للشيخ إبراهيم قفطان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يحيى الجرجاني، المستبصر في الإمامة، حكاه الطوسي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المتعة، لأحمد بن يحيى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جعفر القمّي،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المتعة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في مجموعة من رسائله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لبندار بن عبد اللّه الإمامي، كما وصفه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المتعة، للمحامي توفيق الفكيكي، و فيه الردّ على موسى جار اللّه،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تقريظ العلاّمة كاشف الغطاء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للسيّد الشريف المذري العلوي،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للحسن بن خرّزاد القمّي،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للحسن بن عليّ بن أبي حمزة البطائني،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محمد الحسن بن عليّ بن فضّال الكوفي،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عبد اللّه السعدي القمّي،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المتعة، لأبي القاسم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المتعة، للشيخ نظام الدين الصهرشتي، بين القرن الرابع و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الفضل الورّاق،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للسيّد عبد الحسين شرف الدين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لعليّ بن إسماعيل بن شعيب بن ميثم التمّار الكوفي، معاصر هشام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الحسن المهلّبي الأزدي،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الحسن عليّ بن الحسن الفطحي،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لعليّ بن الحسن الطائي الطاطري،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المتعة، للسيّد عليّ بن السيّد النصير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المتعة، للشيخ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المتعة، للسيّد النقوي الجايسي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المتعة، لأبي أحمد الأزدي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الفضل الصابوني الجعفي، ساكن مصر،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للصفواني، تلميذ الكليني، ذكره الشيخ الطوسي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الحسين الرهني 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المتعة،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المتعة،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كتبه الثلاثة في المتعة،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في المتعة أيضا، كما أنّ له أيضا مختصر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المتعة، للشيخ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لأبي الحسين الترماشيري،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ليونس بن عبد الرحمن، و هو غير كتابه في علل النكاح و تحليل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 متعة الحجّ، لأبي إسحاق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المتعتين، للفضل بن شاذان النيسابوري</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الزواج الموقّت في مسائل المتعة و فوائدها للمجتمع البشري و إصلاح حال الإنسان، للسيّد هبة الدين الشهرستاني</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عدّة المتمتّع بها، لمحمد تقي الداودي</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بين الشريعة و البدعة، لمرتضى الموسوي الأردبيلي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و مشروعيّتها في الإسلام، لمجموعة من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للسيد جعفر 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للسيد محمد تقي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نكاح المتعة، لنصر بن إبراهيم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للشفائي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الزواج الموقّت؛ لإسماعيل 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الأربعون حديثا في خصوص المتعة، للسيد محمد مهدي</w:t>
      </w:r>
    </w:p>
    <w:p>
      <w:pPr>
        <w:pStyle w:val="BookText"/>
        <w:rPr/>
      </w:pPr>
      <w:r>
        <w:rPr>
          <w:rFonts w:ascii="Amiri" w:hAnsi="Amiri" w:eastAsia="Amiri" w:cs="Amiri"/>
          <w:color w:val="111111"/>
          <w:sz w:val="28"/>
          <w:sz w:val="28"/>
          <w:szCs w:val="28"/>
          <w:rtl w:val="true"/>
          <w:lang w:bidi="ar-SA"/>
        </w:rPr>
        <w:t xml:space="preserve">الموسوي التنكابني،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تحريم نكاح المتعة، لأبي الفتح، نصر بن إبراهيم المقدسي، تحقيق حمّاد بن محمد الأنصاري، دار طيبة بالرياض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المتعة مشروعة، للعلاّمة الفاني الإصبهاني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المتعة، للمحقق الكركي</w:t>
      </w:r>
      <w:r>
        <w:rPr>
          <w:rStyle w:val="FootnoteAnchor"/>
          <w:rtl w:val="true"/>
        </w:rPr>
        <w:footnoteReference w:id="2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خلاصة الايجاز في المتعة للشيخ المفيد</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هنا نختم الموضوع و البحث، و من أراد التفصيل فليراجع موارده</w:t>
      </w:r>
      <w:r>
        <w:rPr>
          <w:rFonts w:eastAsia="Amiri" w:cs="Amiri" w:ascii="Amiri" w:hAnsi="Amiri"/>
          <w:color w:val="111111"/>
          <w:sz w:val="28"/>
          <w:szCs w:val="28"/>
          <w:rtl w:val="true"/>
          <w:lang w:bidi="ar-SA"/>
        </w:rPr>
        <w:t>.</w:t>
      </w:r>
      <w:bookmarkStart w:id="345" w:name="pg1254_13295"/>
    </w:p>
    <w:p>
      <w:pPr>
        <w:pStyle w:val="Heading2"/>
        <w:numPr>
          <w:ilvl w:val="1"/>
          <w:numId w:val="1"/>
        </w:numPr>
        <w:rPr/>
      </w:pPr>
      <w:bookmarkStart w:id="346" w:name="__RefHeading___Toc3103632_373438147"/>
      <w:bookmarkStart w:id="347" w:name="_Toc137"/>
      <w:bookmarkEnd w:id="345"/>
      <w:bookmarkEnd w:id="346"/>
      <w:r>
        <w:rPr>
          <w:rtl w:val="true"/>
        </w:rPr>
        <w:t>القسم الثاني صلاة التراويح بين السنّة و البدعة</w:t>
      </w:r>
      <w:bookmarkEnd w:id="34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3103634_373438147"/>
      <w:bookmarkStart w:id="349" w:name="_Toc138"/>
      <w:bookmarkEnd w:id="348"/>
      <w:r>
        <w:rPr>
          <w:rtl w:val="true"/>
        </w:rPr>
        <w:t>اشارة</w:t>
      </w:r>
      <w:bookmarkStart w:id="350" w:name="pg1254_13297"/>
      <w:bookmarkEnd w:id="349"/>
    </w:p>
    <w:p>
      <w:pPr>
        <w:pStyle w:val="Heading3"/>
        <w:numPr>
          <w:ilvl w:val="2"/>
          <w:numId w:val="1"/>
        </w:numPr>
        <w:rPr/>
      </w:pPr>
      <w:bookmarkStart w:id="351" w:name="__RefHeading___Toc3103636_373438147"/>
      <w:bookmarkStart w:id="352" w:name="_Toc139"/>
      <w:bookmarkEnd w:id="350"/>
      <w:bookmarkEnd w:id="351"/>
      <w:r>
        <w:rPr>
          <w:rtl w:val="true"/>
        </w:rPr>
        <w:t>المقدّمة</w:t>
      </w:r>
      <w:bookmarkEnd w:id="352"/>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خاتم الأنبياء، أبي القاسم محمد بن عبد اللّه صلّى اللّه عليه و آله، و 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فنزولا عند رغبة بعض السادة من أصحاب الفكر و القلم، المهتمّين بالبحث و التحقيق في المسائل الخلافيّة، أقدّم هذه الدراسة المتواضعة الموجزة حول صلاة التراويح، حيث طلب منّي أن أقدّم بحثا تحقيقيّا حول مسألة من المسائل الفقهيّة المشتركة بين الشيعة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اقتراح جميل، و ابتكار جليل، فأهنّئهم على هذه المبادرات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أنّه قلّ أن توجد مسألة فقهيّة عند الإماميّة لم تطابق فتوى مذهب من مذاهب أهل السنّة، إذن نقاط الاشتراك و الالتقاء في الفروع، و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نقاط الاختلاف و الافتراق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فحبّذا النظر إلى المسائل الاتّفاقية بعين الاعتبار و الأهمّيّة، و حبّذا احتمال و تحمّل المسائل الخلافيّة، إذ أنّ هذا المقدار من الخلاف، بل أكثر من ذلك ممّا لابدّ منه و هو موجود حتى بين أئمّة المذاهب السنّيّة في الاعتقادات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و الصلاح في رعاية سعة الصدر، و الانفتاح،</w:t>
      </w:r>
      <w:bookmarkStart w:id="353" w:name="pg1254_13298"/>
    </w:p>
    <w:p>
      <w:pPr>
        <w:pStyle w:val="BookText"/>
        <w:rPr/>
      </w:pPr>
      <w:bookmarkEnd w:id="353"/>
      <w:r>
        <w:rPr>
          <w:rFonts w:ascii="Amiri" w:hAnsi="Amiri" w:eastAsia="Amiri" w:cs="Amiri"/>
          <w:color w:val="111111"/>
          <w:sz w:val="28"/>
          <w:sz w:val="28"/>
          <w:szCs w:val="28"/>
          <w:rtl w:val="true"/>
          <w:lang w:bidi="ar-SA"/>
        </w:rPr>
        <w:t>و الابتعاد عن العصبيّة في المحاورات، و التأدّب بالآداب الإسلاميّة، و التمسّك بالقيم الأخلاقيّة، و بالتالي للرأي الفقهي و أدلّته، ثمّ قبوله أو ردّه أو مناقشته، بعيدا عن التقوقع و الرفض المسبق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اخترت من بين المواضيع المقترحة، موضوع صلاة التراويح و نوافل ليالي شهر رمضان المبارك، التي قد يتصوّر لأوّل وهلة أنّها من مختصّات أهل السنّة، و لكنّ التتبّع و التحقيق و مراجعة كلمات الفريقين و آرائهم، يكشف عن خطإ هذا التصوّر، و أنّ أصل المسألة و هو قيام شهر رمضان و نوافل لياليها و الصلوات فيها من الأمور و المسائل المشتركة بين الفريقين، بل الاشتراك في عددها أيضا كاد أن يكون حاصلا في الجملة، و إنّما الخلاف هو في إقامة هذه النوافل جماعة أم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الاطّلاع على نصوص تصريحات علماء أهل السنّة يكشف عن أنّ أهل السنّة يعترفون أيضا بأنّ هذه الصلوات المستحبّة لم تؤدّ جماعة على عهد النبيّ الأكرم صلّى اللّه عليه و آله، و على عهد الخليفة الأوّل أيضا، و أنّها من إبداعات الخليفة الثاني في السنة الرابعة عشرة من الهجرة النبويّة، و لعلماء أهل السنّة تبريرات لما أبدعه و ابتدعه الخليفة الثاني، و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نسأل اللّه العليّ القدير أن يهدينا جميعا لما اختلف فيه من الحقّ بإذنه، و أن يوفّقنا لما فيه الخير و الصلاح، إنّه وليّ التوفيق</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103638_373438147"/>
      <w:bookmarkStart w:id="355" w:name="_Toc140"/>
      <w:bookmarkEnd w:id="354"/>
      <w:r>
        <w:rPr>
          <w:rtl w:val="true"/>
        </w:rPr>
        <w:t>معنى التراويح</w:t>
      </w:r>
      <w:bookmarkEnd w:id="35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ترويحة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الجلسة مطلقا، ثم سمّيت بها الجلسة التي بعد أربع ركعات في ليالي شهر رمضان لاستراحة الناس بها، ثم</w:t>
      </w:r>
    </w:p>
    <w:p>
      <w:pPr>
        <w:pStyle w:val="BookText"/>
        <w:rPr/>
      </w:pPr>
      <w:r>
        <w:rPr>
          <w:rFonts w:ascii="Amiri" w:hAnsi="Amiri" w:eastAsia="Amiri" w:cs="Amiri"/>
          <w:color w:val="111111"/>
          <w:sz w:val="28"/>
          <w:sz w:val="28"/>
          <w:szCs w:val="28"/>
          <w:rtl w:val="true"/>
          <w:lang w:bidi="ar-SA"/>
        </w:rPr>
        <w:t>سمّي كلّ أربع ركعات ترويحة، و هي أيضا اسم لعشرين ركعة في الليالي نفسها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الترويحة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المرّة الواحدة من الراحة، كتسليمة من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الصلاة في الجماعة في ليالي رمضان التراويح؛ لأنّهم أوّل ما اجتمعوا عليها، كانوا يستريحون بين كلّ تسليمتين</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فعليك بآراء الفقهاء و أهل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حديث صلاة التراويح، لأنّهم كانوا يستريحون بين كلّ تسليمتين، و التراويح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الترويحة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من الراحة، تفعيلة منها، مثل تسليمة من السلام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ترويحة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من الراحة، تفعيلة منها، مثل تسليمة من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الترويحة في شهر رمضان سمّيت بذلك؛ لاستراحة القوم بعد كلّ أربع ركعات،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التراويح؛ لأنّهم كانوا يستريحون بين كلّ تسليمتين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ترويحة شهر رمضان سمّيت بها؛ لاستراحة بعد كلّ أربع ركعات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56" w:name="pg1254_13300"/>
    </w:p>
    <w:p>
      <w:pPr>
        <w:pStyle w:val="BookText"/>
        <w:rPr/>
      </w:pPr>
      <w:bookmarkEnd w:id="35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الكحلاني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تسميتها بالتراويح، فكأنّ وجهه ما أخرجه البيهقي من حديث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أربع ركعات في الليل ثمّ يتروّح، فأطال حتى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فهو أصل في تروّح الإمام في صلاة التراويح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في الحديث هو ما أشار إليه البيهقي من أنّه تفرّد به المغيرة بن دياب، و ليس بالقويّ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من الراحة؛ لإنّ كلاّ من المتراوحين يريح صاحبه، و صلاة التراويح المخترعة من هذا الباب؛ لأنّ المصلّي يستريح بعد كلّ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7" w:name="__RefHeading___Toc3103640_373438147"/>
      <w:bookmarkStart w:id="358" w:name="_Toc141"/>
      <w:bookmarkEnd w:id="357"/>
      <w:r>
        <w:rPr>
          <w:rtl w:val="true"/>
        </w:rPr>
        <w:t>قيام شهر رمضان في أحاديث الفريقين</w:t>
      </w:r>
      <w:bookmarkEnd w:id="358"/>
    </w:p>
    <w:p>
      <w:pPr>
        <w:pStyle w:val="Heading4"/>
        <w:numPr>
          <w:ilvl w:val="3"/>
          <w:numId w:val="1"/>
        </w:numPr>
        <w:rPr/>
      </w:pPr>
      <w:bookmarkStart w:id="359" w:name="__RefHeading___Toc3103642_373438147"/>
      <w:bookmarkStart w:id="360" w:name="_Toc142"/>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وردت في الصحاح و السنن و المسانيد و الجوامع الحديثيّة أحاديث كثيرة عن النبيّ الكريم صلّى اللّه عليه و آله و الأئمّة الطاهرين عليهم السّلام بصدد نوافل ليالي شهر رمضان في مشروعيّتها، و عددها، و كيفيّتها بما يوحي الاتّفاق و الاشتراك في أصل المشروعيّة، و إنّما الخلاف في إقامتها جماعة، أم فرادى، كما يأتي البحث عنه بالتفصيل في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من كتب السنّة في المتن بذكر ما أورده البخاري، و من كتب الإماميّة بما أورده الشيخ الطوسي في التهذيب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bookmarkStart w:id="361" w:name="pg1254_13301"/>
    </w:p>
    <w:p>
      <w:pPr>
        <w:pStyle w:val="BookText"/>
        <w:rPr/>
      </w:pPr>
      <w:bookmarkEnd w:id="361"/>
      <w:r>
        <w:rPr>
          <w:rFonts w:ascii="Amiri" w:hAnsi="Amiri" w:eastAsia="Amiri" w:cs="Amiri"/>
          <w:color w:val="111111"/>
          <w:sz w:val="28"/>
          <w:sz w:val="28"/>
          <w:szCs w:val="28"/>
          <w:rtl w:val="true"/>
          <w:lang w:bidi="ar-SA"/>
        </w:rPr>
        <w:t>و نشير في الحاشية إلى المصادر الأخرى التي أوردت نفس الأحاديث المذكورة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103644_373438147"/>
      <w:bookmarkStart w:id="363" w:name="_Toc143"/>
      <w:bookmarkEnd w:id="362"/>
      <w:r>
        <w:rPr>
          <w:rtl w:val="true"/>
        </w:rPr>
        <w:t>أ</w:t>
      </w:r>
      <w:r>
        <w:rPr>
          <w:rtl w:val="true"/>
        </w:rPr>
        <w:t xml:space="preserve">. </w:t>
      </w:r>
      <w:r>
        <w:rPr>
          <w:rtl w:val="true"/>
        </w:rPr>
        <w:t>أحاديث أهل السنّة</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عقيل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سلمة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قامه إيمانا و احتسابا غفر له ما تقدّم من ذنبه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الموطّأ،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سنن النسائي،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سنن الترمذي،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أحمد،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سنن الدارمي،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ابن شهاب، عن حميد بن عبد الرحمن، عن أبي هريرة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رمضان إيمانا و احتسابا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 صلّى اللّه عليه و آله و الأمر على ذلك، ثمّ كان الأمر على ذلك في خلافة أبي بكر و صدرا من خلافة عمر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النووي أنّ قيام رمضان يحصل بصلاة التراويح، يعني إنّه يحصل بها المطلوب من القيام، لا أنّ قيام رمضان لا يكون إلاّ بها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الكرماني،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 المراد بقيام رمضان صلاة التراويح</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ابن شهاب، عن عروة بن الزبير، عن عائشة زوجة النبيّ أنّ رسول اللّه صلّى اللّه عليه و آله صلّى و ذلك في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عقيل، عن ابن شهاب، أخبرني عروة أنّ عائشة أخبرته أنّ رسول اللّه صلّى اللّه عليه و آله خرج ليلة في جوف الليل فصلّى في المسجد، و صلّى رجال بصلاته، فأصبح الناس فتحدّثوا فاجتمع أكثر منهم، فصلّوا معه، فأصبح الناس فتحدّثوا فكثر أهل المسجد من الليلة الثالثة، فخرج رسول اللّه صلّى اللّه عليه و آله فصلّى فصلّوا بصلاته، فلمّا كانت الليلة الرابعة عجز المسجد عن أهله، حتى خرج لصلاة الصبح، فلمّا قضى الفجر أقبل على الناس فتشهّد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يخف عليّ مكانكم و لكنّي خشيت أن تفترض عليكم فتعجزوا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 صلّى اللّه عليه و آله و الأمر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جواز النافلة جماعة، و لكن الاختيار فيها الانفراد إلاّ نوافل مخصوصة، و هي العيد، و الكسوف، و الاستسقاء، و كذا التراويح عند الجمهور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فيها على أنّ النافلة كانت 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شهر رمضان‌لكي يستدلّ بها على مشروعيّة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فقهاء السنّة في الأخذ بمضمونها من الجماعة في النوافل، بل اختاروا فيها الانفراد إلاّ في موارد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كالعيد، و الاستسقاء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عن 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السند، فإنّ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يحيى بن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البعض، كالنسائي و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قال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سعيد المقبري، عن أبي سلمة بن عبد الرحمن أنّه سأل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صلاة رسول اللّه صلّى اللّه عليه و آله في رمضان؟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يزيد في رمضان و لا في غيرها على إحدى عشرة ركعة يصلّي أربعا فلا تسل عن حسنهنّ و طولهنّ، ثمّ يصلّي أربعا فلا تسل عن حسنهنّ و طولهنّ، ثمّ يصلّي 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تنام قبل أن توتّر؟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عينيّ تنامان و لا ينام 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تفسير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أن يفترض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المواظبة على الخير و الاجتماع على الفعل المستحبّ يصير سببا لأن يفترض عليهم و يوجبه اللّه عليهم؟</w:t>
      </w:r>
    </w:p>
    <w:p>
      <w:pPr>
        <w:pStyle w:val="BookText"/>
        <w:rPr/>
      </w:pPr>
      <w:r>
        <w:rPr>
          <w:rFonts w:ascii="Amiri" w:hAnsi="Amiri" w:eastAsia="Amiri" w:cs="Amiri"/>
          <w:color w:val="111111"/>
          <w:sz w:val="28"/>
          <w:sz w:val="28"/>
          <w:szCs w:val="28"/>
          <w:rtl w:val="true"/>
          <w:lang w:bidi="ar-SA"/>
        </w:rPr>
        <w:t xml:space="preserve">أ ليس تشريع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و استحبابا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تابعة للمصالح و المفاسد؟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دخل اجتماع الناس و مواظبتهم على الفعل المستحبّ في إيجاب ذلك المستحبّ، و تبدّله إلى الوجوب؟</w:t>
      </w:r>
    </w:p>
    <w:p>
      <w:pPr>
        <w:pStyle w:val="BookText"/>
        <w:rPr/>
      </w:pPr>
      <w:r>
        <w:rPr>
          <w:rFonts w:ascii="Amiri" w:hAnsi="Amiri" w:eastAsia="Amiri" w:cs="Amiri"/>
          <w:color w:val="111111"/>
          <w:sz w:val="28"/>
          <w:sz w:val="28"/>
          <w:szCs w:val="28"/>
          <w:rtl w:val="true"/>
          <w:lang w:bidi="ar-SA"/>
        </w:rPr>
        <w:t>ثمّ لو كانت المواظبة على الجماعة فيها خوف الافتراض و الإيجاب عليهم، فلماذا لم ينههم عن إتيان النوافل اليوميّة و المواظبة عليها؛ خوفا من تبدّلها إلى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المواظبة على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خوف إيجاب الجماعة، لا إيجاب النوافل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لعلّ المراد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خشية أن يفترض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صدور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التكلّف فيما لم يرد فيه أمر، و التحذير من ارتكاب البدعة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دلالة واضحة على قبح هذا الفعل منهم، و حينئذ لا يجوز الجماعة بعد ارتفاع الوحي بوفاة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المواظبة على الخير و الاجتماع على الفعل المندوب إليه لا يصير سببا لأن يفرض على الناس، و ليس الربّ تعالى غافلا عن وجوه المصالح حتى يتفطّن بذلك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له الجهة المحسّنة لإيجاب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أمرهم صلّى اللّه عليه و آله مع ذلك الخوف بأن يصلّوها في بيوتهم؟ و لم لم يأمرهم بترك الرواتب خشية الافتراض؟</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المناسب لهذا التعليل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تفرض عليكم الجماعة فيها، لا أن تفرض عليكم صلاة الليل، كما في بعض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ذهبوا إلى أنّ الجماعة مستحبّة في بعض النوافل، كصلاة العيد، و الكسوف، و الاستسقاء، و الجنازة و لم يصر الاجتماع فيها سببا للافتراض، و لم ينه عن الجماعة فيها لذلك</w:t>
      </w:r>
      <w:r>
        <w:rPr>
          <w:rFonts w:eastAsia="Amiri" w:cs="Amiri" w:ascii="Amiri" w:hAnsi="Amiri"/>
          <w:color w:val="111111"/>
          <w:sz w:val="28"/>
          <w:szCs w:val="28"/>
          <w:rtl w:val="true"/>
          <w:lang w:bidi="ar-SA"/>
        </w:rPr>
        <w:t>.</w:t>
      </w:r>
      <w:bookmarkStart w:id="364" w:name="pg1254_13305"/>
    </w:p>
    <w:p>
      <w:pPr>
        <w:pStyle w:val="BookText"/>
        <w:rPr/>
      </w:pPr>
      <w:bookmarkEnd w:id="364"/>
      <w:r>
        <w:rPr>
          <w:rFonts w:ascii="Amiri" w:hAnsi="Amiri" w:eastAsia="Amiri" w:cs="Amiri"/>
          <w:color w:val="111111"/>
          <w:sz w:val="28"/>
          <w:sz w:val="28"/>
          <w:szCs w:val="28"/>
          <w:rtl w:val="true"/>
          <w:lang w:bidi="ar-SA"/>
        </w:rPr>
        <w:t>فلو صحّت الرواية لكانت محمولة على أنّ المراد النهي عن تكلّف ما لم يأمر اللّه به، و التحذير من أن توجب عليهم صلاة الليل لارتكاب البدعة في الدين، ففيه دلالة واضحة على قبح فعلهم، و أنّه مظنّة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فلا يجوز ارتكابه بعد ارتفاع الوحي أيضا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365" w:name="__RefHeading___Toc3103646_373438147"/>
      <w:bookmarkStart w:id="366" w:name="_Toc144"/>
      <w:bookmarkEnd w:id="365"/>
      <w:r>
        <w:rPr>
          <w:rtl w:val="true"/>
        </w:rPr>
        <w:t>ب</w:t>
      </w:r>
      <w:r>
        <w:rPr>
          <w:rtl w:val="true"/>
        </w:rPr>
        <w:t xml:space="preserve">. </w:t>
      </w:r>
      <w:r>
        <w:rPr>
          <w:rtl w:val="true"/>
        </w:rPr>
        <w:t>أحاديث الإماميّة</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بإسناده، عن مسعدة بن صدقة،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رسول اللّه صلّى اللّه عليه و آله يصنع في شهر رمضان كان يتنفّل في كلّ ليلة و يزيد على صلاته التي كان يصلّيها قبل ذلك منذ أوّل ليلة إلى تمام عشرين ليلة في كلّ ليلة عشرين ركعة، ثماني ركعات منها بعد المغرب، و اثنتي عشرة بعد العشاء الآخرة، و يصلّي في العشر الأواخر في كلّ ليلة ثلاثين ركعة؛ اثنتي عشرة منها بعد المغرب، و ثماني عشرة بعد العشاء الآخرة، و يدعو و يجتهد اجتهادا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يصلّي في ليلة إحدى و عشرين مائة ركعة، و يصلّي في ليلة ثلاث و عشرين مائة ركعة، و يجتهد فيهما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 اللّه عليه السّلام أنّه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في شهر رمضان زيادة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يقدر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أ ليس تصلّي في شهر رمضان زيادة ألف ركعة في تسع عشرة منه في كلّ ليلة عشرين ركعة، و في ليلة تسع عشرة مائة ركعة و</w:t>
      </w:r>
    </w:p>
    <w:p>
      <w:pPr>
        <w:pStyle w:val="BookText"/>
        <w:rPr/>
      </w:pPr>
      <w:r>
        <w:rPr>
          <w:rFonts w:ascii="Amiri" w:hAnsi="Amiri" w:eastAsia="Amiri" w:cs="Amiri"/>
          <w:color w:val="111111"/>
          <w:sz w:val="28"/>
          <w:sz w:val="28"/>
          <w:szCs w:val="28"/>
          <w:rtl w:val="true"/>
          <w:lang w:bidi="ar-SA"/>
        </w:rPr>
        <w:t>في ليلة إحدى و عشرين مائة ركعة، و في ليلة ثلاث و عشرين مائة ركعة، و تصلّي في ثمان ليال منه في العشر الأواخر ثلاثين ركعة فهذه تسعمائة و عشرون ركعة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بإسناده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رمضان؟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لرمضان لحرمة و حقّا لا يشبهه شيء من الشهور، صلّ ما استطعت في رمضان تطوّعا بالليل و النهار، و إن استطعت في كلّ يوم و ليلة ألف ركعة فصلّ، إنّ عليّا عليه السّلام كان في آخر عمره يصلّي في كلّ يوم و ليلة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يا أبا محمد؛ زيادة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عشرين ليلة تمضي في كلّ ليلة عشرين ركعة، ثماني ركعات قبل العتمة، و اثنتي عشرة بعدها، سوى ما كنت تصلّي قبل ذلك، فإذا دخل العشر الأواخر فصلّ ثلاثين ركعة، كلّ ليلة ثمان قبل العتمة، و اثنتين و عشرين بعد العتمة سوى ما كنت تفعل قبل ذلك</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العشرين من شهر رمضان ثمانيا بعد المغرب، و اثنتي عشرة ركعة بعد العتمة، فإذا كانت الليلة التي يرجى فيها ما يرجى فصلّ مائة ركعة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الرضا عليه السّلام عن هذا</w:t>
      </w:r>
    </w:p>
    <w:p>
      <w:pPr>
        <w:pStyle w:val="BookText"/>
        <w:rPr/>
      </w:pPr>
      <w:r>
        <w:rPr>
          <w:rFonts w:ascii="Amiri" w:hAnsi="Amiri" w:eastAsia="Amiri" w:cs="Amiri"/>
          <w:color w:val="111111"/>
          <w:sz w:val="28"/>
          <w:sz w:val="28"/>
          <w:szCs w:val="28"/>
          <w:rtl w:val="true"/>
          <w:lang w:bidi="ar-SA"/>
        </w:rPr>
        <w:t>الحديث، فأخبرني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 الصلاة في شهر رمضان كيف هي؟ و كيف فعل رسول اللّه صلّى اللّه عليه و آله؟ فقالوا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و الكاظم و الرضا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دخل أوّل ليلة من شهر رمضان صلّى رسول اللّه صلّى اللّه عليه و آله المغرب، ثمّ صلّى أربع ركعات التي كان يصلّيهنّ بعد المغرب في كلّ ليلة، ثمّ صلّى ثماني ركعات، فلمّا صلّى العشاء الآخرة، و صلّى الركعتين اللتين كان يصلّيهما بعد العشاء الآخرة و هو جالس في كلّ ليلة قام فصلّى اثنتي عشرة ركعة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كتب رجل إلى أبي جعفر عليه السّلام يسأله عن صلاة نوافل شهر رمضان و عن الزيادة فيها، فكتب عليه السّلام إليه كتابا قرأته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أوّل شهر رمضان في عشرين ليلة عشرين ركعة، صلّ منها ما بين المغرب و العتمة ثماني ركعات، و بعد العشاء اثنتي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العشر الأواخر ثماني ركعات بين المغرب و العتمة، و اثنتين و عشرين ركعة إلاّ في ليلة إحدى و عشرين، فإنّ المائة تجزيك إن شاء اللّه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إنّ رجلا روى عن آبائك عليهم السّلام أنّ رسول اللّه صلّى اللّه عليه و آله ما كان يزيد من الصلاة في شهر رمضان على ما كان يصلّيه في سائر الأيّام</w:t>
      </w:r>
      <w:r>
        <w:rPr>
          <w:rFonts w:eastAsia="Amiri" w:cs="Amiri" w:ascii="Amiri" w:hAnsi="Amiri"/>
          <w:color w:val="111111"/>
          <w:sz w:val="28"/>
          <w:szCs w:val="28"/>
          <w:rtl w:val="true"/>
          <w:lang w:bidi="ar-SA"/>
        </w:rPr>
        <w:t>.</w:t>
      </w:r>
      <w:bookmarkStart w:id="367" w:name="pg1254_13308"/>
    </w:p>
    <w:p>
      <w:pPr>
        <w:pStyle w:val="BookText"/>
        <w:rPr/>
      </w:pPr>
      <w:bookmarkEnd w:id="367"/>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كلّ ليلة من شهر رمضان عشرين ركعة إلى عشرين من الشهر، و صلّ ليلة إحدى و عشرين مائة ركعة، و صلّ ليلة ثلاثة و عشرين مائة ركعة، و صلّ في كلّ ليلة من العشر الأواخر ثلاثين ركعة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رمضان كم يصلّى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يصلّى في غيره إلاّ أنّ لرمضان على سائر الشهور من الفضل ما ينبغي للعبد أن يزيد في تطوّعه، فإن أحبّ و قوي على ذلك أن يزيد في أوّل الشهر عشرين ليلة، كلّ ليلة عشرين ركعة سوى ما كان يصلّي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العشرين اثنتي عشرة ركعة بين المغرب و العتمة، و ثماني ركعات بعد العتمة، ثمّ يصلّي صلاة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بعض ما ورد عن أهل البيت عليهم السّلام في نوافل ليلالي شهر رمضان، و أنّها عشرون ركعة إلى عشرين ليلة و ثلاثون في العشر الأواخر على التفصيل الذي مرّ عليك في الروايات</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3103648_373438147"/>
      <w:bookmarkStart w:id="369" w:name="_Toc145"/>
      <w:bookmarkEnd w:id="368"/>
      <w:r>
        <w:rPr>
          <w:rtl w:val="true"/>
        </w:rPr>
        <w:t>رأي فقهائنا في مشروعيّة نافلة شهر رمضان</w:t>
      </w:r>
      <w:bookmarkEnd w:id="36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أمعن النظر في كتبنا الفقهيّة، و تصفّح أبواب الصلوات المندوبة، تراه يقف على باب فيها بعنوان نافلة شهر رمضان و البحث عن إثبات</w:t>
      </w:r>
    </w:p>
    <w:p>
      <w:pPr>
        <w:pStyle w:val="BookText"/>
        <w:rPr/>
      </w:pPr>
      <w:r>
        <w:rPr>
          <w:rFonts w:ascii="Amiri" w:hAnsi="Amiri" w:eastAsia="Amiri" w:cs="Amiri"/>
          <w:color w:val="111111"/>
          <w:sz w:val="28"/>
          <w:sz w:val="28"/>
          <w:szCs w:val="28"/>
          <w:rtl w:val="true"/>
          <w:lang w:bidi="ar-SA"/>
        </w:rPr>
        <w:t>مشروعيّتها و عرض الأدلّة عليها، ممّا يفهم منه أنّه من الأمور المسلّمة المفروغ عنها عند الإماميّة، و أنّه ممّا أجمعت الطائفة على شرعيّتها و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أجمعت السنّة على جوازها و شرعيّتها، و من نسب إلى الإماميّة غير هذا الأمر، فهو قليل الباع و ضعيف الاطّلاع</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أجمعت على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رمضان، صلاة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ينكرها أحد من أهل العلم إلاّ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للسرخسي،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شهر رمضان و الأشهر في الفتاوى و الروايات استحباب هذه النافلة، بل هو المشهور بين الأصحاب نقلا و تحصيلا شهرة كادت تكون إجماعا، و بالجملة لم نعثر على خلاف في ذلك عدا الصدوق؛ إذ اقتصار الإسكافي على زيادة الأربع ليلا و ترك التعرّض من ابن أبي عقيل و عليّ بن بابويه ليس خلافا، جواهر الكلام،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الزحيلي أنّها سنّة مؤكّدة، و أوّل من سنّها رسول اللّه صلّى اللّه عليه و آله، الفقه الإسلامي و أدلّته،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مباني الإماميّة و آرائهم و كتبهم و استدلالاتهم و يكفينا في المقام شاهدا كلام العلاّمة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شهر رمضان المشهور بين الأصحاب استحبابها كما في المختلف، و المختصر، و غاية المرام، و الروض، و مجمع البرهان، و الكفاية، و المفاتيح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كاد يكون إجماعا، كما في فوائد الشرائع و مجمع البرهان و الرياض، بل لا يكاد يوجد منكر، لأنّ الصدوق موافق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اتّفاقا من الكلّ، كما في مصابيح الظلام و هو خيرة الأكثر كما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الأشهر في الروايات، كما في الشرائع، و النافع، و الذكرى، و الروضة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به متظاهرة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شهر رمضان مشروعة على الأشهر، و النافي لها معارض بروايات تكاد تتواتر و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و الأخبار متظافرة بشرعيّتها، فلا يضرّ معارضة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الناس في الآفاق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أكثر أهل العلم على استحباب زيادة نافلة شهر رمضان على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واقع إلاّ ممّن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استحباب الألف إلاّ ممّن عرف باسمه و نسبه هو أبو جعفر محمد بن عليّ بن بابويه، و خلافه لا يعتدّ به، لأنّ الإجماع تقدّمه و تأخّر عنه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مختلف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الصدوق في الفقيه لا يدلّ على نفي مشروعيّة نافلة شهر رمضان، بل الظاهر أنّه إنّما ينفي تأكّد الاستحباب؛ لصراحته بأنّه لا يرى بأسا بالعمل ممّا ورد فيها من الأخبار</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كلامه 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أن يزيد فليصلّ كلّ ليلة 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ركعات بين المغرب و العشاء، و اثنتي عشرة ركعة بعد العشاء الآخرة إلى أن تمضي عشرون ليلة من شهر رمضان، ثمّ يصلّي كلّ ليلة ثلاثين ركعة</w:t>
      </w:r>
      <w:r>
        <w:rPr>
          <w:rFonts w:eastAsia="Amiri" w:cs="Amiri" w:ascii="Amiri" w:hAnsi="Amiri"/>
          <w:color w:val="111111"/>
          <w:sz w:val="28"/>
          <w:szCs w:val="28"/>
          <w:rtl w:val="true"/>
          <w:lang w:bidi="ar-SA"/>
        </w:rPr>
        <w:t>....</w:t>
      </w:r>
      <w:r>
        <w:rPr>
          <w:rStyle w:val="FootnoteAnchor"/>
          <w:rtl w:val="true"/>
        </w:rPr>
        <w:footnoteReference w:id="306"/>
      </w:r>
      <w:bookmarkStart w:id="370" w:name="pg1254_13311"/>
    </w:p>
    <w:p>
      <w:pPr>
        <w:pStyle w:val="Heading3"/>
        <w:numPr>
          <w:ilvl w:val="2"/>
          <w:numId w:val="1"/>
        </w:numPr>
        <w:rPr/>
      </w:pPr>
      <w:bookmarkStart w:id="371" w:name="__RefHeading___Toc3103650_373438147"/>
      <w:bookmarkStart w:id="372" w:name="_Toc146"/>
      <w:bookmarkEnd w:id="370"/>
      <w:bookmarkEnd w:id="371"/>
      <w:r>
        <w:rPr>
          <w:rtl w:val="true"/>
        </w:rPr>
        <w:t>عدد نوافل شهر رمضان</w:t>
      </w:r>
      <w:bookmarkEnd w:id="372"/>
    </w:p>
    <w:p>
      <w:pPr>
        <w:pStyle w:val="Heading4"/>
        <w:numPr>
          <w:ilvl w:val="3"/>
          <w:numId w:val="1"/>
        </w:numPr>
        <w:rPr/>
      </w:pPr>
      <w:bookmarkStart w:id="373" w:name="__RefHeading___Toc3103652_373438147"/>
      <w:bookmarkStart w:id="374" w:name="_Toc147"/>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اختلف أهل السنّة في عدد هذه النوافل اختلافا شديدا</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يراى بعض المعاصرين من أهل السنّة أنّ الأقوال ترجع إلى ثلاثة ليس إلاّ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للعلماء في عدد التراويح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كثير من العلماء أنّها عشرون و هو السنّة، لعمل المهاجرين و الأنصار، و قول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 و ثلاثون غير الشفع و الوتر و هو ما كان في زمن عمر بن عبد العزيز، و عمل أهل المدينة القديم،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الصحيح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 يكن يزيد في رمضان و لا غيره على ثلاث عشرة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الإسلامي و أدلّته،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الأمر ليس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لأجل عدم ورود نصّ صريح من النبيّ الكريم صلّى اللّه عليه و آله يعيّن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عند الجمهور هو عشرون ركعة، و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ركعة، و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عشرون ركعة، و عن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ركعة، و عن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ركعة، و عن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عشرون ركعة، و عن 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و ثلاثون ركعة، و عن 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أربعون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اختلاف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عشرون ركعة في كلّ ليلة إلى عشرين ليلة، ثمّ ثلاثون في كلّ من العشر الأواخر مع زيادة مائة ركعة في كلّ من ليالي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التاسع عشر، و واحد و عشرين، و ثلاثة و عشرين، فالمجموع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كلمات الفقهاء من الفريقين لتحديد عدد النوافل</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103654_373438147"/>
      <w:bookmarkStart w:id="376" w:name="_Toc148"/>
      <w:bookmarkEnd w:id="375"/>
      <w:r>
        <w:rPr>
          <w:rtl w:val="true"/>
        </w:rPr>
        <w:t>أ</w:t>
      </w:r>
      <w:r>
        <w:rPr>
          <w:rtl w:val="true"/>
        </w:rPr>
        <w:t xml:space="preserve">. </w:t>
      </w:r>
      <w:r>
        <w:rPr>
          <w:rtl w:val="true"/>
        </w:rPr>
        <w:t>كلمات فقهاء السنّة</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عند أبي عبد اللّه رحمه اللّه فيها عشرون ركعة،</w:t>
      </w:r>
    </w:p>
    <w:p>
      <w:pPr>
        <w:pStyle w:val="BookText"/>
        <w:rPr/>
      </w:pPr>
      <w:r>
        <w:rPr>
          <w:rFonts w:ascii="Amiri" w:hAnsi="Amiri" w:eastAsia="Amiri" w:cs="Amiri"/>
          <w:color w:val="111111"/>
          <w:sz w:val="28"/>
          <w:sz w:val="28"/>
          <w:szCs w:val="28"/>
          <w:rtl w:val="true"/>
          <w:lang w:bidi="ar-SA"/>
        </w:rPr>
        <w:t>و بهذا قال الثوري، و أبو حنيفة،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ثلاثون، و زعم أنّه الأمر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بفعل أهل المدينة، فإنّ صالحا مولى التوأمة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يقومون بإحدى و أربعين ركعة يؤتون منها بخمس</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على العشرين هو فعل أبيّ بن كعب الذي جمع عمر الناس عليه، فإنّه كان يصلّي بهم 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يفهم منه عدم وجود نصّ من النبيّ صلّى اللّه عليه و آله على تعيين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بعض الأحاديث عدم زيادة نوافل رمضان على غير رمضان، أي إحدى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أيضا على العدد بما نسب إلى عليّ عليه السّلام أنّه أمر رجلا أن يصلّي بهم في رمضان عشرين ركعة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نصر المروزى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حقّق ما يدّعيه ابن قدامه و غيره من إجماع الصحابة على عشرين،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روي عنهم روايات كثيرة، و المتواترة عن رسول اللّه صلّى اللّه عليه و آله أنّه ما كان يزيد في رمضان و غيره عن إحدى عشرة ركعة، فكيف يجمع الصحابة على خلاف فعل رسول اللّه صلّى اللّه عليه و آله؟ و أولى ما يتّبع لمن أراد أن يلتزم عددا فعل رسول اللّه صلّى اللّه عليه و آله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جعلها نافلة حسب نشاطه، فإنّه يصلّي مرّة عشرا، و مرّة عشرين، و</w:t>
      </w:r>
    </w:p>
    <w:p>
      <w:pPr>
        <w:pStyle w:val="BookText"/>
        <w:rPr/>
      </w:pPr>
      <w:r>
        <w:rPr>
          <w:rFonts w:ascii="Amiri" w:hAnsi="Amiri" w:eastAsia="Amiri" w:cs="Amiri"/>
          <w:color w:val="111111"/>
          <w:sz w:val="28"/>
          <w:sz w:val="28"/>
          <w:szCs w:val="28"/>
          <w:rtl w:val="true"/>
          <w:lang w:bidi="ar-SA"/>
        </w:rPr>
        <w:t>مرّة ثلاثين، و ستّا و ثلاثين، و أربعين و أكثر من ذلك، و كلّ ورد عن السلف</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 هو الذي عليه الجمهور أنّه عشرون ركعة بعشر تسليمات، و ذلك خمس ترويحات، كلّ ترويحة أربع ركعات بتسليمتين غير الوتر و هو 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فى رمضان و لا في غيره على إحدى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أصحابنا على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كونها عشرين أنّ الرواتب في غير رمضان عشر ركعات، فضوعفت؛ لأنّه وقت جدّ و تشمير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بالمدينة في زمن عمر، و أبان بن عثمان يصلّون ستّا و ثلاثين ركعة و يوتّرون بثلاث، و إنّما فعل أهل المدينة هذا، لأنّهم أرادوا مساواة أهل مكّة؛ فإنّهم كانوا يطوفون سبعا بين كلّ ترويحتين، فجعل أهل المدينة مكان كلّ سبع،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الولي بن العراقي أنّ والده الحافظ لمّا ولي إقامة مسجد المدينة أحيا سنّتهم القديمة في ذلك مع مراعاة ما عليه الأكثر، فكان يصلّي التراويح أوّل الليل بعشرين ركعة على المعتاد، ثمّ يقوم آخر الليل في المسجد ستّ عشرة ركعة، فيختم في الجماعة في شهر رمضان ختمتين، و استمرّ على ذلك عمل أهل المدينة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 ثلاثين ركعة لغير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التراويح عشرون، و لا بأس بالزيادة نصّا، أي عن الإمام أحمد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عشرون ركعة سوى الوتر عندنا،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فيها ستّ و ثلاثون،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يعمل بقول مالك و يسلك مسلكه، ينبغي أن يفعل كما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عشرين ركعة، كما هو السنّة، و يصلّي الباقي فرادى، كلّ تسليمتين أربع ركعات، و هذا مذهبنا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العلماء في العدد المستحبّ في قيام رمضان على أقوال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الوتر و هو قول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الأسود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أربعين ركعة و يوتّر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و ثلاثون ثمّ يوتّر بهم بواحدة، رواه ابن نصر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الوتر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وهب، قال سمعت عبد اللّه بن عمر يحدّث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أدرك الناس إلاّ و هم يصلّون تسعا و ثلاثين ركعة</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فنهيته أن ينقص من ذلك شيئا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أدركت الناس عليه، و هذا الأمر القديم الذي لم تزل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يوتّرون منها بثلاث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زرارة بن أوفى في العشر الأخير،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عشرون و هو المرويّ عن ابن أوفى في العشرين الأوّلين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عشرون، و هو مرويّ عن سعيد بن جبير،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 حكاه الترمذي عن أكثر أهل العلم؛ فإنّه روي عن عمر و عليّ عليه السّلام و غيرهما من الصحابة، و هو قول أصحابنا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أثر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مالك في الموطّأ بإسناد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 بن يزيد أنّ عمر بن الخطّاب جمع الناس في رمضان على أبيّ بن كعب، و على تميم الداري على إحدى و عشرين ركعة يقومون بالمئين و ينصرفون في بزوغ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محمول على أنّ الواحدة للوتر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القيام على عهد عمر بثلاث و 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أنّ الثلاث للوتر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 عليه من الحديثين صحيح بدليل ما روى محمد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 أنّهم كانوا يقومون في رمضان بعشرين ركعة في زمان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أثر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وكيع عن 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أنّه أمر رجلا يصلّي بهم رمضان عشرين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ذلك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يصلّي لنا في شهر رمضان فينصرف و عليه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عشرين ركعة و يوتّر بثلاث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القائلون به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فتشتير بن شكل، و ابن أبي مليكة، و الحارث الهمداني، و عطاء بن أبي رباح، و أبو البختري، و سعيد بن أبي الحسن البصري أخو الحسن، و عبد الرحمن بن أبي بكر، و عمران</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جمهور العلماء و به قال الكوفيون، و الشافعي، و أكثر الفقهاء، و هو الصحيح عن أبيّ بن كعب من غير خلاف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عن أبى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 اختاره ابن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ركعة، و هو اختيار مالك لنفسه، و اختاره أبو بكر العربي</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المجموع،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بداية 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نيل الأوطار،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الموصلي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يجتمع الناس في كلّ ليلة من شهر رمضان بعد العشاء، فيصلّي بهم إمامهم خمس ترويحات كلّ ترويحة أربع ركعات بتسليمتين يجلس بين كلّ ترويحتين مقدار ترويحة، و كذا بعد الخامسة، ثمّ يوتّر بهم، هكذا صلّى أبيّ بالصحابة،</w:t>
      </w:r>
      <w:r>
        <w:rPr>
          <w:rStyle w:val="FootnoteAnchor"/>
          <w:rtl w:val="true"/>
        </w:rPr>
        <w:footnoteReference w:id="315"/>
      </w:r>
      <w:r>
        <w:rPr>
          <w:rFonts w:ascii="Amiri" w:hAnsi="Amiri" w:eastAsia="Amiri" w:cs="Amiri"/>
          <w:color w:val="111111"/>
          <w:sz w:val="28"/>
          <w:sz w:val="28"/>
          <w:szCs w:val="28"/>
          <w:rtl w:val="true"/>
          <w:lang w:bidi="ar-SA"/>
        </w:rPr>
        <w:t>و هو عادة أهل الحرمين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السنن الرواتب صلاة التراويح في شهر رمضان عشرون ركعة بعشر تسليمات</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أختار عشرين ركعة، خمس ترويحات، كلّ ترويحة شفعين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أيضا أنّ عددها ليس مقصورا على الثمان ركعات التي صلاّها بهم، بدليل أنّهم كانوا يكمّلونها في بيوتهم و قد بيّن فعل عمر أنّ</w:t>
      </w:r>
      <w:bookmarkStart w:id="377" w:name="pg1254_13317"/>
    </w:p>
    <w:p>
      <w:pPr>
        <w:pStyle w:val="BookText"/>
        <w:rPr/>
      </w:pPr>
      <w:bookmarkEnd w:id="377"/>
      <w:r>
        <w:rPr>
          <w:rFonts w:ascii="Amiri" w:hAnsi="Amiri" w:eastAsia="Amiri" w:cs="Amiri"/>
          <w:color w:val="111111"/>
          <w:sz w:val="28"/>
          <w:sz w:val="28"/>
          <w:szCs w:val="28"/>
          <w:rtl w:val="true"/>
          <w:lang w:bidi="ar-SA"/>
        </w:rPr>
        <w:t>عددها عشرون، حيث إنّه جمع الناس أخيرا على هذا العدد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أنّ صلاة التراويح عشرون ركعة سوى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المالكيّة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التراويح عشرون ركعة سوى الشفع و الوتر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العشرين جماعة، و يصلّي الباقي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بداية 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شرح الزرقاني،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الكلمات، أنّ الحاصل هو أنّ القول بالعشرين هو المجمع عليه عند السنّة، كما ادّعاه ابن قدامة و غيره، و هو رأي الجمهور، كما ادّعاه العسقلاني، و هو رأي أبي عبد اللّه، و الثوري، و أبي حنيفة، و الشافعي، و رأي الحنابلة و حكاه الترمذي عن أكثر أهل العلم، و هو منقول عن عليّ عليه السّلام و عمر و سائر الصحابة و التابعين، مثل الأعمش، و ابن أبي مليكة، و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ستعرف أنّه موافق لرأي المشهور عند الإماميّة؛ فإنّهم أيضا يقولون بالعشرين، و لكن في غير العشر الأواخر، إذ فيها بزيادة عشرة ركعات، و سيأتي عرض الأقوال</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3103656_373438147"/>
      <w:bookmarkStart w:id="379" w:name="_Toc149"/>
      <w:bookmarkEnd w:id="378"/>
      <w:r>
        <w:rPr>
          <w:rtl w:val="true"/>
        </w:rPr>
        <w:t>ب</w:t>
      </w:r>
      <w:r>
        <w:rPr>
          <w:rtl w:val="true"/>
        </w:rPr>
        <w:t xml:space="preserve">. </w:t>
      </w:r>
      <w:r>
        <w:rPr>
          <w:rtl w:val="true"/>
        </w:rPr>
        <w:t>كلمات فقهاء الإماميّة</w:t>
      </w:r>
      <w:r>
        <w:rPr>
          <w:rtl w:val="true"/>
        </w:rPr>
        <w:t>:</w:t>
      </w:r>
      <w:bookmarkEnd w:id="3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هو ألف ركعة، في كلّ ليلة عشرون ركعة إلى عشرين ليلة، و ثلاثون في العشر الأواخر، مع تفاصيل أخرى تعرف من خلال مراجعة الموسوعات الفقهيّة، و نكتفي في المقام بنقل كلام السيّد المرتضى، و الطوسي، و الحلبي، و الحلّي، و النراقي، و العاملي، و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الإماميّة ترتيب نوافل شهر رمضان على أن يصلّي في كلّ ليلة منه عشرين ركعة، منها ثمان بعد صلاة المغرب، و اثنتا عشرة ركعة بعد العشاء الآخرة، فإذا كان في ليلة تسع عشرة صلّى مائة ركعة، و يعود في ليلة العشرين إلى الترتيب الذي تقدّم، و يصلّي في ليلة إحدى و عشرين مائة ركعة، و في ليلة اثنتين و عشرين ثلاثين ركعة، منها ثمان بعد المغرب و الباقي بعد صلاة العشاء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طول شهر رمضان ألف ركعة زائدا على النوافل المرتّبة في سائر الشهور عشرين ليلة، في كلّ ليلة عشرين ركعة، ثمان بين العشائين و اثنتا عشرة بعد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العشر الأواخر كلّ ليلة ثلاثين ركعة، في ثلاث ليال و هي ليلة تسع عشرة، و ليلة إحدى و عشرين، و ليلة ثلاث و عشرين، كلّ ليلة مائة ركعة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أن يتطوّع الصيام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شهر رمضان بألف ركعة، يصلّي من ذلك في العشرتين الأوليتين كلّ ليلة عشرين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ركعات بعد نوافل المغرب، و اثنتي عشرة ركعة بعد عشاء الآخرة، و قبل الركعتين من جلوس، و يصلّي كلّ ليلة من العشر الأخير ثلاثين ركعة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يستحبّ من الصلاة عند سبب نافلة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مختلف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يتطوّع الصائم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يزاد فيه على المرتّب في اليوم و الليلة ألف ركعة، يبتدئ بعشرين ركعة من أوّل ليلة منه، ثمانية بعد نافلة المغرب، و الباقي بعد العتمة قبل الوتيرة إلى ليلة النصف يزاد على العشرين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السبق،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ألف ركعة يصلّي كلّ ليلة عشرين ركعة، منها ثمان بعد المغرب و اثنتا عشرة بعد العشاء</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ركعة نافلة شهر رمضان زيادة على النوافل المرتّبة، فإنّها مستحبّة على الأشهر رواية و فتوى، بل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كيفيّة توزيع الألف على الشهر صورتان بكلّ منهما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في كلّ ليلة من الشهر عشرين ركعة، ثمان بعد المغرب و اثنتي عشرة بعد العشاء، أو بالعكس، و يزيد في العشر الآخر في كلّ ليلة عشر ركعات بعد العشاء، و في الليالي الثلاثة القدريّة مائة زائدة على 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إلاّ أنّه يقتصر في الليالي الثلاثة على المائة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كلّ ليلة عشرين إجماعا، كما في الانتصار، و الخلاف، و كشف اللثام، و في المنتهى لا خلاف فيه بين علمائنا القائلين بالوظيفة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الروايات في توظيفها و استحبابها إلاّ</w:t>
      </w:r>
      <w:bookmarkStart w:id="380" w:name="pg1254_13320"/>
    </w:p>
    <w:p>
      <w:pPr>
        <w:pStyle w:val="BookText"/>
        <w:rPr/>
      </w:pPr>
      <w:bookmarkEnd w:id="380"/>
      <w:r>
        <w:rPr>
          <w:rFonts w:ascii="Amiri" w:hAnsi="Amiri" w:eastAsia="Amiri" w:cs="Amiri"/>
          <w:color w:val="111111"/>
          <w:sz w:val="28"/>
          <w:sz w:val="28"/>
          <w:szCs w:val="28"/>
          <w:rtl w:val="true"/>
          <w:lang w:bidi="ar-SA"/>
        </w:rPr>
        <w:t>أنّ أشهر الروايات و أكثرها و أظهرها بين الأصحاب بحيث كاد أن يكون منهم إجماعا، كما يستفاد من جملة من العبارات، بل بانعقاده صرّح الحلّي و المرتضى و الفاضل في المختلف حاكيا له عن الديلمي، و ربّما احتمله عبارة الخلاف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ألف ركعة زيادة على النوافل المرتّبة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الصدوق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نافلة في شهر رمضان زيادة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فالمذهب ما عليه الأصحاب، و قد اختلفوا في كيفيّة توزيع الألف ركعة على الشهر، فالمشهور أنّه يصلّى في كلّ ليلة من العشرين الأوّلين، عشرون ركعة موزّعة و هكذا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بعض متأخّري المتأخّرين أنّ كلام الصدوق في القضيّة لا يدلّ على نفي المشروعيّة، بل الظاهر أنّه إنّما ينفي تأكّد الاستحباب لصراحته بأنّه لا يرى بأسا بالعمل بما ورد فيها من الأخبار</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قد حاول البعض حمل حديث نفي النوافل على نفي كونها سنّة موقوتة موظّفة لا ينبغي تركها كالرواتب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الوافي،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3103658_373438147"/>
      <w:bookmarkStart w:id="382" w:name="_Toc150"/>
      <w:bookmarkEnd w:id="381"/>
      <w:r>
        <w:rPr>
          <w:rtl w:val="true"/>
        </w:rPr>
        <w:t>ج</w:t>
      </w:r>
      <w:r>
        <w:rPr>
          <w:rtl w:val="true"/>
        </w:rPr>
        <w:t xml:space="preserve">. </w:t>
      </w:r>
      <w:r>
        <w:rPr>
          <w:rtl w:val="true"/>
        </w:rPr>
        <w:t>موقف مغائر للجمهور</w:t>
      </w:r>
      <w:bookmarkEnd w:id="3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للكحلاني المعروف بالأمير مؤلّف سبل السلام رأي سلبي في خصوص العشرين، و أنّه لم يرد به حديث صحيح، بل الحديث الصحيح، ورد بخصوص إحدى عشرة ركعة، فيرى أنّ التراويح على هذا الأسلوب</w:t>
      </w:r>
    </w:p>
    <w:p>
      <w:pPr>
        <w:pStyle w:val="BookText"/>
        <w:rPr/>
      </w:pPr>
      <w:r>
        <w:rPr>
          <w:rFonts w:ascii="Amiri" w:hAnsi="Amiri" w:eastAsia="Amiri" w:cs="Amiri"/>
          <w:color w:val="111111"/>
          <w:sz w:val="28"/>
          <w:sz w:val="28"/>
          <w:szCs w:val="28"/>
          <w:rtl w:val="true"/>
          <w:lang w:bidi="ar-SA"/>
        </w:rPr>
        <w:t>الذي اتّفق عليه الأكثر بدعة، فالمحافظة على هذه الكمّيّة و الكيفيّة و تسميتها بأنّها سنّة، ليس لها أساس صحيح، بل يراها من مصاديق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الشوكاني في نيل الأوطار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الكحلاني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انتقل إلى صنعاء، فأخذ من علمائها، ثمّ رحل إلى مكّة، و قرأ الحديث على أكابر علمائها و علماء المدينة و برع في العلوم المختلفة حتى بزّ أقرانه، و تفرّد بالرئاسة العلميّة في صنعاء، و أظهر الاجتهاد و الوقوف مع الأدلّة، و نفّر من التقليد، و زيّف ما لا دليل عليه من الآراء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التفّ حوله كثيرون من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قرأوا عليه كتب الحديث و عملوا باجتهاداته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فقيه، أصولي، مجتهد، متكلم، من أئمّة اليمن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نحو مائة مؤلّف، و هو مجتهد من بيت الإمامة، أصيب بمحن كثيرة من الجهلاء و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في أعيان القرن الحادي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البدر الطالع،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إيضاح المكنون،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العشرين رواية مرفوعة، بل حديث عائشة المتّفق عليه أنّه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يزيد في رمضان و لا غيره على إحدى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من هذا كلّه أنّ صلاة التراويح على هذا الأسلوب الذي اتّفق عليه الأكثر بدعة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إسماعيل بن صلاح الأمير الكحلاني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أشهر مخاليف اليمن، و فيه بينون و رعين و هما قصران عجيبان، و بين كحلان و ذمار ثمانية فراسخ، و بينه و بين صنعاء أربعة و عشرون فرسخا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قيام رمضان سنّة بلا خلاف، و الجماعة في نافلته لا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جعل هذه الكيفيّة و الكمّيّة سنّة، و المحافظة عليها هو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عمر، خرج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أوزاع متفرّقون، منهم من يصلّي منفردا، و منهم من يصلّي جماعة على ما كانوا في عصره صلّى اللّه عليه و آله و خير الأمور ما كان على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 سنّة الخلفاء الراشدين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المراد بسنّة الخلفاء الراشدين إلاّ طريقتهم الموافقة لطريقته صلّى اللّه عليه و آله من جهاد الأعداء و تقوية شعائر الدين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عامّ لكلّ خليفة راشد لا يخصّ الشيخين، و معلوم من قواعد الشريعة أن ليس لخليفة راشد أن يشرّع طريقة غير ما كان عليها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عمر نفسه، الخليفة الراشد، سمّى ما رآه من تجميع صلاته ليالي رمضان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الصحابة رضى اللّه عنهم، خالفوا الشيخين في مواضع و مسائل، فدلّ أنّهم لم يحملوا الحديث على أنّ ما قالوه و فعلوه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 البرماوي الكلام في شرح ألفيته في أصول الفقه مع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الحديث الأوّل يدلّ أنّه إذا اتّفق الخلفاء الأربعة على قول كان حجّة لا إذا انفرد واحد منهم، و التحقيق أنّ الاقتداء ليس هو التقليد، بل هو غيره كما حقّقناه في شرح نظم الكافل في بحث الإجماع</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bookmarkStart w:id="383" w:name="pg1254_13323"/>
    </w:p>
    <w:p>
      <w:pPr>
        <w:pStyle w:val="BookText"/>
        <w:rPr/>
      </w:pPr>
      <w:bookmarkEnd w:id="3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دلّت عليه أحاديث الباب و ما يشابههما هو مشروعيّة القيام في رمضان و الصلاة فيه جماعة و فرادى، فقصر الصلاة المسمّاة بالتراويح على عدد معين و تخصيصها بقراءة مخصوصة لم ترد به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أنّ البعض منّا أيضا لم يوافق على هذا الأسلوب السائد بين أهل السنّة، و المحافظة عليه، و يرى فيه قريبا من رأي الأمير الكحلاني، و إليك الرأي المغائر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روايات أهل السنّة أن النبيّ صلّى اللّه عليه و آله لم يصلّ عشرين ركعة تسمّى التراويح، و إنّما كان يصلّي ثلاث عشر ركعة، و لم يدلّ شيء من رواياتهم التي ظفرنا بها على استحباب هذا العدد المخصوص، فضلا عن الجماعة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إن كانت خيرا موضوعا يجوز قليلها و كثيرها، إلاّ أنّ القول باستحباب عدد مخصوص منها في وقت مخصوص على وجه مخصوص بدعة و ضلالة، و لا ريب في أنّ السنّة يرونها سنّة وكيدة، و يجعلونها من شعائر دينهم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4" w:name="__RefHeading___Toc3103660_373438147"/>
      <w:bookmarkStart w:id="385" w:name="_Toc151"/>
      <w:bookmarkEnd w:id="384"/>
      <w:r>
        <w:rPr>
          <w:rtl w:val="true"/>
        </w:rPr>
        <w:t>صلاة التراويح جماعة من بدع الخليفة عمر</w:t>
      </w:r>
      <w:bookmarkEnd w:id="385"/>
    </w:p>
    <w:p>
      <w:pPr>
        <w:pStyle w:val="Heading4"/>
        <w:numPr>
          <w:ilvl w:val="3"/>
          <w:numId w:val="1"/>
        </w:numPr>
        <w:rPr/>
      </w:pPr>
      <w:bookmarkStart w:id="386" w:name="__RefHeading___Toc3103662_373438147"/>
      <w:bookmarkStart w:id="387" w:name="_Toc152"/>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يظهر من بعض النصوص أنّ أوّل من سنّ الجماعة في نوافل رمضان هو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ذلك في زمن الرسول صلّى اللّه عليه و آله و لا في زمن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bookmarkStart w:id="388" w:name="pg1254_13324"/>
    </w:p>
    <w:p>
      <w:pPr>
        <w:pStyle w:val="BookText"/>
        <w:rPr/>
      </w:pPr>
      <w:bookmarkEnd w:id="388"/>
      <w:r>
        <w:rPr>
          <w:rFonts w:ascii="Amiri" w:hAnsi="Amiri" w:eastAsia="Amiri" w:cs="Amiri"/>
          <w:color w:val="111111"/>
          <w:sz w:val="28"/>
          <w:sz w:val="28"/>
          <w:szCs w:val="28"/>
          <w:rtl w:val="true"/>
          <w:lang w:bidi="ar-SA"/>
        </w:rPr>
        <w:t>الخليفة الأوّل، بل رأي استحسنه الخليفة الثاني و حرّض الناس عليه، و قد اعترف هو بأنّ ذلك بدعة منه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يلتزم به هو، بل كان يصلّي فرادى و في البيت 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بذلك القسطلاني، و القلقشندي و ابن قدامة و العيني و غيرهم، و سيأتي كلماتهم</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103664_373438147"/>
      <w:bookmarkStart w:id="390" w:name="_Toc153"/>
      <w:bookmarkEnd w:id="389"/>
      <w:r>
        <w:rPr>
          <w:rtl w:val="true"/>
        </w:rPr>
        <w:t>أ</w:t>
      </w:r>
      <w:r>
        <w:rPr>
          <w:rtl w:val="true"/>
        </w:rPr>
        <w:t xml:space="preserve">. </w:t>
      </w:r>
      <w:r>
        <w:rPr>
          <w:rtl w:val="true"/>
        </w:rPr>
        <w:t>حديث البخاري</w:t>
      </w:r>
      <w:bookmarkEnd w:id="390"/>
    </w:p>
    <w:p>
      <w:pPr>
        <w:pStyle w:val="BookText"/>
        <w:rPr/>
      </w:pPr>
      <w:r>
        <w:rPr>
          <w:rFonts w:ascii="Amiri" w:hAnsi="Amiri" w:eastAsia="Amiri" w:cs="Amiri"/>
          <w:color w:val="111111"/>
          <w:sz w:val="28"/>
          <w:sz w:val="28"/>
          <w:szCs w:val="28"/>
          <w:rtl w:val="true"/>
          <w:lang w:bidi="ar-SA"/>
        </w:rPr>
        <w:t>عن ابن شهاب، عن عروة بن الزبير، عن عبد الرحمن بن عبد القاري،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ليلة في رمضان إلى المسجد، فإذا الناس أوزاع متفرّقون، يصلّي الرجل لنفسه، و يصلّي الرجل فيصلّي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ابيّ بن كعب، ثمّ خرجت معه ليلة أخرى و الناس يصلّون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 و التي ينامون عنها أفضل من التي يقومون، يريد آخر الليل، و كان الناس يقومون أوّله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مصنّف عبد الرزاق،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3103666_373438147"/>
      <w:bookmarkStart w:id="392" w:name="_Toc154"/>
      <w:bookmarkEnd w:id="391"/>
      <w:r>
        <w:rPr>
          <w:rtl w:val="true"/>
        </w:rPr>
        <w:t>ب</w:t>
      </w:r>
      <w:r>
        <w:rPr>
          <w:rtl w:val="true"/>
        </w:rPr>
        <w:t xml:space="preserve">. </w:t>
      </w:r>
      <w:r>
        <w:rPr>
          <w:rtl w:val="true"/>
        </w:rPr>
        <w:t>كلمات الأعلام</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لأنّه صلّى اللّه عليه و آله لم يبيّن لهم الاجتماع لها، و لا كانت في زمن الصدّيق، و لا أوّل الليل، و لا كلّ ليلة، و لا هذا العدد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 التراويح إلى عمر بن الخطّاب؛ لأنّه جمع الناس على أبيّ بن كعب، فكان يصلّيها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دعاها بدعة؛ لأنّ رسول اللّه صلّى اللّه عليه و آله لم يسنّها لهم، و لا كانت في زمن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البدعة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ممّا يندرج تحت مستحسن في الشرع، فهي بدعة حسنة، و إن كانت ممّا يندرج تحت مستقبح في الشرع، فهي بدعة مستقبحة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البحث في البدعة، و أنّها نوع واحد و هي ضلال و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سنّ قيام شهر رمضان و جمع الناس على إمام واحد في التراويح، و ذلك في سنة أربع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و قد نصّ الباجي و السيوطي و السكتواري و غيرهم أيضا على أنّ أوّل من سنّ التراويح هو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صرّحوا أيضا بأنّ إقامة النوافل بالجماعات في شهر رمضان من محدثات عمر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ابن سعد و الطبري و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شهر رمضان سنة أربع عشرة، و جعل للناس بالمدينة قارئين، قارئا يصلّي بالرجال، و قارئا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الأنافة في معالم الخلافة،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الأوائل،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المواهب،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طرح التثريب،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بالنساء</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تأريخ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تأريخ عمر بن الخطّاب،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كلماتهم كما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في ترجمة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سنّ قيام شهر رمضان بالتراويح، و جمع الناس على ذلك، و كتب به إلى البلدان، و ذلك في شهر رمضان، سنة أربع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نهى عن بيع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جمع الناس على إمام يصلّي بهم التراويح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النوع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من أفعال الخير و داخلة في حيّز المدح سمّاها بدعة و مدحها إلاّ أنّ النبيّ صلّى اللّه عليه و آله لم يسنّها لهم، و لا كانت في زمن أبي بكر و إنّما عمر جمع الناس عليها، و ندبهم إليها، فبهذا سمّاها بدعة و هي في الحقيقة 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أوليات عمر نقلا عن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قيام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حرّم المتعة، و أوّل من جمع الناس في صلاة الجنائز على أربع تكبيرات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النص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 الأثر،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الباجي و ابن التين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 عمر ذلك من تقرير النبيّ صلّى اللّه عليه و آله من صلّى معه في تلك الليالي، و إن كان كره ذلك لهم، فإنّما كرهه خشية أن يفرض عليهم، فلمّا مات أمن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لا يخفون الأمر، و أنّ ذلك كان من محدثات عمر بن الخطّاب و استنباطاته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في مقام التبرير لفعله يدّعون أنّ النبيّ صلّى اللّه عليه و آله كان</w:t>
      </w:r>
    </w:p>
    <w:p>
      <w:pPr>
        <w:pStyle w:val="BookText"/>
        <w:rPr/>
      </w:pPr>
      <w:r>
        <w:rPr>
          <w:rFonts w:ascii="Amiri" w:hAnsi="Amiri" w:eastAsia="Amiri" w:cs="Amiri"/>
          <w:color w:val="111111"/>
          <w:sz w:val="28"/>
          <w:sz w:val="28"/>
          <w:szCs w:val="28"/>
          <w:rtl w:val="true"/>
          <w:lang w:bidi="ar-SA"/>
        </w:rPr>
        <w:t>راضيا بهذه 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نوّر شهر الصوم بصلاة الأشفاع 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يسنّ عمر إلاّ ما رضيه صلّى اللّه عليه و آله و لم يمنعه من المواظبة عليه إلاّ خشية أن يفرض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أمن ذلك عمر، أقامها و أحياها في سنة أربع عشرة من الهجرة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xml:space="preserve">؛ شرح الزرقاني،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تصريح منه بأنّه أوّل من جمع الناس في قيام رمضان على إمام واحد؛ لأنّ البدعة ما ابتدأ بفعلها المبتدع و لم يتقدّمه غيره، فابتدعه عمر و تابعه الصحابة و الناس إلى هلّم جرّا، و هذا يبيّن صحّة القول بالرأي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فسمّاها بدعة؛ لأنّه صلّى اللّه عليه و آله لم يسنّ الاجتماع، و لا كانت في زمان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لغة ما أحدث على غير مثال سبق، و تطلق شرعا على مقابل السنّة، و هي ما لم يكن في عهده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الكحلاني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هو الذي جعلها جماعة على معيّن و سمّاها بدعة،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البدعة ما يمدح، بل كلّ بدعة 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هذه الكلمات كلّها شواهد على أنّ التراويح جماعة تكون بدعة مقابل السنّة النبويّة، قد ابتدعها الخليفة الثاني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الذي دعا الفقهاء من الفريقين للبحث في حكمها جماعة، و هل أنّ الجماعة فيها مشروعة أم لا؟ و سيأتي البحث عنها</w:t>
      </w:r>
      <w:r>
        <w:rPr>
          <w:rFonts w:eastAsia="Amiri" w:cs="Amiri" w:ascii="Amiri" w:hAnsi="Amiri"/>
          <w:color w:val="111111"/>
          <w:sz w:val="28"/>
          <w:szCs w:val="28"/>
          <w:rtl w:val="true"/>
          <w:lang w:bidi="ar-SA"/>
        </w:rPr>
        <w:t>.</w:t>
      </w:r>
      <w:bookmarkStart w:id="393" w:name="pg1254_13328"/>
    </w:p>
    <w:p>
      <w:pPr>
        <w:pStyle w:val="Heading3"/>
        <w:numPr>
          <w:ilvl w:val="2"/>
          <w:numId w:val="1"/>
        </w:numPr>
        <w:rPr/>
      </w:pPr>
      <w:bookmarkStart w:id="394" w:name="__RefHeading___Toc3103668_373438147"/>
      <w:bookmarkStart w:id="395" w:name="_Toc155"/>
      <w:bookmarkEnd w:id="393"/>
      <w:bookmarkEnd w:id="394"/>
      <w:r>
        <w:rPr>
          <w:rtl w:val="true"/>
        </w:rPr>
        <w:t>حكم الجماعة في نوافل شهر رمضان</w:t>
      </w:r>
      <w:bookmarkEnd w:id="395"/>
    </w:p>
    <w:p>
      <w:pPr>
        <w:pStyle w:val="Heading4"/>
        <w:numPr>
          <w:ilvl w:val="3"/>
          <w:numId w:val="1"/>
        </w:numPr>
        <w:rPr/>
      </w:pPr>
      <w:bookmarkStart w:id="396" w:name="__RefHeading___Toc3103670_373438147"/>
      <w:bookmarkStart w:id="397" w:name="_Toc156"/>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إنّ عدم تشريع النوافل الرمضانيّة جماعة على عهد النبيّ صلّى اللّه عليه و آله و ابتداع ذلك من قبل الخليفة الثاني، هو الذي صار منشأ للخلاف الفقهي العميق، و محطّا للنزاع و التضارب العلمي بين علماء الإسلام، فترى شريحة من المسلمين، و هم الإماميّة ناقشت أصل مشروعيّة الجماعة فيها، و نفت جوازها، مستندة إلى إثباتات و أدلّة قويّة، و لكنّ المؤسف أنّ البعض لم يتفهّم موقف الإماميّة و مبناهم، فزعم أنّهم ينكرون أصل نوافل شهر رمضان، مع أنّ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المردود و المنفيّ عندهم إقامة النوافل جماعة، و يرونه بدعة، كما صرّح الخليفة الثاني نفسه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لبعض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ليس ببعيد عن الموقف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فالشافعي كرهها جماعة، و بعضهم حبّبها فرادى و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غير متّفق عليها تماما حتى عند أهل السنّة و إن كان رأي الكثير منهم إقامتها جماعة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103672_373438147"/>
      <w:bookmarkStart w:id="399" w:name="_Toc157"/>
      <w:bookmarkEnd w:id="398"/>
      <w:r>
        <w:rPr>
          <w:rtl w:val="true"/>
        </w:rPr>
        <w:t>أ</w:t>
      </w:r>
      <w:r>
        <w:rPr>
          <w:rtl w:val="true"/>
        </w:rPr>
        <w:t xml:space="preserve">. </w:t>
      </w:r>
      <w:r>
        <w:rPr>
          <w:rtl w:val="true"/>
        </w:rPr>
        <w:t>رأي فقهاء السنّة</w:t>
      </w:r>
      <w:bookmarkEnd w:id="399"/>
    </w:p>
    <w:p>
      <w:pPr>
        <w:pStyle w:val="Heading5"/>
        <w:numPr>
          <w:ilvl w:val="4"/>
          <w:numId w:val="1"/>
        </w:numPr>
        <w:rPr/>
      </w:pPr>
      <w:bookmarkStart w:id="400" w:name="__RefHeading___Toc3103674_373438147"/>
      <w:bookmarkStart w:id="401" w:name="_Toc158"/>
      <w:bookmarkEnd w:id="400"/>
      <w:r>
        <w:rPr>
          <w:rtl w:val="true"/>
        </w:rPr>
        <w:t>اشارة</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أنّه كان لا يقوم خلف الإمام في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الإمام في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أفتنصت كأنّك حمار؟ صلّ في بيتك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عبد الرزّاق،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بأداء الكلّ جماعة، كما قال مالك رحمه اللّه بناء على أنّ النوافل بجماعة مستحبّ عنده و هو مكروه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الشافعي رحمه اللّه قاس النفل بالفرض؛ لأنّه تبع له، فيجري مجرى الفرض فيعطى حكمه، و لنا أنّ الأصل في النوافل الإخفاء فيجب صيانتها عن الاشتهار ما أمكن، و فيما قاله الخصم إشهار، فلا يعمل به بخلاف الفرائض؛ لأنّ مبناها على الإعلان و الإشهار، و في الجماعة إشهار فكان أحقّ</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للسرخسي،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قيام شهر رمضان، فصلاة المنفرد أحبّ إليّ منه، الحاوي الكبير،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تؤدّى بجماعة أم فرادى؟ ذكر الطحاوي في اختلاف العلماء عن المعلّى و أبي يوسف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عن مالك رحمه اللّه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أداؤه في بيته صلّى كما يصلّي في المسجد من مراعاة سنّة القراءة و أشباهه، فيصلّي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رحمه اللّه في قوله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التراويح على وجه الانفراد، لما فيها من الإخفاء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عيسى بن أبان و بكّار بن قتيبة و المزني من أصحاب الشافعي و أحمد بن علوان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أحبّ و أفضل، و هو المشهور عن عامّة العلماء رحمهم اللّه و هو الأصحّ و الأوثق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استدلاله بحديث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المبتدعة أنكروا أداءها بالجماعة في المسجد، فأداؤها بالجماعة جعل شعارا للسنّة كأداء الفرائض</w:t>
      </w:r>
      <w:bookmarkStart w:id="402" w:name="pg1254_13330"/>
    </w:p>
    <w:p>
      <w:pPr>
        <w:pStyle w:val="BookText"/>
        <w:rPr/>
      </w:pPr>
      <w:bookmarkEnd w:id="402"/>
      <w:r>
        <w:rPr>
          <w:rFonts w:ascii="Amiri" w:hAnsi="Amiri" w:eastAsia="Amiri" w:cs="Amiri"/>
          <w:color w:val="111111"/>
          <w:sz w:val="28"/>
          <w:sz w:val="28"/>
          <w:szCs w:val="28"/>
          <w:rtl w:val="true"/>
          <w:lang w:bidi="ar-SA"/>
        </w:rPr>
        <w:t>بالجماعة شرع شعار الإسلام</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للسرخسي،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3103676_373438147"/>
      <w:bookmarkStart w:id="404" w:name="_Toc159"/>
      <w:bookmarkEnd w:id="403"/>
      <w:r>
        <w:rPr>
          <w:rtl w:val="true"/>
        </w:rPr>
        <w:t>تعليقة على كلام السرخسي</w:t>
      </w:r>
      <w:bookmarkEnd w:id="4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بمن يعرّض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يذمّ؟ و من يقصد بالمبتدع مع أنّ الخليفة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كره الشافعي إقامتها جماعة؛ نظرا إلى أنّ الأصل في النوافل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يعرّض بأمثال البغوي الذي نقل وجه أفضليّة الانفراد و استدلّ بفعل النبيّ صلّى اللّه عليه و آله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يعرّض بالإماميّة الذين لا يرون مشروعيّة الجماعة في النوافل إلاّ ما أخرجه الدليل</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ثمّ كيف يكون أداؤها جماعة شعارا للسنّة، مع أن الخليفة الثاني أقرّ بأنّها بدعة، و أنّها مفضولة، و كان يصلّيها وحده، و قد تركت طيل عهد النبيّ صلّى اللّه عليه و آله و أبي بكر و شطر من خلافة عمر، و كرهها جمع من أكابر السنّة، مثل مالك و أبي يوسف و بعض الشافعيّة تبعا للشافعي حيث إنّ الانفراد كان عنده أحبّ من الجماعة، فهؤلاء ليسوا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تركوا ما هو شعار السنّة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يجعلها النبيّ صلّى اللّه عليه و آله شعارا للإسلام و السنّة، و لم يجعله الصحابة</w:t>
      </w:r>
    </w:p>
    <w:p>
      <w:pPr>
        <w:pStyle w:val="BookText"/>
        <w:rPr/>
      </w:pPr>
      <w:r>
        <w:rPr>
          <w:rFonts w:ascii="Amiri" w:hAnsi="Amiri" w:eastAsia="Amiri" w:cs="Amiri"/>
          <w:color w:val="111111"/>
          <w:sz w:val="28"/>
          <w:sz w:val="28"/>
          <w:szCs w:val="28"/>
          <w:rtl w:val="true"/>
          <w:lang w:bidi="ar-SA"/>
        </w:rPr>
        <w:t>شعارا للسنّة، فكيف و بأيّ دليل، و من أين صار هذا شعارا للسنّة يميّز به عن سائر المذاهب الإسلاميّة؟ أ ليس هذا من مصاديق البدعة و من أبرزها؟</w:t>
      </w:r>
    </w:p>
    <w:p>
      <w:pPr>
        <w:pStyle w:val="BookText"/>
        <w:rPr/>
      </w:pPr>
      <w:r>
        <w:rPr>
          <w:rFonts w:ascii="Amiri" w:hAnsi="Amiri" w:eastAsia="Amiri" w:cs="Amiri"/>
          <w:color w:val="111111"/>
          <w:sz w:val="28"/>
          <w:sz w:val="28"/>
          <w:szCs w:val="28"/>
          <w:rtl w:val="true"/>
          <w:lang w:bidi="ar-SA"/>
        </w:rPr>
        <w:t>ثمّ كيف تقاس هذه البدعة بالجماعة في الفرائض؟ مع أنّ تشريع الجماعة في الفرائض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تشريع الجماعة في التراويح، بالرأي و الاجتهاد و الاستحسان إذ قال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إقامتها بجماعة، لكن على الكفاية، فلو تركها أهل المسجد أساؤوا، و إن تخلّف عن الجماعة أفراد و صلّوا في منازلهم لم يكونوا مسيئين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أن يصلّيها جماعة أو منفردا نظر، إن كان الرجل لا يحسن القرآن، أو تختلّ الجماعة بتخلّفه، أو يخاف النوم و الكسل، ففعلها جماعة أفضل، و إن لم يكن شيء من ذلك ففيه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أفضل؛ لأنّ عمر بن الخطّاب جمعهم على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أفضل؛ لأنّ النبيّ صلّى اللّه عليه و آله صلّى ليالي في المسجد ثمّ لم يخرج باقي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بيوتكم فإنّ أفضل صلاة المرء في بيته إلاّ المكتوبة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الأوّل أصحّ، و إنّما لم يخرج النبيّ صلّى اللّه عليه و آله خشية أن تفرض عليهم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سنن الترمذي،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في فقه الشافعي،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bookmarkStart w:id="405" w:name="pg1254_13332"/>
    </w:p>
    <w:p>
      <w:pPr>
        <w:pStyle w:val="BookText"/>
        <w:rPr/>
      </w:pPr>
      <w:bookmarkEnd w:id="40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مالكا عن قيام الرجل في رمضان أمع الناس أحبّ إليك أم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يقوى في بيته فهو أحبّ إليّ، و ليس كلّ الناس يقوى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ابن هرمز ينصرف فيقوم بأهله، و كان ربيعة و عدّد غير واحد من علمائهم ينصرف و لا يقوم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أفعل مثل ذلك</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آخرون إلى أنّ فعلها فرادى في البيت أفضل؛ لكونه صلّى اللّه عليه و آله واظب على ذلك، و توفّي و الأمر على ذلك، حتى مضى صدر من خلافة عمر، و قد اعترف عمر بأنّها مفضولة، و بهذا قال مالك و أبو يوسف و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 صلّى اللّه عليه و آله و الأمر على ذلك أنّ كلّ أحد يصلّي قيام رمضان في بيته منفردا حتى جمع عمر الناس على أبيّ بن كعب، فصلّى بهم جماعة و استمرّ العمل على ذلك</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و أبو يوسف و بعض الشافعيّة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فرادى في البيت؛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الصلاة صلاة المرء في بيته إلاّ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التجمّع فيها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6" w:name="__RefHeading___Toc3103678_373438147"/>
      <w:bookmarkStart w:id="407" w:name="_Toc160"/>
      <w:bookmarkEnd w:id="406"/>
      <w:r>
        <w:rPr>
          <w:rtl w:val="true"/>
        </w:rPr>
        <w:t>ب</w:t>
      </w:r>
      <w:r>
        <w:rPr>
          <w:rtl w:val="true"/>
        </w:rPr>
        <w:t xml:space="preserve">. </w:t>
      </w:r>
      <w:r>
        <w:rPr>
          <w:rtl w:val="true"/>
        </w:rPr>
        <w:t>رأى فقهاء الإماميّة</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التراويح فلا شبهة أنّها بدعة، و قد روي</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الصلاة بالليل في شهر رمضان من النافلة جماعة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عمر خرج في شهر رمضان ليلا، فرأى المصابيح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اجتمعوا لصلاة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فنعمت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كما ترى بأنّها بدعة، و قد شهد الرسول صلّى اللّه عليه و آله أنّ 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أمير المؤمنين عليه السّلام لمّا اجتمعوا إليه بالكوفة فسألوه أن ينصب لهم إماما يصلّي بهم نافلة شهر رمضان زجرهم و عرّفهم أنّ ذلك خلاف السنّة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شهر رمضان كان أيّام الرسول صلّى اللّه عليه و آله ثمّ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فمغالطة منه؛ لأنّا لا ننكر قيام شهر رمضان بالنوافل على سبيل الانفراد، و إنّما أنكرنا الاجتماع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ادّعى أنّ الرسول صلّى اللّه عليه و آله صلاّها جماعة في أيّامه، فإنّها مكابرة ما أقدم عليها أحد، و لو كان كذلك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غير ذلك، فهو ممّا لا ينفعه؛ لأنّ الذي أنكرناه غيره</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ظنّ انفراد الإماميّة به المنع من الاجتماع في صلاة نوافل شهر رمضان و كراهية ذلك، و أكثر الفقهاء يوافقهم على ذلك؛ لأنّ المعلّى روى عن أبي يوسف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على أن يصلّي في بيته كما يصلّي مع الإمام في شهر رمضان، فأحبّ إلىّ أن يصلّي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ربيعة و غير واحد من علمائنا ينصرفون، و لا يقومون مع الناس،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قام النبيّ صلّى اللّه عليه و آله إلاّ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المنفرد في قيام شهر رمضان أحبّ إليّ، و هذا كلّه حكاه الطحاوي في كتاب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فالموافق للإماميّة في هذه المسألة أكثر من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لنا الإجماع المتقدّم، و طريقة الاحتياط، فإنّ المصلّي للنوافل في بيته غير مبدع و لا عاص بإجماع، و ليس كذلك إذا صلاّها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يعارضوا في ذلك بما يروونه عن عمر بن الخطّاب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رآى اجتماع الناس في صلاة نوافل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 نعمت البدعة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بأنّها بدعة و خلاف السنّة، و هم يروون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 كلّ ضلالة في النار</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شهر رمضان تصلّى منفردا، و الجماعة فيها بدعة،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المنفرد أحبّ إلىّ منه</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 دليلنا إجماع الفرقة</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الجماعة في هذه النافلة محرّمة عند أصحابنا رضي اللّه عنهم قد تكاثرت به أخبارهم</w:t>
      </w:r>
      <w:r>
        <w:rPr>
          <w:rFonts w:eastAsia="Amiri" w:cs="Amiri" w:ascii="Amiri" w:hAnsi="Amiri"/>
          <w:color w:val="111111"/>
          <w:sz w:val="28"/>
          <w:szCs w:val="28"/>
          <w:rtl w:val="true"/>
          <w:lang w:bidi="ar-SA"/>
        </w:rPr>
        <w:t>.</w:t>
      </w:r>
      <w:r>
        <w:rPr>
          <w:rStyle w:val="FootnoteAnchor"/>
          <w:rtl w:val="true"/>
        </w:rPr>
        <w:footnoteReference w:id="342"/>
      </w:r>
      <w:bookmarkStart w:id="408" w:name="pg1254_13335"/>
    </w:p>
    <w:p>
      <w:pPr>
        <w:pStyle w:val="Heading3"/>
        <w:numPr>
          <w:ilvl w:val="2"/>
          <w:numId w:val="1"/>
        </w:numPr>
        <w:rPr/>
      </w:pPr>
      <w:bookmarkStart w:id="409" w:name="__RefHeading___Toc3103680_373438147"/>
      <w:bookmarkStart w:id="410" w:name="_Toc161"/>
      <w:bookmarkEnd w:id="408"/>
      <w:bookmarkEnd w:id="409"/>
      <w:r>
        <w:rPr>
          <w:rtl w:val="true"/>
        </w:rPr>
        <w:t>موقف النبيّ صلّى اللّه عليه و آله و أهل بيته عليهم السّلام من التراويح جماعة</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أبي العبّاس البقباق و عبيد بن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يزيد في صلاته في شهر رمضان، إذا صلّى العتمة صلّى بعدها، فيقوم الناس خلفه فيدخل و يدعهم، ثمّ يخرج أيضا فيجيؤون و يقومون خلفه فيدعهم و يدخل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تصلّ بعد العتمة في غير شهر رمضان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و يدلّ على عدم جواز الجماعة في نافلة شهر رمضان و لا خلاف فيه بين أصحابنا، و قد اعترفت العامّة بأنّه من بدع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محمول على غير النوافل المرتّبة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في رواية أخرى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عثمان،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فحمد اللّه و أثنى عليه، ثمّ صلّى على النبيّ صلّى اللّه عليه و آله ثمّ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أمرت الناس أن لا يجتمعوا في شهر رمضان إلاّ في فريضة، و أعلمتهم أنّ اجتماعهم في النوافل بدعة، فينادي بعض</w:t>
      </w:r>
    </w:p>
    <w:p>
      <w:pPr>
        <w:pStyle w:val="BookText"/>
        <w:rPr/>
      </w:pPr>
      <w:r>
        <w:rPr>
          <w:rFonts w:ascii="Amiri" w:hAnsi="Amiri" w:eastAsia="Amiri" w:cs="Amiri"/>
          <w:color w:val="111111"/>
          <w:sz w:val="28"/>
          <w:sz w:val="28"/>
          <w:szCs w:val="28"/>
          <w:rtl w:val="true"/>
          <w:lang w:bidi="ar-SA"/>
        </w:rPr>
        <w:t>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سنّة عمر، ينهانا عن الصلاة في شهر رمضان تطوّعا، و لقد خفت أن يثوروا في ناحية جانب عسكري</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مختلف فيه بسليم، و على هذه النسخة لعلّ فيه إرسالا؛ إذ لم يعهد برواية إبراهيم بن عثمان و هو أبو أيّوب الخزّاز عن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مثل هذا السند مرارا عن إبراهيم بن عمر اليماني، عن أبان بن أبي عياش، عن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سقط من النسّاخ، فالخبر ضعيف على المشهور، لكن عندي معتبر، لوجوه ذكرها محمد بن سليمان في كتاب منتخب البصائر و غيره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وجود قرائن خارجيّة و مؤيّدات من الروايات الموثّقة و الصحيحة تؤيّد مضمون 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يهيجوا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بأسانيده، عن زرارة و محمد بن مسلم و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سألوا أبا جعفر الباقر و أبا عبد اللّه الصادق عليهما السّلام عن الصلاة في شهر رمضان نافلة بالليل في جماعة؟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إذا صلّى العشاء الآخرة انصرف إلى منزله، ثمّ يخرج من آخر الليل إلى المسجد فيقوم فيصلّي، فاصطفّ الناس خلفه، فهرب منهم إلى بيته و تركهم، ففعلوا ذلك ثلاث ليال، فقام في اليوم الثالث على منبره،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الصلاة بالليل في شهر رمضان من النافلة في جماعة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الضحى بدعة، ألا فلا تجمعوا ليلا في شهر رمضان</w:t>
      </w:r>
    </w:p>
    <w:p>
      <w:pPr>
        <w:pStyle w:val="BookText"/>
        <w:rPr/>
      </w:pPr>
      <w:r>
        <w:rPr>
          <w:rFonts w:ascii="Amiri" w:hAnsi="Amiri" w:eastAsia="Amiri" w:cs="Amiri"/>
          <w:color w:val="111111"/>
          <w:sz w:val="28"/>
          <w:sz w:val="28"/>
          <w:szCs w:val="28"/>
          <w:rtl w:val="true"/>
          <w:lang w:bidi="ar-SA"/>
        </w:rPr>
        <w:t>لصلاة الليل،</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المجلسي أنّ هذا الحديث مرتبط بصلاة الليل لا نوافل رمضان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أنّ ظاهر هذا الخبر نافلة الليل لا صلاة ليالي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على سبيل المماشاة، أي لو كان في البدعة خير فالاقتصار على السنّة خير منه، و في القرآن مثله كثير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الاستظهار منه رحمه اللّه بعيد و خلاف الظاهر؛ إذ لا خصوصيّة لنوافل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تصلّوا صلاة الضحى؛ فإنّ تلك معصية، ألا و إنّ كلّ بدعة ضلالة، و كلّ ضلالة سبيلها إلى النار، ثمّ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 التراويح التي يصلّيها العامّة و يصلّونها جماعة بدعة، و هم ذكروا أنّ عمر لمّا ابتدعها و اجتمع الناس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ذكره الغزالي في الإحياء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عليه السّلام لمّا أنكر الصلاة في شهر رمضان، أنكر الاجتماع فيها و لم ينكر نفس الصلاة، و لو كان نفس الصلاة منكرا مبتدعا لأنكره كما أنكر الاجتماع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 ما رواه عليّ بن الحسن بن فضّال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قال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يدلّ على مشروعيّة نافلة رمضان و عدّها جماعة لا على عدم مشروعيّتها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أحمد بن الحسن، عن</w:t>
      </w:r>
    </w:p>
    <w:p>
      <w:pPr>
        <w:pStyle w:val="BookText"/>
        <w:rPr/>
      </w:pPr>
      <w:r>
        <w:rPr>
          <w:rFonts w:ascii="Amiri" w:hAnsi="Amiri" w:eastAsia="Amiri" w:cs="Amiri"/>
          <w:color w:val="111111"/>
          <w:sz w:val="28"/>
          <w:sz w:val="28"/>
          <w:szCs w:val="28"/>
          <w:rtl w:val="true"/>
          <w:lang w:bidi="ar-SA"/>
        </w:rPr>
        <w:t>عمرو بن سعيد المدايني، عن مصدّق بن صدقة،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من رمضان في المساجد؟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أمير المؤمنين عليه السّلام الكوفة أمر الحسن بن عليّ عليه السّلام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 فنادى في الناس الحسن بن عليّ عليه السّلام بما أمره به أمير المؤمنين عليه السّلام، فلمّا سمع الناس مقالة الحسن بن عليّ عليه السّلام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 فلمّا رجع الحسن عليه السّلام إلى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شرح نهج البلاغة،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وثّقه المجلسي</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أمير المؤمنين عليه السّلام أيضا لمّا أنكر، أنكر الاجتماع و لم ينكر نفس الصلاة، فلما رأى أنّ الأمر يفسد عليه و يفتتن الناس أجاز أمرهم بالصلاة على عادتهم، فكلّ هذا واضح بحمد اللّه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و الرضا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رمضان اصطفّ الناس خلف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هذه نافلة فليصلّ كلّ منكم وحده، و ليعمل ما علّمه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لا جماعة في نافلة، فتفرّق الناس</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إدريس في آخر السرائر نقلا من كتاب</w:t>
      </w:r>
    </w:p>
    <w:p>
      <w:pPr>
        <w:pStyle w:val="BookText"/>
        <w:rPr/>
      </w:pPr>
      <w:r>
        <w:rPr>
          <w:rFonts w:ascii="Amiri" w:hAnsi="Amiri" w:eastAsia="Amiri" w:cs="Amiri"/>
          <w:color w:val="111111"/>
          <w:sz w:val="28"/>
          <w:sz w:val="28"/>
          <w:szCs w:val="28"/>
          <w:rtl w:val="true"/>
          <w:lang w:bidi="ar-SA"/>
        </w:rPr>
        <w:t>أبي القاسم، جعفر بن قولويه،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أمير المؤمنين عليه السّلام بالكوفة أتاه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إماما يؤمّنا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رمضان، و ارمضاناه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الحارث الأعور في أناس،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ضجّ الناس و كرهوا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يريدون ليصلّ بهم من شاؤوا،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غَيْرَ سَبِيلِ الْمُؤْمِنِينَ نُوَلِّهِ مٰا تَوَلّٰى وَ نُصْلِهِ جَهَنَّمَ وَ سٰاءَتْ مَصِيراً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القاضي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القاضي نعمان عن أبي عبد اللّه،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 شهر رمضان فريضة أو القيام في جماعة في ليله بدعة، و ما صلاّها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لياليه بجماعة 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خيرا ما تركها، و قد صلّى في بعض ليالي شهر رمضان وحده صلّى اللّه عليه و آله، فقام قوم خلفه فلمّا أحسّ بهم دخل بيته، ففعل ذلك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بعد ثلاث ليال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تصلّوا غير الفريضة ليلا في شهر رمضان و لا في غيره في جماعة، إنّ الذي صنعتم بدعة، و لا تصلّوا ضحى، فإنّ الصلاة ضحى بدعة، و كلّ بدعة ضلالة، و كلّ ضلالة سبيلها إلى النار، ثمّ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قليل في سنّة خير من عمل كثير في بدعة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روت العامّة مثل هذا عن رسول اللّه صلّى اللّه عليه و آله، و إنّ الصلاة نافلة في جماعة في ليل شهر رمضان لم تكن في عهد رسول اللّه صلّى اللّه عليه و آله، و لم تكن في أيّام أبي بكر و لا في صدر من أيّام عمر، حتى أحدث ذلك عمر فاتّبعوه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رووا نهي رسول اللّه صلّى اللّه عليه و آله، نعوذ باللّه من البدعة في دينه و ارتكاب نهي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الكوفي في كتاب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استنّ على المصلّين النوافل في ليل رمضان فرادى، و هي التي تسمّى التراويح، فاجتمعت الأمّة أنّ رسول اللّه صلّى اللّه عليه و آله لم يرخّص في صلاتها جماعة، فلمّا ولي عمر، أمرهم بصلاتها جماعة، فصلّوا كذلك و جعلوها من السنن المؤكّدة، ثمّ والوا عليها و واظبوا و هم في ذلك مقرّون بأنّها بدعة، ثمّ يزعمون أنّها بدعة حسنة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التراويح في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هذه الأخبار و ما جرى مجراها أنّه لم يكن رسول اللّه صلّى اللّه عليه و آله يصلّي صلاة النافلة في جماعة في شهر رمضان، و لو كان فيه خيرا لما تركه رسول اللّه صلّى اللّه عليه و آله، و لم يرد أنّه لا يجوز أن يصلّى على الانفراد</w:t>
      </w:r>
      <w:r>
        <w:rPr>
          <w:rFonts w:eastAsia="Amiri" w:cs="Amiri" w:ascii="Amiri" w:hAnsi="Amiri"/>
          <w:color w:val="111111"/>
          <w:sz w:val="28"/>
          <w:szCs w:val="28"/>
          <w:rtl w:val="true"/>
          <w:lang w:bidi="ar-SA"/>
        </w:rPr>
        <w:t>.</w:t>
      </w:r>
      <w:r>
        <w:rPr>
          <w:rStyle w:val="FootnoteAnchor"/>
          <w:rtl w:val="true"/>
        </w:rPr>
        <w:footnoteReference w:id="356"/>
      </w:r>
      <w:bookmarkStart w:id="411" w:name="pg1254_13341"/>
    </w:p>
    <w:p>
      <w:pPr>
        <w:pStyle w:val="Heading3"/>
        <w:numPr>
          <w:ilvl w:val="2"/>
          <w:numId w:val="1"/>
        </w:numPr>
        <w:rPr/>
      </w:pPr>
      <w:bookmarkStart w:id="412" w:name="__RefHeading___Toc3103682_373438147"/>
      <w:bookmarkStart w:id="413" w:name="_Toc162"/>
      <w:bookmarkEnd w:id="411"/>
      <w:bookmarkEnd w:id="412"/>
      <w:r>
        <w:rPr>
          <w:rtl w:val="true"/>
        </w:rPr>
        <w:t>أدلّة القول بعدم جواز الجماعة في التراويح</w:t>
      </w:r>
      <w:bookmarkEnd w:id="413"/>
    </w:p>
    <w:p>
      <w:pPr>
        <w:pStyle w:val="BookText"/>
        <w:rPr/>
      </w:pPr>
      <w:r>
        <w:rPr>
          <w:rFonts w:ascii="Amiri" w:hAnsi="Amiri" w:eastAsia="Amiri" w:cs="Amiri"/>
          <w:color w:val="111111"/>
          <w:sz w:val="28"/>
          <w:sz w:val="28"/>
          <w:szCs w:val="28"/>
          <w:rtl w:val="true"/>
          <w:lang w:bidi="ar-SA"/>
        </w:rPr>
        <w:t>أمّا دليل القول بعدم جواز الجماعة في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الروايات السابقة التي ذكرناها في موقف النبيّ صلّى اللّه عليه و آله و أهل بيته من التراويح بما فيها الصحيحة و الموثّقة، و هي العمدة في المقام و بها الغنى و الكفاية لنفي مشروعيّة الجماعة في نوافل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لهم أدلّة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النهي عن الجماعة في النافلة، إلاّ الاستسقاء و العيد و الإعادة كما تلي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يصلّى التطوّع في جماعة؛ لأنّ ذلك بدعة، و كلّ بدعة ضلالة، و كلّ ضلالة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الرضا عليه السّلام في كتابه إلى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يصلّى تطوّع في جماعة، لأنّ ذلك بدعة، و كلّ بدعة ضلالة، و كلّ ضلالة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النوافل إلاّ الاستسقاء و العيدين المندوبين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المحقّق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في شيء من النوافل على المشهور بين الأصحاب نقلا و تحصيلا، بل في الذكرى نسبته إلى ظاهر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الجماعة فيها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414" w:name="pg1254_13342"/>
    </w:p>
    <w:p>
      <w:pPr>
        <w:pStyle w:val="BookText"/>
        <w:rPr/>
      </w:pPr>
      <w:bookmarkEnd w:id="41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زيد بن ثابت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المرء في بيته أفضل من صلاته في المسجد إلاّ المكتوبة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الخليفة عمر بن الخطّاب بأنّها بدعة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 قد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بدعة ضلالة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صلّى في المسجد، فصلّى بصلاته ناس، ثمّ صلّى في القابلة، فكثر الناس، ثمّ اجتمعوا في الليلة الثالثة فلم يخرج إليهم رسول اللّه صلّى اللّه عليه و آله فلمّا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الذي صنعتم فلم يمنعني من الخروج إليكم إلاّ أنّي خشيت أن تفرض عليكم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لنا نقاش في بعض هذه الأدلّة خصوصا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المجموع من حيث المجموع، يوجب العلم بعدم مشروعية الجماعة فيها</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3103684_373438147"/>
      <w:bookmarkStart w:id="416" w:name="_Toc163"/>
      <w:bookmarkEnd w:id="415"/>
      <w:r>
        <w:rPr>
          <w:rtl w:val="true"/>
        </w:rPr>
        <w:t>أدلّة القول بجواز الجماعة فيها</w:t>
      </w:r>
      <w:bookmarkEnd w:id="416"/>
    </w:p>
    <w:p>
      <w:pPr>
        <w:pStyle w:val="BookText"/>
        <w:rPr/>
      </w:pPr>
      <w:r>
        <w:rPr>
          <w:rFonts w:ascii="Amiri" w:hAnsi="Amiri" w:eastAsia="Amiri" w:cs="Amiri"/>
          <w:color w:val="111111"/>
          <w:sz w:val="28"/>
          <w:sz w:val="28"/>
          <w:szCs w:val="28"/>
          <w:rtl w:val="true"/>
          <w:lang w:bidi="ar-SA"/>
        </w:rPr>
        <w:t>استدلّوا للقول بجواز الجماعة في نوافل شهر رمضان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الصحابة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النبيّ صلّى اللّه عليه و آله أصحابه و أهله فصلّى بالناس جماعة، كما في الحديث</w:t>
      </w:r>
      <w:bookmarkStart w:id="417" w:name="pg1254_13343"/>
    </w:p>
    <w:p>
      <w:pPr>
        <w:pStyle w:val="BookText"/>
        <w:rPr/>
      </w:pPr>
      <w:bookmarkEnd w:id="417"/>
      <w:r>
        <w:rPr>
          <w:rFonts w:ascii="Amiri" w:hAnsi="Amiri" w:eastAsia="Amiri" w:cs="Amiri"/>
          <w:color w:val="111111"/>
          <w:sz w:val="28"/>
          <w:sz w:val="28"/>
          <w:szCs w:val="28"/>
          <w:rtl w:val="true"/>
          <w:lang w:bidi="ar-SA"/>
        </w:rPr>
        <w:t>المنسوب إلى 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إذا صلّوا مع الإمام حتى ينصرف كتب لهم قيام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خاصّ في قيام رمضان، فيقدّم على عموم ما احتجّوا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لم يخف عليّ مكانكم و لكنّي خشيت أن تفترض عليكم فتعجزوا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ترك النبيّ صلّى اللّه عليه و آله القيام بهم معلّلا بذلك، أو خشية أن يتّخذه الناس فرضا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عن عمر أنّه كان يصلّي في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فيها التشدّد في حفظ القرآن و المحافظة على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قد روي عن أبي عبد الرحمن السلمي أنّ عليّا عليه السّلام قام بهم في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المساجد و فيها القناديل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اللّه على عمر قبره، كما نوّر علينا مساجدنا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3103686_373438147"/>
      <w:bookmarkStart w:id="419" w:name="_Toc164"/>
      <w:bookmarkEnd w:id="418"/>
      <w:r>
        <w:rPr>
          <w:rtl w:val="true"/>
        </w:rPr>
        <w:t>مناقشة أدلّة الجواز</w:t>
      </w:r>
      <w:bookmarkEnd w:id="4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 مرسلة؛ لأنّ إسماعيل بن زياد كان من معاصري ابن جريج، و يروي عن التابعين أو تابعي التابعين، فكيف يمكنه الرواية عن عليّ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التأمّل في إسماعيل، فعن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منكر الحديث</w:t>
      </w:r>
    </w:p>
    <w:p>
      <w:pPr>
        <w:pStyle w:val="BookText"/>
        <w:rPr/>
      </w:pPr>
      <w:r>
        <w:rPr>
          <w:rFonts w:ascii="Amiri" w:hAnsi="Amiri" w:eastAsia="Amiri" w:cs="Amiri"/>
          <w:color w:val="111111"/>
          <w:sz w:val="28"/>
          <w:sz w:val="28"/>
          <w:szCs w:val="28"/>
          <w:rtl w:val="true"/>
          <w:lang w:bidi="ar-SA"/>
        </w:rPr>
        <w:t>فإنّ ما يرويه لا يتابعه أحد عليه، إمّا إسنادا و إمّا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دجّال لا يحلّ ذكره في الكتب إلاّ على سبيل القدح فيه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الكامل في الضعفاء،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التي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أخرى بمفادها أنّ عليّا عليه السّلام صلّى بهم النوافل جماعة أو 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مخدوشة سندا و 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ثنا موسى بن محمد بن عليّ بن عبد اللّه، ثنا أحمد بن عيسى بن ماهان الرازي ببغداد، ثنا هشام بن عمّار، ثنا مروان بن معاوية عن أبي عبد اللّه الثقفي، ثنا عرفجة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أبى طالب رضي اللّه عنه يأمر الناس بقيام شهر رمضان، و يجعل للرجال إماما و للنساء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إمام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السند كلام، فإنّ مروان بن معاوية كثير النقل عن المجاهيل</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أبو عبد اللّه بن فنجويه الدينوري، ثنا أحمد بن محمد بن إسحاق بن عيسى السنّي، أنبأ أحمد بن عبد اللّه البزّار عن سعدان بن يزيد، عن الحكم بن مروان السلمي، أنبأ الحسن بن صالح عن أبي سعد البقّال، عن أبي الحسن أنّ عليّ بن أبي طالب عليه السّلام أمر رجلا أن يصلّي بالناس خمس ترويحات عشرين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ضعف، و صرّح به البيهقي، و لعلّ ضعفه من جهة أبي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المرزبان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متكلّم فيه، كما قاله التركماني</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 أبو عبد اللّه الحافظ، ثنا الحكم بن عبد الملك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عليّ بن أبي طالب عليه السّلام في زمن عثمان بن عفّان عشرين ليلة ثمّ احتبس،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تفرّغ لنفسه، ثمّ أمّهم أبو حليمة معاذ القاري فكان يقنت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 الحكم بن عبد الملك، و هو ليس بثقة عند يحيى بن معين، و مضطرب الحديث عند أبي حاتم و منكر الحديث عند أبي داود، و ضعيف الحديث عند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رواية أبي عبد الرحمن السلمي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القرّآء في رمضان فأمر منهم رجلا يصلّي بالناس عشرين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رضي اللّه عنه يؤثر بهم</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هو مخلط، و سيّ‌ء الحفظ، و ضعيف</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شعيب، و ضعّفه الأزدي</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فهذه الروايات التي مفادها أنّ عليّا صلّى التراويح جماعة أو أمر بالجماعة فيها، كلّها مورد للإشكال السندي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ما مرّ من المعارض لها إن تمّ التعارض بما فيه صحيح السند منها الرواية 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الرواية الثانية للكليني في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الكتاب، و يؤيّده ما روي عن ابن أبي الحديد أنّ الإمام عليه السّلام بعث الحسن عليه السّلام ليفرّقهم عن الجماعة في نافلة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عليه السّلام لمّا اجتمعوا إليه بالكوفة فسألوه أن ينصب لهم إماما يصلّي بهم نافلة شهر رمضان، زجرهم و عرّفهم أنّ ذلك خلاف السنّة، فتركوه و اجتمعوا لأنفسهم و قدّموا بعضهم، فبعث إليهم ابنه الحسن عليه السّلام، فدخل عليهم المسجد و معه الدرّة، فلمّا رأوه تبادروا الأبواب، و صاحوا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تلخيص الشافعي،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ذرّ، فضعيف؛ إذ في السند مسلمة بن علقمة و هو المازني، أبو محمد البصري إمام مسجد داود بن أبي هند،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شيء، و قد سئل أبو داود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عبد الرحمن حديثه،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إليك نصّ 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 الملك بن أبي الشوارب، ثنا مسلمة بن علقمة عن داود بن أبي هند، عن الوليد بن عبد الرحمن الجرشي، عن جبير بن نفير الحضرمي،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 مع رسول اللّه صلّى اللّه عليه و آله رمضان فلم يقم بنا شيئا منه، حتى بقي سبع ليال، فقام بنا ليلة السابعة حتى مضى نحو من ثلث الليل، ثمّ كانت الليلة السادسة التي تليها، فلم يقمها، حتى كانت الخامسة التي تليها، ثمّ قام بنا حتى مضى نحو من شطر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نفلتنا بقيّة ليلتنا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قام مع الإمام حتى ينصرف، فإنّه يعدل قيام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الرابعة التى تليها فلم يقمها، حتى كانت الثالثة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نساءه و أهله، و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بنا حتى خشينا أن يفوتنا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 قال ثمّ لم يقم بنا شيئا من بقيّة الشهر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 الترمذي فليس فيه مسلمة بن علقمة، و لكن فيه محمد بن الفضيل الذي قال فيه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لا تحتجّ به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أمّا رواية مسلم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ابن شهاب و هو الزهري، و هو ممّن أعان الظلمة على ظلمهم، كما صرّح بذلك الآلوسي</w:t>
      </w:r>
      <w:r>
        <w:rPr>
          <w:rStyle w:val="FootnoteAnchor"/>
          <w:rtl w:val="true"/>
        </w:rPr>
        <w:footnoteReference w:id="372"/>
      </w:r>
      <w:r>
        <w:rPr>
          <w:rFonts w:ascii="Amiri" w:hAnsi="Amiri" w:eastAsia="Amiri" w:cs="Amiri"/>
          <w:color w:val="111111"/>
          <w:sz w:val="28"/>
          <w:sz w:val="28"/>
          <w:szCs w:val="28"/>
          <w:rtl w:val="true"/>
          <w:lang w:bidi="ar-SA"/>
        </w:rPr>
        <w:t>، و خالط و نادم خلفاء بني أميّة و كان معلّما لأولادهم، و مرشدا لهم في الحجّ، كما عن الذهبي</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قد روى الذهبي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الفقهاء قد ركنوا إلى السلاطين فاتّهموهم</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ابن شهاب هذا ممّن أخذ جوائز السلطان كما عن الذهبي أيضا</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كتم فضائل عليّ عليه السّلام كما نقله ابن عساكر عن أخت الزهري حيث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 فضائل آل محمد صلّى اللّه عليه و آله</w:t>
      </w:r>
      <w:r>
        <w:rPr>
          <w:rFonts w:eastAsia="Amiri" w:cs="Amiri" w:ascii="Amiri" w:hAnsi="Amiri"/>
          <w:color w:val="111111"/>
          <w:sz w:val="28"/>
          <w:szCs w:val="28"/>
          <w:rtl w:val="true"/>
          <w:lang w:bidi="ar-SA"/>
        </w:rPr>
        <w:t>.</w:t>
      </w:r>
      <w:r>
        <w:rPr>
          <w:rStyle w:val="FootnoteAnchor"/>
          <w:rtl w:val="true"/>
        </w:rPr>
        <w:footnoteReference w:id="376"/>
      </w:r>
      <w:bookmarkStart w:id="420" w:name="pg1254_13348"/>
    </w:p>
    <w:p>
      <w:pPr>
        <w:pStyle w:val="BookText"/>
        <w:rPr/>
      </w:pPr>
      <w:bookmarkEnd w:id="420"/>
      <w:r>
        <w:rPr>
          <w:rFonts w:ascii="Amiri" w:hAnsi="Amiri" w:eastAsia="Amiri" w:cs="Amiri"/>
          <w:color w:val="111111"/>
          <w:sz w:val="28"/>
          <w:sz w:val="28"/>
          <w:szCs w:val="28"/>
          <w:rtl w:val="true"/>
          <w:lang w:bidi="ar-SA"/>
        </w:rPr>
        <w:t>و عن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أحفظ لمالك و لا للزهري فيما رويا من الحديث شيئا من مناقب عليّ عليه السّلام</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انظر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منهجيته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الكلام، و هو أنّ فيه التشدّد في حفظ القرآن و المحافظة على الصلاة، ليس بشيء؛ لأنّ اللّه تعالى و رسوله بذلك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كما قالوه لكانا يسنّان هذه الصلاة و يأمران بها، و ليس لنا أن نبدع في الدين بما نظنّ أنّ فيه مصلحة، لأنّه لا خلاف في أنّ ذلك لا يحلّ و لا يسوغ</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أمّا الجواب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بأدنى تأمّل</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3103688_373438147"/>
      <w:bookmarkStart w:id="422" w:name="_Toc165"/>
      <w:bookmarkEnd w:id="421"/>
      <w:r>
        <w:rPr>
          <w:rtl w:val="true"/>
        </w:rPr>
        <w:t>كلمات الأعلام في ترك النبيّ صلّى اللّه عليه و آله للتراويح</w:t>
      </w:r>
      <w:bookmarkEnd w:id="422"/>
    </w:p>
    <w:p>
      <w:pPr>
        <w:pStyle w:val="BookText"/>
        <w:rPr/>
      </w:pPr>
      <w:r>
        <w:rPr>
          <w:rFonts w:ascii="Amiri" w:hAnsi="Amiri" w:eastAsia="Amiri" w:cs="Amiri"/>
          <w:color w:val="111111"/>
          <w:sz w:val="28"/>
          <w:sz w:val="28"/>
          <w:szCs w:val="28"/>
          <w:rtl w:val="true"/>
          <w:lang w:bidi="ar-SA"/>
        </w:rPr>
        <w:t>ممّا يؤيّد كون الجماعة في نوافل شهر رمضان مرغوب عنها، هو ترك النبيّ صلّى اللّه عليه و آله لها و كذلك الخليفة أبي بكر طيلة خلافته، و الخليفة عمر صدرا من خلافته، و تصريحه بأنّها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تصل إلينا رواية صحيحة مفادها أنّ عليّا عليه السّلام صلّى النوافل جماعة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أعلام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كالعسقلاني، و العيني، و غيرهما أنّ النبيّ صلّى اللّه عليه و آله لم يصلّ جماعة و لا شجّعهم عليها في رواية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فتوفّي رسول اللّه صلّى اللّه عليه و آله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أي على ترك الجماعة في التراويح، و لأحمد من رواية</w:t>
      </w:r>
    </w:p>
    <w:p>
      <w:pPr>
        <w:pStyle w:val="BookText"/>
        <w:rPr/>
      </w:pPr>
      <w:r>
        <w:rPr>
          <w:rFonts w:ascii="Amiri" w:hAnsi="Amiri" w:eastAsia="Amiri" w:cs="Amiri"/>
          <w:color w:val="111111"/>
          <w:sz w:val="28"/>
          <w:sz w:val="28"/>
          <w:szCs w:val="28"/>
          <w:rtl w:val="true"/>
          <w:lang w:bidi="ar-SA"/>
        </w:rPr>
        <w:t>أبي ذئب عن الزهري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رسول اللّه صلّى اللّه عليه و آله جمع الناس على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ابن وهب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إذا الناس في رمضان يصلّون في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يصلّي بهم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و نعم ما صنعوا، ذكره ابن عبد البرّ، و فيه مسلم بن خالد و هو ضعيف، و المحفوظ أنّ عمر هو الذي جمع الناس على أبيّ بن كعب</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التوشيح،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الكشميهني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الجماعة في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يصلّون في المسجد أوزاعا فأمرني رسول اللّه صلّى اللّه عليه و آله فضربت له حصيرا فصلّى فيه رسول اللّه صلّى اللّه عليه و آله و صلّى بصلاته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غريبة، كما قاله بهاء الدين ابن شدّاد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أبو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على ذلك، ثمّ كان الأمر على ذلك في خلافة أبي بكر و صدرا من خلافة عمر، يعني على ترك الجماعة في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هذا من اجتهاد عمر و استنباطه من إقرار الشارع الناس يصلّون خلفه ليلتين و قاس ذلك على جمع الناس على واحد في الفرض</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مقصوده أنّ الخليفة عمر اجتهد و استنبط جواز الجماعة في نوافل رمضان من 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بصلاة الناس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الليلتين</w:t>
      </w:r>
    </w:p>
    <w:p>
      <w:pPr>
        <w:pStyle w:val="BookText"/>
        <w:rPr/>
      </w:pPr>
      <w:r>
        <w:rPr>
          <w:rFonts w:ascii="Amiri" w:hAnsi="Amiri" w:eastAsia="Amiri" w:cs="Amiri"/>
          <w:color w:val="111111"/>
          <w:sz w:val="28"/>
          <w:sz w:val="28"/>
          <w:szCs w:val="28"/>
          <w:rtl w:val="true"/>
          <w:lang w:bidi="ar-SA"/>
        </w:rPr>
        <w:t>أو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عروة عن عائشة؛</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الحديث الرابع من الصفحة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لم ينههم عن الاجتماع حينما رآهم اجتمعوا و صلّوا خلفه، و هذا هو الدليل الأوّل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القياس، حيث إنّه قاس جواز الجماعة في نوافل رمضان بجواز الجماعة في الفرائض، فكما أنّه يشرع في الثاني، كذلك يشرع في الأوّل إذن دليل الخليفة عمر على جواز التراويح هو إقرار النبيّ صلّى اللّه عليه و آله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لم يقرّرهم على ذلك، بل نهاهم و أظهر الانزجار، كما في بعض الروايات على أنّه لا دلالة فيه على أنّ النافلة كانت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التأمّل، و النقاش في السند، و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فقهاء السنّة في الأخذ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الفارق؛ إذ كيف يقاس الفرض بالنفل على فرض تسلّم المبنى و قبول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ما قلنا أنّ الجماعة لو كانت مستحبّة في حقّ النوافل لفعله المجتهدون القائمون بالليل؛ لأنّ كلّ صلاة جوّزت على وجه الانفراد و بالجماعة، كانت الجماعة فيها أفضل، و لم ينقل أداؤها بالجماعة في عصره صلّى اللّه عليه و آله و لا في زمن الصحابة و لا في زمن غيرهم من التابعين، فالقول بها مخالف للأمّة أجمع، و هذا باطل</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محمد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شرح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w:t>
      </w:r>
      <w:bookmarkStart w:id="423" w:name="pg1254_13351"/>
    </w:p>
    <w:p>
      <w:pPr>
        <w:pStyle w:val="BookText"/>
        <w:rPr/>
      </w:pPr>
      <w:bookmarkEnd w:id="423"/>
      <w:r>
        <w:rPr>
          <w:rFonts w:ascii="Amiri" w:hAnsi="Amiri" w:eastAsia="Amiri" w:cs="Amiri"/>
          <w:color w:val="111111"/>
          <w:sz w:val="28"/>
          <w:sz w:val="28"/>
          <w:szCs w:val="28"/>
          <w:rtl w:val="true"/>
          <w:lang w:bidi="ar-SA"/>
        </w:rPr>
        <w:t>رسول اللّه صلّى اللّه عليه و آله و الأمر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الحال التي كان الناس عليها في زمنه صلّى اللّه عليه و آله من أحيائهم ليالي رمضان بالتراويح منفردين في بيوتهم، و بعضهم في المسجد إمّا لكونهم معتكفين، أو لأنّهم من أهل الصفّة المفردين، أو لأنّ لهم في البيت ما يشغلهم عن العبادة فيكونون في المسجد من المغتنمين فلا مخالفة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بصلاة التراويح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الأمر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وفق زمانه صلّى اللّه عليه و آله في جميع خلافة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جمعهم عمر على أبيّ بن كعب</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103690_373438147"/>
      <w:bookmarkStart w:id="425" w:name="_Toc166"/>
      <w:bookmarkEnd w:id="424"/>
      <w:r>
        <w:rPr>
          <w:rtl w:val="true"/>
        </w:rPr>
        <w:t>هل صلّى عمر بن الخطّاب جماعة؟</w:t>
      </w:r>
      <w:bookmarkEnd w:id="425"/>
    </w:p>
    <w:p>
      <w:pPr>
        <w:pStyle w:val="BookText"/>
        <w:rPr/>
      </w:pPr>
      <w:r>
        <w:rPr>
          <w:rFonts w:ascii="Amiri" w:hAnsi="Amiri" w:eastAsia="Amiri" w:cs="Amiri"/>
          <w:color w:val="111111"/>
          <w:sz w:val="28"/>
          <w:sz w:val="28"/>
          <w:szCs w:val="28"/>
          <w:rtl w:val="true"/>
          <w:lang w:bidi="ar-SA"/>
        </w:rPr>
        <w:t>و قد استدلّوا على جواز التراويح جماعة بصلاة الخليفة عمر، و لكن 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بعض التصريحات من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في رواية عبد الرحمن بن عبد القاري، أنّ الذي كان يصلّي بالناس ابيّ، و أنّ عمر كان يصلّي في بيته، و لو صلّى مع الجماعة لكان هو الإمام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تفضيل النبيّ صلّى اللّه عليه و آله النفل في البيت على الصلاة في مسجده إلاّ أن يكون هناك فائدة لا يحصّلها في بيته، كسماع القرآن من الإمام الحافظ</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خرجت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عمرليلة</w:t>
      </w:r>
      <w:bookmarkStart w:id="426" w:name="pg1254_13352"/>
    </w:p>
    <w:p>
      <w:pPr>
        <w:pStyle w:val="BookText"/>
        <w:rPr/>
      </w:pPr>
      <w:bookmarkEnd w:id="426"/>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بأنّ عمر كان لا يواظب الصلاة معهم، و كأنّه يرى أنّ الصلاة في بيته أفضل، و لا سيّما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هذا 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التراويح في البيت أفضل</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3103692_373438147"/>
      <w:bookmarkStart w:id="428" w:name="_Toc167"/>
      <w:bookmarkEnd w:id="427"/>
      <w:r>
        <w:rPr>
          <w:rtl w:val="true"/>
        </w:rPr>
        <w:t>هل البدعة تنقسم إلى أقسام؟</w:t>
      </w:r>
      <w:bookmarkEnd w:id="428"/>
    </w:p>
    <w:p>
      <w:pPr>
        <w:pStyle w:val="BookText"/>
        <w:rPr/>
      </w:pPr>
      <w:r>
        <w:rPr>
          <w:rFonts w:ascii="Amiri" w:hAnsi="Amiri" w:eastAsia="Amiri" w:cs="Amiri"/>
          <w:color w:val="111111"/>
          <w:sz w:val="28"/>
          <w:sz w:val="28"/>
          <w:szCs w:val="28"/>
          <w:rtl w:val="true"/>
          <w:lang w:bidi="ar-SA"/>
        </w:rPr>
        <w:t>بعد أن اتّضح من خلال هذه الأبحاث أنّ التراويح لم تكن على عهد رسول اللّه صلّى اللّه عليه و آله و لا عهد أبي بكر، بل هي من إبداعات الخليفة الثاني، كما صرّح هو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سؤال يطرح نفسه و هو هل أنّ البدعة أقسام و أنّها تنقسم إلى الأحكام الخمسة، كما عن القسطلاني و ابن عابدين، و أنّ البدعة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 مستقبحة، كما عن العيني، تبريرا لموقف الخليفة الثاني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البدعة تساوي الضلالة و النار، كما ورد في الحديث الشريف و عليه الكثيرون، كالشاطبي و غيره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103694_373438147"/>
      <w:bookmarkStart w:id="430" w:name="_Toc168"/>
      <w:bookmarkEnd w:id="429"/>
      <w:r>
        <w:rPr>
          <w:rtl w:val="true"/>
        </w:rPr>
        <w:t>أنصار الرأي الأوّل كما يلي</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 مندوبة، و محرّمة، و مكروهة، و مباحة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المخصوص، و قد رغّب فيها عمر</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تجمع المحاسن كلّها، كما أنّ بئست تجمع المساوئ كلّها، و قيام شهر رمضان ليس بدعة؛ لأنّه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مناقشة في هذا الحديث سندا و متنا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يخرّجه البخاري و لا مسلم في صحيحيهما، و قد ذهب غير واحد من أعلام القوم إلى عدم قبول ما لم يخرّجه الشيخان من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كثيرون منهم إلى عدم صحّة ما أعرض عنه أرباب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هذا الحديث بطرق ستّة، و العمدة فيه طريق حذيفة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لنركّز النقاش على هذين الطريقين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طريق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الضعاف و المجاهيل؛ إذ فيه عبد الملك بن عمير و هو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مدلّس ضعيف جدّا، كثير الغلط، مضطرب الحديث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تقريب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ذبح عبد اللّه بن يقطر، أو قيس بن مسهّر رسول الحسين عليه السّلام إلى أهل الكوفة؛ فإنّه لمّا رمي بأمر ابن زياد من فوق القصر و بقي به رمق، أتاه عبد الملك بن عمير، فذبحه، فلمّا عيب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أريحه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تلخيص الشافي،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روضة الواعظين،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مقتل الحسين،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يسمعه من ربعي بن خراش، و لا سمعه ربعي من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السند سالم بن العلاء المرادي و هو أيضا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الكاشف،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الضعفاء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السند عمرو بن هرم و قد ضعّفه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أكثر طرقه مولى ربعي، و هو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طريق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يحيى بن سلمة بن كهيل، و هو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الكاشف،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إسماعيل بن يحيى، و هو متروك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قد أعلّه كثير من أهل السنّة و إليك بعضهم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منكر لا أصل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الضعفاء الكبير،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و لو أنّنا نستجيز التدليس لاحتججنا بما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يصحّ و يعيذنا اللّه من الاحتجاج بما لا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الملل و النحل،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غريب، و مسلّمة بضعف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الصحيح،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واه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النضيد،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الحديث، فهو صادر في واقعة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النبيّ صلّى اللّه عليه و آله كان سالكا بعض الطرق، و كان أبو بكر و عمر متأخّرين عنه جائيين على عقبه، فقال النبيّ صلّى اللّه عليه و آله لبعض من سأله عن الطريق الذي سلكه في اتّباعه و اللحوق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التحريف فيه، و ذلك لأنّ هذا الحديث روي بالنصب أي جاء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مناديين مأمورين بالاقتداء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الشافي،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أنّ النبيّ صلّى اللّه عليه و آله أمر المسلمين عامّة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تخصيص لأبي بكر و عمر بن الخطّاب أمرهم بالاقتداء باللذين من بعده و هما الكتاب 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ثقلاه اللذان طالما أمر صلّى اللّه عليه و آله بالاقتداء و التمسّك و الاعتصام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المختصر في أخبار البشر،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تكملة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اهتدوا بهدى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سيرته و هداه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بويع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أمّا إذا صدفتم هذا الأمر عن أهل بيت نبيّكم هاهنا مرّة و هاهنا مرّة فما أنا بآمن من أن ينزعه اللّه، فيضعه في غيركم كما نزعتموه من أهله و وضعتموه في غير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تراثنا العدد،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أجمع الصحابة مع عمر على ذلك زال عنه اسم البدعة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الكحلاني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الكحلاني على الفقرة الأخيرة من كلام</w:t>
      </w:r>
    </w:p>
    <w:p>
      <w:pPr>
        <w:pStyle w:val="BookText"/>
        <w:rPr/>
      </w:pPr>
      <w:r>
        <w:rPr>
          <w:rFonts w:ascii="Amiri" w:hAnsi="Amiri" w:eastAsia="Amiri" w:cs="Amiri"/>
          <w:color w:val="111111"/>
          <w:sz w:val="28"/>
          <w:sz w:val="28"/>
          <w:szCs w:val="28"/>
          <w:rtl w:val="true"/>
          <w:lang w:bidi="ar-SA"/>
        </w:rPr>
        <w:t>القسطلاني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 سنّة الخلفاء الراشدين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المراد بسنّة الخلفاء الراشدين إلاّ طريقتهم الموافقة لطريقته صلّى اللّه عليه و آله من جهاد الأعداء و تقوية شعائر الدين و نحوها، فإنّ الحديث عامّ لكلّ خليفة راشد لا يخصّ الشيخين، و معلوم من قواعد الشريعة أن ليس لخليفة راشد أن يشرّع طريقة غير ما كان عليها النبيّ صلّى اللّه عليه و آله، ثمّ عمر نفسه الخليفة الراشد سمّى ما رآه من تجميع صلاته ليالي رمضان بدعة،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الجواب عن الفقرة الأولى من كلام القسطلاني حول تقسيم البدعه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فسيجيء من خلال عرض كلام الشاطبي و الحافظ ابن رجب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صاحب بدعة لا يكون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بدعة أي محرّمة، و إلاّ فقد تكون واجبة، كنصب الأدلّة للردّ على أهل الفرق الضالّة، و تعلّم النحو المفهم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مندوبة، كأحداث نحو رباط و مدرسة، و كلّ إحسان لم يكن في 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مكروهة كزخرفة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مباحة كالتوسيع بلذيذ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المآكل و المشارب و الثياب</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البدعة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ممّا يندرج تحت مستحسن في الشرع، فهي بدعة حسنة، و إن كانت ممّا يندرج تحت مستقبح في الشرع، فهي بدعة مستقبحة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31" w:name="pg1254_13356"/>
    </w:p>
    <w:p>
      <w:pPr>
        <w:pStyle w:val="Heading3"/>
        <w:numPr>
          <w:ilvl w:val="2"/>
          <w:numId w:val="1"/>
        </w:numPr>
        <w:rPr/>
      </w:pPr>
      <w:bookmarkStart w:id="432" w:name="__RefHeading___Toc3103696_373438147"/>
      <w:bookmarkStart w:id="433" w:name="_Toc169"/>
      <w:bookmarkEnd w:id="431"/>
      <w:bookmarkEnd w:id="432"/>
      <w:r>
        <w:rPr>
          <w:rtl w:val="true"/>
        </w:rPr>
        <w:t>أنصار الرأي الثاني كما يلي</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الكحلاني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البدعة ما يمدح، بل كلّ بدعة 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نصوص 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مطلقة عامّة على كثرتها لم يقع فيها استثناء ألبتّة، و لم يأت فيها ما تقتضي أنّ منها ما هو هدى، و لا جاء فيها، كلّ بدعة ضلالة إلاّ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من هذه المعاني، فلو كان هناك محدثة تقتضي النظر الشرعي فيها الاستحسان، أو أنّها لاحقة بالمشروعات، لذكر في آية أو حديث لكنّه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متعقّل البدعة يقتضي ذلك بنفسه؛ لأنّه من باب مضادّة الشارع و اطّراح الشرع، و كلّ ما كان بهذه المثابة، فمحال أن ينقسم إلى حسن، و قبح، و أن يكون منه ما يمدح و ما يذمّ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رجب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يرى أنّ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يشمل جميع أقسام البدعة و لا يستثنى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جوامع الحكم، لا يخرج عنه شيء، و هو أصل عظيم من أصول الدين و هو تشبيه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أحدث شيئا و نسبه إلى الدين و لم يكن له من أصل الدين يرجع إليه فهو ضلالة، و الدين بريء منه، و سواء في ذلك مسائل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الاعتصام،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bookmarkStart w:id="434" w:name="pg1254_13357"/>
    </w:p>
    <w:p>
      <w:pPr>
        <w:pStyle w:val="BookText"/>
        <w:rPr/>
      </w:pPr>
      <w:bookmarkEnd w:id="434"/>
      <w:r>
        <w:rPr>
          <w:rFonts w:ascii="Amiri" w:hAnsi="Amiri" w:eastAsia="Amiri" w:cs="Amiri"/>
          <w:color w:val="111111"/>
          <w:sz w:val="28"/>
          <w:sz w:val="28"/>
          <w:szCs w:val="28"/>
          <w:rtl w:val="true"/>
          <w:lang w:bidi="ar-SA"/>
        </w:rPr>
        <w:t>الاعتقادات، أو الأعمال، أو الأقوال الظاهرة، و الباطنة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مفهومها و حدودها،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جامع العلوم و الحكم،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مناقشة التحسين البدعي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عند معتقديه و القائلين به، أنّ البدع الشرعيّة ليست مذمومة كلّها، بل فيها ما هو حسن ممدوح مثاب عليه من اللّه، فيقسمون البدع إلى حسن 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التقسيم اغترّ به كثير من أهل الفضل و العلم، و ضلّ به كثير من المبتدعة، و لبّس به على كثير من المقلّدين و الجهلة و العوامّ، فإذا سمع هؤلاء النهي عن بدعة من البدع كانت الإجابة بأنّ هذه بدعة حسنة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103698_373438147"/>
      <w:bookmarkStart w:id="436" w:name="_Toc170"/>
      <w:bookmarkEnd w:id="435"/>
      <w:r>
        <w:rPr>
          <w:rtl w:val="true"/>
        </w:rPr>
        <w:t>و مناقشة هذا القول، و بيان خطئه، و منافاته للصواب</w:t>
      </w:r>
      <w:r>
        <w:rPr>
          <w:rtl w:val="true"/>
        </w:rPr>
        <w:t>:</w:t>
      </w:r>
      <w:bookmarkEnd w:id="43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بحسن بعض البدع مناقض للأدلّة الشرعيّة الواردة في ذمّ عموم البدع، ذلك أنّ النصوص الذامّة للبدعة و المحذّرة منها جاءت مطلقة عامّة، و على كثرتها لم يرد فيها استثناء ألبتّة، و لم يأت فيها ما يقتضي أنّ منها ما هو حسن مقبول عند اللّه، و لا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إلاّ كذا و كذا، و لا شيء من هذه المعاني، و لو كانت هنالك محدثات تقتضي النظر الشرعي فيها أنّها حسنة أو مشروعة، لذكر ذلك في نصوص الكتاب أو السنّة، و لكنّه لا يوجد ما يدلّ على ذلك بالمنطوق أو المفهوم، فدلّ ذلك على أنّ أدلّة الذمّ بأسرها متضافرة على أنّ القاعدة الكلّيّة في ذمّ البدع لا يمكن أن يخرج عن مقتضاها فرد من الأفراد</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في الأصول العلميّة أنّ كلّ قاعدة كلّيّة أو دليل شرعي، كلّي إذا تكرّرت في أوقات شتّى و أحوال مختلفة، و لم يقترن بها تقييد و لا تخصيص، فذلك دليل على بقائها على مقتضى لفظها العامّ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أحاديث ذمّ البدع و التحذير منها من هذا القبيل، فقد كان النبيّ صلّى اللّه عليه و آله يردّد على ملإ المسلمين في أوقات و أحوال كثيرة و متنوّعة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في آية و لا حديث ما يقيّد أو يخصّص هذا اللفظ المطلق العامّ، بل و لم يأت ما يفهم منه خلاف ظاهر هذه القاعدة الكلّيّة، و هذا يدلّ دلالة واضحة على أنّ هذه القاعدة على عمومها 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النظر في أقوال و أحوال السلف الصالح من الصحابة و التابعين و من يليهم، نجد أنّهم مجتمعون على ذمّ البدع و تقبيحها، و التنفير عنها، و قطع ذرائعها الموصلة إليها، و ذمّ المتلبّس بالبدعة، و المتّسم بها، و التحذير من مجالسته و سماع أقواله، و لم يرد عنهم في ذلك توقّف، و لا استثناء فهو بحسب الاستقراء إجماع ثابت يدلّ بجلاء على أنّه ليس في البدع ما هو حسن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البدع بعيدا عن هوى النفس و رغبتها، يجد أنّها مضادّة للشرع، مستدركة على الشارع، متّهمة له بالتقصير، و كلّ ما كان بهذه المثابة فمحال أن ينقسم إلى حسن و قبيح، أو أن يكون منه ما يمدح و منه ما يذمّ</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 أنّ في النصوص أو في أقوال السلف ما يقتضي حسن بعض البدع الشرعيّة، فإنّ ذلك لا يخرج النصّ العام الذامّ للبدعة عن عمومه؛</w:t>
      </w:r>
    </w:p>
    <w:p>
      <w:pPr>
        <w:pStyle w:val="BookText"/>
        <w:rPr/>
      </w:pPr>
      <w:r>
        <w:rPr>
          <w:rFonts w:ascii="Amiri" w:hAnsi="Amiri" w:eastAsia="Amiri" w:cs="Amiri"/>
          <w:color w:val="111111"/>
          <w:sz w:val="28"/>
          <w:sz w:val="28"/>
          <w:szCs w:val="28"/>
          <w:rtl w:val="true"/>
          <w:lang w:bidi="ar-SA"/>
        </w:rPr>
        <w:t>لأنّ ما وصف بالحسن إمّا أن يكون غير حسن أصلا، فيحتاج إثبات حسنه إلى دليل، فأمّا ما ثبت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البدع، فيبقى عموم الذمّ للبدع محفوظا لا خصوص فيه، و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حسنه فهو مخصوص من العموم، و العامّ المخصوص دليل فيما عدا صورة التخصيص، فمن اعتقد أنّ بعض البدع مخصوص من عموم الذمّ وجب عليه الإتيان بالدليل الشرعي الصالح للتخصيص من الكتاب و السنّة أو الإجماع</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البدعة و أحكامها،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اقتضاء الصراط المستقيم،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مجموع الفتاوى،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حسن شيء من المحدثات، لزمه اتّهام الدين بالنقص و عدم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اقتضاء ذلك مخالفة الخبر المنزل من عند اللّه اَلْيَوْمَ أَكْمَلْتُ لَكُمْ دِينَكُمْ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بالبدعة الحسنة يفسد الدين، و يفتح المجال للمتلاعبين، فيأتي كلّ من يريد بما يريد تحت ستار البدعة الحسنة، و تتحكّم حينئذ أهواء الناس و عقولهم و أذواقهم في شرع اللّه، و كفى بذلك إثما و ضلالا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النظر في بعض المحدثات التي يسمّيها أصحابها بدعا حسنة يجد أنّها قد جلبت على المسلمين المفاسد العظيمة، و أوبقتهم في المهالك الجسيمة، ثمّ يأتي بأمثلة بعضها من خلط المعنى اللغوي بالاصطلاحي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المذكور هنا إنّما هو لمجرّد التمثيل على أنّ البدع التي يطلق عليها أصحابها حسنة، هي عين القبح و الضلال و الفساد، و إلاّ</w:t>
      </w:r>
    </w:p>
    <w:p>
      <w:pPr>
        <w:pStyle w:val="BookText"/>
        <w:rPr/>
      </w:pPr>
      <w:r>
        <w:rPr>
          <w:rFonts w:ascii="Amiri" w:hAnsi="Amiri" w:eastAsia="Amiri" w:cs="Amiri"/>
          <w:color w:val="111111"/>
          <w:sz w:val="28"/>
          <w:sz w:val="28"/>
          <w:szCs w:val="28"/>
          <w:rtl w:val="true"/>
          <w:lang w:bidi="ar-SA"/>
        </w:rPr>
        <w:t>فلو استعرضت سائر البدع العلميّة و العمليّة لوجدتها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لمعتقد حسن بعض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جوّزت الزيادة في دين اللّه باسم البدعة الحسنة، جاز أن يستحسن مستحسن حذف شيء من الدين باسم البدعة الحسنة أيضا، و لا فرق بين البابين؛ لأنّ الابتداع يكون بالزيادة و النقصان، و الاستحسان الذي تراه يكون كذلك بالزيادة و النقصان، و كفى بهذا قبحا و ذمّا و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لمحسني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بانقسام البدع إلى حسن و قبيح، فكيف نفصّل بين البدعتين، و بأيّ ميزان نفرّق بين المحدثين إذا كان التشهّي و الاستحسان هو الفاصل، و الذوق و الرأي هو المفرّق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عامّة تستغرق جميع جزئيات و أفراد البدع و برهان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العموم، و قد جزم أهل اللغة بأنّ فائدة هذا اللفظ هو رفع احتمال التخصيص إذا جاء مضافا إلى نكرة، أو جاء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اللغة و الأصول،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 على ذي جزئيات و أجزاء، و مدلولها في الموضعين الإحاطة بكلّ فرد من الجزئيات أو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أحكامها أيضا عندهم أنّها إذا أضيفت إلى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تدلّ على العموم المستغرق لسائر الجزئيات، و تكون نصّا في كلّ فرد دلّت عليه تلك النكرة، مفردا كان أو تثنية أو جمعا،</w:t>
      </w:r>
    </w:p>
    <w:p>
      <w:pPr>
        <w:pStyle w:val="BookText"/>
        <w:rPr/>
      </w:pPr>
      <w:r>
        <w:rPr>
          <w:rFonts w:ascii="Amiri" w:hAnsi="Amiri" w:eastAsia="Amiri" w:cs="Amiri"/>
          <w:color w:val="111111"/>
          <w:sz w:val="28"/>
          <w:sz w:val="28"/>
          <w:szCs w:val="28"/>
          <w:rtl w:val="true"/>
          <w:lang w:bidi="ar-SA"/>
        </w:rPr>
        <w:t>و يكون الاستغراق للجزئيات، بمعنى أنّ الحكم ثابت لكلّ جزء من جزئيات النكرة، و قد يكون مع ذلك الحكم على المجموع 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تطبيق هذا الحكم اللغوي الأصولي على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أضيفت إلى نكرة،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فيطبق عليها المعنى الذي ذكره أهل الأصول و أهل اللغة، و عليه، فلا يمكن أن تخرج أيّ بدعة عن وصف الضلال،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الواردة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فهل يستطيع المحسن للبدع أن يزعم وجود فارق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p>
    <w:p>
      <w:pPr>
        <w:pStyle w:val="BookText"/>
        <w:rPr/>
      </w:pPr>
      <w:r>
        <w:rPr>
          <w:rFonts w:ascii="Amiri" w:hAnsi="Amiri" w:eastAsia="Amiri" w:cs="Amiri"/>
          <w:color w:val="111111"/>
          <w:sz w:val="28"/>
          <w:sz w:val="28"/>
          <w:szCs w:val="28"/>
          <w:rtl w:val="true"/>
          <w:lang w:bidi="ar-SA"/>
        </w:rPr>
        <w:t xml:space="preserve">و هل يستطيع أن يقول بخروج شيء من عموم قوله سبحانه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بخروج البدعة الحسنة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حدّ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البدعة و أحكامها،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الإبهاج في شرح المنهاج،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تحذير المسلمين،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التأمّل في بعض المناقشات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أمثال القسطلاني و ابن عابدين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تبرير قول الخليفة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دعواهم أنّ البدعة على أقسام خمسة، و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هذا أشار العلاّمة المجلسي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العامّة و بعض الخاصّة من انقسامها بانقسام الأحكام الخمسة و تسمية بعض الواجبات و المندوبات التي وقع عمومها من الشارع، و لن يرد خصوصها، كبناء</w:t>
      </w:r>
      <w:bookmarkStart w:id="437" w:name="pg1254_13362"/>
    </w:p>
    <w:p>
      <w:pPr>
        <w:pStyle w:val="BookText"/>
        <w:rPr/>
      </w:pPr>
      <w:bookmarkEnd w:id="437"/>
      <w:r>
        <w:rPr>
          <w:rFonts w:ascii="Amiri" w:hAnsi="Amiri" w:eastAsia="Amiri" w:cs="Amiri"/>
          <w:color w:val="111111"/>
          <w:sz w:val="28"/>
          <w:sz w:val="28"/>
          <w:szCs w:val="28"/>
          <w:rtl w:val="true"/>
          <w:lang w:bidi="ar-SA"/>
        </w:rPr>
        <w:t>الرباطات و القناطر بدعة اصطلاح جديد غير سديد</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في البدعة ما هو حسن، يناقض الأدلّة الشرعيّة الواردة في ذمّ عموم البدع، و لم يرد دليل يقيّد الإطلاق، فمحال انقسامها إلى حسن و قبيح، و دعوى حسن شيء من البدع معناه اتّهام النقص و عدم الكمال إلى الدين، و فتح باب الزيادة و النقيصة فيه للمتلاعبين، و عدم التمييز بين البدعة الحسنة من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عامّة تستغرق جميع أفراد البدعة، فلا يشذّ منها شيء، فما هو الحلّ حينئذ لما صرّح به الخليفة في صلاة التراويح حيث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جمعهم على قارئ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ما يدلّ على أنّ هذه كانت مشروعة و مأذونا فيها شرعا، بل من المسلّم أنّ أوّل من سنّها هو الخليفة الثاني</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3103700_373438147"/>
      <w:bookmarkStart w:id="439" w:name="_Toc171"/>
      <w:bookmarkEnd w:id="438"/>
      <w:r>
        <w:rPr>
          <w:rtl w:val="true"/>
        </w:rPr>
        <w:t>هل فعل الخليفة و قوله حجة؟</w:t>
      </w:r>
      <w:bookmarkEnd w:id="439"/>
    </w:p>
    <w:p>
      <w:pPr>
        <w:pStyle w:val="BookText"/>
        <w:rPr/>
      </w:pPr>
      <w:r>
        <w:rPr>
          <w:rFonts w:ascii="Amiri" w:hAnsi="Amiri" w:eastAsia="Amiri" w:cs="Amiri"/>
          <w:color w:val="111111"/>
          <w:sz w:val="28"/>
          <w:sz w:val="28"/>
          <w:szCs w:val="28"/>
          <w:rtl w:val="true"/>
          <w:lang w:bidi="ar-SA"/>
        </w:rPr>
        <w:t>يرى البعض من أتباع مدرسة الخلفاء أنّ قول الصحابي أو مذهبه حجّة، بعضهم خصّ الحجّيّة بقول أبي بكر و عمر، و لكنّ الغزالي</w:t>
      </w:r>
      <w:r>
        <w:rPr>
          <w:rStyle w:val="FootnoteAnchor"/>
          <w:rtl w:val="true"/>
        </w:rPr>
        <w:footnoteReference w:id="399"/>
      </w:r>
      <w:r>
        <w:rPr>
          <w:rFonts w:ascii="Amiri" w:hAnsi="Amiri" w:eastAsia="Amiri" w:cs="Amiri"/>
          <w:color w:val="111111"/>
          <w:sz w:val="28"/>
          <w:sz w:val="28"/>
          <w:szCs w:val="28"/>
          <w:rtl w:val="true"/>
          <w:lang w:bidi="ar-SA"/>
        </w:rPr>
        <w:t>في المستصفى أنكر هذا المبنى، و عدّه من الأصول الموهومة، فقال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الموهومة، قول الصحابي، و قد ذهب قوم إلى أنّ مذهب الصحابي حجّة مطلقا، و قوم إلى أنّه الحجّة إن خالف القياس،</w:t>
      </w:r>
    </w:p>
    <w:p>
      <w:pPr>
        <w:pStyle w:val="BookText"/>
        <w:rPr/>
      </w:pPr>
      <w:r>
        <w:rPr>
          <w:rFonts w:ascii="Amiri" w:hAnsi="Amiri" w:eastAsia="Amiri" w:cs="Amiri"/>
          <w:color w:val="111111"/>
          <w:sz w:val="28"/>
          <w:sz w:val="28"/>
          <w:szCs w:val="28"/>
          <w:rtl w:val="true"/>
          <w:lang w:bidi="ar-SA"/>
        </w:rPr>
        <w:t>و قوم إلى أنّ الحجّة في قول أبي بكر و عمر خاصّة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قوم إلى أنّ الحجّة في قول الخلفاء الراشدين إذا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باطل عندنا، فإنّ من يجوز عليه الغلط و السهو و لم تثبت عصمته</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أبو محمد بن متّويه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على أنّ عليّا معصوم، و أدلّة النصوص قد دلّت على عصمته، و أنّ ذلك أمر اختصّ هو به دون غيره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فلا حجّة في قوله، فكيف يحتجّ بقولهم مع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الخطإ؟</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إنّه ولي التوفيق و وليّ النعم</w:t>
      </w:r>
      <w:r>
        <w:rPr>
          <w:rFonts w:eastAsia="Amiri" w:cs="Amiri" w:ascii="Amiri" w:hAnsi="Amiri"/>
          <w:color w:val="111111"/>
          <w:sz w:val="28"/>
          <w:szCs w:val="28"/>
          <w:rtl w:val="true"/>
          <w:lang w:bidi="ar-SA"/>
        </w:rPr>
        <w:t>.</w:t>
      </w:r>
      <w:bookmarkStart w:id="440" w:name="pg1254_13365"/>
    </w:p>
    <w:p>
      <w:pPr>
        <w:pStyle w:val="Heading2"/>
        <w:numPr>
          <w:ilvl w:val="1"/>
          <w:numId w:val="1"/>
        </w:numPr>
        <w:rPr/>
      </w:pPr>
      <w:bookmarkStart w:id="441" w:name="__RefHeading___Toc3103702_373438147"/>
      <w:bookmarkStart w:id="442" w:name="_Toc172"/>
      <w:bookmarkEnd w:id="440"/>
      <w:bookmarkEnd w:id="441"/>
      <w:r>
        <w:rPr>
          <w:rtl w:val="true"/>
        </w:rPr>
        <w:t>القسم الثالث الإرسال و التكفير بين السنّة و البدعة</w:t>
      </w:r>
      <w:bookmarkEnd w:id="44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3103704_373438147"/>
      <w:bookmarkStart w:id="444" w:name="_Toc173"/>
      <w:bookmarkEnd w:id="443"/>
      <w:r>
        <w:rPr>
          <w:rtl w:val="true"/>
        </w:rPr>
        <w:t>اشارة</w:t>
      </w:r>
      <w:bookmarkStart w:id="445" w:name="pg1254_13367"/>
      <w:bookmarkEnd w:id="444"/>
    </w:p>
    <w:p>
      <w:pPr>
        <w:pStyle w:val="Heading3"/>
        <w:numPr>
          <w:ilvl w:val="2"/>
          <w:numId w:val="1"/>
        </w:numPr>
        <w:rPr/>
      </w:pPr>
      <w:bookmarkStart w:id="446" w:name="__RefHeading___Toc3103706_373438147"/>
      <w:bookmarkStart w:id="447" w:name="_Toc174"/>
      <w:bookmarkEnd w:id="445"/>
      <w:bookmarkEnd w:id="446"/>
      <w:r>
        <w:rPr>
          <w:rtl w:val="true"/>
        </w:rPr>
        <w:t>المقدّمة</w:t>
      </w:r>
      <w:bookmarkEnd w:id="447"/>
    </w:p>
    <w:p>
      <w:pPr>
        <w:pStyle w:val="BookText"/>
        <w:rPr/>
      </w:pPr>
      <w:r>
        <w:rPr>
          <w:rFonts w:ascii="Amiri" w:hAnsi="Amiri" w:eastAsia="Amiri" w:cs="Amiri"/>
          <w:color w:val="111111"/>
          <w:sz w:val="28"/>
          <w:sz w:val="28"/>
          <w:szCs w:val="28"/>
          <w:rtl w:val="true"/>
          <w:lang w:bidi="ar-SA"/>
        </w:rPr>
        <w:t xml:space="preserve">اتّصل بي بعض الإخوة من السادة العلماء من إفريقيا أن أقدّم بحثا موجزا حول الإرسال و وضع اليمين على الشمال، دراسة فقهيّة و روائيّة و تأريخيّة، تستوعب جوانب الموضوع، و بعد التتبّع و الدراسة العاجلة، و رغم ضيق الوقت و كثرة المشاغل، وفّقت لجمع و تدوين هذا الكتيب المختصر، و هو ضمن سلسلة الأبحاث التي شرعنا فيها سابقا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السنّة و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التراويح بين السنّة و 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عاشوراء بين السنّة النبويّة و البدعة الأمويّة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 الموقّت عند الصحابة و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الإرسال و التكفير بين السنّة و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البحث الموجز الذي بين يديك، نسأل اللّه عزّ و جل أن يوفّقنا لخدمة الدين الحنيف، و لمذهب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3103708_373438147"/>
      <w:bookmarkStart w:id="449" w:name="_Toc175"/>
      <w:bookmarkEnd w:id="448"/>
      <w:r>
        <w:rPr>
          <w:rtl w:val="true"/>
        </w:rPr>
        <w:t>المدخل</w:t>
      </w:r>
      <w:bookmarkEnd w:id="44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وضع اليد اليمنى على الشمال في الصلاة هو المعبّر عنه عند</w:t>
      </w:r>
    </w:p>
    <w:p>
      <w:pPr>
        <w:pStyle w:val="BookText"/>
        <w:rPr/>
      </w:pPr>
      <w:r>
        <w:rPr>
          <w:rFonts w:ascii="Amiri" w:hAnsi="Amiri" w:eastAsia="Amiri" w:cs="Amiri"/>
          <w:color w:val="111111"/>
          <w:sz w:val="28"/>
          <w:sz w:val="28"/>
          <w:szCs w:val="28"/>
          <w:rtl w:val="true"/>
          <w:lang w:bidi="ar-SA"/>
        </w:rPr>
        <w:t xml:space="preserve">أهل البيت عليهم السّلام بالتكفير، و هو مأخوذ من تكفير العلج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وضع يده على صدره و التطأمن له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 الأثر،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معاني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الغنية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ادّعي الإجماع، كما في الانتصار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جوازه في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وردت بذلك روايات متعدّدة، بلغت حدّ الاستفاضة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مكروه عند الإمام مالك</w:t>
      </w:r>
      <w:r>
        <w:rPr>
          <w:rStyle w:val="FootnoteAnchor"/>
          <w:rtl w:val="true"/>
        </w:rPr>
        <w:footnoteReference w:id="402"/>
      </w:r>
      <w:r>
        <w:rPr>
          <w:rFonts w:ascii="Amiri" w:hAnsi="Amiri" w:eastAsia="Amiri" w:cs="Amiri"/>
          <w:color w:val="111111"/>
          <w:sz w:val="28"/>
          <w:sz w:val="28"/>
          <w:szCs w:val="28"/>
          <w:rtl w:val="true"/>
          <w:lang w:bidi="ar-SA"/>
        </w:rPr>
        <w:t>و بعض الفقهاء السابقين على تأسيس المذاهب الأربعة، بل ولادة بعض أئمّتهم، كما ورد الإرسال أيضا عن بعض التابعين، بل و بعض الصحابة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الخلاف عندهم هو ورود روايات صحيحة عن فعل صلاة النبيّ صلّى اللّه عليه و آله و لم يضع فيها يده اليمنى على اليسرى، كما صرّح بذلك ابن رشد القرطبي</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لذا يرى إبراهيم النخعي</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أعلام القرن الأوّل و قد أدرك جماعة من الصحابة، و توفّي عام ستّ و تسعين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الحافظ، فقيه العراق، أحد الأعلام، و روى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الحكم بن عتيبة و 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يرى أنّ كثيرا من حديث أبي هريرة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مفتي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صالحا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ذكيّا حافظا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و أمّا عندنا فهو مختلف فيه، فعن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كونه حسن الحال، و عن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عداءه لأهل البيت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قاموس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قبل ولادة أئمّة أكثر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الحسن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التابعي، الذي يعدوّنه سيّد أهل زمانه علما و عملا، و كذلك ابن سيرين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سيرين فقيها، عالما، ورعا، كثير الحديث، صدوقا، شهد له أهل العلم و الفضل بذلك و 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ممّن يرى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وضع اليمنى على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علماءنا السلف لم يتعرّضوا له؛ نعم، نقلت عنه كلمات فيها دفاع أو مدح عن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أحاديثه كفاه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الليث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الليث بالفتوى و كان ثقة و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العجلي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صحيح الحديث،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أفقه من مالك إلاّ أنّ أصحابه لم يقوموا به، سير أعلام النبلاء،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يرى إرسال اليدين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الصادق عليه السّلام، و روى له منقبة عظيمة، لم يهتد بها و عن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مصر كانوا ينتقصون عثمان حتى نشأ فيهم الليث فحدّثهم بفضائل عثمان، فكفّوا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التستري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اللّه‌لم يكن له غير رذائل، و إنّما حدّثهم بجعائل وضعها له معاوية، و ما أسفه أهل مصر حيث تركوا ما رأوا بعينهم من عمل عثمان و غرّوا بقول زور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عبد اللّه بن الزبير، الذي يعتبرونه من الصحابة، بل هو الأشهر من مذهب مالك، و عليه جميع أهل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اختلف رأي العامّة في ذلك إلى ثلاثة أقوال، مع اتّفاقهم على عدم وجوب 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فعله و لا يستحبّ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فعله</w:t>
      </w:r>
      <w:r>
        <w:rPr>
          <w:rStyle w:val="FootnoteAnchor"/>
          <w:rtl w:val="true"/>
        </w:rPr>
        <w:footnoteReference w:id="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التحصيل،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نعثر على من يرى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منسوب إلى العوامّ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الأحاديث المنقولة في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 قطع النظر عن الضعف في السند تقارب العشرين، و العمدة فيها ما رواه البخاري</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شبهة الإرسال و الانقطاع، كما صرّح بذلك</w:t>
      </w:r>
    </w:p>
    <w:p>
      <w:pPr>
        <w:pStyle w:val="BookText"/>
        <w:rPr/>
      </w:pPr>
      <w:r>
        <w:rPr>
          <w:rFonts w:ascii="Amiri" w:hAnsi="Amiri" w:eastAsia="Amiri" w:cs="Amiri"/>
          <w:color w:val="111111"/>
          <w:sz w:val="28"/>
          <w:sz w:val="28"/>
          <w:szCs w:val="28"/>
          <w:rtl w:val="true"/>
          <w:lang w:bidi="ar-SA"/>
        </w:rPr>
        <w:t>العيني</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الشوكاني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حديث مسلم</w:t>
      </w:r>
      <w:r>
        <w:rPr>
          <w:rStyle w:val="FootnoteAnchor"/>
          <w:rtl w:val="true"/>
        </w:rPr>
        <w:footnoteReference w:id="408"/>
      </w:r>
      <w:r>
        <w:rPr>
          <w:rFonts w:ascii="Amiri" w:hAnsi="Amiri" w:eastAsia="Amiri" w:cs="Amiri"/>
          <w:color w:val="111111"/>
          <w:sz w:val="28"/>
          <w:sz w:val="28"/>
          <w:szCs w:val="28"/>
          <w:rtl w:val="true"/>
          <w:lang w:bidi="ar-SA"/>
        </w:rPr>
        <w:t>عن أبي وائل، و هذا الحديث أيضا مصاب بآفة الإرسال؛ لأنّ أحاديث علقمة عن أبيه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ابن حجر</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أمّا باقي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ضعاف عندهم لا يعتمد عليها بإقرار من أصحاب السنن و الجوامع و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أنّه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جوازه في الصلاة، فإتيانه بقصد المشروعيّة و أنّه من السنّة و الآداب الموظّفة في الصلاة حرام بلا شبهة؛ لأنّ عدم ثبوت مشروعيّته يكفي في حرمة الإتيان بهذا الوجه، كيف إذا ثبت خلافه و النهي عنه شرعا؟</w:t>
      </w:r>
      <w:r>
        <w:rPr>
          <w:rStyle w:val="FootnoteAnchor"/>
          <w:rtl w:val="true"/>
        </w:rPr>
        <w:footnoteReference w:id="410"/>
      </w:r>
      <w:r>
        <w:rPr>
          <w:rFonts w:ascii="Amiri" w:hAnsi="Amiri" w:eastAsia="Amiri" w:cs="Amiri"/>
          <w:color w:val="111111"/>
          <w:sz w:val="28"/>
          <w:sz w:val="28"/>
          <w:szCs w:val="28"/>
          <w:rtl w:val="true"/>
          <w:lang w:bidi="ar-SA"/>
        </w:rPr>
        <w:t>و لذا ورد النهي عن العترة الطاهرة، تارة لأنّه عمل و لا عمل في الصلاة، كما أشار إليه ابن رشد أو قريب منه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تسميته بالتكفير، و أنّه فعل المجوس،</w:t>
      </w:r>
      <w:r>
        <w:rPr>
          <w:rStyle w:val="FootnoteAnchor"/>
          <w:rtl w:val="true"/>
        </w:rPr>
        <w:footnoteReference w:id="411"/>
      </w:r>
      <w:r>
        <w:rPr>
          <w:rFonts w:ascii="Amiri" w:hAnsi="Amiri" w:eastAsia="Amiri" w:cs="Amiri"/>
          <w:color w:val="111111"/>
          <w:sz w:val="28"/>
          <w:sz w:val="28"/>
          <w:szCs w:val="28"/>
          <w:rtl w:val="true"/>
          <w:lang w:bidi="ar-SA"/>
        </w:rPr>
        <w:t>و ممّا يؤيّد بل يؤكّد موقف العترة الطاهرة هو الاختلاف عند فقهاء العامّة في كيفيّته، و هل هو تحت السرّة أو فوقه؟ و هل هو وضع اليمنى على اليسرى أو بالعكس؟ إذ كيف يكون سنّة مؤكّدة و لم يعلم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خفيت الكيفيّة على الصحابة</w:t>
      </w:r>
      <w:bookmarkStart w:id="450" w:name="pg1254_13372"/>
    </w:p>
    <w:p>
      <w:pPr>
        <w:pStyle w:val="BookText"/>
        <w:rPr/>
      </w:pPr>
      <w:bookmarkEnd w:id="450"/>
      <w:r>
        <w:rPr>
          <w:rFonts w:ascii="Amiri" w:hAnsi="Amiri" w:eastAsia="Amiri" w:cs="Amiri"/>
          <w:color w:val="111111"/>
          <w:sz w:val="28"/>
          <w:sz w:val="28"/>
          <w:szCs w:val="28"/>
          <w:rtl w:val="true"/>
          <w:lang w:bidi="ar-SA"/>
        </w:rPr>
        <w:t xml:space="preserve">مع مواظبتهم على صلاة الجماعة خلف النبيّ صلّى اللّه عليه و آله خمس مرّات في اليوم إضافة إلى النوافل و صلاة الأموات و الأعياد؟ و هذه شواهد و مؤكّدات على أنّها لم تكن على عهد النبيّ الكريم، بل هي أمور حدثت بعده، كما في نوافل شهر رمضان جماعة،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تحريم المتعتين، و المنع من تدوين الحديث الشريف ووو</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3103710_373438147"/>
      <w:bookmarkStart w:id="452" w:name="_Toc176"/>
      <w:bookmarkEnd w:id="451"/>
      <w:r>
        <w:rPr>
          <w:rtl w:val="true"/>
        </w:rPr>
        <w:t>ما ورد عن أهل البيت عليهم السّلام</w:t>
      </w:r>
      <w:bookmarkEnd w:id="452"/>
    </w:p>
    <w:p>
      <w:pPr>
        <w:pStyle w:val="BookText"/>
        <w:rPr/>
      </w:pPr>
      <w:r>
        <w:rPr>
          <w:rFonts w:ascii="Amiri" w:hAnsi="Amiri" w:eastAsia="Amiri" w:cs="Amiri"/>
          <w:color w:val="111111"/>
          <w:sz w:val="28"/>
          <w:sz w:val="28"/>
          <w:szCs w:val="28"/>
          <w:rtl w:val="true"/>
          <w:lang w:bidi="ar-SA"/>
        </w:rPr>
        <w:t>وردت روايات متعدّدة عن أهل البيت عليهم السّلام تنهى عن التكفير، و تراه من فعل المجوس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يده في الصلاة، و حكى اليمنى على اليسرى؟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التكفير، لا تفعل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بالإقبال على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تكفّر؛ فإنّما يفعل ذلك المجوس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إحدى يديه على الأخرى في الصلاة عمل و ليس في الصلاة عمل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الرجال يكون في صلاته أ يضع إحدى يديه على الأخرى بكفّه أو ذراعه؟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ذلك فإن فعل فلا يعود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المجلسي بعد نقل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كالصحيح، و المراد من التكفير وضع اليمين على الشمال، و هو الذي يفعله المخالفون، و النهي فيه للتحريم عند الأكثر مرآة العقول،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المجلسي بعد نقل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كالصحيح، و المراد من التكفير وضع اليمين على الشمال، و هو الذي يفعله المخالفون، و النهي فيه للتحريم عند الأكثر مرآة العقول،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المجلسي بعد نقل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كالصحيح، و المراد من التكفير وضع اليمين على الشمال، و هو الذي يفعله المخالفون، و النهي فيه للتحريم عند الأكثر مرآة العقول،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المجلسي بعد نقل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كالصحيح، و المراد من التكفير وضع اليمين على الشمال، و هو الذي يفعله المخالفون، و النهي فيه للتحريم عند الأكثر مرآة العقول،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 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المسلم يديه في صلاته و هو قائم بين يدي اللّه عزّ و جل يتشبّه بأهل الكفر، يعني المجوس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في حديث أنّه لمّا صلّى قام مستقبل القبلة منتصبا، فأرسل يديه جميعا على فخذيه قد ضمّ أصابعه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إلى الصلاة فلا تلصق قدمك بالأخرى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أسدل منكبيك، و أرسل يديك، و لا تشتبك أصابعك، و ليكونا على فخذيك قبالة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تكفّر؛ فإنّما يفعل ذلك المجوس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 عن جامع البزنطي،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في صلاتك فاخشع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للقاضي نعمان المصري، عن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قائما في الصلاة، فلا تضع يدك اليمنى على اليسرى، و لا اليسرى على اليمنى؛ فإنّ ذلك تكفير أهل الكتاب، و لكن أرسلهما إرسالا؛ فإنّه أحرى أن لا يشغل نفسك عن الصلاة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53" w:name="pg1254_13374"/>
    </w:p>
    <w:p>
      <w:pPr>
        <w:pStyle w:val="BookText"/>
        <w:rPr/>
      </w:pPr>
      <w:bookmarkEnd w:id="453"/>
      <w:r>
        <w:rPr>
          <w:rFonts w:ascii="Amiri" w:hAnsi="Amiri" w:eastAsia="Amiri" w:cs="Amiri"/>
          <w:color w:val="111111"/>
          <w:sz w:val="28"/>
          <w:sz w:val="28"/>
          <w:szCs w:val="28"/>
          <w:rtl w:val="true"/>
          <w:lang w:bidi="ar-SA"/>
        </w:rPr>
        <w:t>الاعتدال في القيام أن يقيم صلبه و نحره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تكفّر، فإنّما يصنع ذلك المجوس</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3103712_373438147"/>
      <w:bookmarkStart w:id="455" w:name="_Toc177"/>
      <w:bookmarkEnd w:id="454"/>
      <w:r>
        <w:rPr>
          <w:rtl w:val="true"/>
        </w:rPr>
        <w:t>كلمات الفقهاء الإماميّة</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إرسال اليدين في الصلاة، و أنّه لا يجوز وضع إحداهما على الأخرى كتكفير أهل الكتاب، و أنّ من فعل ذلك في الصلاة فقد أبدع و خالف سنّة رسول اللّه صلّى اللّه عليه و آله و الأئمّة الهادين من أهل بيته عليهم السّلام</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ظنّ انفراد الإماميّة به المنع من وضع اليمين على الشمال في الصلاة؛ لأنّ غير الإماميّة شاركها في كراهية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الطحاوي في اختلاف الفقهاء عن مالك، أنّ وضع اليدين إحداهما على الأخرى، إنّما يفعل في صلاة النوافل من طول القيام و تركه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الطحاوي أيضا عن الليث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اليدين في الصلاة أحبّ إليّ إلاّ أن يطيل القيام فيعيأ، فلا بأس بوضع اليمنى على اليسرى</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يضع اليمين على الشمال و لا الشمال على اليمين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مالك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الشافعي، وضع اليمين على الشمال، و روى عنه ابن القاسم أنّه ينبغي أن يرسل يديه</w:t>
      </w:r>
      <w:r>
        <w:rPr>
          <w:rFonts w:eastAsia="Amiri" w:cs="Amiri" w:ascii="Amiri" w:hAnsi="Amiri"/>
          <w:color w:val="111111"/>
          <w:sz w:val="28"/>
          <w:szCs w:val="28"/>
          <w:rtl w:val="true"/>
          <w:lang w:bidi="ar-SA"/>
        </w:rPr>
        <w:t>.</w:t>
      </w:r>
      <w:bookmarkStart w:id="456" w:name="pg1254_13375"/>
    </w:p>
    <w:p>
      <w:pPr>
        <w:pStyle w:val="BookText"/>
        <w:rPr/>
      </w:pPr>
      <w:bookmarkEnd w:id="456"/>
      <w:r>
        <w:rPr>
          <w:rFonts w:ascii="Amiri" w:hAnsi="Amiri" w:eastAsia="Amiri" w:cs="Amiri"/>
          <w:color w:val="111111"/>
          <w:sz w:val="28"/>
          <w:sz w:val="28"/>
          <w:szCs w:val="28"/>
          <w:rtl w:val="true"/>
          <w:lang w:bidi="ar-SA"/>
        </w:rPr>
        <w:t>و 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في صلاة النافلة إذا 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تطل لم يفعل فيها، و لا في الفرض و 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عيي فعل ذلك، و إن لم يعي لم يفعل، و هو مثل قول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أنّ ذلك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أفعال الصلاة يحتاج ثبوتها إلى الشرع و ليس في الشرع، ما يدلّ على كون ذلك مشروعا، و طريقة الاحتياط تقتضي ذلك؛ لأنّه لا خلاف أنّ من أرسل يده؛ فإنّ صلاته ماضية، و اختلفوا إذا وضع يده إحداهما على الأخرى، فقالت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باطلة، فوجب بذلك الأخذ بالجزم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هو وضع اليمين على الشمال و هو الذي يفعله المخالفون، و النهي فيه للتحريم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تبطل الصلاة به؟ أكثر علمائنا على ذلك، بل نقل الشيخ و المرتضى الإجماع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7" w:name="__RefHeading___Toc3103714_373438147"/>
      <w:bookmarkStart w:id="458" w:name="_Toc178"/>
      <w:bookmarkEnd w:id="457"/>
      <w:r>
        <w:rPr>
          <w:rtl w:val="true"/>
        </w:rPr>
        <w:t>منشأ التكفير</w:t>
      </w:r>
      <w:bookmarkEnd w:id="45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إبداعات الخليفة عمر بن الخطّاب، أخذه من أسرى العجم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حكي عن عمر لمّا جيء بأسارى العجم كفّروا أمامه، فسأل عن ذلك، فأجابوه بأنّا نستعمله خضوعا و تواضعا لملوكنا، فاستحسن هو فعله مع اللّه تعالى في الصلاة، و غفل عن قبح التشبّه بالمجوس في الشرع</w:t>
      </w:r>
      <w:r>
        <w:rPr>
          <w:rFonts w:eastAsia="Amiri" w:cs="Amiri" w:ascii="Amiri" w:hAnsi="Amiri"/>
          <w:color w:val="111111"/>
          <w:sz w:val="28"/>
          <w:szCs w:val="28"/>
          <w:rtl w:val="true"/>
          <w:lang w:bidi="ar-SA"/>
        </w:rPr>
        <w:t>.</w:t>
      </w:r>
      <w:r>
        <w:rPr>
          <w:rStyle w:val="FootnoteAnchor"/>
          <w:rtl w:val="true"/>
        </w:rPr>
        <w:footnoteReference w:id="416"/>
      </w:r>
      <w:bookmarkStart w:id="459" w:name="pg1254_13376"/>
    </w:p>
    <w:p>
      <w:pPr>
        <w:pStyle w:val="Heading3"/>
        <w:numPr>
          <w:ilvl w:val="2"/>
          <w:numId w:val="1"/>
        </w:numPr>
        <w:rPr/>
      </w:pPr>
      <w:bookmarkStart w:id="460" w:name="__RefHeading___Toc3103716_373438147"/>
      <w:bookmarkStart w:id="461" w:name="_Toc179"/>
      <w:bookmarkEnd w:id="459"/>
      <w:bookmarkEnd w:id="460"/>
      <w:r>
        <w:rPr>
          <w:rtl w:val="true"/>
        </w:rPr>
        <w:t>كلمات فقهاء السنّة و أئمّتهم</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مالك بنقل ابن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في وضع اليمنى على اليسرى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ذلك في الفريضة، و كان يكرهه و لكن في النوافل إذا طال القيام فلا بأس</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أصحابه، إرسال اليدين، و روى ذلك عن ابن الزبير و الحسن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وضع اليدين إحداهما على الأخرى في الصلاة، فكره ذلك مالك في الفرض و أجازه في النفل، و رأى قوم أنّ هذا الفعل من سنن الصلاة و هم الجمهور، و السبب في اختلافهم أنّه قد جاءت آثار ثابتة نقلت فيها صفة صلاته عليه الصلاة و السلام، و لم ينقل فيها أنّه كان يضع يده اليمنى على اليسرى، و ثبت أيضا أنّ الناس كانوا يؤمرون بذلك، و ورد ذلك أيضا من صفة صلاته في حديث أبي حميد، فرآى قوم أنّ الآثار التي أثبتت ذلك اقتضت زيادة على الآثار التي لم تنقل فيها هذه الزيادة، و أنّ الزيادة تجب أن يصار إليها، و رأى قوم أنّ الأوجب المصير إلى الآثار التي ليس فيها هذه الزيادة؛ لأنّها أكثر؛ و لكون هذه ليست مناسبة لأفعال الصلاة، و إنّما هي من باب الاستعانة، و لذلك أجازها مالك في النفل و لم يجزها في الفرض</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البيان و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وضع إحدى يديه على الأخرى في الصلاة المكتوبة، يضع اليمنى على كوع اليسرى و هو قائم في الصلاة المكتوبة أو النافلة؟</w:t>
      </w:r>
    </w:p>
    <w:p>
      <w:pPr>
        <w:pStyle w:val="BookText"/>
        <w:rPr/>
      </w:pPr>
      <w:r>
        <w:rPr>
          <w:rFonts w:ascii="Amiri" w:hAnsi="Amiri" w:eastAsia="Amiri" w:cs="Amiri"/>
          <w:color w:val="111111"/>
          <w:sz w:val="28"/>
          <w:sz w:val="28"/>
          <w:szCs w:val="28"/>
          <w:rtl w:val="true"/>
          <w:lang w:bidi="ar-SA"/>
        </w:rPr>
        <w:t>قال محمد 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 يدلّ على جواز فعل ذلك في الفريضة و النافلة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في رواية ابن القاسم عنه فى المدوّنة إلى أنّ ترك ذلك أفضل من فعله؛ لأنّه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ذلك في الفريضة، و كان يكرهه و لكن في النوافل،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القيام فلا بأس بذلك يعين به نفسه و سقط، و كان يكرهه في بعض الروايات، فالظاهر من مذهبه فيها مع سقوطه أنّ تركه أفضل؛ لأنّ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ذلك في الفريضة، أي لا أعرفه فيها من سننها، و لا من مستحبّاتها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بأس بذلك في النافلة إذا طال القيام ليعين به نفسه، دليل على أنّ فيه عنده بأسا إذا لم يطل القيام، و في الفريضة و إن طال القيام، و أمّا مع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ذلك أبين؛ لأنّ حدّ المكروه ما في تركه أجر و ليس في فعله وزر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التحصيل،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 في مذاهب العلماء في وضع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أنّ مذهبنا أنّه سنّة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ابن المنذر عن عبد اللّه بن الزبير و الحسن البصري و النخعي أنّه يرسل يديه و لا يضع إحداهما على الأخرى، و حكاه القاضي أبو الطيّب</w:t>
      </w:r>
    </w:p>
    <w:p>
      <w:pPr>
        <w:pStyle w:val="BookText"/>
        <w:rPr/>
      </w:pPr>
      <w:r>
        <w:rPr>
          <w:rFonts w:ascii="Amiri" w:hAnsi="Amiri" w:eastAsia="Amiri" w:cs="Amiri"/>
          <w:color w:val="111111"/>
          <w:sz w:val="28"/>
          <w:sz w:val="28"/>
          <w:szCs w:val="28"/>
          <w:rtl w:val="true"/>
          <w:lang w:bidi="ar-SA"/>
        </w:rPr>
        <w:t>أيضا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يرسلهما، فإن طال ذلك عليه وضع اليمنى على اليسرى للاستراحة،</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بين الوضع و الإرسال،</w:t>
      </w:r>
    </w:p>
    <w:p>
      <w:pPr>
        <w:pStyle w:val="BookText"/>
        <w:rPr/>
      </w:pPr>
      <w:r>
        <w:rPr>
          <w:rFonts w:ascii="Amiri" w:hAnsi="Amiri" w:eastAsia="Amiri" w:cs="Amiri"/>
          <w:color w:val="111111"/>
          <w:sz w:val="28"/>
          <w:sz w:val="28"/>
          <w:szCs w:val="28"/>
          <w:rtl w:val="true"/>
          <w:lang w:bidi="ar-SA"/>
        </w:rPr>
        <w:t>و روى ابن عبد الحكم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w:t>
      </w:r>
    </w:p>
    <w:p>
      <w:pPr>
        <w:pStyle w:val="BookText"/>
        <w:rPr/>
      </w:pPr>
      <w:r>
        <w:rPr>
          <w:rFonts w:ascii="Amiri" w:hAnsi="Amiri" w:eastAsia="Amiri" w:cs="Amiri"/>
          <w:color w:val="111111"/>
          <w:sz w:val="28"/>
          <w:sz w:val="28"/>
          <w:szCs w:val="28"/>
          <w:rtl w:val="true"/>
          <w:lang w:bidi="ar-SA"/>
        </w:rPr>
        <w:t>و روى عنه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و هو الأشهر و عليه جميع أهل المغرب من أصحابه أو جمهورهم، و احتجّ لهم بحديث المسيء صلاته بأنّ النبيّ صلّى اللّه عليه و آله علّمه الصلاة و لم يذكر وضع اليمنى على اليسرى</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جائز في المكتوبة و النافلة، لا يكره فعله، و لا يستحبّ تركه، و هو قوله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مكروه، يستحبّ تركه في الفريضة و النافلة إلاّ إذا طال القيام في النافلة، فيكون فعل ذلك فيها جائزا غير مكروه، و لا مستحبّ و هو قول مالك في المدوّنة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مستحبّ فعله في الفريضة و النافلة مكروه تركه فيها، و هو قوله في رواية مطرف بن الماجشون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ابن المنذر عن عبد اللّه بن الزبير و الحسن البصري و ابن سيرين أنّه يرسلهما، و كذلك عند مالك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يرسلهما، و إن طال ذلك عليه وضع اليمنى على اليسرى للاستراحة، و قال الليث بن سعد</w:t>
      </w:r>
      <w:r>
        <w:rPr>
          <w:rFonts w:eastAsia="Amiri" w:cs="Amiri" w:ascii="Amiri" w:hAnsi="Amiri"/>
          <w:color w:val="111111"/>
          <w:sz w:val="28"/>
          <w:szCs w:val="28"/>
          <w:rtl w:val="true"/>
          <w:lang w:bidi="ar-SA"/>
        </w:rPr>
        <w:t>:</w:t>
      </w:r>
      <w:bookmarkStart w:id="462" w:name="pg1254_13379"/>
    </w:p>
    <w:p>
      <w:pPr>
        <w:pStyle w:val="BookText"/>
        <w:rPr/>
      </w:pPr>
      <w:bookmarkEnd w:id="462"/>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بين الوضع و الإرسال</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المنذر عن ابن الزبير و الحسن البصري و النخعي أنّه يرسلهما و لا يضع اليمنى على اليسرى، و نقله النووي عن الليث بن سعد، و نقله المهدي في البحر عن القاسميّة و الناصريّة و الباقر، و نقله ابن القاسم عن مالك</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الجمهور غير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بعد التكبير أن يضع المصلّي يده اليمنى على ظهر كفّ و رسغ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إرسال اليدين في الصلاة بوقار لا بقوّة و لا يدفع بهما من أمامه؛ لمنافاته للخشوع، و يجوز قبض اليدين على الصدر في صلاة النفل؛ لجواز الاعتماد فيه بلا ضرورة و يكره القبض في صلاة الفرض؛ لما فيه من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بيان حقيقة مذهب مالك، مع حقيقة مذهب مالك الذي قرّره لمحاربة عمل غير منسوب و هو قصد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لمحاربة اعتقاد فاسد و هو ظنّ العامّي وجوب ذلك</w:t>
      </w:r>
      <w:r>
        <w:rPr>
          <w:rFonts w:eastAsia="Amiri" w:cs="Amiri" w:ascii="Amiri" w:hAnsi="Amiri"/>
          <w:color w:val="111111"/>
          <w:sz w:val="28"/>
          <w:szCs w:val="28"/>
          <w:rtl w:val="true"/>
          <w:lang w:bidi="ar-SA"/>
        </w:rPr>
        <w:t>.</w:t>
      </w:r>
      <w:r>
        <w:rPr>
          <w:rStyle w:val="FootnoteAnchor"/>
          <w:rtl w:val="true"/>
        </w:rPr>
        <w:footnoteReference w:id="425"/>
      </w:r>
    </w:p>
    <w:p>
      <w:pPr>
        <w:pStyle w:val="Heading3"/>
        <w:numPr>
          <w:ilvl w:val="2"/>
          <w:numId w:val="1"/>
        </w:numPr>
        <w:rPr/>
      </w:pPr>
      <w:bookmarkStart w:id="463" w:name="__RefHeading___Toc3103718_373438147"/>
      <w:bookmarkStart w:id="464" w:name="_Toc180"/>
      <w:bookmarkEnd w:id="463"/>
      <w:r>
        <w:rPr>
          <w:rtl w:val="true"/>
        </w:rPr>
        <w:t>الروايات من طرق السنّة</w:t>
      </w:r>
      <w:bookmarkEnd w:id="464"/>
    </w:p>
    <w:p>
      <w:pPr>
        <w:pStyle w:val="Heading4"/>
        <w:numPr>
          <w:ilvl w:val="3"/>
          <w:numId w:val="1"/>
        </w:numPr>
        <w:rPr/>
      </w:pPr>
      <w:bookmarkStart w:id="465" w:name="__RefHeading___Toc3103720_373438147"/>
      <w:bookmarkStart w:id="466" w:name="_Toc181"/>
      <w:bookmarkEnd w:id="465"/>
      <w:r>
        <w:rPr>
          <w:rtl w:val="true"/>
        </w:rPr>
        <w:t>اشارة</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حازم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يؤمرون</w:t>
      </w:r>
      <w:bookmarkStart w:id="467" w:name="pg1254_13380"/>
    </w:p>
    <w:p>
      <w:pPr>
        <w:pStyle w:val="BookText"/>
        <w:rPr/>
      </w:pPr>
      <w:bookmarkEnd w:id="467"/>
      <w:r>
        <w:rPr>
          <w:rFonts w:ascii="Amiri" w:hAnsi="Amiri" w:eastAsia="Amiri" w:cs="Amiri"/>
          <w:color w:val="111111"/>
          <w:sz w:val="28"/>
          <w:sz w:val="28"/>
          <w:szCs w:val="28"/>
          <w:rtl w:val="true"/>
          <w:lang w:bidi="ar-SA"/>
        </w:rPr>
        <w:t>أن يضع الرجل اليد اليمنى على ذراعه اليسرى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أن ينمى ذلك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ينمى ذلك، و لم يقل ينمى</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103722_373438147"/>
      <w:bookmarkStart w:id="469" w:name="_Toc182"/>
      <w:bookmarkEnd w:id="468"/>
      <w:r>
        <w:rPr>
          <w:rtl w:val="true"/>
        </w:rPr>
        <w:t>التأمّل في معنى الرواية</w:t>
      </w:r>
      <w:bookmarkEnd w:id="46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من الذي أمرهم بوضع اليمنى على اليسرى كما أنّ الراوي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حازم‌لم يجزم بأنّ الآمر بذلك هو النبيّ صلّى اللّه عليه و آله، و لذا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ينمى ذلك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مرسلة و غير واضحة الدلالة، بل غامضة الدلالة، كما يفهم ذلك من العيني و الشوكاني و سائر شرّاح هذا الحديث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فتح الميم على 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على صيغة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صيغة المجهول يكون الحديث مرسلا؛ لأنّ أبا حازم لم يعيّن من أنماه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صيغة المعلوم يكون الحديث متّصلا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فهذا النصّ الذي هو مثار للاحتمالات لا تثبت به سنّة، و لا يمكن أن يسند إلى النبيّ الكريم بنحو القطع و الجزم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بضمّ أوّله و فتح الميم بلفظ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هو</w:t>
      </w:r>
    </w:p>
    <w:p>
      <w:pPr>
        <w:pStyle w:val="BookText"/>
        <w:rPr/>
      </w:pPr>
      <w:r>
        <w:rPr>
          <w:rFonts w:ascii="Amiri" w:hAnsi="Amiri" w:eastAsia="Amiri" w:cs="Amiri"/>
          <w:color w:val="111111"/>
          <w:sz w:val="28"/>
          <w:sz w:val="28"/>
          <w:szCs w:val="28"/>
          <w:rtl w:val="true"/>
          <w:lang w:bidi="ar-SA"/>
        </w:rPr>
        <w:t>ابن أبي أويس</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التوشيح على الجامع الصحيح،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 بعضهم الحديث بأنّه ظنّ من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لو كان مرفوعا، أي ثابتا عن النبيّ صلّى اللّه عليه و آله لما احتاج أبو حازم إلى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أعلمه</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حرب، حدّثنا عفّان، حدّثنا همام، حدّثنا محمد بن جحادة، حدّثني عبد الجبّار بن وائل عن علقمة بن وائل و مولى لهم أنّهما حدّثاه عن أبيه وائل بن حجر، أنّه رأى النبيّ صلّى اللّه عليه و آله رفع يديه حين دخل في الصلاة، كبّر، وصفّ همام حيال أذنيه، ثم التحف بثوبه، ثمّ وضع يده اليمنى على اليسرى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مرسلة؛ لأنّ علقمة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 وفاة أبيه، فلم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العسكري عن ابن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وائل عن أبيه مرسل</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 يرى البعض أنّه كان غلاما لا يعقل صلاة أبيه</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 لكن النتيجة واحدة؛ إذ كيف يستطيع أن يتحمّل الحديث من أبيه من كان غلاما لا يعقل صلاة أبيه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مجهوليّة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يعرف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همام أيضا</w:t>
      </w:r>
    </w:p>
    <w:p>
      <w:pPr>
        <w:pStyle w:val="BookText"/>
        <w:rPr/>
      </w:pPr>
      <w:r>
        <w:rPr>
          <w:rFonts w:ascii="Amiri" w:hAnsi="Amiri" w:eastAsia="Amiri" w:cs="Amiri"/>
          <w:color w:val="111111"/>
          <w:sz w:val="28"/>
          <w:sz w:val="28"/>
          <w:szCs w:val="28"/>
          <w:rtl w:val="true"/>
          <w:lang w:bidi="ar-SA"/>
        </w:rPr>
        <w:t>كلام فيما لو كان المراد هو همام بن يحيى، حيث إنّ يحيى القطّان كان لا يعبأ به و 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حديثه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الساري،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قدينا قش في الدلالة أيضا بأنّ الحديث حكاية عن سنّة فعليّة للنبيّ صلّى اللّه عليه و آله و هي مجملة تحتمل الوجوب و الاستحباب و الإباحة، كما يحتمل صدوره للاضطرار، و ليس الغرض حكاية الأمر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قول الراوي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التحف بثوبه ثم وضع يده اليمنى على اليسرى، فلمّا أراد أن يركع أخرج يديه من الثوب فلعلّ هذا العمل كان لأجل الاحتفاظ بالثوب و الحيلولة دون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النبيّ كان في مرض، فوضع يده على الأخرى احتفاظا بالرداء من السقوط، كما أدخل يديه فيه تحفّظا عليهما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هذه الاحتمالات لا يبقى مجال للجزم بدلالة الحديث على استحباب القبض و أنّها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نصر بن عليّ، أخبرنا أبو أحمد عن العلاء بن صالح، عن زرعة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القدمين و وضع اليد على اليد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هو الثابت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يرسل يديه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علاء بن صالح و هو التميمي الأسدي الكوفي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مناكير</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بكّار بن الريّان عن هشيم بن بشير، عن الحجّاج بن أبي زينب، عن أبي عثمان النهدي، عن ابن مسعود أنّه كان يصلّي فوضع يده اليسرى على اليمنى، فرآه النبيّ صلّى اللّه عليه و آله فوضع يده اليمنى على اليسرى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السند هشيم و هو هشيم بن القاسم الواسطي، رموه بالتدليس، و أنّه تغيّر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أدراه ما يخرج من رأسه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إذن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يؤخذ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الحجّاج بن أبي زينب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الصيقل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يكون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لا حافظ</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أضف الى ذلك أنّه من البعيد عدم معرفة ابن مسعود، و هو الصحابي الكبير بالسنّة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محبوب، ثنا حفص بن غياث عن عبد الرحمن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عن زياد بن زيد، عن أبي جحيفة، أنّ عليّا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وضع الكفّ على الكفّ في الصلاة تحت السرّة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السند زياد بن زيد و هو مجهول، كما صرّح بذلك العسقلاني عن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زيد السوائي الأعسم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روى له أبو داود حديثا واحدا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السنّة في الصلاة وضع الأكفّ على الأكفّ تحت السرّة</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عبد الرحمن بن إسحاق، و هو ضعيف بالاتّفاق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بدر، عن أبي طالوت عبد السلام، عن ابن جرير الضبي،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رضي اللّه عنه يمسك شماله بيمينه على الرسغ فوق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السند أبو طالوت و هو عبد السلام النهدي،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ضعف في الحديث</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في السند ابن جرير الضبي و هو غزوان بن جرير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الذهبي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إسحاق الكوفي، عن سيّار أبي الحكم،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الأكفّ على الأكفّ في الصلاة تحت السرّة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الدار قطني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 على الكفّ في الصلاة من السنّة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 عبد الرحمن بن إسحاق الكوفي و هو ضعيف عند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سعد و يعقوب بن سفيان و أبي داود و النسائي و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أضف إلى ذلك أنّ أبا هريرة لم ينسب هذا الفعل إلى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توبة، عن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 عن سليمان بن موسى،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يضع يده اليمنى على يده اليسرى، ثمّ يشدّ بينهما على صدره، و هو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طاووس لم يدرك النبيّ صلّى اللّه عليه و آله و هو تابعي، فالرواية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حميد، و قد ضعّفه أبو داود و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الأثبات و لا من أهل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أمسكت عن الحديث عنه، استضعفته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نيل الأوطار،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 قطني،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أبو الأحوص عن سمّاك بن حرب، عن قبيصة بن هلب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يؤمّنا فيأخذ شماله بيمينه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 قبيصة بن هلب و هو قبيصة بن يزيد الطائي، و هو مجهول، كما عن ابن المديني و النسائي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ثنا عبد اللّه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بشر بن معاذ الضرير، حدّثنا بشر بن المفضّل،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عاصم بن كليب عن أبيه، عن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يصلّي، فأخذ شماله بيمينه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سنن ابن ماجة غالب رواياته عليها صبغة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في السنن جامع جيّد الأبواب و الغرائب، و فيه أحاديث ضعيفة جدّا حتى بلغني أنّ السريّ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انفرد بخبر فيه، هو ضعيف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إلاّ نحو سبعة أحاديث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حدّثنا زهير عن أبي إسحاق، عن عبد الجبّار بن وائل،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يضع يده اليمنى على اليسرى قريبا من الرّسغ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لم يسمع من أبيه؛ لأنّه ولد بعد موت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سنن الدار قطني،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المفصل بين الساعد 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سمع أباه فقدوهم؛ لأنّ أباه مات و أمّه حامل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سماعه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قبل أن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في روايته عن أبيه و يقولون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بمعنى هذا قال أبو حاتم، و ابن جرير الطبري، و الجريري، و يعقوب بن سفيان، و يعقوب بن شيبة، و الدار قطني، و الحاكم، و قبلهم ابن المديني و آخرون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صاعد، ثنا عليّ بن مسلم، ثنا إسماعيل بن أبان الورّاق، حدّثني مندل عن ابن أبي ليلى، عن القاسم بن عبد الرحمن، عن أبيه، عن عبد اللّه بن مسعود، أنّ النبيّ صلّى اللّه عليه و آله كان يأخذ شماله بيمينه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السند مندل، و هو ابن عليّ العنزي و هو ضعيف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البخاري أدخل مندلا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روى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قانع و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يرفع المراسيل و يسند الموقوفات من سوء حفظه فاستحقّ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 التثبّت في الرواية بشيء و لا يحتجّ به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ثنا شجاع بن مخلّد، ثنا هشيم، 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عن محمد بن أبان الأنصاري،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اليد اليمنى على اليسرى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 محمد بن أبان الأنصاري و لا يمكنه الرواية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مرسلة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في السند أيضا هشيم و هو ابن منصور، و قد مرّ الكلام في ضعفه</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صاعد، حدّثنا زياد بن أيّوب، حدّثنا النضر بن إسماعيل عن ابن أبي ليلى، عن عطاء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معاشر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نضرب بأيماننا على شمائلنا في الصلاة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إسماعيل، هو أبو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 النسائي و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خطاه، و كثر و همه، فاستحقّ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مناكير</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السكين، حدّثنا عبد الحميد بن محمد، حدّثنا مخلّد بن يزيد، حدّثنا طلحة، عن عطاء، عن ابن عبّاس،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نمسك بأيماننا على شمائلنا في الصلاة</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السند طلحة و هو ابن عمرو بن عثمان الحضرمي الكوفي و هو ضعيف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متروك الحديث،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مرضي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ليّن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كان يحيى بن معين سيّ‌ء الرأي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ضعيفا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 و العجلي و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الفسوي في باب من يرغب عن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يروي عن الثقات ما ليس من أحاديثهم، لا يحلّ كتب حديثه، و لا الرواية عنه إلاّ على جهة التعجّب</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مخلّد، حدّثنا محمد بن إسماعيل الحساني، حدّثنا وكيع، حدّثنا يزيد بن زياد بن أبي الجعد عن عاصم الجحدري، عن عقبة بن ظهير، عن عليّ عليه السّلام 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اليمين على الشمال في الصلاة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أخطأ في خمسمائة حديث</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يحدّث بآخره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فيغيّر ألفاظ الحديث، كأنّه كان يحدّث بالمعنى، و لم يكن من أهل اللسان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جعفر الجوزي، حدّثنا مضر بن محمد، حدّثنا يحيى بن معين، حدّثنا محمد بن الحسن الواسطي عن الحجّاج بن أبي زينب،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برجل وضع شماله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 الحجّاج بن أبي زينب، و قد مرّ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 قطني أيضا عن الحجّاج بن أبي زينب، عن ابن مسعود مثله، و هو ضعيف أيضا بابن أبي زينب</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الحسن بن الخضر بمصر، حدّثنا محمد بن أحمد، أبو العلاء، حدّثنا محمد بن سوار، حدّثنا أبو خالد الأحمر عن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إذا قام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 هكذا عن يمينه و عن شماله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فيه أبو خالد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سليمان بن حيّان الأزدي، و قد تكلّموا في حفظه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البزّار في كتاب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bookmarkStart w:id="470" w:name="pg1254_13391"/>
    </w:p>
    <w:p>
      <w:pPr>
        <w:pStyle w:val="BookText"/>
        <w:rPr/>
      </w:pPr>
      <w:bookmarkEnd w:id="470"/>
      <w:r>
        <w:rPr>
          <w:rFonts w:ascii="Amiri" w:hAnsi="Amiri" w:eastAsia="Amiri" w:cs="Amiri"/>
          <w:color w:val="111111"/>
          <w:sz w:val="28"/>
          <w:sz w:val="28"/>
          <w:szCs w:val="28"/>
          <w:rtl w:val="true"/>
          <w:lang w:bidi="ar-SA"/>
        </w:rPr>
        <w:t>ممّن يلزم زيادته، حجّة، لاتّفاق أهل العلم بالنقل، أنّه لم يكن حافظا، و أنّه قد روى أحاديث عن الأعمش و غيره لم يتابع عليها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الدلالة في الحديث و ذلك لأنّ مفاده أنّه صلّى اللّه عليه و آله نظر إلى يمينه و شماله، أو خاطب من في اليمين و الشمال من المأمومين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يحيى عن مالك عن عبد الكريم بن أبي المخارق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تستحي فافعل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اليدين إحداهما على الأخرى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اليمنى على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تعجيل الفطر، و الاستيناء بالسحور</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الخبر بأنّ من لم يكن له حياء يحجزه عن محارم اللّه، فسواء عليه فعل الصغائر و ارتكاب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الاستيناء بالسحور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تأخيره</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3103724_373438147"/>
      <w:bookmarkStart w:id="472" w:name="_Toc183"/>
      <w:bookmarkEnd w:id="471"/>
      <w:r>
        <w:rPr>
          <w:rtl w:val="true"/>
        </w:rPr>
        <w:t>أمّا النقاش الدلالي</w:t>
      </w:r>
      <w:bookmarkEnd w:id="4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اليمنى على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قول مالك، و ليس من الحديث</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أمّا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عبد الكريم بن أبي المخارق البصري و اسمه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المعلّم، أبو أميّة البصري، نزل مكّة و مات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كان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سألني عن حديث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عبد الرحمن بن مهدي و يحيى بن سعيد لا يحدّثان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فأين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عيينة يستضعفه،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عن عبد الكريم بن أميّة، فإنّه ليس بثقة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مالك عن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بصري،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العالية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تردّ علينا صاحب الأكيسة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قلت لأيّوب، يا أبا بكر؛ ما لك لم تكثر عن طاووس؟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لأسمع منه فرأيته بين ثقيلين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أبي أميّة، و ليث بن أبي سليم، فذهبت، و تركته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أبو أميّة، و عثمان بن غياث و القاسم بن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 في حديث سفيان بن عيينة عن عبد الكريم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حسّان بن بلال، عن عمّار في تخليل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عبد الكريم من حسّان بن بلال</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عبد الكريم من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الضعف بيّن على كلّ ما يرويه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مسلّم جرحه في صدر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 و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النسائي في موضع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الوهم، فاحش الخطأ، فلمّا كثر ذلك منه بطل الاحتجاج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داود، و الخليلي، و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مالك عن أضعف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على ضعفه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البرقي في طبقة من نسب إلى الضعف</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هذا حاله كيف يروى عنه حديث القبض، و ينسب ذلك إلى الرسول الأعظم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ثنا محمد بن الحسن الواسطي يعني المزين، ثنا أبو يوسف الحجّاج يعني ابن أبي زينب الصيقل،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برجل و هو يصلّي و قد وضع يده اليسر على اليمنى فانتزعها و وضع اليمنى على اليسرى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السند أبو يوسف الحجّاج، و فيه كلام؛ إذ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يكون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لا حافظ</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473" w:name="pg1254_13394"/>
    </w:p>
    <w:p>
      <w:pPr>
        <w:pStyle w:val="BookText"/>
        <w:rPr/>
      </w:pPr>
      <w:bookmarkEnd w:id="473"/>
      <w:r>
        <w:rPr>
          <w:rFonts w:ascii="Amiri" w:hAnsi="Amiri" w:eastAsia="Amiri" w:cs="Amiri"/>
          <w:color w:val="111111"/>
          <w:sz w:val="28"/>
          <w:sz w:val="28"/>
          <w:szCs w:val="28"/>
          <w:rtl w:val="true"/>
          <w:lang w:bidi="ar-SA"/>
        </w:rPr>
        <w:t>و في السند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مختلف فيه؛ إذ ذكره ابن حبّان في ذيل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الموقوف و يسند المراسيل</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3103726_373438147"/>
      <w:bookmarkStart w:id="475" w:name="_Toc184"/>
      <w:bookmarkEnd w:id="474"/>
      <w:r>
        <w:rPr>
          <w:rtl w:val="true"/>
        </w:rPr>
        <w:t>حصيلة البحث</w:t>
      </w:r>
      <w:bookmarkEnd w:id="475"/>
    </w:p>
    <w:p>
      <w:pPr>
        <w:pStyle w:val="BookText"/>
        <w:rPr/>
      </w:pPr>
      <w:r>
        <w:rPr>
          <w:rFonts w:ascii="Amiri" w:hAnsi="Amiri" w:eastAsia="Amiri" w:cs="Amiri"/>
          <w:color w:val="111111"/>
          <w:sz w:val="28"/>
          <w:sz w:val="28"/>
          <w:szCs w:val="28"/>
          <w:rtl w:val="true"/>
          <w:lang w:bidi="ar-SA"/>
        </w:rPr>
        <w:t>و الحاصل أنّ مجموع هذه الأحاديث التي مفادها التكفير لا تخلو عن إشكال دلالي أو ضعف 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الأوّل و هو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 دلالي، و لا يخلو من شبهة الإرسال، و أنّه غير ثابت الإسناد إلى النبيّ صلّى اللّه عليه و آله، كما صرّح بذلك العيني و 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الثاني عن مسلم و فيه علقمة بن وائل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مرسل؛ لأنّه ولد بعد موت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الثالث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السند علاء بن صالح و أحاديثه لا يتابع عليها، كما صرّح بذلك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معارضته بحديث آخر لابن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الرابع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سنده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مدلّس و قد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أيضا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الحديث الخامس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زياد بن زيد و هو مجهول، و فيه أيضا عبد الرحمن بن إسحاق و هو ضعيف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السادس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أبو طالوت و 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السابع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عبد الرحمن بن إسحاق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الثامن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الهيثم و هو ضعيف، أضف إلى ذلك أنّه مرسل؛ لأنّ طاووسا التابعي لم يسمع من النبيّ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الترمذي و فيه قبيصة، و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ماجة و غالب رواياته ضعيفة إلاّ سبعة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الدارمي و فيه عبد الجبّار عن أبيه، فهو مرسل؛ لأنّه ولد بعد موت أبيه، فلم يسمعه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الثاني عشر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مندل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الثالث عشر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محمد بن أبان الأنصاري و لا يمكنه الرواية عن عائشة فهو مرسل، و فيه أيضا هشيم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الرابع عشر عن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النضر بن إسماعيل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طلحة و هو ضعيف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السادس عشر عن الدار قطني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وكيع و قد أخطأ في خمسمائة 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الحديث السابع عشر و الثامن عشر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w:t>
      </w:r>
    </w:p>
    <w:p>
      <w:pPr>
        <w:pStyle w:val="BookText"/>
        <w:rPr/>
      </w:pPr>
      <w:r>
        <w:rPr>
          <w:rFonts w:ascii="Amiri" w:hAnsi="Amiri" w:eastAsia="Amiri" w:cs="Amiri"/>
          <w:color w:val="111111"/>
          <w:sz w:val="28"/>
          <w:sz w:val="28"/>
          <w:szCs w:val="28"/>
          <w:rtl w:val="true"/>
          <w:lang w:bidi="ar-SA"/>
        </w:rPr>
        <w:t xml:space="preserve">الحجّاج بن أبي زينب، و هو ضعيف و كذلك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الواسطي و هو مختلف فيه و يتلاعب بالأسناد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التاسع عشر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أبو خالد الأحمر، و فيه كلام و أنّه ليس بحجّة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ابن أبي المخارق، و هو ضعيف؛ إذن لم يبق في المقام مستند يركن إليه و ينسب إلى النبيّ الكريم، و أنّه كان يضع يده اليمنى على اليسرى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بعض الصحابة و أئمّة المذاهب كانوا يكرهون ذلك و يقولون بالإرسال، كابن الزبير، و الإمام مالك، و ابن سيرين، و الحسن البصري، و النخعي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جاءت آثار ثابتة نقلت فيها صفة صلاته عليه الصلاة و السلام و لم ينقل فيها أنّه كان يضع يده اليمنى على اليسرى، و رأى قوم أن الأوجب المصير إلى الآثار التي ليس فيها هذه الزيادة، لأنّها أكثر</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يشير إلى حديث أبي حميد الساعدي الذي ينقل صفة صلاته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2517</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سنن الترمذي،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مذهب أهل البيت عليهم السّلام على عدم الجواز، و أنّه غير مشروع، كما عرفت من الروايات و الفتاوى</w:t>
      </w:r>
      <w:r>
        <w:rPr>
          <w:rFonts w:eastAsia="Amiri" w:cs="Amiri" w:ascii="Amiri" w:hAnsi="Amiri"/>
          <w:color w:val="111111"/>
          <w:sz w:val="28"/>
          <w:szCs w:val="28"/>
          <w:rtl w:val="true"/>
          <w:lang w:bidi="ar-SA"/>
        </w:rPr>
        <w:t>.</w:t>
      </w:r>
      <w:bookmarkStart w:id="476" w:name="pg1254_13397"/>
    </w:p>
    <w:p>
      <w:pPr>
        <w:pStyle w:val="Heading2"/>
        <w:numPr>
          <w:ilvl w:val="1"/>
          <w:numId w:val="1"/>
        </w:numPr>
        <w:rPr/>
      </w:pPr>
      <w:bookmarkStart w:id="477" w:name="__RefHeading___Toc3103728_373438147"/>
      <w:bookmarkStart w:id="478" w:name="_Toc185"/>
      <w:bookmarkEnd w:id="476"/>
      <w:bookmarkEnd w:id="477"/>
      <w:r>
        <w:rPr>
          <w:rtl w:val="true"/>
        </w:rPr>
        <w:t>القسم الرابع الجمع بين الصلاتين و مصادره من الكتاب و السنّة</w:t>
      </w:r>
      <w:bookmarkEnd w:id="47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9" w:name="__RefHeading___Toc3103730_373438147"/>
      <w:bookmarkStart w:id="480" w:name="_Toc186"/>
      <w:bookmarkEnd w:id="479"/>
      <w:r>
        <w:rPr>
          <w:rtl w:val="true"/>
        </w:rPr>
        <w:t>اشارة</w:t>
      </w:r>
      <w:bookmarkStart w:id="481" w:name="pg1254_13399"/>
      <w:bookmarkEnd w:id="480"/>
    </w:p>
    <w:p>
      <w:pPr>
        <w:pStyle w:val="Heading3"/>
        <w:numPr>
          <w:ilvl w:val="2"/>
          <w:numId w:val="1"/>
        </w:numPr>
        <w:rPr/>
      </w:pPr>
      <w:bookmarkStart w:id="482" w:name="__RefHeading___Toc3103732_373438147"/>
      <w:bookmarkStart w:id="483" w:name="_Toc187"/>
      <w:bookmarkEnd w:id="481"/>
      <w:bookmarkEnd w:id="482"/>
      <w:r>
        <w:rPr>
          <w:rtl w:val="true"/>
        </w:rPr>
        <w:t>المقدّمة</w:t>
      </w:r>
      <w:bookmarkEnd w:id="483"/>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من تدوين هذا الكتاب هو إثبات أنّ الإصرار على التفريق بين الصلاتين و المداومة عليه ليس من السنّة النبويّة، فقد جمع النبيّ صلّى اللّه عليه و آله بين الصلاتين كرارا و مرارا من دون أيّ عذر و سفر و مطر و مرض، كما روي ذلك عن جمع من الصحابة، كابن عبّاس، و ابن عمر، و جابر بن عبد اللّه الأنصاري، و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يجدي المحاولات في توجيه الأحاديث، و أنّ الجمع كان صوريّا لا حقيقيا، لأنّ الجمع الصوريّ لا يسمّى جمعا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الثابت من النبيّ صلّى اللّه عليه و آله هو الجمع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الغرض إثبات أنّ فعل الإماميّة من الجمع بين الصلاتين ليس من أداء الصلاة في غير وقتها، و لا أنّهم فعلوا بما هو نادر و غير وارد عن النبيّ صلّى اللّه عليه و آله، بل من الأكيد أنّه موافق لفعل النبيّ صلّى اللّه عليه و آله و إن كان التفريق مستحبّا عند جمع من فقهائنا، و فيما يلي عرض هذه الدراسة</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3103734_373438147"/>
      <w:bookmarkStart w:id="485" w:name="_Toc188"/>
      <w:bookmarkEnd w:id="484"/>
      <w:r>
        <w:rPr>
          <w:rtl w:val="true"/>
        </w:rPr>
        <w:t>دليل جواز الجمع بين الصلاتين من القرآن الكريم</w:t>
      </w:r>
      <w:bookmarkEnd w:id="4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الكريمة 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bookmarkStart w:id="486" w:name="pg1254_13400"/>
    </w:p>
    <w:p>
      <w:pPr>
        <w:pStyle w:val="BookText"/>
        <w:rPr/>
      </w:pPr>
      <w:bookmarkEnd w:id="486"/>
      <w:r>
        <w:rPr>
          <w:rFonts w:ascii="Amiri" w:hAnsi="Amiri" w:eastAsia="Amiri" w:cs="Amiri"/>
          <w:color w:val="111111"/>
          <w:sz w:val="28"/>
          <w:sz w:val="28"/>
          <w:szCs w:val="28"/>
          <w:rtl w:val="true"/>
          <w:lang w:bidi="ar-SA"/>
        </w:rPr>
        <w:t xml:space="preserve">الآية الكريمة 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فرض اللّه تعالى على عباده في اليوم خمس صلوات، أربع منها من دلوك الشمس إلى غسق الليل، و المراد بالدلوك هو الزوال، و بالغسق، هو 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الظهر مشاركا للعصر من زوال الشمس إلى غروبها، كما أنّ المغرب و العشاء أيضا يشاركان في الوقت إلاّ أنّ المغرب قبل العشاء، و لكن صلاة الصبح فقد أفرد اللّه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اتّساع وقت الظهرين و العشائين، و لازمه هو جواز الجمع بينهما</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3103736_373438147"/>
      <w:bookmarkStart w:id="488" w:name="_Toc189"/>
      <w:bookmarkEnd w:id="487"/>
      <w:r>
        <w:rPr>
          <w:rtl w:val="true"/>
        </w:rPr>
        <w:t>تفسير الآية عن أهل البيت عليهم السّلام</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فرض اللّه من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في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سمّاهنّ اللّه و بيّنهنّ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 اللّه عزّ و جل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و فيما بين دلوك الشمس إلى غسق الليل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سمّاهنّ اللّه و بيّنهنّ و وقّتهنّ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انتصافه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 وقت العشاء الآخرة ذهاب الحمرة، و آخر وقتها إلى غسق الليل، يعني نصف الليل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زرارة، عن أبي عبد اللّه عليه السّلام في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صلوات أوّل وقتها من زوال الشمس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89" w:name="pg1254_13401"/>
    </w:p>
    <w:p>
      <w:pPr>
        <w:pStyle w:val="BookText"/>
        <w:rPr/>
      </w:pPr>
      <w:bookmarkEnd w:id="489"/>
      <w:r>
        <w:rPr>
          <w:rFonts w:ascii="Amiri" w:hAnsi="Amiri" w:eastAsia="Amiri" w:cs="Amiri"/>
          <w:color w:val="111111"/>
          <w:sz w:val="28"/>
          <w:sz w:val="28"/>
          <w:szCs w:val="28"/>
          <w:rtl w:val="true"/>
          <w:lang w:bidi="ar-SA"/>
        </w:rPr>
        <w:t>انتصاف الليل منها صلاتان أوّل وقتها من عند زوال الشمس إلى غروبها، إلاّ أنّ هذه قبل هذه، و منها صلاتان أوّل وقتها من غروب الشمس إلى انتصاف الليل إلاّ أنّ هذه قبل هذه</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تفسير العياشي،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نور الثقلين،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عن زرارة، عن أبي جعفر عليه السّلام في قول اللّه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الليل، ذلك أربع صلوات وضعهنّ رسول اللّه و وقّتهنّ للناس، و 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w:t>
      </w:r>
      <w:r>
        <w:rPr>
          <w:rFonts w:eastAsia="Amiri" w:cs="Amiri" w:ascii="Amiri" w:hAnsi="Amiri"/>
          <w:color w:val="111111"/>
          <w:sz w:val="28"/>
          <w:szCs w:val="28"/>
          <w:rtl w:val="true"/>
          <w:lang w:bidi="ar-SA"/>
        </w:rPr>
        <w:t>.</w:t>
      </w:r>
      <w:r>
        <w:rPr>
          <w:rStyle w:val="FootnoteAnchor"/>
          <w:rtl w:val="true"/>
        </w:rPr>
        <w:footnoteReference w:id="459"/>
      </w:r>
    </w:p>
    <w:p>
      <w:pPr>
        <w:pStyle w:val="Heading3"/>
        <w:numPr>
          <w:ilvl w:val="2"/>
          <w:numId w:val="1"/>
        </w:numPr>
        <w:rPr/>
      </w:pPr>
      <w:bookmarkStart w:id="490" w:name="__RefHeading___Toc3103738_373438147"/>
      <w:bookmarkStart w:id="491" w:name="_Toc190"/>
      <w:bookmarkEnd w:id="490"/>
      <w:r>
        <w:rPr>
          <w:rtl w:val="true"/>
        </w:rPr>
        <w:t>الروايات من طرق العامّة</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مردوية عن عمر في قوله أَقِمِ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الشمس</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سعيد بن منصور و ابن جرير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زوالها</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مسعود، قال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عليه السّلام لدلوك الشمس حين زالت، فصلّى بي الظهر</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جرير عن أبي برزة الأسلمي، قال كان رسول اللّه صلّى اللّه عليه و آله يصلّي الظهر إذا زالت الشمس، ثم تلى أَقِمِ الصَّلاٰةَ</w:t>
      </w:r>
      <w:r>
        <w:rPr>
          <w:rFonts w:eastAsia="Amiri" w:cs="Amiri" w:ascii="Amiri" w:hAnsi="Amiri"/>
          <w:color w:val="111111"/>
          <w:sz w:val="28"/>
          <w:szCs w:val="28"/>
          <w:rtl w:val="true"/>
          <w:lang w:bidi="ar-SA"/>
        </w:rPr>
        <w:t>...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عبد الرزّاق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عن</w:t>
      </w:r>
      <w:bookmarkStart w:id="492" w:name="pg1254_13402"/>
    </w:p>
    <w:p>
      <w:pPr>
        <w:pStyle w:val="BookText"/>
        <w:rPr/>
      </w:pPr>
      <w:bookmarkEnd w:id="492"/>
      <w:r>
        <w:rPr>
          <w:rFonts w:ascii="Amiri" w:hAnsi="Amiri" w:eastAsia="Amiri" w:cs="Amiri"/>
          <w:color w:val="111111"/>
          <w:sz w:val="28"/>
          <w:sz w:val="28"/>
          <w:szCs w:val="28"/>
          <w:rtl w:val="true"/>
          <w:lang w:bidi="ar-SA"/>
        </w:rPr>
        <w:t>بطن السماء، و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493" w:name="__RefHeading___Toc3103740_373438147"/>
      <w:bookmarkStart w:id="494" w:name="_Toc191"/>
      <w:bookmarkEnd w:id="493"/>
      <w:r>
        <w:rPr>
          <w:rtl w:val="true"/>
        </w:rPr>
        <w:t>آراء المفسّرين</w:t>
      </w:r>
      <w:bookmarkEnd w:id="494"/>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فسّرنا الغسق بظهور أوّل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حكاه عن ابن عبّاس و عطاء و النضر 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الغسق عبارة عن أوّل المغرب، و على هذا التقدير يكون المذكور في الآية ثلاثة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الزوال، و وقت أوّل المغرب، و وقت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يكون الزوال وقتا للظهر و العصر، فيكون هذا الوقت مشتركا بين هاتين الصلاتين، و أن يكون أوّل المغرب وقتا للمغرب و العشاء، فيكون هذا الوقت مشتركا أيضا بين هاتين الصلاتين، فهذا يقتضي جواز الجمع بين الظهر و العصر و المغرب و العشاء مطلقا إلاّ أنّه دلّ الدليل على أن الجمع في الحضر من غير عذر لا يجوز، فوجب أن يكون الجمع جائزا لعذر السفر و عند المطر و غيره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الملاحظ أنّ الاستدلال و التقريب جيّد، و لكن استدراكه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الجمع خلاف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سوف يأتي أنّ الجمع موافق للدليل، و كلامه هذا مخالف له</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3103742_373438147"/>
      <w:bookmarkStart w:id="496" w:name="_Toc192"/>
      <w:bookmarkEnd w:id="495"/>
      <w:r>
        <w:rPr>
          <w:rtl w:val="true"/>
        </w:rPr>
        <w:t>الروايات من طرق الخاصة</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سنان،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رسول اللّه صلّى اللّه عليه و آله جمع بين الظهر و العصر بأذان و إقامتين، و جمع بين المغرب و العشاء في الحضر من غير علّة بأذان واحد و إقامتين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جواز الجمع بين الصلاتين فى وقت واحد في الحضر من غير علّة، و في معناه أخبار كثيرة،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ليتّسع الوقت على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وقع من التفريق، محمول على الاستحباب</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عليّ بن الحكم، عن عبد اللّه بن بكر، عن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صلّى اللّه عليه و آله بالناس الظهر و العصر حين زالت الشمس في جماعة من غير علّة، و صلّى بهم المغرب و العشاء الآخرة قبل سقوط الشفق من غير علّة في جماعة، و إنّما فصّل رسول اللّه صلّى اللّه عليه و آله ليتّسع الوقت على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المجلسي</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عبّاس الناقد،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 ما كان في يدي و تفرّق عنّي حرفائي، فشكوت ذلك إلى أبي محمد صلّى اللّه عليه و آله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بين الصلاتين الظهر و العصر ترى ما تحبّ</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كأنّه كان مجيؤه إلى الصلاة مكرّرا سببا لتفرّق</w:t>
      </w:r>
    </w:p>
    <w:p>
      <w:pPr>
        <w:pStyle w:val="BookText"/>
        <w:rPr/>
      </w:pPr>
      <w:r>
        <w:rPr>
          <w:rFonts w:ascii="Amiri" w:hAnsi="Amiri" w:eastAsia="Amiri" w:cs="Amiri"/>
          <w:color w:val="111111"/>
          <w:sz w:val="28"/>
          <w:sz w:val="28"/>
          <w:szCs w:val="28"/>
          <w:rtl w:val="true"/>
          <w:lang w:bidi="ar-SA"/>
        </w:rPr>
        <w:t>الحرفاء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حريفك معاملك فى حرفتك</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يدلّ على رجحان الجمع لهذه العلّة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اللّه، عن محمد بن الحسين، عن موسى بن عمر، عن عبد اللّه بن المغيرة، عن إسحاق بن عمّار، 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بين المغرب و العشاء في الحضر قبل أن يغيب الشفق من غير علّة؟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أو موثّق على الظاهر، 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لعلّه ابن بزيع الموثّق، و يحتمل أن يكون موسى بن عمر بن يزيد غير الموثّق</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ابن أبي عمير، عن عمر بن أذينة عن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و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جمع بين الظهر و العصر بأذان و إقامتين، و جمع بين المغرب و العشاء بأذان واحد و إقامتين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المجلسي، و له بيان مرتبط بالأذان الثالث</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رسول اللّه صلّى اللّه عليه و آله صلّى الظهر و العصر في مكان واحد من غير علّة و لا سبب،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أجرأ القوم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الصلاة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أردت أن أوسّع على أمّتي</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القمّي،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بين الصلاتين من غير علّة؟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ذلك رسول اللّه صلّى اللّه عليه و آله أراد التخفيف عن أمّته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بين الظهر و العصر من غير خوف و لا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 من أمّته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بن الليث والي قمّ، عن عون بن جعفر المخزومي، عن داود بن قيس الفرّاء، عن صالح، عن ابن عبّاس، أنّ رسول اللّه صلّى اللّه عليه و آله جمع بين الظهر و العصر و المغرب و العشاء، من غير مطر و لا سفر، 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التوسيع لأمّته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طاووس، عن ابن عبّاس أنّ رسول اللّه صلّى اللّه عليه و آله جمع بين الظهر و العصر، و المغرب و العشاء في السفر و الحضر</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عن نافع، عن عبد اللّه بن عمر أنّ</w:t>
      </w:r>
    </w:p>
    <w:p>
      <w:pPr>
        <w:pStyle w:val="BookText"/>
        <w:rPr/>
      </w:pPr>
      <w:r>
        <w:rPr>
          <w:rFonts w:ascii="Amiri" w:hAnsi="Amiri" w:eastAsia="Amiri" w:cs="Amiri"/>
          <w:color w:val="111111"/>
          <w:sz w:val="28"/>
          <w:sz w:val="28"/>
          <w:szCs w:val="28"/>
          <w:rtl w:val="true"/>
          <w:lang w:bidi="ar-SA"/>
        </w:rPr>
        <w:t>النبيّ صلّى اللّه عليه و آله صلّى بالمدينة مقيما غير مسافر جميعا، و تماما جمعا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المصدر،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على ما ينافي استحباب التفريق من رواية الأصحاب سوى ما رواه عبّاس الناقد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الثالثة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صحّ أمكن تأويله بجمع لا يقتضي طول التفريق؛ لامتناع أن يكون ترك النافلة بينها مستحبّا، أو يحمل على ظهر الجمعة، أمّا باقي الأخبار فمقصورة على جواز الجمع، و هو لا ينافي استحباب التفريق</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علاّمة،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بين الصلاتين يزيد في الرزق</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أحدهما عليهما السّلام، قال في صلاة المغرب في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أن تؤخّر ساعة ثم تصلّيهما إن أحببت أن تصلّي العشاء الآخرة، و إن شئت مشيت ساعة إلى أن يغيب الشفق، إنّ رسول اللّه صلّى اللّه عليه و آله صلّى صلاة الهاجرة و العصر جميعا، و المغرب و العشاء الآخرة جميعا، و كان يؤخّر و يقدّم، 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عنى وجوبها على المؤمنين، لم يعن غيره، أنّه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رسول اللّه صلّى اللّه عليه و آله هكذا، و كان أخبر و أعلم، و لو كان خيرا لأمر به محمد صلّى اللّه عليه و آله</w:t>
      </w:r>
      <w:r>
        <w:rPr>
          <w:rFonts w:eastAsia="Amiri" w:cs="Amiri" w:ascii="Amiri" w:hAnsi="Amiri"/>
          <w:color w:val="111111"/>
          <w:sz w:val="28"/>
          <w:szCs w:val="28"/>
          <w:rtl w:val="true"/>
          <w:lang w:bidi="ar-SA"/>
        </w:rPr>
        <w:t>».</w:t>
      </w:r>
      <w:r>
        <w:rPr>
          <w:rStyle w:val="FootnoteAnchor"/>
          <w:rtl w:val="true"/>
        </w:rPr>
        <w:footnoteReference w:id="483"/>
      </w:r>
      <w:bookmarkStart w:id="497" w:name="pg1254_13407"/>
    </w:p>
    <w:p>
      <w:pPr>
        <w:pStyle w:val="Heading3"/>
        <w:numPr>
          <w:ilvl w:val="2"/>
          <w:numId w:val="1"/>
        </w:numPr>
        <w:rPr/>
      </w:pPr>
      <w:bookmarkStart w:id="498" w:name="__RefHeading___Toc3103744_373438147"/>
      <w:bookmarkStart w:id="499" w:name="_Toc193"/>
      <w:bookmarkEnd w:id="497"/>
      <w:bookmarkEnd w:id="498"/>
      <w:r>
        <w:rPr>
          <w:rtl w:val="true"/>
        </w:rPr>
        <w:t>ما يستدلّ على مرجوحيّة الجمع</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فلا أقيل حتى تزول الشمس، فإذا زالت الشمس صلّيت نوافلي، ثمّ صلّيت الظهر، ثمّ صلّيت نوافلي، ثمّ صلّيت العصر، ثمّ نمت و ذلك قبل أن يصلّي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إذا زالت الشمس فقد دخل الوقت، و لكنّي أكره لك أن تتّخذه وقتا دائما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في طول النهار للرجل أن يصلّي الظهر و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ما أحبّ أن يفعل ذلك كلّ يوم</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كان في سفر أو عجّلت به حاجة، يجمع بين الظهر و العصر، و بين المغرب و العشاء</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ربّما يظهر من الخبر أنّ الجمع كان لعذر من سفر، أو مطر 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يجمع بين المغرب و العشاء في الليلة المطيرة، فعل ذلك مرارا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 عليه السّلام الظهر و العصر عند</w:t>
      </w:r>
    </w:p>
    <w:p>
      <w:pPr>
        <w:pStyle w:val="BookText"/>
        <w:rPr/>
      </w:pPr>
      <w:r>
        <w:rPr>
          <w:rFonts w:ascii="Amiri" w:hAnsi="Amiri" w:eastAsia="Amiri" w:cs="Amiri"/>
          <w:color w:val="111111"/>
          <w:sz w:val="28"/>
          <w:sz w:val="28"/>
          <w:szCs w:val="28"/>
          <w:rtl w:val="true"/>
          <w:lang w:bidi="ar-SA"/>
        </w:rPr>
        <w:t>ما زالت الشمس بأذان و إقامتين،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حاجة فتنفّلوا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الأوّل و الثاني، فإنّهما صدرا لأجل إخفاء الراويين على العامّة و عدم تظاهرهما بما كان من عادة الشيعة، و يشهد له رواية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إنسان و أنا حاضر،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دخلت المسجد و بعض أصحابنا يصلّون العصر و بعضهم يصلّي الظهر؟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أمرتهم بهذا لو صلّوا على وقت واحد عرفوا فأخذوا برقابهم</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أمّا الرواية الأخيرة، فلا دلالة لها على الكراهة إلاّ من التمسّك بمفهوم اللقب الذي هو من أردأ المفاهيم، سيّما مع وجود الإطلاقات التي مفادها جواز الجمع، سواء مع العذر أم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أنّ الإمام عليه السّلام يكره عدم حصول التفريق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لكنّي أكره لك أن تتّخذه وقتا دائما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أجاب السبزواري بأجوبة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كراهته عليه السّلام لأنّ هذا النحو من التفريق كان من شعار الشيعة، فكره عليه السّلام أن يعرف زرارة بهذا الشعار حتى يصير مورد شماتة الأعداء، و مقتضى القاعدة أنّ العامّ و المطلق متّبعان ما لم يدلّ دليل خاصّ ظاهر أو مقيّد كذلك على الخلاف، و هما منفيان في المقام</w:t>
      </w:r>
      <w:r>
        <w:rPr>
          <w:rFonts w:eastAsia="Amiri" w:cs="Amiri" w:ascii="Amiri" w:hAnsi="Amiri"/>
          <w:color w:val="111111"/>
          <w:sz w:val="28"/>
          <w:szCs w:val="28"/>
          <w:rtl w:val="true"/>
          <w:lang w:bidi="ar-SA"/>
        </w:rPr>
        <w:t>.</w:t>
      </w:r>
      <w:r>
        <w:rPr>
          <w:rStyle w:val="FootnoteAnchor"/>
          <w:rtl w:val="true"/>
        </w:rPr>
        <w:footnoteReference w:id="490"/>
      </w:r>
      <w:bookmarkStart w:id="500" w:name="pg1254_13409"/>
    </w:p>
    <w:p>
      <w:pPr>
        <w:pStyle w:val="Heading3"/>
        <w:numPr>
          <w:ilvl w:val="2"/>
          <w:numId w:val="1"/>
        </w:numPr>
        <w:rPr/>
      </w:pPr>
      <w:bookmarkStart w:id="501" w:name="__RefHeading___Toc3103746_373438147"/>
      <w:bookmarkStart w:id="502" w:name="_Toc194"/>
      <w:bookmarkEnd w:id="500"/>
      <w:bookmarkEnd w:id="501"/>
      <w:r>
        <w:rPr>
          <w:rtl w:val="true"/>
        </w:rPr>
        <w:t>آراء الفقهاء</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إلى هنا أنّه لم يدلّنا أيّ دليل على المنع عن الجمع بين الصلاتين جمعا تكوينيّا خارجيّا، أعني مجرّد الاتّصال بينهما و إن كان استحباب التفرقة بين الصلاتين هو المشهور عند الأصحاب إلاّ أنّه كما تقدّم ممّا لا أساس له، و إنّما الكراهة في الجمع بينهما فى الوقت، بمعنى إتيان صلاة فى وقت الفضيلة لصلاة أخرى،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التفريق بين الصلاتين في الوقت، كالظهرين، و العشائين، و يكفي مسمّاه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إذن، لا خلاف عندنا في عدم وجوب التفرقة بين الصلوات، ثم الاختلاف في استحباب التفرقة، كما هو المشهور عندنا، أو كراهة الجمع بمعنى إتيان صلاة الظهر مثلا في وقت فضيلة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الأصل عدم الكراهة في الجمع، و يشهد له قول الصادق عليه السّلام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تفريقها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يستفاد منه مرجوحيّة الجمع، بل له الفضل أيضا، لكن الأفضل التفريق إلاّ أن يكون من قبيل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أصل الرجحان و مرجوحيّة خلافه، و لكنّه ممنوع، و يظهر من جملة من الأخبار أيضا عدم مرجوحيّته، ففي صحيح ابن سنان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أوسّع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فعل رسول اللّه صلّى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bookmarkStart w:id="503" w:name="pg1254_13410"/>
    </w:p>
    <w:p>
      <w:pPr>
        <w:pStyle w:val="BookText"/>
        <w:rPr/>
      </w:pPr>
      <w:bookmarkEnd w:id="503"/>
      <w:r>
        <w:rPr>
          <w:rFonts w:ascii="Amiri" w:hAnsi="Amiri" w:eastAsia="Amiri" w:cs="Amiri"/>
          <w:color w:val="111111"/>
          <w:sz w:val="28"/>
          <w:sz w:val="28"/>
          <w:szCs w:val="28"/>
          <w:rtl w:val="true"/>
          <w:lang w:bidi="ar-SA"/>
        </w:rPr>
        <w:t>ليتّسع الوقت على أمّته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الأحكام،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3103748_373438147"/>
      <w:bookmarkStart w:id="505" w:name="_Toc195"/>
      <w:bookmarkEnd w:id="504"/>
      <w:r>
        <w:rPr>
          <w:rtl w:val="true"/>
        </w:rPr>
        <w:t>الأحاديث من طرق العامّة</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 آله ثمانيا جميعا و سبعا جميعا، قال عمرو بن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الشعثاء، أظنّه أخّر الظهر و عجّل العصر، و أخّر المغرب و عجّل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أظنّ ذلك</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و المغرب و العشاء بالمدينة في غير خوف و لا مطر</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في المدينة مقيما غير مسافر سبعا و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المغرب و العشاء</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في حديث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لا يحرج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شفيق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حتى غربت الشمس و بدت النجوم و 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 بني تميم لا يفتر و لا ينثني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فقال</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تعلّمني بالسنّة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جمع بين الظهر و العصر، و المغرب و العشاء، قال عبد اللّه بن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 في صدري من ذلك شيء، فأتيت أبا هريرة فسألته فصدّق مقالته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شرح معاني الآثار،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مسند الطيالسي،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على اللّه تعالى و هوان آل محمد صلّى اللّه عليه و آله على هولاء أن يحوك في صدورهم شيء من ابن عبّاس فيسألوا أبا هريرة، وليتهم بعد تصديق أبي هريرة عملوا بالحديث</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النبيّ صلّى اللّه عليه و آله صلّى بالمدينة سبعا و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ليلة مطيرة؟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الاستظهار من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ربط له بالحديث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 أبي أيّوب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صلّى المغرب و العشاء؛ يعني جمعها في وقت إحداهما دون الأخرى</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الظهر و العصر جميعا بالمدينة في غير خوف و 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كما سألتنى،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أحدا من أمّته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بين الظهر و العصر،</w:t>
      </w:r>
    </w:p>
    <w:p>
      <w:pPr>
        <w:pStyle w:val="BookText"/>
        <w:rPr/>
      </w:pPr>
      <w:r>
        <w:rPr>
          <w:rFonts w:ascii="Amiri" w:hAnsi="Amiri" w:eastAsia="Amiri" w:cs="Amiri"/>
          <w:color w:val="111111"/>
          <w:sz w:val="28"/>
          <w:sz w:val="28"/>
          <w:szCs w:val="28"/>
          <w:rtl w:val="true"/>
          <w:lang w:bidi="ar-SA"/>
        </w:rPr>
        <w:t>و المغرب و العشاء بالمدينة من غير خوف و لا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بالمدينة ثمانيا و سبعا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الظهر و العصر، و المغرب و العشاء</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الظهر و العصر جميعا، و المغرب و العشاء جميعا، من غير خوف و لا سفر</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يصلّي بالمدينة يجمع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الظهر و العصر، و المغرب و العشاء من غير خوف و لا مطر،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يكون على أمّته حرج</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زيد، عن ابن عبّاس، أنّه صلّى بالبصرة، الأولى و العصر ليس بينهما شيء، و المغرب و العشاء ليس بينهما شيء، فعل ذلك من شغل، و زعم ابن عبّاس أنّه صلّى مع رسول اللّه صلّى اللّه عليه و آله بالمدينة، الأولى و العصر ثماني سجدات ليس بينهما شيء</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لنا رسول اللّه صلّى اللّه عليه و آله مقيما غير مسافر بين الظهر و العصر، و المغرب و العشاء، فقال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ترى النبيّ صلّى اللّه عليه و آله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يحرج أمّته إن جمع رجل</w:t>
      </w:r>
      <w:r>
        <w:rPr>
          <w:rFonts w:eastAsia="Amiri" w:cs="Amiri" w:ascii="Amiri" w:hAnsi="Amiri"/>
          <w:color w:val="111111"/>
          <w:sz w:val="28"/>
          <w:szCs w:val="28"/>
          <w:rtl w:val="true"/>
          <w:lang w:bidi="ar-SA"/>
        </w:rPr>
        <w:t>.</w:t>
      </w:r>
      <w:r>
        <w:rPr>
          <w:rStyle w:val="FootnoteAnchor"/>
          <w:rtl w:val="true"/>
        </w:rPr>
        <w:footnoteReference w:id="505"/>
      </w:r>
      <w:bookmarkStart w:id="506" w:name="pg1254_13413"/>
    </w:p>
    <w:p>
      <w:pPr>
        <w:pStyle w:val="BookText"/>
        <w:rPr/>
      </w:pPr>
      <w:bookmarkEnd w:id="506"/>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ثمان ركعات جميعا، و سبع ركعات جميعا من غير مرض و لا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و المغرب و العشاء، فقيل له في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 ذلك لئلاّ تحرج أمّتي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بين الظهر و العصر، و المغرب و العشاء بالمدينة للرخص من غير خوف و لا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نبذة من الأحاديث الصحيحة في الجمع بين الصلاتين أوردها أرباب الصحاح و السنن و المسانيد، و هى حجّة على من لا يرى الجمع بينها، و حجّة لمن يجمع بينها، و لا يضرّ بذلك عدم عمل جمهور أهل السنّة بذلك</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3103750_373438147"/>
      <w:bookmarkStart w:id="508" w:name="_Toc196"/>
      <w:bookmarkEnd w:id="507"/>
      <w:r>
        <w:rPr>
          <w:rtl w:val="true"/>
        </w:rPr>
        <w:t>التأويلات</w:t>
      </w:r>
      <w:bookmarkEnd w:id="508"/>
    </w:p>
    <w:p>
      <w:pPr>
        <w:pStyle w:val="BookText"/>
        <w:rPr/>
      </w:pPr>
      <w:r>
        <w:rPr>
          <w:rFonts w:ascii="Amiri" w:hAnsi="Amiri" w:eastAsia="Amiri" w:cs="Amiri"/>
          <w:color w:val="111111"/>
          <w:sz w:val="28"/>
          <w:sz w:val="28"/>
          <w:szCs w:val="28"/>
          <w:rtl w:val="true"/>
          <w:lang w:bidi="ar-SA"/>
        </w:rPr>
        <w:t>حاول جمع منهم تأويل أحاديث الجمع بين الصلاتين بما فيه تمحّل و تكلّف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 و الوهم من الراوي، كما عن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ما وقع في الحديث من قوله صلّى بالمدينة وهم من الراوي، بل كان ذلك في سفر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كما ترى؛ إذ روى الطبراني بإسناده عن سعيد بن جبير،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الآثار،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تراجم أبواب البخاري،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ط كراتشي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ثمانيا جميعا و سبعا جميعا مقيما في غير سفر،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كان لعذر المطر، و هذا الوجه منقول عن جمع من كبار المتقدّمين، و ردّه اخرون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النووي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بالرواية الأخرى من غير خوف و لا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المطر، قال به أيضا مالك عقب إخراجه لهذا الحديث، يعني حديث جابر بن زيد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بدل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خوف و 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في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رواه مسلم و أصحاب السنن من طريق حبيب بن أبي ثابت، عن سعيد بن جبير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خوف و لا مطر، فانتفى أن يكون الجمع المذكور للخوف أو السفر أو المطر</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الخطابي ضعف حديث حبيب،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يقول به أكثر الفقهاء، و إسناده جيّد إلاّ ما تكلّموا من أمر حبيب</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لكن يردّه قول الذهبي الذي احتجّ به كلّ من أفراد الصحاح بلا تردّد، و وثّقه يحيى و جماعة</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 و أكثر حديثا من أن أحتاج أن أذكر من حديثه</w:t>
      </w:r>
    </w:p>
    <w:p>
      <w:pPr>
        <w:pStyle w:val="BookText"/>
        <w:rPr/>
      </w:pPr>
      <w:r>
        <w:rPr>
          <w:rFonts w:ascii="Amiri" w:hAnsi="Amiri" w:eastAsia="Amiri" w:cs="Amiri"/>
          <w:color w:val="111111"/>
          <w:sz w:val="28"/>
          <w:sz w:val="28"/>
          <w:szCs w:val="28"/>
          <w:rtl w:val="true"/>
          <w:lang w:bidi="ar-SA"/>
        </w:rPr>
        <w:t>شيئا، و قد حدّث عنه الأئمّة، و هو ثقة، حجّة، كما قال ابن معين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الضعفاء،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ابن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صرّح بأنّه فعل ذلك ليرفع الحرج عن أمّته، و بيّن لهم جواز الجمع إذا احتاجوا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الراوي لهذا الحديث أخّر الصلاة و جمع لأجل إنشغاله بالخطبة، ثم احتجّ بجمع النبيّ صلّى اللّه عليه و آله، و لا يجوز أن يحتجّ بجمع النبيّ صلّى اللّه عليه و آله للمطر و هو عذر بيّن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لمجرّد الخطبة أو الدرس الذي في إمكانه أن يقطعه للصلاة، ثمّ يعود إليه أو ينتهي منه عند وقت الصلاة و لا يلحقه فيه ضرر و لا مشقّة، كما يلحق الإنسان في الخروج في حالة المطر و الوحل</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غيم فصلّى الظهر ثم انكشف الغيم و بان أنّ وقت العصر قد دخل، فصلاّها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التكلّف، و قد أجاب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يضعفه جمعه بالليل؛ لأنّه لا يخفى دخول الليل حتى يلتبس دخول المغرب بوقت العشاء و لو كان الغيم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بعذر المرض و نحوه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بل اختاره النووي في شرحه، و نسبه إلى أحمد بن حنبل، و القاضي حسين، و الخطابي، و المتولّي، و الروياني</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فإنّه مخالف لظاهر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ناقشه كلّ من العسقلاني و الزرقاني و 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العسقلاني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لأنّه لو كان جمعه بين الصلاتين لعارض المرض لما صلّى معه إلاّ من به نحو ذلك العذر، و الظاهر أنّه صلّى اللّه عليه و آله صلّى بأصحابه، و قد صرّح بذلك ابن عبّاس في روايته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شرح الموطّأ،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نيل الأوطار،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المشهور عند الشافعيّة، بل عن الترمذي إجماع الأمّة على عدم جواز الجمع للمريض</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كان لأجل مشقّة عارضة في ذلك اليوم من مرض غالب، أو برد شديد، أو وحل، و نحو ذلك، و هذا تأويل ابن باز معجبا بهذا التأويل،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جواب عظيم، سديد، شاف</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قال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لحمل الأمر فيه على عذر من الأعذار؛ لأنّ ابن عبّاس قد أخبر بالعلّة فيه،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مختصّ بمسجد النبيّ صلّى اللّه عليه و آله لفضله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عنه الغماري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إبطاله أنّ دعوى الخصوصيّة لا تثبت إلاّ بدليل، و أنّ مثل هذه الدعوى لا يعجز عنها أحد في كلّ شيء أراد نفيه من أنواع التشريعات، فأيّ فرق بين ادّعاء الخصوصية في الجمع بين الصلاتين و ادّعائها في الجماعة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خاصّة بمسجد رسول اللّه صلّى اللّه عليه و آله لفضله؟ و كذلك في الجمعة و أنّها خاصّة بمسجده و بزمانه و استماع خطبه</w:t>
      </w:r>
    </w:p>
    <w:p>
      <w:pPr>
        <w:pStyle w:val="BookText"/>
        <w:rPr/>
      </w:pPr>
      <w:r>
        <w:rPr>
          <w:rFonts w:ascii="Amiri" w:hAnsi="Amiri" w:eastAsia="Amiri" w:cs="Amiri"/>
          <w:color w:val="111111"/>
          <w:sz w:val="28"/>
          <w:sz w:val="28"/>
          <w:szCs w:val="28"/>
          <w:rtl w:val="true"/>
          <w:lang w:bidi="ar-SA"/>
        </w:rPr>
        <w:t>و كلامه؟ و ما عدا مسجده و زمانه فلا تشرع جمعة و لا جماعة و هكذا سائر أفعاله التي قام الدليل على وجوب التأسّي به فيها، أو استحبابه، و لأنّه لا يجوز ادّعاء الخصوصية به أو بمكانه أو زمانه إلاّ بدليل يدلّ على ذلك، فكيف و قد جمع بعرفة، و مزدلفة، و منى، و تبوك و كثير من البقاع في أسفاره و غزواته؟ و جمع بعده أصحابه في أسفارهم و أوقات ضروراتهم، فهو دليل قاطع على بطلان 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 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الجمع بين الصلاتين في وقت إحداهما كما في يوم عرفة و ليلة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الظهر إلى آخر وقتها، و تعجيل العصر في أوّل وقتها، و قد اختاره الأحناف و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عياض و القرطبي و ابن سيّد الناس، و إمام الحرمين، و العسقلاني</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الحظر ممّن جمع بين الصلاتين في الحضر،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نيل الأوطار،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بين حديث أبي الشعثاء و أحاديث الباب نسبة المقيّد إلى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ناقشه جمع من العامّة و ردّه ابن الصدّيق بعشرين وجها كما ناقش الخطابي هذا الاحتمال و فيما يلي نصّ كلامه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اسم الجمع عرفا لا يقع على من أخّر الظهر حتى صلاّها في آخر وقتها، و عجّل العصر فصلاّها في أوّل وقتها؛ لأنّ هذا قد صلّى كلّ صلاة منها في وقتها الخاصّ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الجمع المعروف بينهما أن تكون الصلاتان معا</w:t>
      </w:r>
      <w:bookmarkStart w:id="509" w:name="pg1254_13418"/>
    </w:p>
    <w:p>
      <w:pPr>
        <w:pStyle w:val="BookText"/>
        <w:rPr/>
      </w:pPr>
      <w:bookmarkEnd w:id="509"/>
      <w:r>
        <w:rPr>
          <w:rFonts w:ascii="Amiri" w:hAnsi="Amiri" w:eastAsia="Amiri" w:cs="Amiri"/>
          <w:color w:val="111111"/>
          <w:sz w:val="28"/>
          <w:sz w:val="28"/>
          <w:szCs w:val="28"/>
          <w:rtl w:val="true"/>
          <w:lang w:bidi="ar-SA"/>
        </w:rPr>
        <w:t>في وقت إحداهما، ألا ترى أنّ الجمع بعرفة بينهما و مزدلفة كذلك</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3"/>
        <w:numPr>
          <w:ilvl w:val="2"/>
          <w:numId w:val="1"/>
        </w:numPr>
        <w:rPr/>
      </w:pPr>
      <w:bookmarkStart w:id="510" w:name="__RefHeading___Toc3103752_373438147"/>
      <w:bookmarkStart w:id="511" w:name="_Toc197"/>
      <w:bookmarkEnd w:id="510"/>
      <w:r>
        <w:rPr>
          <w:rtl w:val="true"/>
        </w:rPr>
        <w:t>ما يستدلّ به على الجمع الصوري</w:t>
      </w:r>
      <w:bookmarkEnd w:id="5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آله بالمدينة ثمانيا جميعا و سبعا جميعا أخّر الظهر و عجّل العصر، و أخّر المغرب و عجّل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الشوكاني بهذا الدليل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عبّاس راوي الحديث قد صرّح بأنّ ما رواه من الجمع المذكور هو الجمع الصوري</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التعجيل و التأخير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إنّما هو من الراوي</w:t>
      </w:r>
      <w:r>
        <w:rPr>
          <w:rStyle w:val="FootnoteAnchor"/>
          <w:rtl w:val="true"/>
        </w:rPr>
        <w:footnoteReference w:id="521"/>
      </w:r>
      <w:r>
        <w:rPr>
          <w:rFonts w:ascii="Amiri" w:hAnsi="Amiri" w:eastAsia="Amiri" w:cs="Amiri"/>
          <w:color w:val="111111"/>
          <w:sz w:val="28"/>
          <w:sz w:val="28"/>
          <w:szCs w:val="28"/>
          <w:rtl w:val="true"/>
          <w:lang w:bidi="ar-SA"/>
        </w:rPr>
        <w:t>لا من ابن عبّاس، و يشهد لذلك ما أورده الصحيحان 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أخّر الظهر و عجّل العصر، و أخّر المغرب و عجّل العشاء، قال أبو الشعثاء، و أنا أظنّ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ابن شاكر في تعليقه على مسند أحمد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الصوري من تأويل أبي الشعثاء و لا حجّة فيه</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 يصلّ في غير الوقت إلاّ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العشاء بمزدلفة، و الفجر قبل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البخاري و النسائي و أبو داود و الموطّأ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آله صلّى صلاة لغير ميقاتها إلاّ</w:t>
      </w:r>
    </w:p>
    <w:p>
      <w:pPr>
        <w:pStyle w:val="BookText"/>
        <w:rPr/>
      </w:pPr>
      <w:r>
        <w:rPr>
          <w:rFonts w:ascii="Amiri" w:hAnsi="Amiri" w:eastAsia="Amiri" w:cs="Amiri"/>
          <w:color w:val="111111"/>
          <w:sz w:val="28"/>
          <w:sz w:val="28"/>
          <w:szCs w:val="28"/>
          <w:rtl w:val="true"/>
          <w:lang w:bidi="ar-SA"/>
        </w:rPr>
        <w:t>صلاتين، جمع المغرب و العشاء بالمزدلفة، و صلّى الفجر يومئذ قبل وقتها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فتح البارى،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ينافي جمع النبيّ صلّى اللّه عليه و آله بين الصلاتين في عرفة، و في السفر، فلا يمكن الأخذ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الظاهر بالإجماع في صلاتي الظهر و العصر بعرفات</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ورد عن ابن عبّاس، بل و عن ابن مسعود نفسه من الجمع في المدينة، و ما ورد من جمع ابن عبّاس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فكان يؤخّر الظهر و يعجّل العصر، فيجمع بينهما، و يؤخّر المغرب و يعجّل العشاء، فيجمع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 الشوكاني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الجمع الصوري، و ابن عمر هو ممّن روى جمعه صلّى اللّه عليه و آله بالمدينة، كما أخرج ذلك عبد الرزّاق</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الدلالة الجمع الصوري يتعارض مع ما ورد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ابن عمر صريحا بجمع النبيّ صلّى اللّه عليه و آله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لنا رسول اللّه صلّى اللّه عليه و آله مقيما غير مسافر بين الظهر و العصر، و المغرب و العشاء، فقال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ترى النبيّ صلّى اللّه عليه و آله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يحرج أمّته إن جمع رجل</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ثبت أنّ النبيّ صلّى اللّه عليه و آله جمع في السفر بين الصلاتين</w:t>
      </w:r>
      <w:r>
        <w:rPr>
          <w:rFonts w:eastAsia="Amiri" w:cs="Amiri" w:ascii="Amiri" w:hAnsi="Amiri"/>
          <w:color w:val="111111"/>
          <w:sz w:val="28"/>
          <w:szCs w:val="28"/>
          <w:rtl w:val="true"/>
          <w:lang w:bidi="ar-SA"/>
        </w:rPr>
        <w:t>.</w:t>
      </w:r>
      <w:bookmarkStart w:id="512" w:name="pg1254_13420"/>
    </w:p>
    <w:p>
      <w:pPr>
        <w:pStyle w:val="BookText"/>
        <w:rPr/>
      </w:pPr>
      <w:bookmarkEnd w:id="512"/>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ارتحل قبل أن تزيغ الشمس أخّر الظهر إلى وقت العصر، ثم نزل فجمع بينهما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النووي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الجمع في وقت الثانية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تصريح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التأويل بالجمع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أو باطل؛ لأنّه مخالف للظاهر، مخالفة لا تحتمل فعل ابن عبّاس الذي ذكرناه حين خطب، و استدلاله بالحديث لتصويب فعله، و تصديق أبي هريرة له، و عدم إنكاره صريح في ردّ هذا التأويل</w:t>
      </w:r>
      <w:r>
        <w:rPr>
          <w:rFonts w:eastAsia="Amiri" w:cs="Amiri" w:ascii="Amiri" w:hAnsi="Amiri"/>
          <w:color w:val="111111"/>
          <w:sz w:val="28"/>
          <w:szCs w:val="28"/>
          <w:rtl w:val="true"/>
          <w:lang w:bidi="ar-SA"/>
        </w:rPr>
        <w:t>.</w:t>
      </w:r>
      <w:r>
        <w:rPr>
          <w:rStyle w:val="FootnoteAnchor"/>
          <w:rtl w:val="true"/>
        </w:rPr>
        <w:footnoteReference w:id="529"/>
      </w:r>
    </w:p>
    <w:p>
      <w:pPr>
        <w:pStyle w:val="Heading3"/>
        <w:numPr>
          <w:ilvl w:val="2"/>
          <w:numId w:val="1"/>
        </w:numPr>
        <w:rPr/>
      </w:pPr>
      <w:bookmarkStart w:id="513" w:name="__RefHeading___Toc3103754_373438147"/>
      <w:bookmarkStart w:id="514" w:name="_Toc198"/>
      <w:bookmarkEnd w:id="513"/>
      <w:r>
        <w:rPr>
          <w:rtl w:val="true"/>
        </w:rPr>
        <w:t>هل قول ابن عبّاس خلاف الإجماع؟</w:t>
      </w:r>
      <w:bookmarkEnd w:id="514"/>
    </w:p>
    <w:p>
      <w:pPr>
        <w:pStyle w:val="BookText"/>
        <w:rPr/>
      </w:pPr>
      <w:r>
        <w:rPr>
          <w:rFonts w:ascii="Amiri" w:hAnsi="Amiri" w:eastAsia="Amiri" w:cs="Amiri"/>
          <w:color w:val="111111"/>
          <w:sz w:val="28"/>
          <w:sz w:val="28"/>
          <w:szCs w:val="28"/>
          <w:rtl w:val="true"/>
          <w:lang w:bidi="ar-SA"/>
        </w:rPr>
        <w:t>ادّعى الترمذي و تقي الدين السبكى إجماع أهل العلم على ترك العمل بحديث ابن عبّاس</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دعوى باطلة و يشهد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ابن عبّاس، فلم يجمعوا على ترك العمل به، بل لهم أقوال</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الآلوسي ردّا على كلام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ناشئ من عدم التتبّع</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بحديث الباب، القائلون بجواز الجمع</w:t>
      </w:r>
      <w:bookmarkStart w:id="515" w:name="pg1254_13421"/>
    </w:p>
    <w:p>
      <w:pPr>
        <w:pStyle w:val="BookText"/>
        <w:rPr/>
      </w:pPr>
      <w:bookmarkEnd w:id="515"/>
      <w:r>
        <w:rPr>
          <w:rFonts w:ascii="Amiri" w:hAnsi="Amiri" w:eastAsia="Amiri" w:cs="Amiri"/>
          <w:color w:val="111111"/>
          <w:sz w:val="28"/>
          <w:sz w:val="28"/>
          <w:szCs w:val="28"/>
          <w:rtl w:val="true"/>
          <w:lang w:bidi="ar-SA"/>
        </w:rPr>
        <w:t>مطلقا بشرط أن لا يتّخذ ذلك خلقا و عادة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مظفّر في البيان عن عليّ عليه السّلام، و زيد بن عليّ، و الهادي، و أحد قولي الناصر، و أحد قولي المنصور</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في البحر عن البعض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و منع ذلك مسندا بأنّه قد خالف في ذلك من تقدّم</w:t>
      </w:r>
      <w:r>
        <w:rPr>
          <w:rFonts w:eastAsia="Amiri" w:cs="Amiri" w:ascii="Amiri" w:hAnsi="Amiri"/>
          <w:color w:val="111111"/>
          <w:sz w:val="28"/>
          <w:szCs w:val="28"/>
          <w:rtl w:val="true"/>
          <w:lang w:bidi="ar-SA"/>
        </w:rPr>
        <w:t>.</w:t>
      </w:r>
      <w:r>
        <w:rPr>
          <w:rStyle w:val="FootnoteAnchor"/>
          <w:rtl w:val="true"/>
        </w:rPr>
        <w:footnoteReference w:id="535"/>
      </w:r>
    </w:p>
    <w:p>
      <w:pPr>
        <w:pStyle w:val="Heading3"/>
        <w:numPr>
          <w:ilvl w:val="2"/>
          <w:numId w:val="1"/>
        </w:numPr>
        <w:rPr/>
      </w:pPr>
      <w:bookmarkStart w:id="516" w:name="__RefHeading___Toc3103756_373438147"/>
      <w:bookmarkStart w:id="517" w:name="_Toc199"/>
      <w:bookmarkEnd w:id="516"/>
      <w:r>
        <w:rPr>
          <w:rtl w:val="true"/>
        </w:rPr>
        <w:t>أقوال فقهاء العامّة في جواز الجمع</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يتعلّق به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أجمعوا على أنّ الجمع بين الظهر و العصر في وقت الظهر بعرفة سنّة، و بين المغرب و العشاء بالمزدلفة أيضا في وقت العشاء سنّة أيضا، و اختلفوا في الجمع في غير هذين المكانين، فأجازه الجمهور على اختلاف بينهم في المواضع التى يجوز فيها من التي لا يجوز، و منعه أبو حنيفة و أصحابه بإطلاق</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 فإذا مضى بقدر ما يصلّى فيه أربع ركعات دخل وقت العصر، فكان الوقت مشتركا بين الظهر و العصر إلى أن يصير الظلّ قامتين؛ لظاهر حديث إمامة جبرئيل</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 به ابن سيرين، و ربيعة، و أشهب من أصحاب</w:t>
      </w:r>
    </w:p>
    <w:p>
      <w:pPr>
        <w:pStyle w:val="BookText"/>
        <w:rPr/>
      </w:pPr>
      <w:r>
        <w:rPr>
          <w:rFonts w:ascii="Amiri" w:hAnsi="Amiri" w:eastAsia="Amiri" w:cs="Amiri"/>
          <w:color w:val="111111"/>
          <w:sz w:val="28"/>
          <w:sz w:val="28"/>
          <w:szCs w:val="28"/>
          <w:rtl w:val="true"/>
          <w:lang w:bidi="ar-SA"/>
        </w:rPr>
        <w:t>مالك، و ابن المنذر و القفّال الكبير، و حكاه الخطابي عن جماعة من أصحاب الحديث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عبّاس من التعليل بنفي الحرج ظاهر في مطلق الجمع</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جماعة من أهل الظاهر</w:t>
      </w:r>
      <w:r>
        <w:rPr>
          <w:rStyle w:val="FootnoteAnchor"/>
          <w:rtl w:val="true"/>
        </w:rPr>
        <w:footnoteReference w:id="539"/>
      </w:r>
      <w:r>
        <w:rPr>
          <w:rFonts w:ascii="Amiri" w:hAnsi="Amiri" w:eastAsia="Amiri" w:cs="Amiri"/>
          <w:color w:val="111111"/>
          <w:sz w:val="28"/>
          <w:sz w:val="28"/>
          <w:szCs w:val="28"/>
          <w:rtl w:val="true"/>
          <w:lang w:bidi="ar-SA"/>
        </w:rPr>
        <w:t>و أشهب من أصحاب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ظاهر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 فلم يعلّله بمرض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إمام الحرمين قولا أنّه يجوز الجمع بين المغرب و العشاء في وقت المغرب و هو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المنذر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الجمع في الحضر من غير خوف و لا مطر و لا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الخطابي في معالم السنن عن القفال الكبير الشاشي، عن أبي إسحاق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المنذر عن طائفة جوازه بلا سبب</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حامد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جواز الجمع بغير عذر عن عبد اللّه بن الحسن، و زيد بن عليّ، و الناصر، و الحسن بن يحيى بن زيد، و المتوكّل على اللّه أحمد بن سليمان، و المهدي أحمد بن الحسين، و المنصور باللّه عبد اللّه بن حمزة، و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يحيى، و ولده المهدي محمد، و اختاره الحسن بن عليّ بن داود، و المنصور باللّه القاسم بن محمد، و ولده المؤيّد باللّه، و المفتي، و النخعي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مظفّر في البيان، عن عليّ عليه السّلام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18" w:name="pg1254_13423"/>
    </w:p>
    <w:p>
      <w:pPr>
        <w:pStyle w:val="BookText"/>
        <w:rPr/>
      </w:pPr>
      <w:bookmarkEnd w:id="51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إبن الصدّيق الغمارى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أفرد كتابا لذلك و سماه إزالة الحظر عمّن جمع بين الصلاتين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قيّد الجواز بعدم اتّخاذه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أحمد بن محمد بن شاكر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مذهب ابن سيرين في جواز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الذي يؤخذ من الحديث، و أمّا التأويل بالمرض أو العذر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تكلّف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الأخذ بها رفع كثير من الحرج عن أناس قد تضطرّهم أعمالهم أو ظروف قاهرة إلى الجمع بين الصلاتين، و يتأثّمون بذلك، ففى هذا ترفيه لهم، و إعانة على الطاعة ما لم يتّخذه عادة، كما قال ابن سيرين</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على سنن الترمذي،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3103758_373438147"/>
      <w:bookmarkStart w:id="520" w:name="_Toc200"/>
      <w:bookmarkEnd w:id="519"/>
      <w:r>
        <w:rPr>
          <w:rtl w:val="true"/>
        </w:rPr>
        <w:t>استحباب الأخذ بالمرخّصات الشرعيّة</w:t>
      </w:r>
      <w:bookmarkEnd w:id="520"/>
    </w:p>
    <w:p>
      <w:pPr>
        <w:pStyle w:val="BookText"/>
        <w:rPr/>
      </w:pPr>
      <w:r>
        <w:rPr>
          <w:rFonts w:ascii="Amiri" w:hAnsi="Amiri" w:eastAsia="Amiri" w:cs="Amiri"/>
          <w:color w:val="111111"/>
          <w:sz w:val="28"/>
          <w:sz w:val="28"/>
          <w:szCs w:val="28"/>
          <w:rtl w:val="true"/>
          <w:lang w:bidi="ar-SA"/>
        </w:rPr>
        <w:t>بعد أن ثبت جواز الجمع بين الصلاتين، و أنه مرخّص فيه شرعا، ينبغي بل يستحبّ الاخذ برخص اللّه تعالى، كما ورد في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تؤتى رخصه، كما يحبّ أن تؤتى عزائمه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توتى رخصه كما لا يحبّ أن توتى معاصيه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تقبل رخصه، كما يحبّ العبد مغفرة ربّه</w:t>
      </w:r>
      <w:r>
        <w:rPr>
          <w:rFonts w:eastAsia="Amiri" w:cs="Amiri" w:ascii="Amiri" w:hAnsi="Amiri"/>
          <w:color w:val="111111"/>
          <w:sz w:val="28"/>
          <w:szCs w:val="28"/>
          <w:rtl w:val="true"/>
          <w:lang w:bidi="ar-SA"/>
        </w:rPr>
        <w:t>».</w:t>
      </w:r>
      <w:r>
        <w:rPr>
          <w:rStyle w:val="FootnoteAnchor"/>
          <w:rtl w:val="true"/>
        </w:rPr>
        <w:footnoteReference w:id="544"/>
      </w:r>
      <w:bookmarkStart w:id="521" w:name="pg1254_13424"/>
    </w:p>
    <w:p>
      <w:pPr>
        <w:pStyle w:val="BookText"/>
        <w:rPr/>
      </w:pPr>
      <w:bookmarkEnd w:id="5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يقبل رخصة اللّه كان عليه من الإثم مثل جبال 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2" w:name="__RefHeading___Toc3103760_373438147"/>
      <w:bookmarkStart w:id="523" w:name="_Toc201"/>
      <w:bookmarkEnd w:id="522"/>
      <w:r>
        <w:rPr>
          <w:rtl w:val="true"/>
        </w:rPr>
        <w:t>روايات توهم حرمة الجمع بين الصلاتين</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بين الصلاتين من غير عذر، فقد أتى بابا من أبواب الكبائر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لقب الحسين بن قيس الرحبي أبي عليّ الواسطي،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منكرة جدّا، و لا يكتب حديثه،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 كذلك سائر أئمّة هذا الفنّ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عند أهل النقل لا يحتجّ بخبره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كتب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الجمع بين الصلاتين من غير عذر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مرسل، صرّح بذلك البيهقي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أبو العالية لم يسمع من عمر، و تعقّبه ابن التركماني الحنفي بأنّه صلّى خلف عمر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صلاته خلف الخليفة أعمّ من روايته عنه، كما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أبي بكر، لكنّ شيئا من ذلك لا يقتضي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النقي،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السماع كما لا يخفى و لقد كان في الصحابة من لقي النبيّ صلّى اللّه عليه و آله و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تعقّب ابن التركماني بشيء</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الخليفة لم يرفعه إلى النبيّ صلّى اللّه عليه و آله، فيحتمل أن يكون ذلك اجتهادا و رأيا منه، و قد صرّح الغزالي بعدم حجّيّة قول الصحابي، و جعل القول بحجّيّته من الأصول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الثاني من الأصول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الصحابي، و قد ذهب قوم إلى أنّ مذهب الصحابي 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إلى أنّه حجّة إن خالف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إلى أنّ الحجّة في قول أبي بكر و عمر خاصّة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إلى أنّ الحجّة في قول الخلفاء الراشدين إذا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عندنا؛ فإنّ من يجوز عليه الغلط و السهو و لم تثبت عصمته عنه، فلا حجّة في قوله، فكيف يحتجّ بقولهم مع جواز الخطأ عليهم</w:t>
      </w:r>
      <w:r>
        <w:rPr>
          <w:rFonts w:eastAsia="Amiri" w:cs="Amiri" w:ascii="Amiri" w:hAnsi="Amiri"/>
          <w:color w:val="111111"/>
          <w:sz w:val="28"/>
          <w:szCs w:val="28"/>
          <w:rtl w:val="true"/>
          <w:lang w:bidi="ar-SA"/>
        </w:rPr>
        <w:t>.</w:t>
      </w:r>
      <w:r>
        <w:rPr>
          <w:rStyle w:val="FootnoteAnchor"/>
          <w:rtl w:val="true"/>
        </w:rPr>
        <w:footnoteReference w:id="546"/>
      </w:r>
      <w:bookmarkStart w:id="524" w:name="pg1254_13427"/>
    </w:p>
    <w:p>
      <w:pPr>
        <w:pStyle w:val="Heading2"/>
        <w:numPr>
          <w:ilvl w:val="1"/>
          <w:numId w:val="1"/>
        </w:numPr>
        <w:rPr/>
      </w:pPr>
      <w:bookmarkStart w:id="525" w:name="__RefHeading___Toc3103762_373438147"/>
      <w:bookmarkStart w:id="526" w:name="_Toc202"/>
      <w:bookmarkEnd w:id="524"/>
      <w:bookmarkEnd w:id="525"/>
      <w:r>
        <w:rPr>
          <w:rtl w:val="true"/>
        </w:rPr>
        <w:t>القسم الخامس كيفيّة الوضوء على ضوء الكتاب و السنّة</w:t>
      </w:r>
      <w:bookmarkEnd w:id="5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7" w:name="__RefHeading___Toc3103764_373438147"/>
      <w:bookmarkStart w:id="528" w:name="_Toc203"/>
      <w:bookmarkEnd w:id="527"/>
      <w:r>
        <w:rPr>
          <w:rtl w:val="true"/>
        </w:rPr>
        <w:t>اشارة</w:t>
      </w:r>
      <w:bookmarkStart w:id="529" w:name="pg1254_13429"/>
      <w:bookmarkEnd w:id="528"/>
    </w:p>
    <w:p>
      <w:pPr>
        <w:pStyle w:val="BookText"/>
        <w:rPr/>
      </w:pPr>
      <w:bookmarkEnd w:id="529"/>
      <w:r>
        <w:rPr>
          <w:rFonts w:ascii="IRNazanin" w:hAnsi="IRNazanin" w:eastAsia="IRNazanin"/>
          <w:color w:val="111111"/>
          <w:sz w:val="28"/>
          <w:sz w:val="28"/>
          <w:szCs w:val="28"/>
          <w:rtl w:val="true"/>
          <w:lang w:bidi="fa-IR"/>
        </w:rPr>
        <w:t>الوضوء</w:t>
      </w:r>
    </w:p>
    <w:p>
      <w:pPr>
        <w:pStyle w:val="Heading3"/>
        <w:numPr>
          <w:ilvl w:val="2"/>
          <w:numId w:val="1"/>
        </w:numPr>
        <w:rPr/>
      </w:pPr>
      <w:bookmarkStart w:id="530" w:name="__RefHeading___Toc3103766_373438147"/>
      <w:bookmarkStart w:id="531" w:name="_Toc204"/>
      <w:bookmarkEnd w:id="530"/>
      <w:r>
        <w:rPr>
          <w:rtl w:val="true"/>
        </w:rPr>
        <w:t>بدء تشريع الوضوء</w:t>
      </w:r>
      <w:bookmarkEnd w:id="531"/>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و أبو نعيم عن عروة بن الزبير أنّ جبرئيل لمّا نزل على النبيّ صلّى اللّه عليه و آله في أوّل البعثة، ففتح عينا من ماء فتوضّأ و محمد صلّى اللّه عليه و آله ينظر إليه، فغسل وجهه و يديه إلى المرفقين، و مسح برأسه و رجليه إلى الكعبين، ففعل محمد صلّى اللّه عليه و آله كما رأى جبرئيل يفعل</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السيرة الحلبيّة،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26890</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3103768_373438147"/>
      <w:bookmarkStart w:id="533" w:name="_Toc205"/>
      <w:bookmarkEnd w:id="532"/>
      <w:r>
        <w:rPr>
          <w:rtl w:val="true"/>
        </w:rPr>
        <w:t>بدء الخلاف في الوضوء</w:t>
      </w:r>
      <w:bookmarkEnd w:id="533"/>
    </w:p>
    <w:p>
      <w:pPr>
        <w:pStyle w:val="BookText"/>
        <w:rPr/>
      </w:pPr>
      <w:r>
        <w:rPr>
          <w:rFonts w:ascii="Amiri" w:hAnsi="Amiri" w:eastAsia="Amiri" w:cs="Amiri"/>
          <w:color w:val="111111"/>
          <w:sz w:val="28"/>
          <w:sz w:val="28"/>
          <w:szCs w:val="28"/>
          <w:rtl w:val="true"/>
          <w:lang w:bidi="ar-SA"/>
        </w:rPr>
        <w:t>أوّل من نقل عنه الخلاف في صفة وضوء رسول اللّه صلّى اللّه عليه و آله هو الخليفة الثالث و لكن يبدو من بعض النصوص أنّ الخلاف كان من عهد الخليفة الثاني، كما عن الطبراني في الأوسط و سيأتي الإشارة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مالك الدمشقي،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w:t>
      </w:r>
      <w:bookmarkStart w:id="534" w:name="pg1254_13430"/>
    </w:p>
    <w:p>
      <w:pPr>
        <w:pStyle w:val="BookText"/>
        <w:rPr/>
      </w:pPr>
      <w:bookmarkEnd w:id="534"/>
      <w:r>
        <w:rPr>
          <w:rFonts w:ascii="Amiri" w:hAnsi="Amiri" w:eastAsia="Amiri" w:cs="Amiri"/>
          <w:color w:val="111111"/>
          <w:sz w:val="28"/>
          <w:sz w:val="28"/>
          <w:szCs w:val="28"/>
          <w:rtl w:val="true"/>
          <w:lang w:bidi="ar-SA"/>
        </w:rPr>
        <w:t>عثمان بن عفّان اختلف في خلافته في الوضوء، فاذّن للنّاس فدخلوا عليه فدعا بماء فغسل</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بن عفّان بوضوء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يتحدّثون عن رسول اللّه صلّى اللّه عليه و آله بأحاديث لا أدري إلاّ أنّي رأيت رسول اللّه صلّى اللّه عليه و آله توضّأ مثل 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هكذا غفر له ما تقدّم من ذنبه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المتّقي الهندى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علقمة، عن عثمان بن عفّان أنّه دعا يوما بوضوء ثمّ دعا ناسا من أصحاب رسول اللّه صلّى اللّه عليه و آله، فأفرغ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أكذلك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كذلك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استشهد ناسا من أصحاب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50"/>
      </w:r>
    </w:p>
    <w:p>
      <w:pPr>
        <w:pStyle w:val="Heading3"/>
        <w:numPr>
          <w:ilvl w:val="2"/>
          <w:numId w:val="1"/>
        </w:numPr>
        <w:rPr/>
      </w:pPr>
      <w:bookmarkStart w:id="535" w:name="__RefHeading___Toc3103770_373438147"/>
      <w:bookmarkStart w:id="536" w:name="_Toc206"/>
      <w:bookmarkEnd w:id="535"/>
      <w:r>
        <w:rPr>
          <w:rtl w:val="true"/>
        </w:rPr>
        <w:t>كيفية غسل اليدين</w:t>
      </w:r>
      <w:bookmarkEnd w:id="536"/>
    </w:p>
    <w:p>
      <w:pPr>
        <w:pStyle w:val="Heading4"/>
        <w:numPr>
          <w:ilvl w:val="3"/>
          <w:numId w:val="1"/>
        </w:numPr>
        <w:rPr/>
      </w:pPr>
      <w:bookmarkStart w:id="537" w:name="__RefHeading___Toc3103772_373438147"/>
      <w:bookmarkStart w:id="538" w:name="_Toc207"/>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مقام بيان حدّ غسل اليد، و أنّ حدّه إلى المرفق، لا أكثر و لا أقلّ، و ليست في مقام بيان الكيفيّة للغسل، بل هي مطلقة من هذا الحيث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 وَ لاٰ تَأْكُلُوا</w:t>
      </w:r>
      <w:bookmarkStart w:id="539" w:name="pg1254_13431"/>
    </w:p>
    <w:p>
      <w:pPr>
        <w:pStyle w:val="BookText"/>
        <w:rPr/>
      </w:pPr>
      <w:bookmarkEnd w:id="539"/>
      <w:r>
        <w:rPr>
          <w:rFonts w:ascii="Amiri" w:hAnsi="Amiri" w:eastAsia="Amiri" w:cs="Amiri"/>
          <w:color w:val="111111"/>
          <w:sz w:val="28"/>
          <w:sz w:val="28"/>
          <w:szCs w:val="28"/>
          <w:rtl w:val="true"/>
          <w:lang w:bidi="ar-SA"/>
        </w:rPr>
        <w:t>أَمْوٰالَهُمْ إِلىٰ أَمْوٰالِكُمْ ؛</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يمكن الاستدلال بالآية على الكيفيّة، و أنّها من الأسفل إلى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الفهم العرفي هو الغسل من الأعلى إلى الأسفل</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3103774_373438147"/>
      <w:bookmarkStart w:id="541" w:name="_Toc208"/>
      <w:bookmarkEnd w:id="540"/>
      <w:r>
        <w:rPr>
          <w:rtl w:val="true"/>
        </w:rPr>
        <w:t>مع المفسّرين</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 الماء على المرفق حتى سال إلى الكفّ،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لأنّه تعالى قال وَ أَيْدِيَكُمْ إِلَى الْمَرٰافِقِ فجعل المرافق غاية الغسل، فجعله مبدأ الغسل خلاف الآية، فوجب أن لا يجوز، قال الجمهور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 بصحّة الوضوء إلاّ أنّه يكون تركا للسنّة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أنّ هذا ليس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على أنّ من بدأ من المرفقين في غسل اليدين صحّ وضوؤه و اختلفوا في صحّة وضوء من بدأ من الأصابع إلى المرفق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2" w:name="__RefHeading___Toc3103776_373438147"/>
      <w:bookmarkStart w:id="543" w:name="_Toc209"/>
      <w:bookmarkEnd w:id="542"/>
      <w:r>
        <w:rPr>
          <w:rtl w:val="true"/>
        </w:rPr>
        <w:t>أحاديث في المسح على القدمين</w:t>
      </w:r>
      <w:bookmarkEnd w:id="543"/>
    </w:p>
    <w:p>
      <w:pPr>
        <w:pStyle w:val="Heading4"/>
        <w:numPr>
          <w:ilvl w:val="3"/>
          <w:numId w:val="1"/>
        </w:numPr>
        <w:rPr/>
      </w:pPr>
      <w:bookmarkStart w:id="544" w:name="__RefHeading___Toc3103778_373438147"/>
      <w:bookmarkStart w:id="545" w:name="_Toc210"/>
      <w:bookmarkEnd w:id="544"/>
      <w:r>
        <w:rPr>
          <w:rtl w:val="true"/>
        </w:rPr>
        <w:t>اشارة</w:t>
      </w:r>
      <w:bookmarkEnd w:id="5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في كتب أهل السنّة أحاديث صحاح تصرّح بأنّ النبيّ صلّى اللّه عليه و آله كان يمسح على قدميه، و هكذا كان عليّ عليه السّلام و بعض الصحابة يمسح على قدميه بدلا من غسله، و إليك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المتّقي الهندي عن ابن أبي شيبة و مسند أحمد، و تأريخ البخاري، و مسند العدني و مصباح السنة للبغوي، و مسند الباوردي، و المعجم الكبير و جامع أبى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تميم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يتوضّأ و يمسح على رجليه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أبي شيبة، عن ابن عيينة، عن عمرو بن يحيى، عن أبيه، عن عبد اللّه بن زيد أنّ النبيّ صلّى اللّه عليه و آله توضّأ فغسل وجهه ثلاثا، و يديه مرّتين، و مسح برأسه و رجليه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رجاله ثقات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الجدير بالذكر أنّ البخاري يروي عن عبد اللّه بن زيد غسل الرجلين مع أنّ ابن أبي شيبة يروي عنه المسح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عروبة عن قتادة، عن مسلم بن يسار،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عثمان بماء فتوضّأ ثمّ ضحك،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تسألوني ممّا أضحك؟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توضّأ كما توضّأت، فمضمض، و استنشق، و غسل وجهه ثلاثا و يديه ثلاثا، و مسح برأسه و ظهر قدميه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تميم هذا هو تميم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bookmarkStart w:id="546" w:name="pg1254_13433"/>
    </w:p>
    <w:p>
      <w:pPr>
        <w:pStyle w:val="BookText"/>
        <w:rPr/>
      </w:pPr>
      <w:bookmarkEnd w:id="546"/>
      <w:r>
        <w:rPr>
          <w:rFonts w:ascii="Amiri" w:hAnsi="Amiri" w:eastAsia="Amiri" w:cs="Amiri"/>
          <w:color w:val="111111"/>
          <w:sz w:val="28"/>
          <w:sz w:val="28"/>
          <w:szCs w:val="28"/>
          <w:rtl w:val="true"/>
          <w:lang w:bidi="ar-SA"/>
        </w:rPr>
        <w:t>إنّ الذهبي يوثّق هؤلاء الخمسة نقلا عن علماء الرجال، و الرواة هم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مسلم بن يسار، و حمران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البخاري يروي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غسل رجليه بدلا من المسح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يعلى بن عطا عن أبيه، عن أوس بن أبي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أتى سباطة قوم فتوضّأ و مسح على قدميه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هشيما و يعلى بن عطاء و عطاء العامري مورد لقبول علماء الرجال</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أبو خيثمة، و ثنا إسحاق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 منصور، عن عبد 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عليّ رضي اللّه عنه، الظهر، فانطلق إلى مجلس له يجلسه في الرّحبة، فقعد و قعدنا حوله، ثمّ حضرت العصر فأتى بإناء فأخذ منه كفّا فتمضمض، و استنشق، و مسح بوجهه و ذراعيه، و مسح برأسه، و مسح برجليه ثمّ قام فشرب فضل إنائه،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رأيت رسول اللّه صلّى اللّه عليه و آله فعل كما فعلت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47" w:name="__RefHeading___Toc3103780_373438147"/>
      <w:bookmarkStart w:id="548" w:name="_Toc211"/>
      <w:bookmarkEnd w:id="547"/>
      <w:r>
        <w:rPr>
          <w:rtl w:val="true"/>
        </w:rPr>
        <w:t>دراسة في السند</w:t>
      </w:r>
      <w:bookmarkEnd w:id="54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إسحاق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صدوق لا بأس به، كما قاله</w:t>
      </w:r>
      <w:bookmarkStart w:id="549" w:name="pg1254_13434"/>
    </w:p>
    <w:p>
      <w:pPr>
        <w:pStyle w:val="BookText"/>
        <w:rPr/>
      </w:pPr>
      <w:bookmarkEnd w:id="549"/>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كثير العلم يرحل إليه، كما عن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يروي إلاّ عن ثقة كما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 ثبت في الحديث</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أمّا عبد الملك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عند النسائي و ابن خراش و ابن معين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أمّا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كوفي، تابعي، ثقة، كما عن العجلي</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وكيع، ثنا الأعمش عن أبي إسحاق عن عبد خير،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أنّ باطن القدمين أحقّ بالمسح من ظاهرهما حتى رأيت رسول اللّه صلّى اللّه عليه و آله يمسح ظاهرهما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0" w:name="__RefHeading___Toc3103782_373438147"/>
      <w:bookmarkStart w:id="551" w:name="_Toc212"/>
      <w:bookmarkEnd w:id="550"/>
      <w:r>
        <w:rPr>
          <w:rtl w:val="true"/>
        </w:rPr>
        <w:t>دراسة في السند</w:t>
      </w:r>
      <w:bookmarkEnd w:id="551"/>
    </w:p>
    <w:p>
      <w:pPr>
        <w:pStyle w:val="BookText"/>
        <w:rPr/>
      </w:pPr>
      <w:r>
        <w:rPr>
          <w:rFonts w:ascii="Amiri" w:hAnsi="Amiri" w:eastAsia="Amiri" w:cs="Amiri"/>
          <w:color w:val="111111"/>
          <w:sz w:val="28"/>
          <w:sz w:val="28"/>
          <w:szCs w:val="28"/>
          <w:rtl w:val="true"/>
          <w:lang w:bidi="ar-SA"/>
        </w:rPr>
        <w:t>أمّا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عندهم الإمام الحافظ، محدّث العراق، كما عن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ثقة، مأمونا عاليا، رفيعا، كثير الحديث</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حافظ، كما عن ابن حجر</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أمّا أبو إسحاق السبيعي، فهو ثقة، حجّة بلا نزاع،</w:t>
      </w:r>
      <w:r>
        <w:rPr>
          <w:rStyle w:val="FootnoteAnchor"/>
          <w:rtl w:val="true"/>
        </w:rPr>
        <w:footnoteReference w:id="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أعلام النبلاء،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كوفي، تابعي،</w:t>
      </w:r>
      <w:r>
        <w:rPr>
          <w:rStyle w:val="FootnoteAnchor"/>
          <w:rtl w:val="true"/>
        </w:rPr>
        <w:footnoteReference w:id="562"/>
      </w:r>
      <w:r>
        <w:rPr>
          <w:rFonts w:ascii="Amiri" w:hAnsi="Amiri" w:eastAsia="Amiri" w:cs="Amiri"/>
          <w:color w:val="111111"/>
          <w:sz w:val="28"/>
          <w:sz w:val="28"/>
          <w:szCs w:val="28"/>
          <w:rtl w:val="true"/>
          <w:lang w:bidi="ar-SA"/>
        </w:rPr>
        <w:t>ثقة، كما عن 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الحاكم النيسابوري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أحاديث متعدّدة، و بطرق متعدّدة عن رفاعة بن رافع الصحابي في تعليم النبيّ صلّى اللّه عليه و آله بعض أصحابه الوضوء، و قد أمره بالمسح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صحّح الذهبى حديثا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الأحاديث و إليك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حجّاج بن منهال، ثنا همام، ثنا إسحاق بن عبد اللّه بن أبي طلحة، ثنا عليّ بن يحيى بن خلاّد عن أبيه، عن عمّه رفاعة بن رافع، أنّه كان جالسا عند رسول اللّه صلّى اللّه عليه و آله إذ جاءه رجل، فدخل المسجد، فصلّى، فلمّا قضى صلاته جاء فسلّم على رسول اللّه صلّى اللّه عليه و آله و على القوم، 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فصلّ؛ لأنّك 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ذلك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عبت عليّ من صلاتي،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تتمّ صلاة أحدكم حتى يسبغ الوضوء كما أمره اللّه، فيغسل وجهه و يديه إلى المرفقين، و يمسح رأسه و رجليه إلى الكعبين ثم يكبّر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جعفر، ثنا سعيد عن قتادة، عن شهر بن حوشب، عن عبد الرحمن بن غنم، عن أبى مالك الأشعري، أنّه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أصلّي بكم صلاة رسول اللّه صلّى اللّه عليه و آله،</w:t>
      </w:r>
      <w:bookmarkStart w:id="552" w:name="pg1254_13436"/>
    </w:p>
    <w:p>
      <w:pPr>
        <w:pStyle w:val="BookText"/>
        <w:rPr/>
      </w:pPr>
      <w:bookmarkEnd w:id="552"/>
      <w:r>
        <w:rPr>
          <w:rFonts w:ascii="Amiri" w:hAnsi="Amiri" w:eastAsia="Amiri" w:cs="Amiri"/>
          <w:color w:val="111111"/>
          <w:sz w:val="28"/>
          <w:sz w:val="28"/>
          <w:szCs w:val="28"/>
          <w:rtl w:val="true"/>
          <w:lang w:bidi="ar-SA"/>
        </w:rPr>
        <w:t>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من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 أخت 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أخت القوم منهم، فدعا بجفنة فيها ماء، فتوضّأ، و مضمض، و استنشق، و غسل وجهه ثلاثا، و ذراعيه ثلاثا ثلاثا، و مسح برأسه و ظهر قدميه، ثم صلّى بهم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4"/>
        <w:numPr>
          <w:ilvl w:val="3"/>
          <w:numId w:val="1"/>
        </w:numPr>
        <w:rPr/>
      </w:pPr>
      <w:bookmarkStart w:id="553" w:name="__RefHeading___Toc3103784_373438147"/>
      <w:bookmarkStart w:id="554" w:name="_Toc213"/>
      <w:bookmarkEnd w:id="553"/>
      <w:r>
        <w:rPr>
          <w:rtl w:val="true"/>
        </w:rPr>
        <w:t>دراسة في السند</w:t>
      </w:r>
      <w:bookmarkEnd w:id="554"/>
    </w:p>
    <w:p>
      <w:pPr>
        <w:pStyle w:val="BookText"/>
        <w:rPr/>
      </w:pPr>
      <w:r>
        <w:rPr>
          <w:rFonts w:ascii="Amiri" w:hAnsi="Amiri" w:eastAsia="Amiri" w:cs="Amiri"/>
          <w:color w:val="111111"/>
          <w:sz w:val="28"/>
          <w:sz w:val="28"/>
          <w:szCs w:val="28"/>
          <w:rtl w:val="true"/>
          <w:lang w:bidi="ar-SA"/>
        </w:rPr>
        <w:t xml:space="preserve">أمّا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الحافظ المجوّد، الثبت، اتّفق أرباب الصحاح على الاحتجاج به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أمّا شهر بن حوشب، فعن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كبار علماء التابعين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أمّا سعيد بن أبي عروبة،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الكلام في توثيقهما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الرحمن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الفقيه الإمام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الأثير عن عبد الرحمن بن جبير بن نفير، عن أبيه أنّ أبا جبير قدم على النبيّ صلّى اللّه عليه و آله مع ابنته التي كان تزوّجها رسول اللّه صلّى اللّه عليه و آله، فدعا رسول اللّه صلّى اللّه عليه و آله بوضوء فغسل يديه فأنقاهما، ثم مضمض فاه، و استنشق بماء، ثمّ غسل وجهه و يديه إلى المرفقين ثلاثا، ثمّ مسح رأسه و رجليه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عن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w:t>
      </w:r>
      <w:bookmarkStart w:id="555" w:name="pg1254_13437"/>
    </w:p>
    <w:p>
      <w:pPr>
        <w:pStyle w:val="BookText"/>
        <w:rPr/>
      </w:pPr>
      <w:bookmarkEnd w:id="555"/>
      <w:r>
        <w:rPr>
          <w:rFonts w:ascii="Amiri" w:hAnsi="Amiri" w:eastAsia="Amiri" w:cs="Amiri"/>
          <w:color w:val="111111"/>
          <w:sz w:val="28"/>
          <w:sz w:val="28"/>
          <w:szCs w:val="28"/>
          <w:rtl w:val="true"/>
          <w:lang w:bidi="ar-SA"/>
        </w:rPr>
        <w:t>ذكر المسح على القدمين عند عمر سعد و عبد اللّه بن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أفقه منك،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إنّا لا ننكر أنّ رسول اللّه صلّى اللّه عليه و آله مسح، و لكن هل مسح منذ أنزلت سورة المائدة فإنّها أحكمت كلّ شيء و كانت آخر سورة من القرآن إلاّ براءة؟</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4"/>
        <w:numPr>
          <w:ilvl w:val="3"/>
          <w:numId w:val="1"/>
        </w:numPr>
        <w:rPr/>
      </w:pPr>
      <w:bookmarkStart w:id="556" w:name="__RefHeading___Toc3103786_373438147"/>
      <w:bookmarkStart w:id="557" w:name="_Toc214"/>
      <w:bookmarkEnd w:id="556"/>
      <w:r>
        <w:rPr>
          <w:rtl w:val="true"/>
        </w:rPr>
        <w:t>يستفاد من هذا النصّ أمور</w:t>
      </w:r>
      <w:r>
        <w:rPr>
          <w:rtl w:val="true"/>
        </w:rPr>
        <w:t>:</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سعد بن أبي وقّاص كان يرى المسح بدلا عن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 عمر بن الخطّاب بأنّ عمل النبيّ صلّى اللّه عليه و آله كان هو المسح قبل نزول سورة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الآية ناسخة للمسح لابدّ من بيان أوضح، مع أنّها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هذه الروايات الصريحة في أنّ فعل النبيّ صلّى اللّه عليه و آله كان هو المسح، هل يبقى مجال لقبول الروايات التي مفادها الغسل، فلا يمكن الأخذ بها حتى و لو كانت كثيرة؛ لأنّها لا تفيد القطع و اليقين؟ فكيف و أنّها ليست متواترة أو لم يثبت تواترها؛ إذ أنّ الصحابة الذين نقل عنهم الغسل، ورد عنهم المسح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الغسل مخالف لظاهر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w:t>
      </w:r>
    </w:p>
    <w:p>
      <w:pPr>
        <w:pStyle w:val="Heading3"/>
        <w:numPr>
          <w:ilvl w:val="2"/>
          <w:numId w:val="1"/>
        </w:numPr>
        <w:rPr/>
      </w:pPr>
      <w:bookmarkStart w:id="558" w:name="__RefHeading___Toc3103788_373438147"/>
      <w:bookmarkStart w:id="559" w:name="_Toc215"/>
      <w:bookmarkEnd w:id="558"/>
      <w:r>
        <w:rPr>
          <w:rtl w:val="true"/>
        </w:rPr>
        <w:t>الروايات من طريق أهل البيت عليهم السّلام</w:t>
      </w:r>
      <w:bookmarkEnd w:id="559"/>
    </w:p>
    <w:p>
      <w:pPr>
        <w:pStyle w:val="Heading4"/>
        <w:numPr>
          <w:ilvl w:val="3"/>
          <w:numId w:val="1"/>
        </w:numPr>
        <w:rPr/>
      </w:pPr>
      <w:bookmarkStart w:id="560" w:name="__RefHeading___Toc3103790_373438147"/>
      <w:bookmarkStart w:id="561" w:name="_Toc216"/>
      <w:bookmarkEnd w:id="560"/>
      <w:r>
        <w:rPr>
          <w:rtl w:val="true"/>
        </w:rPr>
        <w:t>اشارة</w:t>
      </w:r>
      <w:bookmarkEnd w:id="56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أحكي وضوء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بقعب فيه شيء من ماء، فوضعه بين يديه، ثمّ حسر عن ذراعيه، ثمّ غمس فيه</w:t>
      </w:r>
      <w:bookmarkStart w:id="562" w:name="pg1254_13438"/>
    </w:p>
    <w:p>
      <w:pPr>
        <w:pStyle w:val="BookText"/>
        <w:rPr/>
      </w:pPr>
      <w:bookmarkEnd w:id="562"/>
      <w:r>
        <w:rPr>
          <w:rFonts w:ascii="Amiri" w:hAnsi="Amiri" w:eastAsia="Amiri" w:cs="Amiri"/>
          <w:color w:val="111111"/>
          <w:sz w:val="28"/>
          <w:sz w:val="28"/>
          <w:szCs w:val="28"/>
          <w:rtl w:val="true"/>
          <w:lang w:bidi="ar-SA"/>
        </w:rPr>
        <w:t>كفّه اليمنى،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إن كانت الكفّ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غرف ملأها ماء فوضعها على جبهته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سدله على أطراف لحييه ثمّ أمرّ يده على وجهه و ظاهر جبهته مرّة واحدة، ثمّ غمس يده اليسرى فغرف بها ملأها، ثمّ وضعه على مرفقه اليمنى فأمرّ كفّه على ساعده حتّى جرى الماء على أطراف أصابعه، ثمّ غرف بيمينه ملأها فوضعه على مرفقه اليسرى، فأمرّ كفّه على ساعده حتى جرى الماء على أطراف أصابعه و مسح مقدّم رأسه و ظهر قدميه ببلّة يساره و بقية بلّة يمناه</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عن أهل البيت عليهم السّلام، و لكنّا نكتفي بهذه الرواية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الأحاديث الدالّة على غسل الرجلين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وضوء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بغسل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النبيّ صلّى اللّه عليه و آله الأعقاب التي لا تغسل بالنار</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103792_373438147"/>
      <w:bookmarkStart w:id="564" w:name="_Toc217"/>
      <w:bookmarkEnd w:id="563"/>
      <w:r>
        <w:rPr>
          <w:rtl w:val="true"/>
        </w:rPr>
        <w:t>أمّا القسم الأول</w:t>
      </w:r>
      <w:r>
        <w:rPr>
          <w:rtl w:val="true"/>
        </w:rPr>
        <w:t>:</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مولى عثمان بن عفّان أنّه رأى عثمان دعا بوضوء فأفرغ على يديه من إنائه فغسلها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غسل وجهه ثلاثا، و يديه إلى المرفقين ثلاثا، ثمّ مسح برأسه، ثمّ غسل كلّ رجل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يتوضّأ نحو وضوئي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هو ابن أبان، و كان حاجب عثمان، و لكن نفاه عثمان بعد ما</w:t>
      </w:r>
    </w:p>
    <w:p>
      <w:pPr>
        <w:pStyle w:val="BookText"/>
        <w:rPr/>
      </w:pPr>
      <w:r>
        <w:rPr>
          <w:rFonts w:ascii="Amiri" w:hAnsi="Amiri" w:eastAsia="Amiri" w:cs="Amiri"/>
          <w:color w:val="111111"/>
          <w:sz w:val="28"/>
          <w:sz w:val="28"/>
          <w:szCs w:val="28"/>
          <w:rtl w:val="true"/>
          <w:lang w:bidi="ar-SA"/>
        </w:rPr>
        <w:t>غضب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و لم أرهم يحتجّون بحديثه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فأخرجنا له ماء في تور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صفر، فتوضّأ فغسل وجهه ثلاثا، و يديه مرّتين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رجليه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قسم من الأحاديث التي فيها حكاية وضوء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أخذ فيها أنّ النبيّ صلّى اللّه عليه و آله أمر بغسل الرجلين، و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توضّأنا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نغسل أرجلنا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قسم ثالث فيها هدّد بالنار، و عذاب الآخرة في الأعقاب التي لا تغسل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النبيّ صلّى اللّه عليه و آله عنّا في سفرة سافرناها، فأدركنا و قد أرهقنا العصر، فجعلنا نتوضّأ و نمسح على أرجلنا، 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هذا النوع من الأحاديث على وجوب الغسل بدلا عن المسح، و أنّ الغسل جزء من الوضوء، بل المقصود شجب الذين يصلّون و أرجلهم غير طاهرة، بل ملوّثة، و يشهد له أنّ الراوي نسب المسح إلى جمع من الصحابة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نتوضّأ و نمسح على أرجلنا</w:t>
      </w:r>
      <w:r>
        <w:rPr>
          <w:rFonts w:eastAsia="Amiri" w:cs="Amiri" w:ascii="Amiri" w:hAnsi="Amiri"/>
          <w:color w:val="111111"/>
          <w:sz w:val="28"/>
          <w:szCs w:val="28"/>
          <w:rtl w:val="true"/>
          <w:lang w:bidi="ar-SA"/>
        </w:rPr>
        <w:t>.</w:t>
      </w:r>
      <w:bookmarkStart w:id="565" w:name="pg1254_13440"/>
    </w:p>
    <w:p>
      <w:pPr>
        <w:pStyle w:val="BookText"/>
        <w:rPr/>
      </w:pPr>
      <w:bookmarkEnd w:id="565"/>
      <w:r>
        <w:rPr>
          <w:rFonts w:ascii="Amiri" w:hAnsi="Amiri" w:eastAsia="Amiri" w:cs="Amiri"/>
          <w:color w:val="111111"/>
          <w:sz w:val="28"/>
          <w:sz w:val="28"/>
          <w:szCs w:val="28"/>
          <w:rtl w:val="true"/>
          <w:lang w:bidi="ar-SA"/>
        </w:rPr>
        <w:t>و 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مقصود النبيّ صلّى اللّه عليه و آله هو أنّ الغسل جزء الوضوء لا المسح، لكان اللازم عليه أن يردع بالصراحة و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الأرجل و لا تمسحوا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الأخرى التي مفادها أنّ النبيّ صلّى اللّه عليه و آله غسل بدل المسح، أو أمر بالغسل، فهي مخالفة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للروايات الصحيحة الصريحة التي مفادها أنّ النبيّ صلّى اللّه عليه و آله مسح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تلك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أنس لأنس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الحجّاج خطبنا بالأهواز و نحن معه، فذكر الطهور،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 أَيْدِيَكُمْ ، وَ امْسَحُوا بِرُؤُسِكُمْ وَ أَرْجُلَكُمْ ، و أنّه ليس شيء من ابن آدم أقرب إلى خبثه من قدميه، فاغسلوا بطونهما و ظهورهما و عراقيبهما،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كذب الحجّاج،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66" w:name="__RefHeading___Toc3103794_373438147"/>
      <w:bookmarkStart w:id="567" w:name="_Toc218"/>
      <w:bookmarkEnd w:id="566"/>
      <w:r>
        <w:rPr>
          <w:rtl w:val="true"/>
        </w:rPr>
        <w:t>الدليل القرآني على مسح الأرجل</w:t>
      </w:r>
      <w:bookmarkEnd w:id="567"/>
    </w:p>
    <w:p>
      <w:pPr>
        <w:pStyle w:val="BookText"/>
        <w:rPr/>
      </w:pPr>
      <w:r>
        <w:rPr>
          <w:rFonts w:ascii="Amiri" w:hAnsi="Amiri" w:eastAsia="Amiri" w:cs="Amiri"/>
          <w:color w:val="111111"/>
          <w:sz w:val="28"/>
          <w:sz w:val="28"/>
          <w:szCs w:val="28"/>
          <w:rtl w:val="true"/>
          <w:lang w:bidi="ar-SA"/>
        </w:rPr>
        <w:t xml:space="preserve">في الآية جملتان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الثانية ارتباطها بالأولى من طريق العطف فقط، فلو قرئ أرجلكم بالكسر لكان عطفا على رؤسكم، و لكان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قرئ بالنصب، لكان عطفا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النحو من العطف شائع عند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568" w:name="pg1254_13441"/>
    </w:p>
    <w:p>
      <w:pPr>
        <w:pStyle w:val="BookText"/>
        <w:rPr/>
      </w:pPr>
      <w:bookmarkEnd w:id="568"/>
      <w:r>
        <w:rPr>
          <w:rFonts w:ascii="Amiri" w:hAnsi="Amiri" w:eastAsia="Amiri" w:cs="Amiri"/>
          <w:color w:val="111111"/>
          <w:sz w:val="28"/>
          <w:sz w:val="28"/>
          <w:szCs w:val="28"/>
          <w:rtl w:val="true"/>
          <w:lang w:bidi="ar-SA"/>
        </w:rPr>
        <w:t>العلماء، كما يقول في مغني اللبيب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بقائم و لا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سواء على الجرّ بالعطف على اللفظ، أو النصب بالعطف على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المعنى واحدا و هو مسح الرجلين</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3103796_373438147"/>
      <w:bookmarkStart w:id="570" w:name="_Toc219"/>
      <w:bookmarkEnd w:id="569"/>
      <w:r>
        <w:rPr>
          <w:rtl w:val="true"/>
        </w:rPr>
        <w:t>رأي العامّة</w:t>
      </w:r>
      <w:bookmarkEnd w:id="570"/>
    </w:p>
    <w:p>
      <w:pPr>
        <w:pStyle w:val="BookText"/>
        <w:rPr/>
      </w:pPr>
      <w:r>
        <w:rPr>
          <w:rFonts w:ascii="Amiri" w:hAnsi="Amiri" w:eastAsia="Amiri" w:cs="Amiri"/>
          <w:color w:val="111111"/>
          <w:sz w:val="28"/>
          <w:sz w:val="28"/>
          <w:szCs w:val="28"/>
          <w:rtl w:val="true"/>
          <w:lang w:bidi="ar-SA"/>
        </w:rPr>
        <w:t xml:space="preserve">لقد عطف كثير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و أَرْجُلَكُمْ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الارتكاز العرفي و الذوق السليم يأبى هذا الفصل،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زيدا و عمرا، و ضربت خالدا، و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بكر معطوفا على عمرو، فيكون موردا للإكرام لا الإهانة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الأصل يقتضي عدم الفصل بين الجملتين بالجملة الاعتراضية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المعطوف صالحا لأن يرجع إلى الأخير لا معنى لأن يرجع إلى ما قبله، كما صرّح بذلك الفخر الرازي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أنّه يجوز أن يكون عامل النصب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العاملان إذا اجتمعا على معمول واحد كان إعمال الأقرب أولى، فوجب أن يكون عامل النصب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اللام توجب المسح أيضا</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البعض منهم تبرير هذا العطف بذكر مثال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للجحر لا للضبّ، فلا بدّ أن يقرأ بالضم، و لكنّه يقرأ بالكسر مجاورة للضبّ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بالكسر للمجاورة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عند الشيعة و محققي السنّة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للمجاورة لم يكن من الاستعمالات الفصيحة، بل هو استعمال شاذّ و خلاف القاعدة، فلا بدّ و أن يبرأ كلام اللّه تعالى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المجاورة إذا قامت القرينة القطعيّة حتّى لا يحصل الالتباس، و ذلك مثل المثال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المجاورة إنّما تستعمل فيما لم يكن فيه 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بالمجاورة غلط، و لا دليل على الجرّ بالمجاورة، و قد صرّح النحاس بذلك</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عليه المحقّقون أنّ خفض الجوار يكون في النعت قليلا، كما مثّلنا، و في التوكيد نادرا، لا يكون في النسق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العطف بالواو،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العاطف يمنع من التجاور</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الجرّ على الجوار ضعيف شاذّ لم يرد منه إلاّ أحرف يسيرة، و الصواب 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به مسح الخفّ</w:t>
      </w:r>
      <w:r>
        <w:rPr>
          <w:rFonts w:eastAsia="Amiri" w:cs="Amiri" w:ascii="Amiri" w:hAnsi="Amiri"/>
          <w:color w:val="111111"/>
          <w:sz w:val="28"/>
          <w:szCs w:val="28"/>
          <w:rtl w:val="true"/>
          <w:lang w:bidi="ar-SA"/>
        </w:rPr>
        <w:t>.</w:t>
      </w:r>
      <w:r>
        <w:rPr>
          <w:rStyle w:val="FootnoteAnchor"/>
          <w:rtl w:val="true"/>
        </w:rPr>
        <w:footnoteReference w:id="574"/>
      </w:r>
      <w:bookmarkStart w:id="571" w:name="pg1254_13443"/>
    </w:p>
    <w:p>
      <w:pPr>
        <w:pStyle w:val="Heading3"/>
        <w:numPr>
          <w:ilvl w:val="2"/>
          <w:numId w:val="1"/>
        </w:numPr>
        <w:rPr/>
      </w:pPr>
      <w:bookmarkStart w:id="572" w:name="__RefHeading___Toc3103798_373438147"/>
      <w:bookmarkStart w:id="573" w:name="_Toc220"/>
      <w:bookmarkEnd w:id="571"/>
      <w:bookmarkEnd w:id="572"/>
      <w:r>
        <w:rPr>
          <w:rtl w:val="true"/>
        </w:rPr>
        <w:t>المسح على الأرجل عند الصحابة</w:t>
      </w:r>
      <w:bookmarkEnd w:id="573"/>
    </w:p>
    <w:p>
      <w:pPr>
        <w:pStyle w:val="BookText"/>
        <w:rPr/>
      </w:pPr>
      <w:r>
        <w:rPr>
          <w:rFonts w:ascii="Amiri" w:hAnsi="Amiri" w:eastAsia="Amiri" w:cs="Amiri"/>
          <w:color w:val="111111"/>
          <w:sz w:val="28"/>
          <w:sz w:val="28"/>
          <w:szCs w:val="28"/>
          <w:rtl w:val="true"/>
          <w:lang w:bidi="ar-SA"/>
        </w:rPr>
        <w:t>إنّ القول بالمسح على الأرجل مرويّ عن عليّ عليه السّلام، و عن ابن عبّاس، و أنس، و الشعبي، و عكرمة، و الحسن، كما روي عن الطبري التخيير بين الغسل 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نصّ كلام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قدامة غسل الرجلين واجب في قول أكثر أهل العلم، و قال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 رسول اللّه صلّى اللّه عليه و آله على غسل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أنّه مسح على نعليه و قدميه، ثمّ دخل المسجد فخلع نعليه، ثمّ صلّى، و حكي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كتاب اللّه إلاّ غسلتين و مستحتين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له قول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القدمين ظاهرهما و باطنهما، و خلّلوا ما بين الأصابع؛ فإنّه ليس شيء من ابن آدم أقرب إلى الخبث من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كذب الحجّاج،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مغسولان و ممسوحان، فالممسوحان يسقطان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من فقهاء المسلمين من يقول بالمسح على الرجلين غير من ذكرنا إلاّ ما حكي عن ابن جرير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بين المسح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يعلى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أوس بن أبي أوس الثقفي أنّه رأى النبيّ صلّى اللّه عليه و آله أتى كظامة</w:t>
      </w:r>
      <w:r>
        <w:rPr>
          <w:rStyle w:val="FootnoteAnchor"/>
          <w:rtl w:val="true"/>
        </w:rPr>
        <w:footnoteReference w:id="5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الكظامة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كظائم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و هي آبار تحفر في الأرض متناسقة، و يخرق بعضها إلى بعض تحت الأرض، فتجتمع مياهها جارية ثمّ تخرج عند منتهاها، فتسيح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 الأثر،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بالطائف، فتوضّأ</w:t>
      </w:r>
    </w:p>
    <w:p>
      <w:pPr>
        <w:pStyle w:val="BookText"/>
        <w:rPr/>
      </w:pPr>
      <w:r>
        <w:rPr>
          <w:rFonts w:ascii="Amiri" w:hAnsi="Amiri" w:eastAsia="Amiri" w:cs="Amiri"/>
          <w:color w:val="111111"/>
          <w:sz w:val="28"/>
          <w:sz w:val="28"/>
          <w:szCs w:val="28"/>
          <w:rtl w:val="true"/>
          <w:lang w:bidi="ar-SA"/>
        </w:rPr>
        <w:t>و مسح على قدميه، 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في أوّل الإسلام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بالمسح على الرجلين جماعة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و ابن عبّاس، و الحسن، و عكرمة، و الشعبي، و جماعة غيرهم، و هو قول الطبري، و رويت في ذلك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همام عن إسحاق بن عبد اللّه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يحيى بن خلاّد عن أبيه،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رفاعة بن رافع، أنّه سمع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يجوز صلاة أحدكم حتى يسبغ الوضوء كما أمره اللّه عزّ و جل ثمّ يغسل وجهه و يديه إلى المرفقين، و يمسح رأسه و رجليه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يونس عن الأعمش، عن عبد خير،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باطن القدمين أحقّ بالمسح حتى رأيت رسول اللّه صلّى اللّه عليه و آله يمسح ظاهرهما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مسح الرجلين و في غسلهما، فنقل القفّال في تفسيره عن ابن عبّاس، و أنس بن مالك، و عكرمة، و الشعبي، و أبي جعفر 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فيهما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الإماميّة من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لم يكن القول بغسل الرجلين إجماعيّا، بل إنّ كثيرا من أهل العلم بمن فيهم من الصحابة و التابعين و أتباع التابعين من الفقهاء كانوا يرون المسح على القدمين بدلا من الغسل</w:t>
      </w:r>
      <w:r>
        <w:rPr>
          <w:rFonts w:eastAsia="Amiri" w:cs="Amiri" w:ascii="Amiri" w:hAnsi="Amiri"/>
          <w:color w:val="111111"/>
          <w:sz w:val="28"/>
          <w:szCs w:val="28"/>
          <w:rtl w:val="true"/>
          <w:lang w:bidi="ar-SA"/>
        </w:rPr>
        <w:t>.</w:t>
      </w:r>
      <w:bookmarkStart w:id="574" w:name="pg1254_13445"/>
    </w:p>
    <w:p>
      <w:pPr>
        <w:pStyle w:val="Heading3"/>
        <w:numPr>
          <w:ilvl w:val="2"/>
          <w:numId w:val="1"/>
        </w:numPr>
        <w:rPr/>
      </w:pPr>
      <w:bookmarkStart w:id="575" w:name="__RefHeading___Toc3103800_373438147"/>
      <w:bookmarkStart w:id="576" w:name="_Toc221"/>
      <w:bookmarkEnd w:id="574"/>
      <w:bookmarkEnd w:id="575"/>
      <w:r>
        <w:rPr>
          <w:rtl w:val="true"/>
        </w:rPr>
        <w:t>تهافت المفسّرين</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الكثيرة وردت بإيجاب الغسل، و الغسل مشتمل على المسح، و لا ينعكس، فكان الغسل أقرب إلى الاحتياط، فوجب المصير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 المسح مفهومان متبائنان، و لا معنى للاحتياط فيها إلاّ بالغسل و المسح معا، لا تقديم الغسل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عطف المسح على الغسل هو التغاير بينهما، و أنّ المطلوب هو المسح لا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المسح مشترك يطلق بمعنى المسح، و يطلق بمعنى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في كلام العرب يكون غسلا و يكون مسحا، و منه يقال للرجل إذا توضّأ فغسل أعضاءه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بالنقل عن العرب أنّ المسح يكون بمعنى الغسل، فترجّح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بقراءة الخفض الغسل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و المسح متباينان، و استعمال المسح في الغسل أعمّ من وضع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المسح على الغسل لعلّه لأجل المناسبة و هي حصول المسح في غسل الأعضاء، و لعلّه لأجل إزالة القذارة المعنويّة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المسح عقيب الغسل في الآية قرينة على اختلاف المعنى في المراد من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مسح الرأس، فإن كان المراد بالنسبة إلى الرجل هو الغسل، لزم استعمال اللفظ الواحد في معنيين، و هو غير ممكن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ما خطر ببالي من البحث و التحقيق في مسألة الوضوء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أوّلا و آخرا</w:t>
      </w:r>
      <w:r>
        <w:rPr>
          <w:rFonts w:eastAsia="Amiri" w:cs="Amiri" w:ascii="Amiri" w:hAnsi="Amiri"/>
          <w:color w:val="111111"/>
          <w:sz w:val="28"/>
          <w:szCs w:val="28"/>
          <w:rtl w:val="true"/>
          <w:lang w:bidi="ar-SA"/>
        </w:rPr>
        <w:t>.</w:t>
      </w:r>
      <w:bookmarkStart w:id="577" w:name="pg1254_13447"/>
    </w:p>
    <w:p>
      <w:pPr>
        <w:pStyle w:val="Heading2"/>
        <w:numPr>
          <w:ilvl w:val="1"/>
          <w:numId w:val="1"/>
        </w:numPr>
        <w:rPr/>
      </w:pPr>
      <w:bookmarkStart w:id="578" w:name="__RefHeading___Toc3103802_373438147"/>
      <w:bookmarkStart w:id="579" w:name="_Toc222"/>
      <w:bookmarkEnd w:id="577"/>
      <w:bookmarkEnd w:id="578"/>
      <w:r>
        <w:rPr>
          <w:rtl w:val="true"/>
        </w:rPr>
        <w:t>القسم السادس دراسة حول صوم عاشوراء</w:t>
      </w:r>
      <w:bookmarkEnd w:id="57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0" w:name="__RefHeading___Toc3103804_373438147"/>
      <w:bookmarkStart w:id="581" w:name="_Toc223"/>
      <w:bookmarkEnd w:id="580"/>
      <w:r>
        <w:rPr>
          <w:rtl w:val="true"/>
        </w:rPr>
        <w:t>اشارة</w:t>
      </w:r>
      <w:bookmarkStart w:id="582" w:name="pg1254_13449"/>
      <w:bookmarkEnd w:id="581"/>
    </w:p>
    <w:p>
      <w:pPr>
        <w:pStyle w:val="Heading3"/>
        <w:numPr>
          <w:ilvl w:val="2"/>
          <w:numId w:val="1"/>
        </w:numPr>
        <w:rPr/>
      </w:pPr>
      <w:bookmarkStart w:id="583" w:name="__RefHeading___Toc3103806_373438147"/>
      <w:bookmarkStart w:id="584" w:name="_Toc224"/>
      <w:bookmarkEnd w:id="582"/>
      <w:bookmarkEnd w:id="583"/>
      <w:r>
        <w:rPr>
          <w:rtl w:val="true"/>
        </w:rPr>
        <w:t>عاشوراء في اللغة</w:t>
      </w:r>
      <w:bookmarkEnd w:id="584"/>
    </w:p>
    <w:p>
      <w:pPr>
        <w:pStyle w:val="BookText"/>
        <w:rPr/>
      </w:pP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فاعولاء ممدودا و مقصورا، مجرّدا عن لام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منه</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قاموس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اسم إسلاميّ لم يعرف في الجاهليّة،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مشتقّ من العشر الذي هو اسم للعدد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معدول عن عاشرة، للمبالغة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أوراد الإبل،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الإبل عشرا إذا وردت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لليلة العاشر؛ لأنّه مأخوذ من العشر الذي هو اسم الفعل و اليوم مضاف إليها،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فكأنّه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الليلة العاشرة</w:t>
      </w:r>
      <w:r>
        <w:rPr>
          <w:rFonts w:eastAsia="Amiri" w:cs="Amiri" w:ascii="Amiri" w:hAnsi="Amiri"/>
          <w:color w:val="111111"/>
          <w:sz w:val="28"/>
          <w:szCs w:val="28"/>
          <w:rtl w:val="true"/>
          <w:lang w:bidi="ar-SA"/>
        </w:rPr>
        <w:t>.</w:t>
      </w:r>
      <w:r>
        <w:rPr>
          <w:rStyle w:val="FootnoteAnchor"/>
          <w:rtl w:val="true"/>
        </w:rPr>
        <w:footnoteReference w:id="579"/>
      </w:r>
    </w:p>
    <w:p>
      <w:pPr>
        <w:pStyle w:val="Heading3"/>
        <w:numPr>
          <w:ilvl w:val="2"/>
          <w:numId w:val="1"/>
        </w:numPr>
        <w:rPr/>
      </w:pPr>
      <w:bookmarkStart w:id="585" w:name="__RefHeading___Toc3103808_373438147"/>
      <w:bookmarkStart w:id="586" w:name="_Toc225"/>
      <w:bookmarkEnd w:id="585"/>
      <w:r>
        <w:rPr>
          <w:rtl w:val="true"/>
        </w:rPr>
        <w:t>عاشوراء و جذورها التأريخيّة</w:t>
      </w:r>
      <w:bookmarkEnd w:id="58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بعض الروايات أنّ عاشوراء ممّا عرّفه اللّه لبعض الأنبياء عليهم السّلام،</w:t>
      </w:r>
      <w:bookmarkStart w:id="587" w:name="pg1254_13450"/>
    </w:p>
    <w:p>
      <w:pPr>
        <w:pStyle w:val="BookText"/>
        <w:rPr/>
      </w:pPr>
      <w:bookmarkEnd w:id="587"/>
      <w:r>
        <w:rPr>
          <w:rFonts w:ascii="Amiri" w:hAnsi="Amiri" w:eastAsia="Amiri" w:cs="Amiri"/>
          <w:color w:val="111111"/>
          <w:sz w:val="28"/>
          <w:sz w:val="28"/>
          <w:szCs w:val="28"/>
          <w:rtl w:val="true"/>
          <w:lang w:bidi="ar-SA"/>
        </w:rPr>
        <w:t>كما في حديث مناجاة موسى عليه السّلام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لم فضّلت أمّة محمّد صلّى اللّه عليه و آله على سائر الأمم؟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فضّلتهم لعشر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عاشوراء</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حاشية الجمل،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103810_373438147"/>
      <w:bookmarkStart w:id="589" w:name="_Toc226"/>
      <w:bookmarkEnd w:id="588"/>
      <w:r>
        <w:rPr>
          <w:rtl w:val="true"/>
        </w:rPr>
        <w:t>حكم صوم عاشوراء</w:t>
      </w:r>
      <w:bookmarkEnd w:id="589"/>
    </w:p>
    <w:p>
      <w:pPr>
        <w:pStyle w:val="BookText"/>
        <w:rPr/>
      </w:pPr>
      <w:r>
        <w:rPr>
          <w:rFonts w:ascii="Amiri" w:hAnsi="Amiri" w:eastAsia="Amiri" w:cs="Amiri"/>
          <w:color w:val="111111"/>
          <w:sz w:val="28"/>
          <w:sz w:val="28"/>
          <w:szCs w:val="28"/>
          <w:rtl w:val="true"/>
          <w:lang w:bidi="ar-SA"/>
        </w:rPr>
        <w:t>تارة الكلام في حكمه قبل نزول صوم رمضان، و أخرى حكمه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فقهاؤنا في أنّه هل كان واجبا أم لا؟ فعن المحقّق النجفي في الجواهر، و المحقّق القمّي في الغنائم، و السيّد الموسوي العاملي في المدارك</w:t>
      </w:r>
      <w:r>
        <w:rPr>
          <w:rStyle w:val="FootnoteAnchor"/>
          <w:rtl w:val="true"/>
        </w:rPr>
        <w:footnoteReference w:id="581"/>
      </w:r>
      <w:r>
        <w:rPr>
          <w:rFonts w:ascii="Amiri" w:hAnsi="Amiri" w:eastAsia="Amiri" w:cs="Amiri"/>
          <w:color w:val="111111"/>
          <w:sz w:val="28"/>
          <w:sz w:val="28"/>
          <w:szCs w:val="28"/>
          <w:rtl w:val="true"/>
          <w:lang w:bidi="ar-SA"/>
        </w:rPr>
        <w:t>الأوّل، كما أنّ ذلك هو مفاد رواياتنا أيضا، فعن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صومه قبل شهر رمضان، فلمّا نزل شهر رمضان ترك</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صوم عاشوراء بين السنّة و البدعة،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باقي المذاهب الإسلاميّة؛ فعن أبي حنيفة أنّه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أهل السنّة على عدم الوجود، كما عن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للشافعي قولان، و لأحمد</w:t>
      </w:r>
      <w:r>
        <w:rPr>
          <w:rStyle w:val="FootnoteAnchor"/>
          <w:rtl w:val="true"/>
        </w:rPr>
        <w:footnoteReference w:id="583"/>
      </w:r>
      <w:r>
        <w:rPr>
          <w:rFonts w:ascii="Amiri" w:hAnsi="Amiri" w:eastAsia="Amiri" w:cs="Amiri"/>
          <w:color w:val="111111"/>
          <w:sz w:val="28"/>
          <w:sz w:val="28"/>
          <w:szCs w:val="28"/>
          <w:rtl w:val="true"/>
          <w:lang w:bidi="ar-SA"/>
        </w:rPr>
        <w:t>روايتان، و بعض فقهائنا اكتفى بنقل الخلاف من دون ترجيح جانب من</w:t>
      </w:r>
      <w:bookmarkStart w:id="590" w:name="pg1254_13451"/>
    </w:p>
    <w:p>
      <w:pPr>
        <w:pStyle w:val="BookText"/>
        <w:rPr/>
      </w:pPr>
      <w:bookmarkEnd w:id="590"/>
      <w:r>
        <w:rPr>
          <w:rFonts w:ascii="Amiri" w:hAnsi="Amiri" w:eastAsia="Amiri" w:cs="Amiri"/>
          <w:color w:val="111111"/>
          <w:sz w:val="28"/>
          <w:sz w:val="28"/>
          <w:szCs w:val="28"/>
          <w:rtl w:val="true"/>
          <w:lang w:bidi="ar-SA"/>
        </w:rPr>
        <w:t>الاختلاف، كالعلاّمة الحلّي في التذكرة و المنتهى، و المحقّق السبزواري في الذخيرة</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تذكرة الفقهاء،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ذخيرة المعاد،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بعد نزول صوم رمضان، فهو مختلف فيه رواية و رأيا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على طائفتين منها ما تنهى عن الصوم في يوم عاشوراء، و أنّه صوم متروك أو منهيّ عنه، أو أنّه بدعة و ما هو يوم صوم، أو أنّه صوم الأدعياء، أو أنّ حظّ الصائم فيه هو النار، أو أنّ النبيّ صلّى اللّه عليه و آله ما كان يصومه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أخرى معارضة لها، و أنّ صومه كفّارة سنة، أو أنّ النبيّ صلّى اللّه عليه و آله كان يأمر الصبيان بالإمساك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عندهم مختلفة، ففي بعضها أنّه ما كان النبيّ صلّى اللّه عليه و آله يصوم يوم عاشوراء، أو أنّه لم يأمر به بعد نزول صوم رمضان، كما في صحيح البخاري و صحيح مسلم و سائر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تفيد الاستحباب و التأكيد عليه، و قد جمعها الهيثمي في زوائده</w:t>
      </w:r>
      <w:r>
        <w:rPr>
          <w:rStyle w:val="FootnoteAnchor"/>
          <w:rtl w:val="true"/>
        </w:rPr>
        <w:footnoteReference w:id="585"/>
      </w:r>
      <w:r>
        <w:rPr>
          <w:rFonts w:ascii="Amiri" w:hAnsi="Amiri" w:eastAsia="Amiri" w:cs="Amiri"/>
          <w:color w:val="111111"/>
          <w:sz w:val="28"/>
          <w:sz w:val="28"/>
          <w:szCs w:val="28"/>
          <w:rtl w:val="true"/>
          <w:lang w:bidi="ar-SA"/>
        </w:rPr>
        <w:t>، و ضعّف و ناقض في كثير من أسانيدها</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3103812_373438147"/>
      <w:bookmarkStart w:id="592" w:name="_Toc227"/>
      <w:bookmarkEnd w:id="591"/>
      <w:r>
        <w:rPr>
          <w:rtl w:val="true"/>
        </w:rPr>
        <w:t>تفصيل البحث في الروايات</w:t>
      </w:r>
      <w:bookmarkEnd w:id="592"/>
    </w:p>
    <w:p>
      <w:pPr>
        <w:pStyle w:val="BookText"/>
        <w:rPr/>
      </w:pPr>
      <w:r>
        <w:rPr>
          <w:rFonts w:ascii="Amiri" w:hAnsi="Amiri" w:eastAsia="Amiri" w:cs="Amiri"/>
          <w:color w:val="111111"/>
          <w:sz w:val="28"/>
          <w:sz w:val="28"/>
          <w:szCs w:val="28"/>
          <w:rtl w:val="true"/>
          <w:lang w:bidi="ar-SA"/>
        </w:rPr>
        <w:t>أمّا الموافقة من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تسع</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صومه قبل شهر رمضان، فلمّا نزل</w:t>
      </w:r>
    </w:p>
    <w:p>
      <w:pPr>
        <w:pStyle w:val="BookText"/>
        <w:rPr/>
      </w:pPr>
      <w:r>
        <w:rPr>
          <w:rFonts w:ascii="Amiri" w:hAnsi="Amiri" w:eastAsia="Amiri" w:cs="Amiri"/>
          <w:color w:val="111111"/>
          <w:sz w:val="28"/>
          <w:sz w:val="28"/>
          <w:szCs w:val="28"/>
          <w:rtl w:val="true"/>
          <w:lang w:bidi="ar-SA"/>
        </w:rPr>
        <w:t>شهر رمضان،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زرارة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في يوم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 في السند تأمّل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الحسن بن عليّ الوشّاء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متروك بنزول شهر رمضان، و المتروك بدعة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هو قويّ سندا عند المجلسي الأوّل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صوم يوم ما نزل به كتاب، و لا جرت به سنّة إلاّ سنّة آل زياد بقتل الحسين بن عليّ عليهما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عبد الملك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أصيب فيه الحسين صريعا بين أصحابه، و أصحابه صرعى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أفصوم يكون في ذلك اليوم، و ما هو يوم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صامه أو تبرّك به، حشره اللّه مع آل زياد ممسوخ القلب، مسخوط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ضعيفة السند عند البعض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صوم عاشوراء، و ما يقول الناس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صوم ابن مرجانة تسألني؟ ذلك يوم صامه الأدعياء لمقتل الحسين، و هو يتشاءم به آل محمّد و يتشاءم به أهل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يصام و لا 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صامها أو تبرّك بها، لقى اللّه تبارك و تعالى ممسوخ القلب، و كان حشره مع الذين سنّوا صومها و التبرّك بها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المجلسي الأوّل عن الحديث بالقويّ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المجلسي الثاني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الروايات فيه، و الأظهر عندي أنّ الأخبار الواردة بفضل صومه محمولة على التقيّة، و إنّما المستحبّ الإمساك على وجه الحزن إلى العصر، لا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الأحوط ترك صيامه مطلقا</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كما استظهر العلاّمة الطعّان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صام أو 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ماهيّة الصوم و نفس الإمساك إلى الغروب بنيّة الصوم مورد الكراهة عند أئمّة أهل البيت</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زيد النرسي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صامه كان حظّه من صيام ذلك اليوم حظّ ابن مرجانة و آل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حظّهم من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أعاذنا اللّه من النار و من عمل يقرّب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وصفها المجلسي الأوّل بالحسن كالصحيح</w:t>
      </w:r>
      <w:r>
        <w:rPr>
          <w:rFonts w:eastAsia="Amiri" w:cs="Amiri" w:ascii="Amiri" w:hAnsi="Amiri"/>
          <w:color w:val="111111"/>
          <w:sz w:val="28"/>
          <w:szCs w:val="28"/>
          <w:rtl w:val="true"/>
          <w:lang w:bidi="ar-SA"/>
        </w:rPr>
        <w:t>.</w:t>
      </w:r>
      <w:r>
        <w:rPr>
          <w:rStyle w:val="FootnoteAnchor"/>
          <w:rtl w:val="true"/>
        </w:rPr>
        <w:footnoteReference w:id="590"/>
      </w:r>
      <w:bookmarkStart w:id="593" w:name="pg1254_13454"/>
    </w:p>
    <w:p>
      <w:pPr>
        <w:pStyle w:val="BookText"/>
        <w:rPr/>
      </w:pPr>
      <w:bookmarkEnd w:id="59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أبي غندر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شامتا، 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لعنة اللّه و من أعانهم على قتل الحسين عليه السّلام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نذروا نذرا إن قتل الحسين و سلم من خرج إلى الحسين عليه السّلام و صارت الخلافة في آل أبي سفيان، أن يتّخذوا ذلك اليوم عيدا لهم، يصوموا فيه شكرا، و يفرّحون أولادهم، فصارت في آل أبي سفيان سنّة إلى اليوم في الناس، و اقتدى بهم الناس جميعا، فلذلك يصومونه و 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لا يكون للمصيبة، و لا يكون إلاّ شكرا للسلامة، و أنّ الحسين أصيب يوم عاشوراء، فان كنت فيمن أصيب به، فلا تصم، و إن كنت شامتا ممّن سرّك سلامة بني أمية، فصم شكرا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الروايات المانعة و إن كان بعضها ضعيفا و لكنّ استفاضتها، و وجودها، في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موافقتها لسيرة المتشرّعة، و أصحاب الأئمّة من عدم صيامهم، بل و للأئمّة عليهم السّلام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يخرجها عن الضعف، إضافة إلى اعتبار سندها عند الشيخ الطوسي، حيث إنّه جمع بينها و بين الروايات المجوّزة، و هذا الجمع دليل على الاعتبار السنديّ، و إضافة إلى وثاقة الحسين بن عليّ الهاشمي الذي قد يرمى بالإهمال و المجهوليّة</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3103814_373438147"/>
      <w:bookmarkStart w:id="595" w:name="_Toc228"/>
      <w:bookmarkEnd w:id="594"/>
      <w:r>
        <w:rPr>
          <w:rtl w:val="true"/>
        </w:rPr>
        <w:t>روايات الجواز</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رسول اللّه صلّى اللّه عليه و آله يوم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هذه الرواية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ص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الوافى،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موثّقة عند المجلسي</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حملها المحقّق القمّي على 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القدّاح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عاشوراء كفّارة سنة</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 هي مجهولة عند المجلسي</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كثير النوى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لزقت السفينة يوم عاشوراء</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هي ضعيفة السند، و حملت على التقيّة، و أنّ البركات المذكورة فيها من أكاذيب العامة</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مسعدة بن صدقة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العاشوراء، التاسع و العاشر؛ فإنّه يكفّر ذنوب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ضعيفة السند و محمولة على التقية</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كثيرا ما يتفل يوم عاشوراء في أفواه أطفال المراضع من ولد فاطمة عليهما السّلام من ريقه،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تطعموهم شيئا إلى الليل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596" w:name="pg1254_13456"/>
    </w:p>
    <w:p>
      <w:pPr>
        <w:pStyle w:val="BookText"/>
        <w:rPr/>
      </w:pPr>
      <w:bookmarkEnd w:id="596"/>
      <w:r>
        <w:rPr>
          <w:rFonts w:ascii="Amiri" w:hAnsi="Amiri" w:eastAsia="Amiri" w:cs="Amiri"/>
          <w:color w:val="111111"/>
          <w:sz w:val="28"/>
          <w:sz w:val="28"/>
          <w:szCs w:val="28"/>
          <w:rtl w:val="true"/>
          <w:lang w:bidi="ar-SA"/>
        </w:rPr>
        <w:t>و هي ضعيفة السند، قاصرة الدلالة</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الزهري عن الإمام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الصوم الذي صاحبه فيه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هي ضعيفة سندا و تعرّضنا للبحث عن الزهري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منهجيّة البخاري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محمولة على التقيّة، كما صرّح بذلك المجلسيان، و أنّ الأخبار في ذمّ الصوم، و أنّه يوم تبرّكت به بنو أمية‌لعنهم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بقتلهم الحسين عليه السّلام كثيرة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الجعفريات 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يوم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في اعتبار كتاب الجعفريات كلام، و قد ضعّفه المحقّق النجفي فى الجواهر</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صام ذلك اليوم، غفر له ذنوب سبعين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لكنّها ضعيف السند، و معارضة بأقوى منها</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3103816_373438147"/>
      <w:bookmarkStart w:id="598" w:name="_Toc229"/>
      <w:bookmarkEnd w:id="597"/>
      <w:r>
        <w:rPr>
          <w:rtl w:val="true"/>
        </w:rPr>
        <w:t>الأحاديث من طريق السنّة</w:t>
      </w:r>
      <w:bookmarkEnd w:id="598"/>
    </w:p>
    <w:p>
      <w:pPr>
        <w:pStyle w:val="Heading4"/>
        <w:numPr>
          <w:ilvl w:val="3"/>
          <w:numId w:val="1"/>
        </w:numPr>
        <w:rPr/>
      </w:pPr>
      <w:bookmarkStart w:id="599" w:name="__RefHeading___Toc3103818_373438147"/>
      <w:bookmarkStart w:id="600" w:name="_Toc230"/>
      <w:bookmarkEnd w:id="599"/>
      <w:r>
        <w:rPr>
          <w:rtl w:val="true"/>
        </w:rPr>
        <w:t>اشارة</w:t>
      </w:r>
      <w:bookmarkEnd w:id="60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كثيرة، و يظهر عليها التهافت و التعارض ممّا ألجأ الشرّاح و المحشّين</w:t>
      </w:r>
    </w:p>
    <w:p>
      <w:pPr>
        <w:pStyle w:val="BookText"/>
        <w:rPr/>
      </w:pPr>
      <w:r>
        <w:rPr>
          <w:rFonts w:ascii="Amiri" w:hAnsi="Amiri" w:eastAsia="Amiri" w:cs="Amiri"/>
          <w:color w:val="111111"/>
          <w:sz w:val="28"/>
          <w:sz w:val="28"/>
          <w:szCs w:val="28"/>
          <w:rtl w:val="true"/>
          <w:lang w:bidi="ar-SA"/>
        </w:rPr>
        <w:t>للصحاح و السنن إلى استخدام التأويلات و التمحّلات مع الغضّ عن الإشكالات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عاشوراء إن شاء صام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صلّى اللّه عليه و آله أمر بصيام يوم عاشوراء، فلمّا فرض رمضان كان من شاء صام و من شاء أفطر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يوم عاشوراء تصومه قريش في الجاهليّة، و كان رسول اللّه صلّى اللّه عليه و آله يصومه، فلمّا قدم المدينة و أمر بصيامه، فلمّا فرض رمضان ترك يوم عاشوراء، فمن شاء صامه، و من شاء تركه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بموسى منكم، فصامه و أمر بصيامه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النبيّ رجلا من أسلم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في الناس، إنّ من كان أكل، فليصم بقيّة يومه، و من لم يكن، فليصم يوم عاشوراء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عاشوراء أحتسب على اللّه أن يكفّر السنة التي قبله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أورده ابن عدي في الضعفاء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آمر بصيام عاشوراء من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مصنف عبد الرزاق،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الموطأ،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مسند الحميدي،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الدارمي،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الدارمي،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الترمذي،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الحميدي،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تهذيب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موسى</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إسحاق رمي بالتدليس، و بإفساده حديث أهل الكوفة</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يأمرنا بصيام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فرض رمضان لم يأمرنا به، و لم ينهنا عنه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واضح عدم الدلالة على الرجحان و لا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الإشكال في السند بجعفر بن أبي 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نصوم يوم عاشوراء و نعطي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ينزل علينا صوم رمضان و الزكاة، فلمّا نزلا لم نؤمر بهما و لم ننه عنهما، و كنّا نفعله</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 لكن لم يفهم منه الرجحان إضافة إلى الإشكال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عمر أرسل إلى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غدا يوم عاشوراء، فصم و أمر أهلك أن يصوموا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الحديث مرسل، و لم ينسبه إلى النبيّ صلّى اللّه عليه و آله مضافا إلى أنّه ليس بمشرّع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غطفان حين صام النبيّ صلّى اللّه عليه و آله يوم عاشوراء، أمرنا بصيامه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العام المقبل صمنا التاسع</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فضلا عن ضعف السند بيحيى بن أيّوب، تنافي ما ورد عن البخاري من أنّه ترك صوم عاشوراء بعد ما فرض رمضان</w:t>
      </w:r>
      <w:r>
        <w:rPr>
          <w:rFonts w:eastAsia="Amiri" w:cs="Amiri" w:ascii="Amiri" w:hAnsi="Amiri"/>
          <w:color w:val="111111"/>
          <w:sz w:val="28"/>
          <w:szCs w:val="28"/>
          <w:rtl w:val="true"/>
          <w:lang w:bidi="ar-SA"/>
        </w:rPr>
        <w:t>.</w:t>
      </w:r>
      <w:bookmarkStart w:id="601" w:name="pg1254_13459"/>
    </w:p>
    <w:p>
      <w:pPr>
        <w:pStyle w:val="BookText"/>
        <w:rPr/>
      </w:pPr>
      <w:bookmarkEnd w:id="60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آله كان يصوم يوم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مرسلة و مفادها الاستمرار، و هي تنافي ما ورد من أنّه صلّى اللّه عليه و آله لم يصم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الهيثمي قرابة ثلاثين حديثا في صوم عاشوراء و ضعّف أكثرها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الأشعث على ابن مسعود و هو يطعم،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يصام قبل أن ينزل رمضان، فلمّا نزل رمضان ترك، فادن و 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نصّ آخر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فرض شهر رمضان نسخه،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فقعدت، فأكلت</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3103820_373438147"/>
      <w:bookmarkStart w:id="603" w:name="_Toc231"/>
      <w:bookmarkEnd w:id="602"/>
      <w:r>
        <w:rPr>
          <w:rtl w:val="true"/>
        </w:rPr>
        <w:t>مناقشة الروايات</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تصومه في الجاهليّة، يعني قبل الإسلام، و كان رسول اللّه يصوم، أي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غير موجّه؛ لأنّ الجاهليّة إنّما هي قبل البعثة،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النبيّ صلّى اللّه عليه و آله كان يصومه في الجاهليّة، ثمّ يفسّره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الهجرة، و النبيّ صلّى اللّه عليه و آله أقام نبيّا في مكّة ثلاث عشر سنة،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 كان في الجاهليّة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جواد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أنّه خبر صيام قريش يوم عاشوراء هو خبر متأثّر، و لا يوجد له سند يؤيّده، و لا يعقل صيام قريش فيه و هم قوم مشركون،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المعجم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القارئ،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604" w:name="pg1254_13460"/>
    </w:p>
    <w:p>
      <w:pPr>
        <w:pStyle w:val="BookText"/>
        <w:rPr/>
      </w:pPr>
      <w:bookmarkEnd w:id="604"/>
      <w:r>
        <w:rPr>
          <w:rFonts w:ascii="Amiri" w:hAnsi="Amiri" w:eastAsia="Amiri" w:cs="Amiri"/>
          <w:color w:val="111111"/>
          <w:sz w:val="28"/>
          <w:sz w:val="28"/>
          <w:szCs w:val="28"/>
          <w:rtl w:val="true"/>
          <w:lang w:bidi="ar-SA"/>
        </w:rPr>
        <w:t>و صوم عاشوراء هو من صيام يهود، و هو صيام كفّارة و استغفار عندهم، فلم تستغفر قريش و يصومون هذا اليوم؟ و ماذا فعلوا من ذنب ليطلبوا من آلهتهم العفو و الغفران</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من تأريخ العرب،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تعيين الوقت الذي وقع فيه الأمر بصيام عاشوراء، و قد كان أوّل قدومه المدينة، و لا شكّ أنّ قدومه كان في ربيع الأوّل، فحينئذ كان الأمر بذلك في أوّل السنة الثانية، و في السنة الثانية فرض شهر رمضان، فعلى هذا، لم يقع الأمر بصيام عاشوراء إلاّ في سنة واحدة، ثمّ فوّض الأمر في صومه إلى رأي المتطوّع</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الأمر بصومه إلاّ في سنة واحدة، و على تقدير القول بفرضيّته، فقد نسخ و لم يرو عنه إنّه عليه الصلاة و السلام جدّد للناس أمرا بصيامه بعد فرض رمضان، بل تركهم على ما كانوا عليه من غير نهي عن صيامه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هذه التقارير و عشرات أمثالها إن دلّت على شيء، لدلّت على التهافت و التناقض بين الروايات، و عدم الانسجام فيما بينها، الأمر الذي ألجأ الشرّاح إلى هذه التمحّلات</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3103822_373438147"/>
      <w:bookmarkStart w:id="606" w:name="_Toc232"/>
      <w:bookmarkEnd w:id="605"/>
      <w:r>
        <w:rPr>
          <w:rtl w:val="true"/>
        </w:rPr>
        <w:t>آراء الفقهاء في صوم عاشوراء</w:t>
      </w:r>
      <w:bookmarkEnd w:id="60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فقهاء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القول بالاستحباب رغم مخالفة ابن مسعود</w:t>
      </w:r>
    </w:p>
    <w:p>
      <w:pPr>
        <w:pStyle w:val="BookText"/>
        <w:rPr/>
      </w:pPr>
      <w:r>
        <w:rPr>
          <w:rFonts w:ascii="Amiri" w:hAnsi="Amiri" w:eastAsia="Amiri" w:cs="Amiri"/>
          <w:color w:val="111111"/>
          <w:sz w:val="28"/>
          <w:sz w:val="28"/>
          <w:szCs w:val="28"/>
          <w:rtl w:val="true"/>
          <w:lang w:bidi="ar-SA"/>
        </w:rPr>
        <w:t>و ابن عمر في ذلك، و قولهما بالكراهة</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فتح البارئ،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عمدة القارئ،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زين الدين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ابن مسعود و ابن عمر ما يدلّ على أنّ أصل استحباب صيامه زال</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يكره قصده بالصوم</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أمّا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البعض القول بالحرمة، كالمحدّث البحراني،</w:t>
      </w:r>
      <w:r>
        <w:rPr>
          <w:rStyle w:val="FootnoteAnchor"/>
          <w:rtl w:val="true"/>
        </w:rPr>
        <w:footnoteReference w:id="612"/>
      </w:r>
      <w:r>
        <w:rPr>
          <w:rFonts w:ascii="Amiri" w:hAnsi="Amiri" w:eastAsia="Amiri" w:cs="Amiri"/>
          <w:color w:val="111111"/>
          <w:sz w:val="28"/>
          <w:sz w:val="28"/>
          <w:szCs w:val="28"/>
          <w:rtl w:val="true"/>
          <w:lang w:bidi="ar-SA"/>
        </w:rPr>
        <w:t>و المجلسي،</w:t>
      </w:r>
      <w:r>
        <w:rPr>
          <w:rStyle w:val="FootnoteAnchor"/>
          <w:rtl w:val="true"/>
        </w:rPr>
        <w:footnoteReference w:id="613"/>
      </w:r>
      <w:r>
        <w:rPr>
          <w:rFonts w:ascii="Amiri" w:hAnsi="Amiri" w:eastAsia="Amiri" w:cs="Amiri"/>
          <w:color w:val="111111"/>
          <w:sz w:val="28"/>
          <w:sz w:val="28"/>
          <w:szCs w:val="28"/>
          <w:rtl w:val="true"/>
          <w:lang w:bidi="ar-SA"/>
        </w:rPr>
        <w:t>و يميل إليه السيّد الخوانساري</w:t>
      </w:r>
      <w:r>
        <w:rPr>
          <w:rStyle w:val="FootnoteAnchor"/>
          <w:rtl w:val="true"/>
        </w:rPr>
        <w:footnoteReference w:id="614"/>
      </w:r>
      <w:r>
        <w:rPr>
          <w:rFonts w:ascii="Amiri" w:hAnsi="Amiri" w:eastAsia="Amiri" w:cs="Amiri"/>
          <w:color w:val="111111"/>
          <w:sz w:val="28"/>
          <w:sz w:val="28"/>
          <w:szCs w:val="28"/>
          <w:rtl w:val="true"/>
          <w:lang w:bidi="ar-SA"/>
        </w:rPr>
        <w:t>في جامع المدارك، و النراقى في المستند</w:t>
      </w:r>
      <w:r>
        <w:rPr>
          <w:rStyle w:val="FootnoteAnchor"/>
          <w:rtl w:val="true"/>
        </w:rPr>
        <w:footnoteReference w:id="615"/>
      </w:r>
      <w:r>
        <w:rPr>
          <w:rFonts w:ascii="Amiri" w:hAnsi="Amiri" w:eastAsia="Amiri" w:cs="Amiri"/>
          <w:color w:val="111111"/>
          <w:sz w:val="28"/>
          <w:sz w:val="28"/>
          <w:szCs w:val="28"/>
          <w:rtl w:val="true"/>
          <w:lang w:bidi="ar-SA"/>
        </w:rPr>
        <w:t>و الطعّان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الأستاذ، الوحيد الخراساني، على الأحوط الوجوبي لا يكون جائزا</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 عن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 و هو رأي أكثر المتأخّرين</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الإمساك إلى العصر، مع أنّه ليس هو الصوم الاصطلاحي، و هذا قول العلاّمة الحلّي، و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الدروس و المسالك، و السبزواري في الذخيرة، و المستند عندهم صحيحة عبد اللّه بن سنان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صومه؟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 من</w:t>
      </w:r>
      <w:bookmarkStart w:id="607" w:name="pg1254_13462"/>
    </w:p>
    <w:p>
      <w:pPr>
        <w:pStyle w:val="BookText"/>
        <w:rPr/>
      </w:pPr>
      <w:bookmarkEnd w:id="607"/>
      <w:r>
        <w:rPr>
          <w:rFonts w:ascii="Amiri" w:hAnsi="Amiri" w:eastAsia="Amiri" w:cs="Amiri"/>
          <w:color w:val="111111"/>
          <w:sz w:val="28"/>
          <w:sz w:val="28"/>
          <w:szCs w:val="28"/>
          <w:rtl w:val="true"/>
          <w:lang w:bidi="ar-SA"/>
        </w:rPr>
        <w:t>غير تبييت، و أفطره من غير تشميت، و لا تجعله صوم يوم كاملا، و ليكن إفطارك بعد صلاة العصر بساعة على شربة من ماء؛ فإنّه في مثل هذا الوقت من ذلك اليوم تجلّت الهيجاء على آل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الإقبال،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بالإستحباب مطلقا كالصدوق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في نكت النهاية و الخونساري في المشارق،</w:t>
      </w:r>
      <w:r>
        <w:rPr>
          <w:rStyle w:val="FootnoteAnchor"/>
          <w:rtl w:val="true"/>
        </w:rPr>
        <w:footnoteReference w:id="619"/>
      </w:r>
      <w:r>
        <w:rPr>
          <w:rFonts w:ascii="Amiri" w:hAnsi="Amiri" w:eastAsia="Amiri" w:cs="Amiri"/>
          <w:color w:val="111111"/>
          <w:sz w:val="28"/>
          <w:sz w:val="28"/>
          <w:szCs w:val="28"/>
          <w:rtl w:val="true"/>
          <w:lang w:bidi="ar-SA"/>
        </w:rPr>
        <w:t>و الخوئي في المستند مع اصرار منه في ذلك</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بالإستحباب مع قصد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الرأي المشهور عندنا</w:t>
      </w:r>
      <w:r>
        <w:rPr>
          <w:rStyle w:val="FootnoteAnchor"/>
          <w:rtl w:val="true"/>
        </w:rPr>
        <w:footnoteReference w:id="621"/>
      </w:r>
      <w:r>
        <w:rPr>
          <w:rFonts w:ascii="Amiri" w:hAnsi="Amiri" w:eastAsia="Amiri" w:cs="Amiri"/>
          <w:color w:val="111111"/>
          <w:sz w:val="28"/>
          <w:sz w:val="28"/>
          <w:szCs w:val="28"/>
          <w:rtl w:val="true"/>
          <w:lang w:bidi="ar-SA"/>
        </w:rPr>
        <w:t>كما هو قول الشيخ الطوسي في كثير من كتبه، و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البراج، و ابن زهرة، و الصهرشتي و ابن ادريس و يحيى بن سعيد، و المحقق الحلّي في الشرائع، و الرسائل التسع، و العلاّمة في المنتهى، و الإرشاد، و السبزواري في الكفاية، و المحقق النجفي في الجواهر</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3103824_373438147"/>
      <w:bookmarkStart w:id="609" w:name="_Toc233"/>
      <w:bookmarkEnd w:id="608"/>
      <w:r>
        <w:rPr>
          <w:rtl w:val="true"/>
        </w:rPr>
        <w:t>نص بعض الكلمات</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فإنّ دلالة هذه الأخبار على</w:t>
      </w:r>
    </w:p>
    <w:p>
      <w:pPr>
        <w:pStyle w:val="BookText"/>
        <w:rPr/>
      </w:pPr>
      <w:r>
        <w:rPr>
          <w:rFonts w:ascii="Amiri" w:hAnsi="Amiri" w:eastAsia="Amiri" w:cs="Amiri"/>
          <w:color w:val="111111"/>
          <w:sz w:val="28"/>
          <w:sz w:val="28"/>
          <w:szCs w:val="28"/>
          <w:rtl w:val="true"/>
          <w:lang w:bidi="ar-SA"/>
        </w:rPr>
        <w:t>التحريم مطلقا، أظهر ظاهر لكنّ العذر لأصحابنا فيما ذكروه من حيث عدم تتبّع الأخبار كملا و 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فتحريم صيامه مطلقا من هذه الأخبار أظهر ظاهر</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الأحوط ترك صيامه مطلقا</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بعض متأخّري المتأخّرين بالحرمة ترجيحا للنصوص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أقرب</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الأئمّة بعدم قبول ذلك اليوم؛ لماهيّة الصيام، و يكون نفس الصوم موجبا للحشر مع آل زياد و سائر ما هو مذكور من المهالك</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الندب من الصوم و صوم عاشوراء على وجه 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بقوله على وجه الحزن إلى أنّ صومه ليس معتبرا شرعا، بل هو إمساك بدون نيّة الصوم؛ لأنّ صومه متروك، كما وردت به الرواية، و ينبّه على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 من غير تبييت، و أفطره من غير تشميت، و ليكن فطرك بعد العصر، فهو عبارة عن ترك المفطرات اشتغالا عنها بالحزن و المصيبة، و ينبغي أن يكون الإمساك المذكور بالنيّة؛ لأنّه عبادة</w:t>
      </w:r>
      <w:r>
        <w:rPr>
          <w:rFonts w:eastAsia="Amiri" w:cs="Amiri" w:ascii="Amiri" w:hAnsi="Amiri"/>
          <w:color w:val="111111"/>
          <w:sz w:val="28"/>
          <w:szCs w:val="28"/>
          <w:rtl w:val="true"/>
          <w:lang w:bidi="ar-SA"/>
        </w:rPr>
        <w:t>».</w:t>
      </w:r>
      <w:r>
        <w:rPr>
          <w:rStyle w:val="FootnoteAnchor"/>
          <w:rtl w:val="true"/>
        </w:rPr>
        <w:footnoteReference w:id="626"/>
      </w:r>
      <w:bookmarkStart w:id="610" w:name="pg1254_13464"/>
    </w:p>
    <w:p>
      <w:pPr>
        <w:pStyle w:val="Heading3"/>
        <w:numPr>
          <w:ilvl w:val="2"/>
          <w:numId w:val="1"/>
        </w:numPr>
        <w:rPr/>
      </w:pPr>
      <w:bookmarkStart w:id="611" w:name="__RefHeading___Toc3103826_373438147"/>
      <w:bookmarkStart w:id="612" w:name="_Toc234"/>
      <w:bookmarkEnd w:id="610"/>
      <w:bookmarkEnd w:id="611"/>
      <w:r>
        <w:rPr>
          <w:rtl w:val="true"/>
        </w:rPr>
        <w:t>موقف الأيادي الأثيمة من عاشوراء</w:t>
      </w:r>
      <w:bookmarkEnd w:id="612"/>
    </w:p>
    <w:p>
      <w:pPr>
        <w:pStyle w:val="BookText"/>
        <w:rPr/>
      </w:pPr>
      <w:r>
        <w:rPr>
          <w:rFonts w:ascii="Amiri" w:hAnsi="Amiri" w:eastAsia="Amiri" w:cs="Amiri"/>
          <w:color w:val="111111"/>
          <w:sz w:val="28"/>
          <w:sz w:val="28"/>
          <w:szCs w:val="28"/>
          <w:rtl w:val="true"/>
          <w:lang w:bidi="ar-SA"/>
        </w:rPr>
        <w:t>ثمّ إنّ أيادي بني أميّة و مرتزقتهم وضعوا أكاذيب في فضل يوم عاشوراء و بركته ما تقشعرّ منه الجلود، فحكم علماؤهم عليها بالوضع و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وسّع على عياله يوم عاشوراء، وسّع اللّه عليه سائر سنته، فحكم عليه ابن الجوزي و ابن تيميّة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تمذهب من الجهّال بمذهب أهل السنّة، فقصدوا غيط الرافضة، فوضعوا أحاديث في فضل عاشوراء</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الأعرج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افترض على بنى إسرائيل صوم يوم في السنة، يوم عاشوراء و هو اليوم العاشر من المحرّم، فصوموه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اليوم الذي تاب اللّه فيه على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يشكّ عاقل في وضعه، و لقد أبدع من وضعه و كشف القناع، و لم يستحي، و أتى فيه المستحيل</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إبراهيم الصائغ عن ميمون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عاشوراء، كتب اللّه له عبادة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بلا شكّ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باطل لا أصل له</w:t>
      </w:r>
      <w:r>
        <w:rPr>
          <w:rFonts w:eastAsia="Amiri" w:cs="Amiri" w:ascii="Amiri" w:hAnsi="Amiri"/>
          <w:color w:val="111111"/>
          <w:sz w:val="28"/>
          <w:szCs w:val="28"/>
          <w:rtl w:val="true"/>
          <w:lang w:bidi="ar-SA"/>
        </w:rPr>
        <w:t>.</w:t>
      </w:r>
      <w:bookmarkStart w:id="613" w:name="pg1254_13465"/>
    </w:p>
    <w:p>
      <w:pPr>
        <w:pStyle w:val="BookText"/>
        <w:rPr/>
      </w:pPr>
      <w:bookmarkEnd w:id="613"/>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حبيب كان يضع الحديث، قاله ابن حبّان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 طويلا موضوعا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العرش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 الإفك</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اكتحل بالأثمد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موضوع وضعه قتلة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يوم عاشوراء لم يرو عن رسول اللّه فيه أثر و هو بدعة</w:t>
      </w:r>
      <w:r>
        <w:rPr>
          <w:rFonts w:eastAsia="Amiri" w:cs="Amiri" w:ascii="Amiri" w:hAnsi="Amiri"/>
          <w:color w:val="111111"/>
          <w:sz w:val="28"/>
          <w:szCs w:val="28"/>
          <w:rtl w:val="true"/>
          <w:lang w:bidi="ar-SA"/>
        </w:rPr>
        <w:t>.</w:t>
      </w:r>
      <w:r>
        <w:rPr>
          <w:rStyle w:val="FootnoteAnchor"/>
          <w:rtl w:val="true"/>
        </w:rPr>
        <w:footnoteReference w:id="630"/>
      </w:r>
    </w:p>
    <w:p>
      <w:pPr>
        <w:pStyle w:val="Heading3"/>
        <w:numPr>
          <w:ilvl w:val="2"/>
          <w:numId w:val="1"/>
        </w:numPr>
        <w:rPr/>
      </w:pPr>
      <w:bookmarkStart w:id="614" w:name="__RefHeading___Toc3103828_373438147"/>
      <w:bookmarkStart w:id="615" w:name="_Toc235"/>
      <w:bookmarkEnd w:id="614"/>
      <w:r>
        <w:rPr>
          <w:rtl w:val="true"/>
        </w:rPr>
        <w:t>موقف أهل البيت عليهم السّلام</w:t>
      </w:r>
      <w:bookmarkEnd w:id="615"/>
    </w:p>
    <w:p>
      <w:pPr>
        <w:pStyle w:val="BookText"/>
        <w:rPr/>
      </w:pPr>
      <w:r>
        <w:rPr>
          <w:rFonts w:ascii="Amiri" w:hAnsi="Amiri" w:eastAsia="Amiri" w:cs="Amiri"/>
          <w:color w:val="111111"/>
          <w:sz w:val="28"/>
          <w:sz w:val="28"/>
          <w:szCs w:val="28"/>
          <w:rtl w:val="true"/>
          <w:lang w:bidi="ar-SA"/>
        </w:rPr>
        <w:t>و قد عارض أئمّة أهل البيت عليهم السّلام هذا التيار الظالم، و هذه الإشاعات الكاذبة بقوّة من خلال إعطائهم للناس تعليمات خاصّة في ذلك اليوم، حيث أمروا الناس بترك السعي يوم عاشوراء، و أمروهم أنّ يجعلوا ذلك اليوم يوم حزن، و أنّ من سمّاه يوم بركة، يحشر مع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السعي في حوائجه يوم عاشوراء، قضى اللّه له حوائج الدنيا و الآخرة، و من كان يوم عاشوراء يوم مصيبته و حزنه و بكائه، جعل اللّه يوم القيامة يوم فرحه و سروره، و قرّت بنا في الجنّة عينه، و من سمّى يوم عاشوراء يوم بركة و ادّخر لمنزله فيه شيئا، لم يبارك له فيما ادّخر، و حشر يوم القيامة مع يزيد و عبيد اللّه و عمر بن سعد لعنهم اللّه في</w:t>
      </w:r>
      <w:bookmarkStart w:id="616" w:name="pg1254_13466"/>
    </w:p>
    <w:p>
      <w:pPr>
        <w:pStyle w:val="BookText"/>
        <w:rPr/>
      </w:pPr>
      <w:bookmarkEnd w:id="616"/>
      <w:r>
        <w:rPr>
          <w:rFonts w:ascii="Amiri" w:hAnsi="Amiri" w:eastAsia="Amiri" w:cs="Amiri"/>
          <w:color w:val="111111"/>
          <w:sz w:val="28"/>
          <w:sz w:val="28"/>
          <w:szCs w:val="28"/>
          <w:rtl w:val="true"/>
          <w:lang w:bidi="ar-SA"/>
        </w:rPr>
        <w:t>أسفل درك من النار</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617" w:name="__RefHeading___Toc3103830_373438147"/>
      <w:bookmarkStart w:id="618" w:name="_Toc236"/>
      <w:bookmarkEnd w:id="617"/>
      <w:r>
        <w:rPr>
          <w:rtl w:val="true"/>
        </w:rPr>
        <w:t>كيف يجتمع النسيء مع صوم عاشوراء؟</w:t>
      </w:r>
      <w:bookmarkEnd w:id="618"/>
    </w:p>
    <w:p>
      <w:pPr>
        <w:pStyle w:val="BookText"/>
        <w:rPr/>
      </w:pPr>
      <w:r>
        <w:rPr>
          <w:rFonts w:ascii="Amiri" w:hAnsi="Amiri" w:eastAsia="Amiri" w:cs="Amiri"/>
          <w:color w:val="111111"/>
          <w:sz w:val="28"/>
          <w:sz w:val="28"/>
          <w:szCs w:val="28"/>
          <w:rtl w:val="true"/>
          <w:lang w:bidi="ar-SA"/>
        </w:rPr>
        <w:t xml:space="preserve">هنا أمر لا بدّ من إثارته و هو أنّ الجاهليّة كانت تؤخّر المحرّم إلى صفر تارة، و يجعلون صفرا مع ذي القعدة محرّما تحرّجا من توالي ثلاثة أشهر محرّمة، فلم يحصل توافق بين اسم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نفسه إلاّ في كلّ اثني عشرة سنة مرّة إذا كان تأخير محرّم على حساب و نظام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بمعنى إنساء حرمة المحرّم إلى صفر ثمّ إعادتها مكانها في العام المقبل كما هو المعروف و المشهور في تفسير النسيء، فيكون المعنى إنّ صفر هو المحرّم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الصوم في العاشر من صفر كان هو المتداول عند الجاهليّة، و عليه، فكيف يجتمع مع ادّعاه أن قريشا كانت تصوم يوم عاشوراء من المحرّم، و النبيّ صلّى اللّه عليه و آله أيضا كان يتابعهم في ذلك</w:t>
      </w:r>
      <w:r>
        <w:rPr>
          <w:rFonts w:eastAsia="Amiri" w:cs="Amiri" w:ascii="Amiri" w:hAnsi="Amiri"/>
          <w:color w:val="111111"/>
          <w:sz w:val="28"/>
          <w:szCs w:val="28"/>
          <w:rtl w:val="true"/>
          <w:lang w:bidi="ar-SA"/>
        </w:rPr>
        <w:t>.</w:t>
      </w:r>
      <w:r>
        <w:rPr>
          <w:rStyle w:val="FootnoteAnchor"/>
          <w:rtl w:val="true"/>
        </w:rPr>
        <w:footnoteReference w:id="632"/>
      </w:r>
    </w:p>
    <w:p>
      <w:pPr>
        <w:pStyle w:val="Heading3"/>
        <w:numPr>
          <w:ilvl w:val="2"/>
          <w:numId w:val="1"/>
        </w:numPr>
        <w:rPr/>
      </w:pPr>
      <w:bookmarkStart w:id="619" w:name="__RefHeading___Toc3103832_373438147"/>
      <w:bookmarkStart w:id="620" w:name="_Toc237"/>
      <w:bookmarkEnd w:id="619"/>
      <w:r>
        <w:rPr>
          <w:rtl w:val="true"/>
        </w:rPr>
        <w:t>عاشوراء عيد الأمويّين</w:t>
      </w:r>
      <w:bookmarkEnd w:id="6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يعرف من خلال التتبّع و تصريح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نصوص الروايات و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الأمويّين هم الذين أعلنوا من عاشوراء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للتغطية على الجريمة البشعة و المجازر ألا إنسانيّة التي ارتكبوها بشأن أهل بيت رسول اللّه صلّى اللّه عليه و آله الأمر الذي كان يذلّهم كلّ يوم عاشوراء</w:t>
      </w:r>
      <w:bookmarkStart w:id="621" w:name="pg1254_13467"/>
    </w:p>
    <w:p>
      <w:pPr>
        <w:pStyle w:val="BookText"/>
        <w:rPr/>
      </w:pPr>
      <w:bookmarkEnd w:id="621"/>
      <w:r>
        <w:rPr>
          <w:rFonts w:ascii="Amiri" w:hAnsi="Amiri" w:eastAsia="Amiri" w:cs="Amiri"/>
          <w:color w:val="111111"/>
          <w:sz w:val="28"/>
          <w:sz w:val="28"/>
          <w:szCs w:val="28"/>
          <w:rtl w:val="true"/>
          <w:lang w:bidi="ar-SA"/>
        </w:rPr>
        <w:t>حتّى صار مثلا على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من أمويّ بالكوفة يوم عاشوراء</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622" w:name="__RefHeading___Toc3103834_373438147"/>
      <w:bookmarkStart w:id="623" w:name="_Toc238"/>
      <w:bookmarkEnd w:id="622"/>
      <w:r>
        <w:rPr>
          <w:rtl w:val="true"/>
        </w:rPr>
        <w:t>تصريحات للمؤرّخين</w:t>
      </w:r>
      <w:bookmarkEnd w:id="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الخلفاء الفاطميّون بمصر، كانت تعطّل الأسواق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فيه السماط العظيم المسمّى سماط الحزن، و ينحرون الإبل، و ظلّ الفاطميون يجرون على ذلك كلّ أيّامهم، فلمّا زالت الدولة الفاطميّة اتّخذ الملوك من بني أيّوب يوم عاشوراء يوم سرور يوسّعون فيه على عيالهم، و يتبسّطون في المطاعم، و يتّخذون الأواني الجديدة، و يكتحلون و يدخلون الحمّام جريا على عادة أهل الشام التي سنّها لهم الحجّاج في أيّام عبد الملك بن مروان؛ ليرغموا بذلك أناف شيعة عليّ بن أبي طالب عليه السّلام الذين يتّخذون يوم عاشوراء يوم عزاء و حزن على الحسين بن عليّ عليه السّلام؛ لأنّه قتل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أدركنا بقايا ممّا عمله بنو أميّة من اتّخاذ عاشوراء يوم سرور و تبسّط</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يعظّمون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اتّفق فيه قتل الحسين عليه السّلام و أصحابه، و فعل به و بهم ما لم يفعل في جميع الأمم بأشرار الخلق من القتل بالعطش و السيف و الإحراق، و صلب الرؤوس و إجراء الخيول على الأجساد فتشاءموا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لبسوا فيه ما تجدّد، و تزيّنوا، و اكتحلوا، و عيّدوا، و أقاموا الولائم و الضيافات، و أطعموا الحلاوات</w:t>
      </w:r>
    </w:p>
    <w:p>
      <w:pPr>
        <w:pStyle w:val="BookText"/>
        <w:rPr/>
      </w:pPr>
      <w:r>
        <w:rPr>
          <w:rFonts w:ascii="Amiri" w:hAnsi="Amiri" w:eastAsia="Amiri" w:cs="Amiri"/>
          <w:color w:val="111111"/>
          <w:sz w:val="28"/>
          <w:sz w:val="28"/>
          <w:szCs w:val="28"/>
          <w:rtl w:val="true"/>
          <w:lang w:bidi="ar-SA"/>
        </w:rPr>
        <w:t>و الطيّبات، و جرى الرسم في العامّة على ذلك أيّام ملكهم، و بقي فيهم بعد زواله عنهم</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انظر عجائب المخلوقات بهامش حياة الحيوان للدميري،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 دعواهم محبّة أهل البيت عليهم السّلام مع ما يفعلون يوم المصاب بالحسين عليه السّلام من المواظبة على البرّ، و الصدقة، و المحافظة على البذل، و النفقة، و التبرّك بشراء ملح السنة، و التفاخر بالملابس المنتخبة، و المظاهرة بتطيّب الأبدان، و المجاهرة بمصافحة الإخوان، و التوفّر على المزاورة، و الدعوات، و الشكر من أسباب الأفراح و المسرّات، و اعتذارهم في ذلك بأنّه يوم ليس كالأيّام، و أنّه مخصوص بالمناقب العظام، و يدّعون أنّ اللّه عزّ و جلّ تاب فيه على آدم، فكيف وجب أن يقضى فيه حقّ آدم فيتّخذ عيدا، و لم يجز أن يقضى حقّ سيّد الأوّلين و الآخرين محمّد خاتم النبيين صلّى اللّه عليه و آله فى مصابة بسبطه و ولده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الشريف الرضي يصف هذا الأمر في نظم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مآتم بالعراق تعدّها</w:t>
      </w:r>
    </w:p>
    <w:p>
      <w:pPr>
        <w:pStyle w:val="BookText"/>
        <w:rPr/>
      </w:pPr>
      <w:r>
        <w:rPr>
          <w:rFonts w:ascii="Amiri" w:hAnsi="Amiri" w:eastAsia="Amiri" w:cs="Amiri"/>
          <w:color w:val="111111"/>
          <w:sz w:val="28"/>
          <w:sz w:val="28"/>
          <w:szCs w:val="28"/>
          <w:rtl w:val="true"/>
          <w:lang w:bidi="ar-SA"/>
        </w:rPr>
        <w:t>أمويّة بالشام من أعيادها</w:t>
      </w:r>
    </w:p>
    <w:p>
      <w:pPr>
        <w:pStyle w:val="BookText"/>
        <w:rPr/>
      </w:pPr>
      <w:r>
        <w:rPr>
          <w:rFonts w:ascii="IRNazanin" w:hAnsi="IRNazanin" w:eastAsia="IRNazanin"/>
          <w:color w:val="111111"/>
          <w:sz w:val="28"/>
          <w:sz w:val="28"/>
          <w:szCs w:val="28"/>
          <w:rtl w:val="true"/>
          <w:lang w:bidi="fa-IR"/>
        </w:rPr>
        <w:t>جعلت رسول اللّه من خصمائها</w:t>
      </w:r>
    </w:p>
    <w:p>
      <w:pPr>
        <w:pStyle w:val="BookText"/>
        <w:rPr/>
      </w:pPr>
      <w:r>
        <w:rPr>
          <w:rFonts w:ascii="Amiri" w:hAnsi="Amiri" w:eastAsia="Amiri" w:cs="Amiri"/>
          <w:color w:val="111111"/>
          <w:sz w:val="28"/>
          <w:sz w:val="28"/>
          <w:szCs w:val="28"/>
          <w:rtl w:val="true"/>
          <w:lang w:bidi="ar-SA"/>
        </w:rPr>
        <w:t>فلبئس ما ادّخرت ليوم معادها</w:t>
      </w:r>
    </w:p>
    <w:p>
      <w:pPr>
        <w:pStyle w:val="BookText"/>
        <w:rPr/>
      </w:pPr>
      <w:r>
        <w:rPr>
          <w:rFonts w:ascii="Amiri" w:hAnsi="Amiri" w:eastAsia="Amiri" w:cs="Amiri"/>
          <w:color w:val="111111"/>
          <w:sz w:val="28"/>
          <w:sz w:val="28"/>
          <w:szCs w:val="28"/>
          <w:rtl w:val="true"/>
          <w:lang w:bidi="ar-SA"/>
        </w:rPr>
        <w:t>نسل النبيّ على صعاب مطيّها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دم النبيّ على رؤوس صعادها</w:t>
      </w:r>
    </w:p>
    <w:p>
      <w:pPr>
        <w:pStyle w:val="BookText"/>
        <w:rPr/>
      </w:pPr>
      <w:r>
        <w:rPr>
          <w:rFonts w:ascii="Amiri" w:hAnsi="Amiri" w:eastAsia="Amiri" w:cs="Amiri"/>
          <w:color w:val="111111"/>
          <w:sz w:val="28"/>
          <w:sz w:val="28"/>
          <w:szCs w:val="28"/>
          <w:rtl w:val="true"/>
          <w:lang w:bidi="ar-SA"/>
        </w:rPr>
        <w:t>و في نهاية المطاف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إلى جانب المحدّث البحراني، و العلامة المجلسي، و السيّد أحمد الخوانساري، و الشيخ الأستاذ، و كلّ من يستشمّ منه الميل إلى القول بالحرمة بعد ما عرفت الروايات الذامّة و الناهية، و لحن التعبير فيها و بعد ما عرفت أنّه كان مثارا لاهتمام الحزب الأموي و أذنابهم تغطية على مأساة كربلاء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العصابة التي جاهدت الحسين، و شايعت، و بايعت، و تابعت على قتله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نجم الدين الطبسي</w:t>
      </w:r>
      <w:bookmarkStart w:id="624" w:name="pg1254_13471"/>
    </w:p>
    <w:p>
      <w:pPr>
        <w:pStyle w:val="Heading2"/>
        <w:numPr>
          <w:ilvl w:val="1"/>
          <w:numId w:val="1"/>
        </w:numPr>
        <w:rPr/>
      </w:pPr>
      <w:bookmarkStart w:id="625" w:name="__RefHeading___Toc3103836_373438147"/>
      <w:bookmarkStart w:id="626" w:name="_Toc239"/>
      <w:bookmarkEnd w:id="624"/>
      <w:bookmarkEnd w:id="625"/>
      <w:r>
        <w:rPr>
          <w:rtl w:val="true"/>
        </w:rPr>
        <w:t>الفهارس الفنّيّة</w:t>
      </w:r>
      <w:bookmarkEnd w:id="626"/>
    </w:p>
    <w:p>
      <w:pPr>
        <w:pStyle w:val="Heading3"/>
        <w:numPr>
          <w:ilvl w:val="2"/>
          <w:numId w:val="1"/>
        </w:numPr>
        <w:rPr/>
      </w:pPr>
      <w:bookmarkStart w:id="627" w:name="__RefHeading___Toc3103838_373438147"/>
      <w:bookmarkStart w:id="628" w:name="_Toc240"/>
      <w:bookmarkEnd w:id="627"/>
      <w:r>
        <w:rPr>
          <w:rtl w:val="true"/>
        </w:rPr>
        <w:t>اشارة</w:t>
      </w:r>
      <w:bookmarkEnd w:id="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الكريمة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الشريفة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الآثار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المعصومين عليهم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الكتاب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w:t>
      </w:r>
      <w:bookmarkStart w:id="629" w:name="pg1254_13473"/>
    </w:p>
    <w:p>
      <w:pPr>
        <w:pStyle w:val="Heading3"/>
        <w:numPr>
          <w:ilvl w:val="2"/>
          <w:numId w:val="1"/>
        </w:numPr>
        <w:rPr/>
      </w:pPr>
      <w:bookmarkStart w:id="630" w:name="__RefHeading___Toc3103840_373438147"/>
      <w:bookmarkStart w:id="631" w:name="_Toc241"/>
      <w:bookmarkEnd w:id="629"/>
      <w:bookmarkEnd w:id="630"/>
      <w:r>
        <w:rPr>
          <w:rtl w:val="true"/>
        </w:rPr>
        <w:t>الآيات الكريمة</w:t>
      </w:r>
      <w:bookmarkEnd w:id="631"/>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اَلْيَوْمَ أُحِلَّ لَكُمُ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أُولُوا الْأَرْحٰامِ بَعْضُهُمْ أَوْلىٰ بِبَعْضٍ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فَامْسَحُوا بِوُجُوهِكُمْ وَ أَيْدِيكُمْ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 آتُوهُنَّ أُجُورَهُنَّ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 الْمُحْصَنٰاتُ مِنَ النِّسٰاءِ إِلاّٰ مٰا مَلَكَتْ أَيْمٰانُكُمْ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 امْسَحُوا بِرُؤُسِكُمْ وَ أَرْجُلَكُمْ </w:t>
      </w:r>
      <w:r>
        <w:rPr>
          <w:rFonts w:eastAsia="Amiri" w:cs="Amiri" w:ascii="Amiri" w:hAnsi="Amiri"/>
          <w:color w:val="111111"/>
          <w:sz w:val="28"/>
          <w:szCs w:val="28"/>
          <w:lang w:bidi="ar-SA"/>
        </w:rPr>
        <w:t>256</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أَيْدِيَكُمْ إِلَى الْمَرٰافِقِ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 قُرْآنَ الْفَجْرِ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 لاٰ تَأْكُلُوا أَمْوٰالَهُمْ إِلىٰ أَمْوٰالِكُمْ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 يَتَّبِعْ غَيْرَ سَبِيلِ الْمُؤْمِنِينَ نُوَلِّهِ مٰا تَوَلّٰى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w:t>
      </w:r>
      <w:r>
        <w:rPr>
          <w:rFonts w:eastAsia="Amiri" w:cs="Amiri" w:ascii="Amiri" w:hAnsi="Amiri"/>
          <w:color w:val="111111"/>
          <w:sz w:val="28"/>
          <w:szCs w:val="28"/>
          <w:lang w:bidi="ar-SA"/>
        </w:rPr>
        <w:t>246</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lang w:bidi="ar-SA"/>
        </w:rPr>
        <w:t>14</w:t>
      </w:r>
      <w:bookmarkStart w:id="632" w:name="pg1254_13475"/>
    </w:p>
    <w:p>
      <w:pPr>
        <w:pStyle w:val="Heading3"/>
        <w:numPr>
          <w:ilvl w:val="2"/>
          <w:numId w:val="1"/>
        </w:numPr>
        <w:rPr/>
      </w:pPr>
      <w:bookmarkStart w:id="633" w:name="__RefHeading___Toc3103842_373438147"/>
      <w:bookmarkStart w:id="634" w:name="_Toc242"/>
      <w:bookmarkEnd w:id="632"/>
      <w:bookmarkEnd w:id="633"/>
      <w:r>
        <w:rPr>
          <w:rtl w:val="true"/>
        </w:rPr>
        <w:t>الأحاديث الشريفة</w:t>
      </w:r>
      <w:bookmarkEnd w:id="634"/>
    </w:p>
    <w:p>
      <w:pPr>
        <w:pStyle w:val="BookText"/>
        <w:rPr/>
      </w:pPr>
      <w:r>
        <w:rPr>
          <w:rFonts w:ascii="Amiri" w:hAnsi="Amiri" w:eastAsia="Amiri" w:cs="Amiri"/>
          <w:color w:val="111111"/>
          <w:sz w:val="28"/>
          <w:sz w:val="28"/>
          <w:szCs w:val="28"/>
          <w:rtl w:val="true"/>
          <w:lang w:bidi="ar-SA"/>
        </w:rPr>
        <w:t xml:space="preserve">آخر أصحابي موتاالنبيّ صلّى اللّه عليه و آله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اجمع بين الصلاتين الظهر و العصرالإمام أبو محمّد، الحسن العسكري عليه السّلام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إذا رأيتم الفقهاء قد ركنواالإمام الصادق عليه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إذا قمت إلى الصلاة فلا تلصقالإمام أبو جعفر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إذا كنت قائما في الصلاةالإمام الصادق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اصرخ أيّها الناسالنبيّ صلّى اللّه عليه و آله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الجمع بين الصلاتين يزيد في الرزقأمير المؤمنين عليه السّلام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السنّة وضع الكفّ على الكفّ‌الإمام عليّ عليه السّلام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الق عبد الملك بن جريج فسلهالإمام الصادق عليه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اللّهمّ علّمه تأويل القرآنالنبيّ صلّى اللّه عليه و آله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اللّهمّ فقّهه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إنّ الأرض لا يخلو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إنّ القوم إذا صلّوا مع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إنّ اللّه افترض صلوات أوّل وقتها من زوال الشمسالإمام الباقر عليه السّلام </w:t>
      </w:r>
      <w:r>
        <w:rPr>
          <w:rFonts w:eastAsia="Amiri" w:cs="Amiri" w:ascii="Amiri" w:hAnsi="Amiri"/>
          <w:color w:val="111111"/>
          <w:sz w:val="28"/>
          <w:szCs w:val="28"/>
          <w:lang w:bidi="ar-SA"/>
        </w:rPr>
        <w:t>216</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أمرني أن أقرأالنبيّ صلّى اللّه عليه و آله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أمير المؤمنين لمّا اجتمعوا إليه بالكوفةمرسل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إنّ رسول اللّه صلّى اللّه عليه و آله صلّى الظهر و العصر في مكان واحدالإمام الصادق عليه السّلام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إنّ رسول اللّه صلّى اللّه عليه و آله كان إذا 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إنّك امرؤ تائهالإمام عليّ عليه السّلام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إنّك رجل تائه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إنّك غليّم متعلّمالنبيّ صلّى اللّه عليه و آله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إنّ لرمضان لحرمة حقّاالإمام الصادق عليه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إنّها لا تتمّ صلاة أحدكم حتّى يسبغ الوضوءالنبيّ صلّى اللّه عليه و آله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إنّها لا يجوز صلاة أحدكم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إنّه لمّا دخل أوّل ليلةالأئمة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 الكاظم و الرضا عليهم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إنّه ليزيدني في الحجّ‌الإمام الباقر عليه السّلام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إنّي رأيت رسول اللّه صلّى اللّه عليه و آله فعل كما فعلتالإمام عليّ عليه السّلام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إنّي على حاجة فتنفّلواالإمام الصادق عليه السّلام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أتاني جبرئيل عليه السّلام لدلوك الشمسالنبيّ صلّى اللّه عليه و آله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أحلّها اللّه في كتابه و سنّها رسول اللّه صلّى اللّه عليه و آلهالإمام الباقر عليه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أذّن في الناسالنبيّ صلّى اللّه عليه و آله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أردت أن أوسّع على أمّتيالإمام الصادق عليه السّلام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أشهد على زيد بن ثابت لقدالإمام الباقر عليه السّلام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أفضل صلاة المرء في بيتهالنبيّ صلّى اللّه عليه و آله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ألا أحكي وضوء رسول اللّه صلّى اللّه عليه و آله؟ الإمام الباقر عليه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ألا أزيدكالنبيّ صلّى اللّه عليه و آله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أمّا الصوم الذي صاحبه فيه بالخيرالإمام زين العابدين عليه السّلام </w:t>
      </w:r>
      <w:r>
        <w:rPr>
          <w:rFonts w:eastAsia="Amiri" w:cs="Amiri" w:ascii="Amiri" w:hAnsi="Amiri"/>
          <w:color w:val="111111"/>
          <w:sz w:val="28"/>
          <w:szCs w:val="28"/>
          <w:lang w:bidi="ar-SA"/>
        </w:rPr>
        <w:t>272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صوم يوم ما نزل به كتابالإمام الصادق عليه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أمّا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أصيب فيه الحسين عليه السّلامالإمام الصادق عليه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أمرنا معاشر الأنبياءالنبيّ صلّى اللّه عليه و آله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أنا أحقّ بموسى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أنا أمرتهم بهذا لو صلّوا على وقت واحدالإمام الصادق عليه السّلام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أنّ رسول اللّه صلّى اللّه عليه و آله جمع بين الظهر و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أنّ رسول اللّه صلّى اللّه عليه و آله جمع بين الظهر و العصر بأذانالإمام الباقر عليه السّلام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أنّه لمّا صلّى قام مستقبل القبلةالإمام الصادق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أوّل وقت العشاء الآخرة ذهاب الخمرة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بلغ عمر أنّ 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 الطلاقالنبيّ صلّى اللّه عليه و آله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خمس صلوات في الليل و النهارالإمام الباقر عليه السّلام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دعا القرّاء في رمضانالسلمي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دلوكها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غسق الليل إلى نصف الليلالإمام الباقر عليه السّلام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ذلك التكفير، 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يضع يده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عليهما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رأيت الذي صنعتمالنبيّ صلّى اللّه عليه و آله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سمل يد رجل إلى الحائطمنسوب إلى النبيّ صلّى اللّه عليه و آله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صدقالإمام الصادق عليه السّلام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صلاة المرء في بيته أفضلالنبيّ صلّى اللّه عليه و آله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صلّ في العشرين من شهر رمضانالإمام الصادق عليه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صلّ في أوّل شهر رمضانالإمام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صلّوا في بيوتكم فإنّ أفضلالنبيّ صلّى اللّه عليه و آله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صلّى رسول اللّه صلّى اللّه عليه و آله بالناس الظهر و العصرالإمام الصادق عليه السّلام </w:t>
      </w:r>
      <w:r>
        <w:rPr>
          <w:rFonts w:eastAsia="Amiri" w:cs="Amiri" w:ascii="Amiri" w:hAnsi="Amiri"/>
          <w:color w:val="111111"/>
          <w:sz w:val="28"/>
          <w:szCs w:val="28"/>
          <w:lang w:bidi="ar-SA"/>
        </w:rPr>
        <w:t>219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صمه من غير تبييت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صنعت ذلك لئلاّ تحرج أمّتيالنبيّ صلّى اللّه عليه و آله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صوم شهر رمضان فريضةالإمام الصادق عليه 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صوم متروك بنزول شهر رمضانالإمام الباقر عليه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صوموا العاشوراء، التاسع و العاشرالإمام عليّ عليه 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صوموا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صيام عاشوراء كفّارة سنةالإمام الباقر عليه 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عليكم بسنّتي و سنّة الخلفاءالنبيّ صلّى اللّه عليه و آله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عن صوم ابن مرجانة تسألني؟ الإمام الرضا عليه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فإذا قمت في صلاتك فاخشعالإمام الصادق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فإن كنت شامتا، فصم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فإنّه لم يخف عليّ مكانكمالنبيّ صلّى اللّه عليه و آله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فصلّ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اليمنىالإمام عليّ عليه السّلام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لاونهاهمالإمامان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 الصادق عليهما 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قد ثبت النكاح بغير ميراثالإمام الباقر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قد فعل ذلك رسول اللّه صلّى اللّه عليه و آله أراد التخفيفالإمام الصادق عليه السّلام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قرأ القرآن ثمّ وقف عندهالإمام عليّ عليه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كان رسول اللّه صلّى اللّه عليه و آله إذا كان في سفرالإمام الصادق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يجمع بين المغرب و العشاءالإمام عليّ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يزيد في صلاتهالإمام الصادق عليه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كان صومه قبل شهر رمضانالإمام الباقر عليه السّلام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كذب فضّ اللّه فاهالإمام أبو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كلّ بدعة ضلالةالنبيّ صلّى اللّه عليه و آله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أرى أنّ باطن القدمين أحقّ‌الإمام عليّ عليه السّلام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لا بأسالإمام الصادق عليه السّلام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لا تصلّ بعد العتمة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لا تصم في يوم عاشوراءالإمام الباقر عليه السّلام و الصادق عليه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لا يجمع المسلم يديهالإمام عليّ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لا يجوز التراويحالإمام الرضا عليه السّلام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لا يجوز أن يصلّى تطوّع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لا يصلح ذلك فإن فعل فلا يعودالإمام موسى بن جعفر عليه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لا يصلّى التطوّع في جماعةالإمام الصادق عليه 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لا يضرّك أن تؤخّر ساعة ثم تصلّيهماأحدهما عليهما السّلام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لرمضان من قامه إيمانا و احتساباالنبيّ صلّى اللّه عليه و آله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لمّا اجتمعوا إليه بالكوفةالإمام عليّ عليه 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لمّا دخل رمضان اصطفّ‌الإمامان الصادق و الرضا عليهما السّلام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لمّا قدم أمير المؤمنين عليه السّلام الكوفةالإمام الصادق عليه السّلام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لمّا كان أمير المؤمنين عليه السّلام بالكوفةالإمامان الباقر و الصادق عليه 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لو لا أن عمر نهى الناسالإمام عليّ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لو لا أن عمر نهى عن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لو لا ما سبق من رأي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ممّا كان يصنع رسول اللّه في شهر رمضانالإمام الصادق عليه السّلام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من أحبّ أن ينظر إلى آدمالنبيّ صلّى اللّه عليه و آله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من ترك السعي في حوائجه يوم عاشوراءالإمام الرضا عليه السّلام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 جمع بين الصلاتين من غير عذرالنبيّ صلّى اللّه عليه و آله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من صامه كان حظّه من صيام ذلك اليومالإمام الصادق عليه السّلام </w:t>
      </w:r>
      <w:r>
        <w:rPr>
          <w:rFonts w:eastAsia="Amiri" w:cs="Amiri" w:ascii="Amiri" w:hAnsi="Amiri"/>
          <w:color w:val="111111"/>
          <w:sz w:val="28"/>
          <w:szCs w:val="28"/>
          <w:lang w:bidi="ar-SA"/>
        </w:rPr>
        <w:t>269</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من قام رمضان إيمانا و احتساباالنبيّ صلّى اللّه عليه و آله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من كان عنده شيء من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من لم يقبل رخصة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نعم و ما أحبّ أن يفعل ذلك كلّ يومالإمام الصادق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نوّر اللّه على عمر قبرهمنسوب إلى الإمام عليّ عليه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نهى رسول اللّه صلّى اللّه عليه و آله عن المتعةالإمام عليّ عليه السّلام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و اللّه لقد أمرت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وضع الرجل إحدى يديه على الأخرىالإمام زين العابدين عليه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عليك بالإقبال في صلاتكالإمام أبو جعفر عليه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فصلّ؛ لأنّك لم تصلّ‌النبيّ صلّى اللّه عليه و آله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هكذا و هكذا عن يمينه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يابن عوف اركب و 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يا ربّ لم فضّلت أمّة محمّد صلّى اللّه عليه و آله على سائر الأمم؟ النبيّ موسى عليه 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يا زرارة إذا زالت الشمس فقد دخل الوقتالإمام الصادق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عينيّ تنامانالنبيّ صلّى اللّه عليه و آله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يا مالك إنّي أحبّكالإمام الصادق عليه السّلام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يذهب أحدكم إلى أخيه يعضّهالنبيّ صلّى اللّه عليه و آله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يصلّى في شهر رمضان زيادة ألفالإمام الصادق عليه السّلام </w:t>
      </w:r>
      <w:r>
        <w:rPr>
          <w:rFonts w:eastAsia="Amiri" w:cs="Amiri" w:ascii="Amiri" w:hAnsi="Amiri"/>
          <w:color w:val="111111"/>
          <w:sz w:val="28"/>
          <w:szCs w:val="28"/>
          <w:lang w:bidi="ar-SA"/>
        </w:rPr>
        <w:t>121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عاشوراء إن شاء صامالنبيّ صلّى اللّه عليه و آله </w:t>
      </w:r>
      <w:r>
        <w:rPr>
          <w:rFonts w:eastAsia="Amiri" w:cs="Amiri" w:ascii="Amiri" w:hAnsi="Amiri"/>
          <w:color w:val="111111"/>
          <w:sz w:val="28"/>
          <w:szCs w:val="28"/>
          <w:lang w:bidi="ar-SA"/>
        </w:rPr>
        <w:t>273</w:t>
      </w:r>
      <w:bookmarkStart w:id="635" w:name="pg1254_13481"/>
    </w:p>
    <w:p>
      <w:pPr>
        <w:pStyle w:val="Heading3"/>
        <w:numPr>
          <w:ilvl w:val="2"/>
          <w:numId w:val="1"/>
        </w:numPr>
        <w:rPr/>
      </w:pPr>
      <w:bookmarkStart w:id="636" w:name="__RefHeading___Toc3103844_373438147"/>
      <w:bookmarkStart w:id="637" w:name="_Toc243"/>
      <w:bookmarkEnd w:id="635"/>
      <w:bookmarkEnd w:id="636"/>
      <w:r>
        <w:rPr>
          <w:rtl w:val="true"/>
        </w:rPr>
        <w:t>الآثار</w:t>
      </w:r>
      <w:bookmarkEnd w:id="637"/>
    </w:p>
    <w:p>
      <w:pPr>
        <w:pStyle w:val="BookText"/>
        <w:rPr/>
      </w:pPr>
      <w:r>
        <w:rPr>
          <w:rFonts w:ascii="IRNazanin" w:hAnsi="IRNazanin" w:eastAsia="IRNazanin"/>
          <w:color w:val="111111"/>
          <w:sz w:val="28"/>
          <w:sz w:val="28"/>
          <w:szCs w:val="28"/>
          <w:rtl w:val="true"/>
          <w:lang w:bidi="fa-IR"/>
        </w:rPr>
        <w:t xml:space="preserve">أنا أنهى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إنّ عليّا نكح امرأة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تمتّع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تمتّعنا إلى نصف من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تمتّعنا مع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ثلاث كنّ على عهد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كنّا نستمتع بالقبضة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متعتان كانتا على عهد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نزلت آية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استمتعنا على عهد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bookmarkStart w:id="638" w:name="pg1254_13482"/>
    </w:p>
    <w:p>
      <w:pPr>
        <w:pStyle w:val="Heading3"/>
        <w:numPr>
          <w:ilvl w:val="2"/>
          <w:numId w:val="1"/>
        </w:numPr>
        <w:rPr/>
      </w:pPr>
      <w:bookmarkStart w:id="639" w:name="__RefHeading___Toc3103846_373438147"/>
      <w:bookmarkStart w:id="640" w:name="_Toc244"/>
      <w:bookmarkEnd w:id="638"/>
      <w:bookmarkEnd w:id="639"/>
      <w:r>
        <w:rPr>
          <w:rtl w:val="true"/>
        </w:rPr>
        <w:t>أسماء المعصومين عليهم السّلام</w:t>
      </w:r>
      <w:bookmarkEnd w:id="640"/>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الإمام الحسن بن عليّ عليه السّلام،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الإمام الحسين بن عليّ عليه السّلام،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أبو عبد اللّه،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الإمام 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الإمام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الإمام أبي محمد، الحسن العسكريّ عليه السّلام،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الإمام عليّ بن الحسين عليه السّلام،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الإمام علي بن موسى الرضا عليه السّلام،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أكثر الصفحات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يحيى عليه السّلام، </w:t>
      </w:r>
      <w:r>
        <w:rPr>
          <w:rFonts w:eastAsia="Amiri" w:cs="Amiri" w:ascii="Amiri" w:hAnsi="Amiri"/>
          <w:color w:val="111111"/>
          <w:sz w:val="28"/>
          <w:szCs w:val="28"/>
          <w:lang w:bidi="ar-SA"/>
        </w:rPr>
        <w:t>24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bookmarkStart w:id="641" w:name="pg1254_13484"/>
    </w:p>
    <w:p>
      <w:pPr>
        <w:pStyle w:val="Heading3"/>
        <w:numPr>
          <w:ilvl w:val="2"/>
          <w:numId w:val="1"/>
        </w:numPr>
        <w:rPr/>
      </w:pPr>
      <w:bookmarkStart w:id="642" w:name="__RefHeading___Toc3103848_373438147"/>
      <w:bookmarkStart w:id="643" w:name="_Toc245"/>
      <w:bookmarkEnd w:id="641"/>
      <w:bookmarkEnd w:id="642"/>
      <w:r>
        <w:rPr>
          <w:rtl w:val="true"/>
        </w:rPr>
        <w:t xml:space="preserve">الأعلام </w:t>
      </w:r>
      <w:r>
        <w:rPr>
          <w:rtl w:val="true"/>
        </w:rPr>
        <w:t>(</w:t>
      </w:r>
      <w:r>
        <w:rPr>
          <w:rtl w:val="true"/>
        </w:rPr>
        <w:t>الأشخاص، الأمكنة و الكتب</w:t>
      </w:r>
      <w:r>
        <w:rPr>
          <w:rtl w:val="true"/>
        </w:rPr>
        <w:t>)</w:t>
      </w:r>
      <w:bookmarkEnd w:id="643"/>
    </w:p>
    <w:p>
      <w:pPr>
        <w:pStyle w:val="BookText"/>
        <w:rPr/>
      </w:pP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إبراهيم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إبراهيم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الشيخ إبراهيم قفطان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ابن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ابن أبجر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ابن أبي خداش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ابن أبي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ابن أبي عمرة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ابن أبي غندر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 اللّه بن أبي مليكة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ابن الأخطل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ابن إسحاق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ابن أكثم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ابن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ابن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ابن باز</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ابن البرّاج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ابن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ابن بطّال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ابن التركماني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ابن 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العزيز بن جريج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ابن جرير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غزوان بن جرير الضبي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ابن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ابن 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ابن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ابن خراش</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ابن خلف القاضي المعروف بوكيع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الحافظ ابن رجب الحنبلى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ابن رشد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ابن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ابن السكين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ابن شحنة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ابن صهاك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ابن 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أكثر الصفحات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ابن عبد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ابن علوان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ابن قانع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ابن كثير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ابن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ابن مردوية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ابن 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ابن المنكدر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ابن الميسرة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ابن نجيم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ابن هرمز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ابني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أبو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أبو أحمد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أبو الأحوص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أبو إسحاق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أبو اسحاق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أبو بدر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أبو برزة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أبو بكر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أبو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أبو جحيفة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أبو جعفر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أبو حازم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أبو حازم الأعرج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أبو الحسن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أبو حليمة معاذ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أبو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أبو حميد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أبو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أبو خالد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أبو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أبو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أبو ذئب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أبو رؤبة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أبو الريحان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أبو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أبو 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أبو سعد البقّال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أبو سعيد الحسن بن الحسين الشكري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أبو سلمة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أبو سنابل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أبو الشعثاء جابر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أبو طالوت عبد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أبو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أبو العباس البقباق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أبو عبد اللّه بن فنجوية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أبو عبد اللّه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أبو عبد اللّه حافظ</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أبو عبد الرحمن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أبو عبد الرحمن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أبو عثمان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أبو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أبو 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أبو علي الحسين بن علي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أبو غظفان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أبو القاسم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أبو القاسم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أبو كريب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أبو مالك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أبو مالك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أبو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أبو محمد بن متّوية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أبو محمد صاعد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أبو مجلز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أبو محذورة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أبو مسعود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أبو مسلم الكجي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أبو مسهر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أبو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أبو 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أبو يعلى بن الليث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الإبهاج فى شرح المنهاج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الآبي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الأجلح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أحمد بن سعيد بن بشر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أحمد بن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أحمد بن عبد اللّه البزّار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عيسى بن ماهان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أحمد بن محمد بن إسحاق بن عيسى السنّي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أحمد بن محمد بن جعفر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أحمد بن مفضّل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أحمد بن يحيى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اخت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اختلاف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الأربعون حديثا في خصوص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إزالة الحظر عمّن جمع بين الصلاتين في الحضر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الأزدي البغدادي، أبو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إسحاق بن إبراهيم الحنظلي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إسحاق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إسحاق 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إسحاق بن عبد اللّه بن أبي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اسرى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أسعد وحيد القاسم الفلسطيني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أسماء بنت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إسماعيل بن أبان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إسماعيل بن أبي أوس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إسماعيل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إسماعيل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إسماعيل بن 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إسماعيل بن الفضل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إسماعيل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إسماعيل 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الأسود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الأشبيلي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الأشعري،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العلاّمة الفاني الإصبهاني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الاصوليّين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الإعلام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إفريقيا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الاقتصاد الهادي إلى الطريق 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أكمل الدين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الأكوع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آل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آل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آل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آل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امّ أراكة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إمام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امّ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امّ عبد اللّه ابنة أبي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اميّة بن خلف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اميّة بن 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العلاّمة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الأنصاري، حمّاد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أوس بن أبي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أهل بدر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أهل 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أهل 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أهل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أهل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إياس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الأيّام المكيّة من النهضة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الإيصال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فهم كتاب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آينۀ آيين مزديسني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أيّوب السختياني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الباجي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بدائع الصنايع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البدعة مفهومها و حدودها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البرماوي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بشر بن معاذ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بشر بن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بنى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بنت أبي لبيبة مولاة هشام بن الوليد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بندار بن عبد اللّه الإمامي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بني جمح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بني سعد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بني عامر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بني عبد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بني نهشل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بهاء الدين ابن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البهوتي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البيان و التحصيل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تابعي 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تاريخ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تاريخ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تبيان الحقائق في شرح كنز الدقائق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تحذير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تحريم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الترماشيري،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تشريع الأذان و فصوله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تعليق ابن شاكر على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التعليق على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تقي الدين السبكي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تلخيص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التوشيح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توضيح المسائل، للوحيد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التهذيب في فقه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جابر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جارية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جامع أبي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جامع العلوم و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جبير بن نفير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الجرجاني، أبو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جرير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الجزيري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جعفر بن أبي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جعفر بن برقان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جعفر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جعفر بن قولوية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السيّد جعفر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جمهرة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الجمهرة في لغة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جواد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الجوزجاني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حاشية البنائي على متن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حاشية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حاشية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حامد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الحاوي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حبيب بن أبي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الحجّاج بن أبي زينب اسلمى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الصيقل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الحجّاج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حجّاج بن 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حرملة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حسّان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خرّزاد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الحسن بن 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حسن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الحسن بن عليّ بن أبي حمزة البطائني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الحسن بن عليّ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الحسن بن عليّ بن فضّال الكوفي، أبو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الحسن بن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حسن بن منصور الفرغاني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الحسن بن يحيى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الحسن الحلواني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الحسين بن عليّ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الحسين بن قيس الرحبي أبي عليّ الواسطي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الحضارة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حقيقة البدعة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حقيقة الشيعة الاثنى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الحكم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الحكم بن مروان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الحكيم، السيّد محمّد 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الحلبي،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الحليمي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حلية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حمّاد بن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حمران مولى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حميد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حميد بن 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حياة الحيوان، للدميري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حياة الكركي و آثاره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خالد بن المهاجر بن سيف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خزانة الروايات في الفروع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الخصال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خصيف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الخطابى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خلاصة الأثر في أعيان القرن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خلاصة الإيجاز في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الخلاصة للخزرجي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الخلاصة 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الخلفاء الراشدين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الخلفاء الفاطميّون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الخوانساري، السيّد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خولة بنت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الخونساري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دائرة المعارف 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داود بن أبي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داود بن قيس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الداودي، محمد 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دراسات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الدراري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الدرّ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دلائل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الدميرى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ذخيرة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ذخيرة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الذهني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ربعي بن خراش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الربيع بن سبرة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ربيعة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ربيعة الرأى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رحمة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ردّ المحتار على الدرّ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الرسائل التسع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رسالة الاجتماع و الافتراق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الرسالة العاشورائية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رسالة في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رفاعة بن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الرهني الشيباني، 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الزحيلي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زفر بن أوس بن الحدثان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زفر بن الهذيل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الزواج الموقّت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الزواج الموقّت في مسائل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زهير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زياد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زياد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زيد بن ثابت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زيد بن ميناء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زين الدين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السائب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سالم بن العلاء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سبرة بن عوسجة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سبرة بن معبد الجهني والد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سبرة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السجن و النفي في مصادر التشريع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أبي 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سعدان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سعد بن أبي سعد بن أبي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السعدي القمّي،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سعيد بن أبي الحسن البصري أخو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سعيد بن أبي عروبة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سعيد بن 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سعيد المقبري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السكتواري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سليمان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سليمان بن حيّان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سليمان بن سمير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سليمان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سلمة بن الأكوع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سلمة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سلمى مولاة حكيم بن أمية بن الأوقص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سيّار أبي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شباع بن مخلّد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الشبلي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شرح 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شرح تراجم أبواب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شرح الزرقاني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شرح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شرح 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شرح 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شرح المنتقي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شرح نظم الكافل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الإمام شرف الدين العاملي، السيّد عبد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شعب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الشفائي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الشهرستاني، السيّد هبة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الصابوني الجعفي، أبو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صاحب المدوّنة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أكثر الصفحات</w:t>
      </w:r>
    </w:p>
    <w:p>
      <w:pPr>
        <w:pStyle w:val="BookText"/>
        <w:rPr/>
      </w:pPr>
      <w:r>
        <w:rPr>
          <w:rFonts w:ascii="Amiri" w:hAnsi="Amiri" w:eastAsia="Amiri" w:cs="Amiri"/>
          <w:color w:val="111111"/>
          <w:sz w:val="28"/>
          <w:sz w:val="28"/>
          <w:szCs w:val="28"/>
          <w:rtl w:val="true"/>
          <w:lang w:bidi="ar-SA"/>
        </w:rPr>
        <w:t>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صفوان بن أميّة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صفوان بن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صفوان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الصفواني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صوم عاشوراء بين السنّة و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الصهرشتي، الشيخ نظام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ضحى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الضعفاء لابن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الضعفاء و المتروكين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اليمانى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الطبسي، نجم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طبقات الكبرى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الطعّان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طلحة بن عمرو بن عثمان الحضرمي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طلحة بن مصرّف اليامي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الطياليسي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عاصم الجحدري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عاصم بن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السيّد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عامر بن 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عبّاد بن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عبّاس الناقد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عبد 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عبد اللّه بن أبي عوف بن 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عبد اللّه بن أبي نجيع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عبد اللّه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عبد اللّه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عبد اللّه بن الحارث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عبد اللّه بن عباس بن خثيم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عبد اللّه بن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عبد اللّه بن شفيق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عبد اللّه بن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عبد اللّه بن محمّد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عبد اللّه بن محمد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عبد اللّه بن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عبد اللّه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الجبّار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عبد الحميد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عبد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عبد الرحمن بن أبى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عبد الرحمن بن اسحاق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عبد الرحمن بن أبي 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عبد الرحمن بن جبير بن نفير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عبد الرحمن بن عبد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عبد الرحمن بن غنم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عبد الرحمن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عبد الرحمن بن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عبد العزيز بن عمر الاموي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عبد الكريم أبو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عبد الكريم بن أبي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عبد الكريم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عبد الكريم بن أبي المخارق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عبد الملك بن الربيع بن سبرة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عبد الملك بن 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عبيد اللّه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عبيد اللّه بن عبد اللّه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عثمان بن عليّ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عثمان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عجائب المخلوقات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عدّة المتمتّع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عرفجة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عطاء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عفراء أخت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عقبة بن ظهير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العلاء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علقمة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عليّ بن إسماعيل بن شعيب بن ميثم التمّار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عليّ بن الحسن الطائي 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عليّ بن الحسن الفطحي،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الشيخ عليّ بن عبد اللّه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علي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السيّد عليّ بن السيّد النصيرآبادي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عليّ بن يحيى بن خلاّد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عمارة بن غزيّة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عمران بن الحصين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عمران بن سوادة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عمران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عمر بن اذنية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الصفحات عمر 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عمرو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عمرو بن الحويرث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الجمحى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عمرو بن سعيد المدايني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هرم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عمرو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عميرة مولاة للكندة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العناية بشرح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عون بن جعفر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عيسى بن أبان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عيسى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عيسى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السيّد الغروي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الغماري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غنائم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الفاكهي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فتاوي الفرغاني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الفسوي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فضالة بن جعفر بن أميّة بن عابد المخزومي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الفضل بن شاذان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الفقه الإسلامي و 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الفقه على المذاهب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الفقه على المذاهب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فقهاء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الفقهاء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فقهاء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فقهاء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فوائد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في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القاسم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القاسم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القاسميّة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القاضي أحمد بن محمّد بن شاكر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القاضي جكن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القاضي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القاضي نعمان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قبيصة بن 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يزيد الطائي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قرة العين في 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محمّد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القفّال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القفّال الكبير الشاشي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القمّي،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القميّ، 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القوشجي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قيس بن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الكاساني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العلاّمة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الكامل في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كتابى أبي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كتاب الأقضية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كتاب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كثير النوى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الكحلاني، السيد 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الكرابيسي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الكراكجي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الكشميهني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الكفاية، للسبزواري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كفاية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كلحان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الشيخ الكليني، محمّد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الكوفيّون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كيخسرو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اللآلي المصنوعة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الليث‌ليث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ليث بن أبي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المازري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المبسوط للسرخسي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المبسوط،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مبشر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متأخّري المتأخّرين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المتّقي الهندى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المتعة بين الشريعة و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المتعة المشروعة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المتعة و مشروعيّتها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المتعتين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المتوكّل على اللّه أحمد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المتوكّل المطهّر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المتولّي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حجّاج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للهيثمى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الزراتشت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محاسن الوسائل في معرفة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محاضرات الأوائل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المحامي توفيق الفكيكي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المحدّث بن الصّديق الغماري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المحقّق ابن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المحقّق الحلّي، يحيى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محمد بن أبان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محمّد بن أحمد بن عرّابة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محمّد بن إسماعيل الحساني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محمد بن الأسود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محمّد بن بكّار بن الرّيان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محمد بن 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محمّد بن الحسن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محمّد بن رافع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محمّد بن سوار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محمد بن عبد اللّه بن عبد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محمّد بن عبد الملك بن أبي الشوارب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محمّد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محمّد بن 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محمد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محمّد بن مخلّد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محمّد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محمد بن نصر المروزى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محمّد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مختصر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مخلّد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السيّد الشريف المذري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مرآة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الشيخ المرتضى الأنصارى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المرغيناني، برهان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مروان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المسائل الصاغانية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مسائل فقهية خلافيّة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المستبصر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المستصفى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مسجد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النيسابوري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مسلم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مسلم بن خالد الزنجي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مسلم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مسلمة بن 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مسلم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مسند الباوردي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مسند العدني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المشارق، للخونساري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مصابيح الظلام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مصباح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مصدّق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مضر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مطرف بن الماجشون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مآثر الإناقة في معالم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معانة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معاني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معجم الطبراني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معيار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المغنية، الشيخ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المغنى لابن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المغيرة بن دياب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المفصّل من تأريخ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المنصور باللّه عبد اللّه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المنصور باللّه القاسم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المنهال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الموجز في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الموسوي الأردبيلى،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الموسوي التنكابني، السيّد محمّد 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السيّد الموسوي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موسى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موسى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موسى جار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موسى بن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موسى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موسى بن عمر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موسى بن محمد بن على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الموصلي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مولاة بن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مولى امّ المؤمنين ميمونة الهلالية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مؤمّل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المؤيّد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المهدي 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المهدي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المهلّبي الأزدي،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ميثم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ميمون بن الأصبغ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النزال بن سبرة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نساء مبشّرات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النفي و التغريب في مصادر التشريع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نصر بن إبراهيم المقدسى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نصر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نصير بن أبي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النضر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النضر بن شميل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النظم المستعذب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النفي و التغريب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السيّد النقوي الجايسي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النسّابة أبو جعفر محمد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بداية المبتدي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الهداية،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هدى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هشام بن محمّد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هشيم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هشيم بن القاسم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الهيثمى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وائل 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الوافي بالفيات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الورّاق، أبو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الولي بن العرافي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الوليد بن عبد الرحمن الجرشي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يحيى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يحيى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يحيى بن سعيد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يحيى بن 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يحيى بن عبد 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يحيى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يزدي،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يزيد بن زياد بن أبي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يرموك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يعقوب 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يعقوب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يعقوب بن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يعلى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يعلى بن عطا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bookmarkStart w:id="644" w:name="pg1254_13515"/>
    </w:p>
    <w:p>
      <w:pPr>
        <w:pStyle w:val="Heading3"/>
        <w:numPr>
          <w:ilvl w:val="2"/>
          <w:numId w:val="1"/>
        </w:numPr>
        <w:rPr/>
      </w:pPr>
      <w:bookmarkStart w:id="645" w:name="__RefHeading___Toc3103850_373438147"/>
      <w:bookmarkStart w:id="646" w:name="_Toc246"/>
      <w:bookmarkEnd w:id="644"/>
      <w:bookmarkEnd w:id="645"/>
      <w:r>
        <w:rPr>
          <w:rtl w:val="true"/>
        </w:rPr>
        <w:t>مصادر الكتاب</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آئينۀ آئين مزديسنى، لكيخسرو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للسبكي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الاختيار، للموصلي، ت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عالم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للكشّي أبو عمرو،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جامعة مشهد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الساري، للقسطلاني، 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للطوسي، أبو جعفر،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المكتبة المرتضوية،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للقرطبي عبد البرّ،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السبق، للحلبي، علاء الدين، ت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جماعة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للعسقلاني، ابن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الكتاب،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الاعتصام، للشاطبي، ت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التحرير،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للزركلي، دار العلم للملايين،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للشيخ المفيد، محمد بن محمد بن النعمان،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المفيد،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اقتضاء الصراط المستقيم، للحرّانى، 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 للشافعي، محمد بن إدريس،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محمد بن عليّ بن الحسين،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لعلم الهدى، السيّد المرتضى، 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الرضى،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للسمعاني، عبد الكريم، التميمي، 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الأيّام المكّيّة، لنجم الدين الطبسى، مركز الدراسات الإسلامية،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المكنون، للباباني البغدادي، 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لابن العربي، أبي بكر، 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 عيسى الحلبي، 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للجصّاص، 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مكّة، للفاكهي،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 تحقيق دهيش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للشيبانى، ابن الأثير،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المكتبة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للخضرى بك محمد، الاتّحاد العربي، 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للبلاذري، أحمد بن يحيى البلاذري،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للمجلسي، محمد باقر، شيخ الإسلام،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الوفاء،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الرائق، لزين العابدين بن نجيم، ت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المجتهد، للقرطبي، ابن رشد، 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لإسماعيل بن عمر بن كثير،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البدر الطالع، للشوكاني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 التحصيل، للقرطبي، 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المغرب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للطبري، أبو جعفر،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للبصري، ابن شبة النميري، 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للخطيب البغدادي، أبي بكر،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الإسلام، للذهبي، شمس الدين،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التأريخ الكبير، للبخاري، إسماعيل بن إبراهيم،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خليفة بن خيّاط، للعصفري، أبو عمر،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الباز،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دمشق، لابن عساكر،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عمر، لابن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الطاووسي، للشيخ حسن بن الشهيد الثاني، 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للحرّاني الحلبي،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للذهبي، شمس الدين،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الفقهاء، للعلاّمة الحلّي، الحسن بن يوسف بن عليّ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w:t>
      </w:r>
    </w:p>
    <w:p>
      <w:pPr>
        <w:pStyle w:val="BookText"/>
        <w:rPr/>
      </w:pPr>
      <w:r>
        <w:rPr>
          <w:rFonts w:ascii="Amiri" w:hAnsi="Amiri" w:eastAsia="Amiri" w:cs="Amiri"/>
          <w:color w:val="111111"/>
          <w:sz w:val="28"/>
          <w:sz w:val="28"/>
          <w:szCs w:val="28"/>
          <w:rtl w:val="true"/>
          <w:lang w:bidi="ar-SA"/>
        </w:rPr>
        <w:t>آل البيت،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للشيخ المفيد، محمّد بن محمّد بن النعمان،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المفيد،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مسند الشافعي، للسندي، الشيخ عابد،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البحر المحيط، للأندلسي، أبو حيّان،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 للبحراني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للعياشي، أبي النصر، محمد بن مسعود، ت بين القرن الثالث و الرابع، المكتبة العلميّة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لابن كثير، إسماعيل بن كثير الدمشقي،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للفخر الرازي،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مطبعة البهيّة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 للطباطبايى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المعانى، للآلوسي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 للحويزى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للعسقلانى، 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الشافي، للطوسي، أبو جعفر،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العلمين،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للمامقاني الشيخ عبد اللّه، 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 المرتضويّة،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للخوئي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التوشيح على الجامع الصحيح، للسيوطي،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للطوسي، أبو جعفر،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للعسقلاني، ابن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الكمال، للمزّي، أبي الحجّاج،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للبغوي، 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للطبري، ابن جرير،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نزار مصطفى،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للترمذي، محمد بن عيسى،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العلوم و الحكم، للحنبلي، ابن رجب، ت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 الحلبي،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للقرطبي، 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الكاتب العربي،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 التعديل، للرازي، عبد الرحمن التميمي، 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أنساب العرب، للظاهري، ابن حزم،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المعارف، مصر، تحقيق عبد السلام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الفقه، للطرابلسي، ابن البرّاج، 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جماعة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للنجفي،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الاسلاميّة،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النفي، للزكانى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السندي، للسندي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الحاوي الكبير، للماوردي، أبي الحسن،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الحبل المتين، للشيخ البهائي، 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للبحراني، 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جماعة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البدعة و أحكامها، للغامدي، مكتبة الرشد،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الشيعة الإثني عشريّة، للفلسطيني، أسعد وحيد،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للأصفهاني، أبي نعيم،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العلماء، للشاشي، أبي بكر، 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الرسالة الحديثة،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الأثر في أعيان القرن الحادي عشر، للحموي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للعلاّمة الحلّي، الحسن بن يوسف بن عليّ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منشورات الرضي،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للطوسي، أبو جعفر،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جماعة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الدراري المضيئة، للشوكاني،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تفسير، للسيوطي، جلال الدين،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محمد أمين دمج،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للشهيد الأوّل، 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جماعة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للقاضي نعمان المصري،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آل البيت،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الأحكام، لابن شدّاد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الصالحين، للطبسي،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للطهراني، الشيخ آقا بزرگ، 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المكتبة الإسلامية،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المختار على الدّر المختار، لابن عابدين، 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مصر، 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الاجتماع و الافتراق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للمجلسي الأوّل، 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فرهنگ اسلامى،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للطباطبائي، 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آل البيت،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للجوزية، ابن قيم، 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عبد الرؤف طه، طبع مصطفى الحلبي، مصر،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السلام، للكحلاني، ت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الريّاه،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للحلّي محمد بن إدريس، 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جماعة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لابن ماجة،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 قطني، للدارقطنى،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الدارمي، للدارمي، 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الطيالسي، للطيالسي،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للبيهقي، أبو بكر،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للنسائي،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لأبي داود،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السنّة النبويّة،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للذهبي، شمس الدين،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لأبي الفلاح، ابن عماد، 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المكتب التجاري،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للمحقّق الحلّي،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مطبعة الآداب،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الزرقاني، للزرقاني، عبد الباقي، ت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 عيسى الحلبي،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الكبير، للدردير، أحمد، ت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 عيسى الحلبي،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تراجم أبواب البخاري، للبخاري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فتح القدير، لابن الهمام، محمد المعروف، 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 مصطفى الحلبي، 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أبي الحديد المعتزلي،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الكتب العربيّة،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للبخاري، محمد بن إسماعيل،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للقشيري، مسلم بن الحجّاج،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مصطفى البابي الحلبي، مصر، طبع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الكبير، للعقيلي، محمد بن عمر، 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الدار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الحفّاظ، للسيوطي،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الفقهاء، للشيرازي، أبي إسحاق الشافعي، 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الرائد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للبصري، محمد بن سعد بن منيع،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لابن خياط خليفه،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 سهيل زكار، مطابع وزارة الثقافة،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التثريب، للحافظ العراقي، ت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في خبر من غبر، للذهبي، شمس الدين،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لليزدى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للأندلسي ابن عبد ربّه، 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للصدوق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القارئ، للعيني، بدر الدين،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المعبود، للحق 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للأميني، الشيخ عبد الحسين، 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مركز الغدير للدراسات الإسلاميّة،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غنية النزوع، للحلبي، ابن زهرة، 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الإمام الصادق عليه السّلام،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الكبرى، لابن تيميّة، 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بشرح البخاري، للعسقلاني، ابن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الفروع، للمقدسي، محمد بن مفلح، ت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الإسلامي و أدلّته، للزحيلي وهبة،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على المذاهب الأربعة، للجريري، عبد الرحمن، 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المجموعة في الأحاديث الموضوعة، للشوكاني،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بحار الأنوار، للخاتمي، مؤسّسة البلاغ،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قاموس الرجال، للتستري، الشيخ محمد تقي، 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جماعة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للفيروز آبادي، 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للعلاّمة الحلّي، الحسن بن يوسف بن عليّ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آل البيت،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في الفقه، للحلبي أبي الصلاح، 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الإمام أمير المؤمنين عليه السّلام، الأصفهان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للكليني، محمد بن يعقوب،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التأريخ، لابن أثير،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الضعفاء، للجرجاني، عبد اللّه بن عدي، 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محمود بن عمر،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للحاج خليفة، مصطفى بن عبد اللّه، 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القناع، للبهوتي، منصور بن يونس البهوتي، ت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للمتّقي الهندي،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اللآلي المصنوعة في الأحاديث الموضوعة، للسيوطي،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لابن منظور،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أدب الحوزة،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للعسقلاني، ابن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مآثر الأنافة في معالم الخلافة، للقلقشندي، أحمد بن عبد اللّه، 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تحقيق عبد الستّار أحمد، وزارة الإرشاد الكويتية،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للسرخسي، شمس الدين، 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المتعة بين الشريعة و البدعة، للأردبيلي، مرتضى الموسوي،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المتعة مشروعة، للعلاّمة الفانى،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مطبعة مهر،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تراثنا، إصدار مؤسّسة آل البيت عليهم السّلام،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مرآة التحقيق، إصدار مكتب الإعلام الإسلامي،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للطريحي، فخر الدين،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المكتبة المرتضويّة،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للهيثمي، عليّ بن أبي بكر،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الفتاوى، للحرّاني، 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للنووي، محي الدين بن شرف،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الأوائل، لدده، الشيخ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المحاضرات، للراغب، الإصبهاني، أبو القاسم بن محمد، 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للهاشمي، أبو جعفر، محمد بن حبيب، 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الآفاق الجديدة،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للأندلسي، ابن حزم،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الآفاق الجديدة،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للعلاّمة الحلّي، الحسن بن يوسف بن عليّ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 الاعلام الاسلامي،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المدوّنة الكبرى، للأصبحي، مالك بن أنس،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للمجلسي الثاني، محمد باقر،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 للقاري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للمسعودي،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الصاغانيّة، للشيخ المفيد، محمد بن محمد بن النعمان،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المفيد،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للشهيد الثاني، زين الدين الجبعى،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المعارف الإسلاميّة،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علم الرجال، للنمازي الشاهرودي، الشيخ عليّ،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 الحيدريّة،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للنوري، 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آل البيت،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للنيسابورى،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للغزالي، 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للنراقي، ت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آل البيت،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الشافعي، للحلّي، محمد بن إدريس،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رتّبه سنجر بن عبد اللّه، 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الطيالسي، لأبي داود الطيالسي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الطيالسي، للطيالسي، الفارسي، أبو داود، سليمان بن داود،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الباز،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لأحمد بن حنبل،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لأحمد بن حنبل،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للإمام زيد، جمع عبد العزيز البقّال، 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للهمداني، الحاج آقا رضا، 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للصنعاني، عبد الرّزاق، 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المكتب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للعبسي، ابن أبي شيبة،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للدينوري، ابن قتيبة،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الشريف الرضي،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السنن، للخطابي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الآثار، للطحاوي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للمحقّق الحلّي،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مدرسة الإمام أمير المؤمنين،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للحموي،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سليمان بن أحمد،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وزارة الأوقاف العراقيّة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الحديث النبوي، جمع من المستشرقين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القرآن الكريم، لمحمد فؤاد عبد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المفهرس لألفاظ أحاديث بحار الأنوار، لجمع من محقّقي مكتب الإعلام الإسلامي،</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لكحالة، عمر رضا،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للخوئي، السيد أبو القاسم،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الزهراء،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في الضعفاء، للذهبي، أبو عبد اللّه،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المعارف،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لابن قدامة، أبو محمد، عبد اللّه بن أحمد، ت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للعاملي، السيد محمد،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آل البيت،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كنوز السنّة، أي، فنسك، دار الباز،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مرآة العقول، للعسكري، السيد مرتضى،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ملاذ الأخيار، للمجلسي، محمد باقر، شيخ الإسلام،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النجفى،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 النحل، للأندلسي، ابن حزم،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المنتقى، للباجي، أبو الوليد، 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 السعادة، مصر،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منجد الطلاّب، للأب لويس معلوف اليسوعي، دار المشرق،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الإسلاميّة،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السجن، للطبسي، نجم الدين، مركز الإعلام الإسلامي،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لابن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الموطّا، لمالك بن أنس، 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برواية يحيى الأندلسي،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لابن البرّاج الطرابلسي، 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جماعة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لأبي إسحاق الشيرازي، 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عيسى البابي،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للذهبي، شمس الدين،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للأتابكي، يوسف بن تغري، 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 مبشّرات بالجنّة، لأحمد خليل جمعة، دار ابن كثير،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النفي و التغريب، للطبسي، نجم الدين، مجمع الفكر الإسلامي،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للجزري، ابن الأثير،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إسماعيليان،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مجرّد الفقه و الفتوى، للطوسي، أبو جعفر،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قدس،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للشوكاني، محمد بن علي،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للصفدي، صلاح الدين، 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جمعيّة المستشرقين الألمانيّة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للفيض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الامام أمير المؤمنين، الأصفهان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للحرّ العاملي، محمد بن الحسن،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آل البيت عليهم السّلام،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لابن خلكان، أحمد بن محمد، 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الثقافة،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في شرح البداية، للمرغيناني برهان الدين، الحنفي، ت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647" w:name="pg1254_13527"/>
    </w:p>
    <w:p>
      <w:pPr>
        <w:pStyle w:val="Heading3"/>
        <w:numPr>
          <w:ilvl w:val="2"/>
          <w:numId w:val="1"/>
        </w:numPr>
        <w:rPr/>
      </w:pPr>
      <w:bookmarkStart w:id="648" w:name="__RefHeading___Toc3103852_373438147"/>
      <w:bookmarkStart w:id="649" w:name="_Toc247"/>
      <w:bookmarkEnd w:id="647"/>
      <w:bookmarkEnd w:id="648"/>
      <w:r>
        <w:rPr>
          <w:rtl w:val="true"/>
        </w:rPr>
        <w:t>الموضوعات</w:t>
      </w:r>
      <w:bookmarkEnd w:id="649"/>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الموقّت عند الصحابة و التابعين المقدّمة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تعريف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الموقّت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الزواج الموقّت عند الصحابة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الحصين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التعريف بعمران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التعريف بأبي سعيد الخدري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التعريف بجابر بن عبد اللّه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ثابت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التعريف بزيد بن ثابت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التعريف بابن مسعود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التعريف بابن الأكوع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التعريف بعليّ بن أبي طالب عليه السّلام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التعريف بعمرو بن حريث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أميّة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التعريف بسلمة بن أميّة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ربيعة بن أميّة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التعريف بربيعة بن أميّة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حوشب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التعريف بأبيّ بن كعب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التعريف بأسماء بنت أبي بكر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عبد اللّه ابنة أبي خيثمة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التعريف بابن يسار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التعريف بابن عبّاس </w:t>
      </w:r>
      <w:r>
        <w:rPr>
          <w:rFonts w:eastAsia="Amiri" w:cs="Amiri" w:ascii="Amiri" w:hAnsi="Amiri"/>
          <w:color w:val="111111"/>
          <w:sz w:val="28"/>
          <w:szCs w:val="28"/>
          <w:lang w:bidi="ar-SA"/>
        </w:rPr>
        <w:t>45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دعاوي و ردود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التعريف بسمرة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التعريف بأنس بن مالك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التابعين و الفقهاء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التعريف بمالك بن أنس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التعريف بابن حنبل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التعريف بسعيد بن جبير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عبد العزيز 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رواية إسماعيل بن الفضل الهاشمي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التعريف بابن جريج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هل رجع ابن جريج عن رأيه؟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التعريف بعطاء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طاووس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التعريف بطاووس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التعريف بعمرو بن دينار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التعريف بمجاهد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التعريف بالسدّي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التعريف بالحكم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التعريف بابن أبي مليكة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زفر بن أوس بن الحدثان المدنيّ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التعريف بزفر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زفر بن الهذيل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مصرّف اليامي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التعريف بطلحة بن مصرّف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مكّة و اليمن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عليهم السّلام و التابعون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لائحة بأسماء آخرين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إثارات و مناقشات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القائلون بالمتعة لم يبلغهم النسخ؟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 أمر حكومي و صادر عن الخليفة عمر </w:t>
      </w:r>
      <w:r>
        <w:rPr>
          <w:rFonts w:eastAsia="Amiri" w:cs="Amiri" w:ascii="Amiri" w:hAnsi="Amiri"/>
          <w:color w:val="111111"/>
          <w:sz w:val="28"/>
          <w:szCs w:val="28"/>
          <w:lang w:bidi="ar-SA"/>
        </w:rPr>
        <w:t>80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ابن عمر على عهد أبيه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جابر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محاورة عمران بن سوادة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الإمام عليّ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الشاهد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المؤلّفين و الأعلام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ادّعى عمر النسخ؟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فقهاء العامّة و مفسّريهم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إجماع على تحريم المتعة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الاضطراب في أحاديث التحريم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الأحاديث المعارضة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الترمذي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سعيد بن جبير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الزهري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سبرة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إياس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أبي هريرة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سلاح من أعياه الجواب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حوار بين الإمام الباقر عليه السّلام و الليثي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حوار بين أبي حنيفة و مؤمن الطاق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كتب حول جواز المتعة </w:t>
      </w:r>
      <w:r>
        <w:rPr>
          <w:rFonts w:eastAsia="Amiri" w:cs="Amiri" w:ascii="Amiri" w:hAnsi="Amiri"/>
          <w:color w:val="111111"/>
          <w:sz w:val="28"/>
          <w:szCs w:val="28"/>
          <w:lang w:bidi="ar-SA"/>
        </w:rPr>
        <w:t>105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صلاة التراويح بين السنّة و البدعة المقدّمة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معنى التراويح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قيام شهر رمضان في أحاديث الفريقين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الإماميّة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رأي فقهائنا في مشروعيّة نافلة شهر رمضان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عدد نوافل شهر رمضان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فقهاء السنّة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فقهاء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مغائر للجمهور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صلاة التراويح جماعة من بدع الخليفة عمر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البخاري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الأعلام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حكم الجماعة في نوافل شهر رمضان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فقهاء السنّة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تعليقة على كلام السرخسي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فقهاء الإماميّة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موقف النبيّ صلّى اللّه عليه و آله و أهل بيته عليهم السّلام من التراويح جماعة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أدلّة القول بعدم جواز الجماعة في التراويح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أدلّة القول بجواز الجماعة فيها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مناقشة أدلّة الجواز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كلمات الأعلام في ترك النبيّ صلّى اللّه عليه و آله للتراويح </w:t>
      </w:r>
      <w:r>
        <w:rPr>
          <w:rFonts w:eastAsia="Amiri" w:cs="Amiri" w:ascii="Amiri" w:hAnsi="Amiri"/>
          <w:color w:val="111111"/>
          <w:sz w:val="28"/>
          <w:szCs w:val="28"/>
          <w:lang w:bidi="ar-SA"/>
        </w:rPr>
        <w:t>164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صلّى عمر بن الخطّاب جماعة؟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هل البدعة تنقسم إلى أقسام؟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أنصار الرأي الأوّل كما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أنصار الرأي الثاني كما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 مناقشة هذا القول، و بيان خطئه، و منافاته للصواب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هل فعل الخليفة و قوله حجة؟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و التكفير بين السنّة و البدعة المقدّمة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ما ورد عن أهل البيت عليهم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كلمات الفقهاء الإماميّة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منشأ التكفير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كلمات فقهاء السنّة و أئمّتهم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الروايات من طرق السنّة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التأمّل في معنى الرواية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أمّا النقاش الدلالي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حصيلة البحث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و مصادره من الكتاب و السنّة المقدّمة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دليل جواز الجمع بين الصلاتين من القرآن الكريم </w:t>
      </w:r>
      <w:r>
        <w:rPr>
          <w:rFonts w:eastAsia="Amiri" w:cs="Amiri" w:ascii="Amiri" w:hAnsi="Amiri"/>
          <w:color w:val="111111"/>
          <w:sz w:val="28"/>
          <w:szCs w:val="28"/>
          <w:lang w:bidi="ar-SA"/>
        </w:rPr>
        <w:t>215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الآية عن أهل البيت عليهم السّلام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الروايات من طرق العامّة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آراء المفسّرين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الروايات من طرق الخاصة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 يستدلّ على مرجوحيّة الجمع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آراء الفقهاء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الأحاديث من طرق العامّة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التأويلات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ما يستدلّ به على الجمع الصوري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هل قول ابن عبّاس خلاف الإجماع؟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أقوال فقهاء العامّة في جواز الجمع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استحباب الأخذ بالمرخّصات الشرعيّة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روايات توهم حرمة الجمع بين الصلاتين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الوضوء على ضوء الكتاب و السنّة الوضوء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بدء تشريع الوضوء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بدء الخلاف في الوضوء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كيفية غسل اليدين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مع المفسّرين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أحاديث في المسح على القدمين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دراسة في السند </w:t>
      </w:r>
      <w:r>
        <w:rPr>
          <w:rFonts w:eastAsia="Amiri" w:cs="Amiri" w:ascii="Amiri" w:hAnsi="Amiri"/>
          <w:color w:val="111111"/>
          <w:sz w:val="28"/>
          <w:szCs w:val="28"/>
          <w:lang w:bidi="ar-SA"/>
        </w:rPr>
        <w:t>249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في السند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دراسة في السند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يستفاد من هذا النصّ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الروايات من طريق أهل البيت عليهم السّلام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الدليل القرآني على مسح الأرجل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رأى العامّة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المسح على الأرجل عند الصحابة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تهافت المفسّرين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صوم عاشوراء عاشوراء في اللغة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عاشوراء و جذورها التأريخيّة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حكم صوم عاشوراء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تفصيل البحث في الروايات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روايات الجواز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الأحاديث من طريق السنّة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مناقشة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آراء الفقهاء في صوم عاشوراء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نص بعض الكلمات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موقف الأيادي الأثيمة من عاشوراء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موقف أهل البيت عليهم السّلام </w:t>
      </w:r>
      <w:r>
        <w:rPr>
          <w:rFonts w:eastAsia="Amiri" w:cs="Amiri" w:ascii="Amiri" w:hAnsi="Amiri"/>
          <w:color w:val="111111"/>
          <w:sz w:val="28"/>
          <w:szCs w:val="28"/>
          <w:lang w:bidi="ar-SA"/>
        </w:rPr>
        <w:t>281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يجتمع النسيء مع صوم عاشوراء؟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عاشوراء عيد الأمويّين </w:t>
      </w:r>
      <w:r>
        <w:rPr>
          <w:rFonts w:eastAsia="Amiri" w:cs="Amiri" w:ascii="Amiri" w:hAnsi="Amiri"/>
          <w:color w:val="111111"/>
          <w:sz w:val="28"/>
          <w:szCs w:val="28"/>
          <w:lang w:bidi="ar-SA"/>
        </w:rPr>
        <w:t>282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تصريحات للمؤرّخين </w:t>
      </w:r>
      <w:r>
        <w:rPr>
          <w:rFonts w:eastAsia="Amiri" w:cs="Amiri" w:ascii="Amiri" w:hAnsi="Amiri"/>
          <w:color w:val="111111"/>
          <w:sz w:val="28"/>
          <w:szCs w:val="28"/>
          <w:lang w:bidi="ar-SA"/>
        </w:rPr>
        <w:t>283</w:t>
      </w:r>
      <w:bookmarkStart w:id="650" w:name="pg1254_13537"/>
    </w:p>
    <w:p>
      <w:pPr>
        <w:pStyle w:val="Heading2"/>
        <w:numPr>
          <w:ilvl w:val="1"/>
          <w:numId w:val="1"/>
        </w:numPr>
        <w:rPr/>
      </w:pPr>
      <w:bookmarkStart w:id="651" w:name="__RefHeading___Toc3103854_373438147"/>
      <w:bookmarkStart w:id="652" w:name="_Toc248"/>
      <w:bookmarkEnd w:id="650"/>
      <w:bookmarkEnd w:id="651"/>
      <w:r>
        <w:rPr>
          <w:rtl w:val="true"/>
        </w:rPr>
        <w:t>چكيده</w:t>
      </w:r>
      <w:bookmarkEnd w:id="652"/>
    </w:p>
    <w:p>
      <w:pPr>
        <w:pStyle w:val="BookText"/>
        <w:rPr/>
      </w:pPr>
      <w:r>
        <w:rPr>
          <w:rFonts w:ascii="IRNazanin" w:hAnsi="IRNazanin" w:eastAsia="IRNazanin"/>
          <w:color w:val="111111"/>
          <w:sz w:val="28"/>
          <w:sz w:val="28"/>
          <w:szCs w:val="28"/>
          <w:rtl w:val="true"/>
          <w:lang w:bidi="fa-IR"/>
        </w:rPr>
        <w:t>كمتر مسئله‌اى از مسائل فقهى شيعه اماميه است كه با فتوايى از فتاواى مذاهب اهل سنت مطابق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نقاط اشتراك در احكام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برسد به اصول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نقاط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شايسته است به مسائل اتفاقى بين شيعه و اهل سنت به ديده اعتبار و اهميت نگريسته شود و پذيرش مسائل اختلافى نيز نيكوست، زيرا ناگزير از اين مقدار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اين اندازه اختلاف حتى بين مذاهب اهل سنت در اعتقادات و فقه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صلاح اين است كه در اين موارد، سعه صدر را پيشه كنيم و از تعصب در بحث‌ها دورى ورزيم و ادب اسلامى را رعايت كنيم و به ارزش‌هاى اخلاقى چنگ بزنيم و در پى آن در مورد نظر فقهى و ادله آن و قبول و ردّ و اشكال به آن از پيش‌داورى و جار و جنجال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با رويكرد فوق، اين مسائل را كاويده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نزد صحابه و تابعين، نماز تراويح، ارسال و تكفير بين سنت و بدعت، جمع بين صلاتين، چگونگى وضو و روزۀ عاشورا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مؤسسۀ بوستان كتاب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كتاب التفسير، 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تُحَرِّمُوا طَيِّبٰاتِ مٰا أَحَلَّ اللّٰهُ لَكُمْ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النووي،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إرشاد الساري،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فسّره البعض بمتعة الحجّ و لكنّه خلاف الظاهر، بل المراد نكاح المتعة، كما عن الرازي و غيره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للعلاّمة النسّابة أبي جعفر محمد بن حبيب الهاشمي، المتوفّى عام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القارىء،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تأريخ بغداد،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45719</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سلسلة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المسائل الصاغانيّة،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مؤلّفات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لكن الأيادي الأمينة حذفته من الطبعة الحديثة 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فيها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الحويرث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الاسدي الموصلي مات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للخزرجي،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ميثم التمّار الكذّاب مولى عليّ الكذّاب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الزرقاني أيضا عدّ معاوية ممّن كان يقول بالمتعة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إسحاق بن إبراهيم الحنظلي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عن النبيّ صلّى اللّه عليه و آله في فضل معاوية بن أبي سفيان شيء؛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اللآلي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الفوائد المجموعة،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تاريخ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الأنساب،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الدية على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من المهاجرات الأول اللاتي بايعن رسول اللّه صلّى اللّه عليه و آله و كانت تحت عثمان بن مظعون، تاريخ المدينة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مسند الشافعي،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الأمّ،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منتخب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تاريخ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 منه، بدل فحملت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 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 و موضع 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انظر 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أورده الذهبي في 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نهي، أي علمت النهي عنّي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الكشف و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به التعريض بابن عبّاس لتجويزه المتعة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غليظ الطبع، قليل الفهم، قاله ابن عبّاس لابن الزبير مناديا له جهارا في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فنحكي قول ابن عبّاس في المتعة، و في الصرف، و في انكار القول، و قول طائفة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الصحابة في ترك الغسل من الإيلاج، و أشباه ذلك، و لا نجوّز لأحد تقليدهم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فنحكي قول ابن عبّاس في المتعة، و في الصرف، و في انكار القول، و قول طائفة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الصحابة في ترك الغسل من الإيلاج، و أشباه ذلك، و لا نجوّز لأحد تقليدهم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مولده بشعب بني هاشم قبل عام الهجرة بثلاث سنين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خلف متوفّى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المتوفّى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القفّال متوفّى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عوانة المتوفّى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بعد ابن عبّاس بعشرات السنين، فمن أين ثبت لهم رجوعه طالما لم ينقلوا طريقا إليه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الأيّام المكّيّة،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معجم الطبراني،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تأريخ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تأريخ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موارد السجن،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أخرى،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تأريخ خليفة،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في شرح بداية المبتدي،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طبقات الفقهاء،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تأريخ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سلسلة مؤلّفات الشيخ المفيد،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النسك أي العبادة، أي كانت تتعبّد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6786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الكشف و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تذكرة الحفّاظ،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في 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امرأة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سلسلة مؤلّفات الشيخ المفيد،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تذكرة الحفّاظ،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إلى دعوى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طاووس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تذكرة الحفّاظ،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أنّه من فقهاء العامّة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سلسلة مؤلّفات الشيخ المفيد،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الأقضية للكرابيسي البغدادي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أبي حيّان،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7179</w:t>
      </w:r>
      <w:r>
        <w:rPr>
          <w:rFonts w:ascii="IRNazanin" w:hAnsi="IRNazanin" w:eastAsia="IRNazanin"/>
          <w:b w:val="false"/>
          <w:b w:val="false"/>
          <w:bCs w:val="false"/>
          <w:i w:val="false"/>
          <w:i w:val="false"/>
          <w:iCs w:val="false"/>
          <w:color w:val="333333"/>
          <w:sz w:val="20"/>
          <w:sz w:val="20"/>
          <w:szCs w:val="20"/>
          <w:rtl w:val="true"/>
        </w:rPr>
        <w:t xml:space="preserve">؛ تفسير أبي حيّان،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7179</w:t>
      </w:r>
      <w:r>
        <w:rPr>
          <w:rFonts w:ascii="IRNazanin" w:hAnsi="IRNazanin" w:eastAsia="IRNazanin"/>
          <w:b w:val="false"/>
          <w:b w:val="false"/>
          <w:bCs w:val="false"/>
          <w:i w:val="false"/>
          <w:i w:val="false"/>
          <w:iCs w:val="false"/>
          <w:color w:val="333333"/>
          <w:sz w:val="20"/>
          <w:sz w:val="20"/>
          <w:szCs w:val="20"/>
          <w:rtl w:val="true"/>
        </w:rPr>
        <w:t xml:space="preserve">؛ تفسير أبي حيّان،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طبقات خليفة،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التحرير الطاووسي،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التأريخ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أوردنا في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لابن عبّاس ترجمة مفصّلة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المكيّة من النهضة الحسينيّة، كما أوردنا ترجمة لأكثر من سبعين شخصا ممّن يتعلّق بالموضوع، فراجع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سلسلة مؤلّفات الشيخ المفيد،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سلسلة مؤلّفات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التأريخ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تأريخ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منتخب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الجامعة مجلّد شرحه ابن حزم الظاهري،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الإيصال إلى فهم كتاب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شرح كبير أورد فيه أقوال الصحابة و التابعين و من بعدهم من الأئمّة في مسائل الفقه و دلائله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قال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كثيرة و الخلاف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الدراري المضيئة،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فقيه بغداد، صاحب التصانيف، ثفقّه بالشافعي، مات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قال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البخاري كان يصحب الكرابيسي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1814/193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الضعفاء و المتروكين،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أخبار مكّة،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مقدّمة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حبّان فرّق بين سبرة بن معبد الجهني والد الربيع و بين سبرة بن عوسجة بن الربيع، النازل في ذي المروّة، الذى عبّر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يوجب التشكيك في نسب الجهني و مع ذلك فلم يوثق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المشروعة،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الخوئي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مما رواه الشيخ بسند صحيح خبث ذاته و شقاوته و معاندته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7042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عبد اللّه بن عمير الليثي؛ تهذيب الأخبار،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إنّ المتعة خارجة عن عموم آية الإرث بالنصوص، كما أخرجتم الكتابية عنها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الكركي و آثاره،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إرشاد الساري،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أمالى الصدوق،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المجلس الثالث و التسعون؛ 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الإسناد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بأبي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المرزبان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متكلّم فيه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 الأمير و أراد أن ينقص من قيام رمضان الذي كان يقومه الناس بالمدينة، قال ابن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تسع و ثلاثون ركعة بالوتر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في فقه الشافعي،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ذخيرة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الزرقاني،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الجماعة الفرض دون النفل إلاّ في الاستسقاء و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ملاذ الأخيار،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ابن فضّال يأتي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نقله المحقّق الحلّي في المعتبر،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العياشي 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بعض أصحابنا عن أحدهما عليهما 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الاستغاثة،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ضلالة في النار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مقدّمة فتح البارى،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تاريخ الإسلام،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عن الشافعي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 المختار على الدرّ المختار،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حقيقة البدعة و أحكامها،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اقتضاء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البحر، حجّة الإسلام، أعجوبة الزمان راجع العلوم و خاض في الفنون الدّقيقة و التقى بأربابها حتّى تفتّحت له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ينشأ بالأندلس مثله كمالا و علما و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يفزع إلى فتياه في الطبّ، كما يفزع إلى فتياه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في كتاب طريقة عبادة الزراتشت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آينۀ آئين مزديسني،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كيخسرو،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طريقة العبادة و الصلاة عندهم هي الوقوف أمام اللّه و جعل يد العبوديّة على الصدر، و من ثمّ عبادة اللّه عزّ و جل</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سلسلة مؤلّفات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مصباح الفقاهة،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 التحصيل،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مرقاة المفاتيح،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المبسوط للسرخسي،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الإسلامي و أدلّته،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له سماع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نفس المصدر،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فقهية خلافية،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وراء رسول اللّه صلّى اللّه عليه و آله ثمانيا جميعا و سبعا جميعا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وراء رسول اللّه صلّى اللّه عليه و آله ثمانيا جميعا و سبعا جميعا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الطيالسي،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إزالة الحظر عمّن جمع بين الصلاتين في الحضر،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كفاية الأخيار،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أبي الشعثاء جابر بن زيد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 ابن شاكر على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النووي،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حاشية السندي،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المنتقى،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الاجتماع و الافتراق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الدرّة المضيئة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موسوعة أطراف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موسوعة أطراف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موسوعة أطراف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مغني اللبيب،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الغربيين،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معيار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إرشاد الساري،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غنائم الأيّام،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المدارك،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المجموعه،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بدايع الصنايع،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إرشاد الساري،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الزرقاني،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العاشورائيّة،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صوم عاشوراء بين السنّة و البدعة،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لكن المحدّث النوري في الخاتمة دافع عن الكتاب أشدّ الدفاع،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انظر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الطيالسى،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انظر بدائع الصنائع للكاساني،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توضيح المسائل، الطبعة الأولى،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تقرير أبحاث الأستاذ الوحيد، انظر كتاب صوم عاشوراء بين السنّة و البدعة،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صوم عاشوراء بين السنّة و البدعة،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صوم عاشوراء بين السنّة و البدعة،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الشرح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الرسالة العاشورائية،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الاقتصاد الهادي إلى الطريق الرشاد،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المهذّهب،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الغنية،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تبصرة المتعلمين،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العاشورائية،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قد علّق عليه في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بعيد و مخالفة لما نصّ عليه المعتبر،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صوم عاشوراء بين السنّة و البدعة،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الحضارة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التعجب،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67177</Words>
  <Characters>262123</Characters>
  <CharactersWithSpaces>324262</CharactersWithSpaces>
  <Paragraphs>5117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2026-08-16T13:12:24Z</dcterms:created>
  <dc:creator>ghaemiyeh.com</dc:creator>
  <dc:description/>
  <dc:language>en-US</dc:language>
  <cp:lastModifiedBy/>
  <dcterms:modified xsi:type="dcterms:W3CDTF">2026-08-16T16:42:35Z</dcterms:modified>
  <cp:revision>1</cp:revision>
  <dc:subject/>
  <dc:title>دراسات فقهیة فی مسائل خلافیة</dc:title>
</cp:coreProperties>
</file>

<file path=docProps/custom.xml><?xml version="1.0" encoding="utf-8"?>
<Properties xmlns="http://schemas.openxmlformats.org/officeDocument/2006/custom-properties" xmlns:vt="http://schemas.openxmlformats.org/officeDocument/2006/docPropsVTypes"/>
</file>