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notes.xml" ContentType="application/vnd.openxmlformats-officedocument.wordprocessingml.footnotes+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بحث حول الاستسقام مشروعیة الاستخارة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6909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86911_373438147">
            <w:r>
              <w:rPr>
                <w:webHidden/>
                <w:rStyle w:val="IndexLink"/>
                <w:rtl w:val="true"/>
              </w:rPr>
              <w:t>المقدمة</w:t>
            </w:r>
            <w:r>
              <w:rPr>
                <w:rStyle w:val="IndexLink"/>
                <w:rtl w:val="true"/>
              </w:rPr>
              <w:tab/>
            </w:r>
            <w:r>
              <w:rPr>
                <w:rStyle w:val="IndexLink"/>
              </w:rPr>
              <w:t>4</w:t>
            </w:r>
          </w:hyperlink>
        </w:p>
        <w:p>
          <w:pPr>
            <w:pStyle w:val="Contents2"/>
            <w:tabs>
              <w:tab w:val="clear" w:pos="8743"/>
              <w:tab w:val="right" w:pos="9026" w:leader="dot"/>
            </w:tabs>
            <w:rPr/>
          </w:pPr>
          <w:hyperlink w:anchor="__RefHeading___Toc886913_373438147">
            <w:r>
              <w:rPr>
                <w:webHidden/>
                <w:rStyle w:val="IndexLink"/>
                <w:rtl w:val="true"/>
              </w:rPr>
              <w:t>[</w:t>
            </w:r>
            <w:r>
              <w:rPr>
                <w:rStyle w:val="IndexLink"/>
                <w:rtl w:val="true"/>
              </w:rPr>
              <w:t>قول الشيخ محمود شلتوت في الاستخارة بالقرآن و حَبات السبحة المأثورة من أئمة أهل البيت ع و تعريضه بأنه يشبه من وسائل الاستقسام</w:t>
            </w:r>
            <w:r>
              <w:rPr>
                <w:rStyle w:val="IndexLink"/>
                <w:rtl w:val="true"/>
              </w:rPr>
              <w:t>]</w:t>
              <w:tab/>
            </w:r>
            <w:r>
              <w:rPr>
                <w:rStyle w:val="IndexLink"/>
              </w:rPr>
              <w:t>5</w:t>
            </w:r>
          </w:hyperlink>
        </w:p>
        <w:p>
          <w:pPr>
            <w:pStyle w:val="Contents2"/>
            <w:tabs>
              <w:tab w:val="clear" w:pos="8743"/>
              <w:tab w:val="right" w:pos="9026" w:leader="dot"/>
            </w:tabs>
            <w:rPr/>
          </w:pPr>
          <w:hyperlink w:anchor="__RefHeading___Toc886915_373438147">
            <w:r>
              <w:rPr>
                <w:webHidden/>
                <w:rStyle w:val="IndexLink"/>
                <w:rtl w:val="true"/>
              </w:rPr>
              <w:t>أقول</w:t>
            </w:r>
            <w:r>
              <w:rPr>
                <w:rStyle w:val="IndexLink"/>
                <w:rtl w:val="true"/>
              </w:rPr>
              <w:t xml:space="preserve">: </w:t>
            </w:r>
            <w:r>
              <w:rPr>
                <w:rStyle w:val="IndexLink"/>
                <w:rtl w:val="true"/>
              </w:rPr>
              <w:t>في تفسير الاستقسام بالأزلام أقوال</w:t>
            </w:r>
            <w:r>
              <w:rPr>
                <w:rStyle w:val="IndexLink"/>
                <w:rtl w:val="true"/>
              </w:rPr>
              <w:t>:</w:t>
              <w:tab/>
            </w:r>
            <w:r>
              <w:rPr>
                <w:rStyle w:val="IndexLink"/>
              </w:rPr>
              <w:t>6</w:t>
            </w:r>
          </w:hyperlink>
        </w:p>
        <w:p>
          <w:pPr>
            <w:pStyle w:val="Contents3"/>
            <w:tabs>
              <w:tab w:val="clear" w:pos="8459"/>
              <w:tab w:val="right" w:pos="9026" w:leader="dot"/>
            </w:tabs>
            <w:rPr/>
          </w:pPr>
          <w:hyperlink w:anchor="__RefHeading___Toc886917_373438147">
            <w:r>
              <w:rPr>
                <w:webHidden/>
                <w:rStyle w:val="IndexLink"/>
                <w:rtl w:val="true"/>
              </w:rPr>
              <w:t>القول الأول</w:t>
            </w:r>
            <w:r>
              <w:rPr>
                <w:rStyle w:val="IndexLink"/>
                <w:rtl w:val="true"/>
              </w:rPr>
              <w:t xml:space="preserve">: </w:t>
            </w:r>
            <w:r>
              <w:rPr>
                <w:rStyle w:val="IndexLink"/>
                <w:rtl w:val="true"/>
              </w:rPr>
              <w:t>أن المراد بالاستقسام بالأزلام، طلب معرفة الخير و الشر</w:t>
            </w:r>
            <w:r>
              <w:rPr>
                <w:rStyle w:val="IndexLink"/>
                <w:rtl w:val="true"/>
              </w:rPr>
              <w:tab/>
            </w:r>
            <w:r>
              <w:rPr>
                <w:rStyle w:val="IndexLink"/>
              </w:rPr>
              <w:t>6</w:t>
            </w:r>
          </w:hyperlink>
        </w:p>
        <w:p>
          <w:pPr>
            <w:pStyle w:val="Contents3"/>
            <w:tabs>
              <w:tab w:val="clear" w:pos="8459"/>
              <w:tab w:val="right" w:pos="9026" w:leader="dot"/>
            </w:tabs>
            <w:rPr/>
          </w:pPr>
          <w:hyperlink w:anchor="__RefHeading___Toc886919_373438147">
            <w:r>
              <w:rPr>
                <w:webHidden/>
                <w:rStyle w:val="IndexLink"/>
                <w:rtl w:val="true"/>
              </w:rPr>
              <w:t>القول الثاني</w:t>
            </w:r>
            <w:r>
              <w:rPr>
                <w:rStyle w:val="IndexLink"/>
                <w:rtl w:val="true"/>
              </w:rPr>
              <w:t xml:space="preserve">: </w:t>
            </w:r>
            <w:r>
              <w:rPr>
                <w:rStyle w:val="IndexLink"/>
                <w:rtl w:val="true"/>
              </w:rPr>
              <w:t xml:space="preserve">ما نقله الرازيُّ و غيره، </w:t>
            </w:r>
            <w:r>
              <w:rPr>
                <w:rStyle w:val="IndexLink"/>
                <w:rtl w:val="true"/>
              </w:rPr>
              <w:t>[</w:t>
            </w:r>
            <w:r>
              <w:rPr>
                <w:rStyle w:val="IndexLink"/>
                <w:rtl w:val="true"/>
              </w:rPr>
              <w:t>و هو أن الاستقسام هو الميسر المنهي عنه</w:t>
            </w:r>
            <w:r>
              <w:rPr>
                <w:rStyle w:val="IndexLink"/>
                <w:rtl w:val="true"/>
              </w:rPr>
              <w:t>]</w:t>
              <w:tab/>
            </w:r>
            <w:r>
              <w:rPr>
                <w:rStyle w:val="IndexLink"/>
              </w:rPr>
              <w:t>7</w:t>
            </w:r>
          </w:hyperlink>
        </w:p>
        <w:p>
          <w:pPr>
            <w:pStyle w:val="Contents3"/>
            <w:tabs>
              <w:tab w:val="clear" w:pos="8459"/>
              <w:tab w:val="right" w:pos="9026" w:leader="dot"/>
            </w:tabs>
            <w:rPr/>
          </w:pPr>
          <w:hyperlink w:anchor="__RefHeading___Toc886921_373438147">
            <w:r>
              <w:rPr>
                <w:webHidden/>
                <w:rStyle w:val="IndexLink"/>
                <w:rtl w:val="true"/>
              </w:rPr>
              <w:t>القول الثالث</w:t>
            </w:r>
            <w:r>
              <w:rPr>
                <w:rStyle w:val="IndexLink"/>
                <w:rtl w:val="true"/>
              </w:rPr>
              <w:t xml:space="preserve">: </w:t>
            </w:r>
            <w:r>
              <w:rPr>
                <w:rStyle w:val="IndexLink"/>
                <w:rtl w:val="true"/>
              </w:rPr>
              <w:t>و هو القول الحق لأنه مروي عن أئمة أهل البيت ع</w:t>
            </w:r>
            <w:r>
              <w:rPr>
                <w:rStyle w:val="IndexLink"/>
                <w:rtl w:val="true"/>
              </w:rPr>
              <w:tab/>
            </w:r>
            <w:r>
              <w:rPr>
                <w:rStyle w:val="IndexLink"/>
              </w:rPr>
              <w:t>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3_5885"/>
      <w:bookmarkStart w:id="1" w:name="pg963_5885"/>
      <w:bookmarkEnd w:id="1"/>
    </w:p>
    <w:p>
      <w:pPr>
        <w:pStyle w:val="Heading2"/>
        <w:numPr>
          <w:ilvl w:val="1"/>
          <w:numId w:val="1"/>
        </w:numPr>
        <w:rPr/>
      </w:pPr>
      <w:bookmarkStart w:id="2" w:name="pg963_5885"/>
      <w:bookmarkStart w:id="3" w:name="__RefHeading___Toc886909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حول الاستسقام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مشروعية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فتوايي</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لطف الله صافي</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تاريخ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Heading2"/>
        <w:numPr>
          <w:ilvl w:val="1"/>
          <w:numId w:val="1"/>
        </w:numPr>
        <w:rPr/>
      </w:pPr>
      <w:bookmarkStart w:id="5" w:name="__RefHeading___Toc886911_373438147"/>
      <w:bookmarkStart w:id="6" w:name="_Toc2"/>
      <w:bookmarkEnd w:id="5"/>
      <w:r>
        <w:rPr>
          <w:rtl w:val="true"/>
        </w:rPr>
        <w:t>المقدمة</w:t>
      </w:r>
      <w:bookmarkEnd w:id="6"/>
    </w:p>
    <w:p>
      <w:pPr>
        <w:pStyle w:val="BookText"/>
        <w:rPr/>
      </w:pPr>
      <w:r>
        <w:rPr>
          <w:rFonts w:ascii="Amiri" w:hAnsi="Amiri" w:eastAsia="Amiri" w:cs="Amiri"/>
          <w:color w:val="111111"/>
          <w:sz w:val="28"/>
          <w:sz w:val="28"/>
          <w:szCs w:val="28"/>
          <w:rtl w:val="true"/>
          <w:lang w:bidi="ar-SA"/>
        </w:rPr>
        <w:t>الرسالة السادسة مشروعية الاستخارة</w:t>
      </w:r>
    </w:p>
    <w:p>
      <w:pPr>
        <w:pStyle w:val="BookText"/>
        <w:rPr/>
      </w:pPr>
      <w:r>
        <w:rPr>
          <w:rFonts w:ascii="Amiri" w:hAnsi="Amiri" w:eastAsia="Amiri" w:cs="Amiri"/>
          <w:color w:val="111111"/>
          <w:sz w:val="28"/>
          <w:sz w:val="28"/>
          <w:szCs w:val="28"/>
          <w:rtl w:val="true"/>
          <w:lang w:bidi="ar-SA"/>
        </w:rPr>
        <w:t>و أنها ليست من الاستقسام بالأزلام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أشهد أن محمداً عبده و رسوله الأمين الذي ترك في امّته ما إن تمسكوا به لن يَضلّوا أبداً، كتاب اللّٰه، و عترته أهل بيته صلي اللّٰه عليه و علي آله الطاهرين</w:t>
      </w:r>
    </w:p>
    <w:p>
      <w:pPr>
        <w:pStyle w:val="BookText"/>
        <w:rPr/>
      </w:pPr>
      <w:r>
        <w:rPr>
          <w:rFonts w:ascii="Amiri" w:hAnsi="Amiri" w:eastAsia="Amiri" w:cs="Amiri"/>
          <w:color w:val="111111"/>
          <w:sz w:val="28"/>
          <w:sz w:val="28"/>
          <w:szCs w:val="28"/>
          <w:rtl w:val="true"/>
          <w:lang w:bidi="ar-SA"/>
        </w:rPr>
        <w:t xml:space="preserve">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 وَ الدَّمُ وَ لَحْمُ الْخِنْزِيرِ وَ مٰا أُهِلَّ لِغَيْرِ اللّٰهِ بِهِ وَ الْمُنْخَنِقَةُ وَ الْمَوْقُوذَةُ وَ الْمُتَرَدِّيَةُ وَ النَّطِيحَةُ وَ مٰا أَكَلَ السَّبُعُ إِلّٰا مٰا ذَكَّيْتُمْ وَ مٰا ذُبِحَ عَلَي النُّصُبِ وَ أَنْ تَسْتَقْسِمُوا بِالْأَزْلٰامِ</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قرأت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الإسلام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التي تُصدرها دار التقريب بالقاهرة جزءاً في تفسير القرآن الكريم للأستاذ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محمود شلتوت</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و وقفت فيه علي ما كتب حول تفسير هذه الآية الكريمة و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تَسْتَقْسِمُوا بِالْأَزْلٰامِ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اختاره فيه</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ألحق فيما ألحق بالاستقسام بالأزلام، من الطرق بالحَصَي و ضرب الفول و الرمل، الاستخارةَ من اللّٰه تعالي بالقرآن الكريم، و حَبات السبحة المأثورة من أئمة أهل البيت عليهم السلام، و زعم أن كل ذلك ينافي احتفاظ الانسان بعقله، و أن القرآن المجيد يصير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الشعوذة</w:t>
      </w:r>
      <w:r>
        <w:rPr>
          <w:rFonts w:eastAsia="Amiri" w:cs="Amiri" w:ascii="Amiri" w:hAnsi="Amiri"/>
          <w:color w:val="111111"/>
          <w:sz w:val="28"/>
          <w:szCs w:val="28"/>
          <w:rtl w:val="true"/>
          <w:lang w:bidi="ar-SA"/>
        </w:rPr>
        <w:t>.</w:t>
      </w:r>
      <w:bookmarkStart w:id="7" w:name="pg963_5886"/>
    </w:p>
    <w:p>
      <w:pPr>
        <w:pStyle w:val="BookText"/>
        <w:rPr/>
      </w:pPr>
      <w:bookmarkEnd w:id="7"/>
      <w:r>
        <w:rPr>
          <w:rFonts w:ascii="Amiri" w:hAnsi="Amiri" w:eastAsia="Amiri" w:cs="Amiri"/>
          <w:color w:val="111111"/>
          <w:sz w:val="28"/>
          <w:sz w:val="28"/>
          <w:szCs w:val="28"/>
          <w:rtl w:val="true"/>
          <w:lang w:bidi="ar-SA"/>
        </w:rPr>
        <w:t>و لا يخفي عليك أنه إنما قال ما قال، لأنه لم يتحصل أولًا معني الاستقسام بالأزلام، و ثانياً لم يتفهم حقيقة الاستخارة، و أنها لم ترد في مورد استقل العقل بحسن فعله أو تركه، أو حكم الشرع برجحان فعله أو تركه، و لا تنافي كرامة القرآن المجيد و كونه كتاب الهداية و الإرشاد بالتي هي أقوم، كما أنه لا ينافي ذلك التبرك به و بآياته، و قراءته لأجل الثواب، و حصول بعض المقاصد كشفاء الأمراض مما هو مجرب و مأثور في الاحاديث الكثيرة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التأثر بالثقافة المادية المسيطرة علي الأفهام و المشاعر، يريد أن لا يقبل تأثير عالم الغيب في عالَم الشهادة، و يريد أن لا يؤمن بعلل غير مادية و تأثيرات غيبية، فينكر أثر التوكل و التفويض و الدعاء و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تري بعضهم يُنكرون معجزات الأنبياء، و ما صدر منهم من خرق العادات في عالم المادة، كقلب العصا بالثُعبان، و معجزة صالح، و حوت يونُس، و إحياء الموتي، و إبراء الأكمه و الأبرص، و نصرة النبي صلي الله عليه و آله بالملائكة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لا يُنكر ذلك منهم يؤوله، و يري الإيمان به ضرباً من الإيمان بالخرافات، و يعد إنكاره نوعاً من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باب ذلك في الكتاب و السنة، يقلب الشريعة ظهراً 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 شر هذه الثقافات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الاستخارات المأثورة التي هي ليست إلا مظهراً من مظاهر الإيمان باللّٰه و طلب الخير أو معرفته منه أيضاً يتبعون هذه الثقافة التي ليست من التفكير الإسلامي بشي‌ء، فينكرونها، و يلحقونها تارة بأفعال المشركين و عاداتهم، و تارة بما لم يرد فيه حديث و رواية، و لم يثبت شرعيته من جانب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لزيادة البحث حول تفسير هذه الجملة الشريفة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تَسْتَقْسِمُوا بِالْأَزْلٰامِ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نذكر كلام الشيخ المذكور، ثمّ نتكلم حول تفسيرها بحول اللّٰه و قوته</w:t>
      </w:r>
      <w:r>
        <w:rPr>
          <w:rFonts w:eastAsia="Amiri" w:cs="Amiri" w:ascii="Amiri" w:hAnsi="Amiri"/>
          <w:color w:val="111111"/>
          <w:sz w:val="28"/>
          <w:szCs w:val="28"/>
          <w:rtl w:val="true"/>
          <w:lang w:bidi="ar-SA"/>
        </w:rPr>
        <w:t>.</w:t>
      </w:r>
    </w:p>
    <w:p>
      <w:pPr>
        <w:pStyle w:val="Heading2"/>
        <w:numPr>
          <w:ilvl w:val="1"/>
          <w:numId w:val="1"/>
        </w:numPr>
        <w:rPr/>
      </w:pPr>
      <w:bookmarkStart w:id="8" w:name="__RefHeading___Toc886913_373438147"/>
      <w:bookmarkStart w:id="9" w:name="_Toc3"/>
      <w:bookmarkEnd w:id="8"/>
      <w:r>
        <w:rPr>
          <w:rtl w:val="true"/>
        </w:rPr>
        <w:t>[</w:t>
      </w:r>
      <w:r>
        <w:rPr>
          <w:rtl w:val="true"/>
        </w:rPr>
        <w:t>قول الشيخ محمود شلتوت في الاستخارة بالقرآن و حَبات السبحة المأثورة من أئمة أهل البيت ع و تعريضه بأنه يشبه من وسائل الاستقسام</w:t>
      </w:r>
      <w:r>
        <w:rPr>
          <w:rtl w:val="true"/>
        </w:rPr>
        <w:t>]</w:t>
      </w:r>
      <w:bookmarkEnd w:id="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محمود شلتوت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يلحق بهذا النوع الذي حرمه اللّٰه علي الإنسان احتفاظاً بعقله، ما يشبه من وسائل الاستقسام التي يعتادها الناس اليوم كالطرق</w:t>
      </w:r>
      <w:bookmarkStart w:id="10" w:name="pg963_5887"/>
    </w:p>
    <w:p>
      <w:pPr>
        <w:pStyle w:val="BookText"/>
        <w:rPr/>
      </w:pPr>
      <w:bookmarkEnd w:id="10"/>
      <w:r>
        <w:rPr>
          <w:rFonts w:ascii="Amiri" w:hAnsi="Amiri" w:eastAsia="Amiri" w:cs="Amiri"/>
          <w:color w:val="111111"/>
          <w:sz w:val="28"/>
          <w:sz w:val="28"/>
          <w:szCs w:val="28"/>
          <w:rtl w:val="true"/>
          <w:lang w:bidi="ar-SA"/>
        </w:rPr>
        <w:t>بالحصي، و ضرب الفول و الرمل، و الاستخارة بحبات السبحة، و من أقبح أنواع الاستخارة الاستخارة بالقرآن الكريم الذي جرت به عادة بعض المسلمين، و صار شأناً معروفاً حتي عند أهل العلم و الدين، و ما كان اللّٰه ليرضي أن يكون كتاب هدايته و إرشاده بالتي هي أقوم في الحياة العقلية و الروحية و العملية، أداة الشعوذة أو لعبة يد عابث أو مضلل أو محتال</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886915_373438147"/>
      <w:bookmarkStart w:id="12" w:name="_Toc4"/>
      <w:bookmarkEnd w:id="11"/>
      <w:r>
        <w:rPr>
          <w:rtl w:val="true"/>
        </w:rPr>
        <w:t>أقول</w:t>
      </w:r>
      <w:r>
        <w:rPr>
          <w:rtl w:val="true"/>
        </w:rPr>
        <w:t xml:space="preserve">: </w:t>
      </w:r>
      <w:r>
        <w:rPr>
          <w:rtl w:val="true"/>
        </w:rPr>
        <w:t>في تفسير الاستقسام بالأزلام أقوال</w:t>
      </w:r>
      <w:r>
        <w:rPr>
          <w:rtl w:val="true"/>
        </w:rPr>
        <w:t>:</w:t>
      </w:r>
      <w:bookmarkEnd w:id="12"/>
    </w:p>
    <w:p>
      <w:pPr>
        <w:pStyle w:val="Heading3"/>
        <w:numPr>
          <w:ilvl w:val="2"/>
          <w:numId w:val="1"/>
        </w:numPr>
        <w:rPr/>
      </w:pPr>
      <w:bookmarkStart w:id="13" w:name="__RefHeading___Toc886917_373438147"/>
      <w:bookmarkStart w:id="14" w:name="_Toc5"/>
      <w:bookmarkEnd w:id="13"/>
      <w:r>
        <w:rPr>
          <w:rtl w:val="true"/>
        </w:rPr>
        <w:t>القول الأول</w:t>
      </w:r>
      <w:r>
        <w:rPr>
          <w:rtl w:val="true"/>
        </w:rPr>
        <w:t xml:space="preserve">: </w:t>
      </w:r>
      <w:r>
        <w:rPr>
          <w:rtl w:val="true"/>
        </w:rPr>
        <w:t>أن المراد بالاستقسام بالأزلام، طلب معرفة الخير و الشر</w:t>
      </w:r>
      <w:bookmarkEnd w:id="14"/>
    </w:p>
    <w:p>
      <w:pPr>
        <w:pStyle w:val="BookText"/>
        <w:rPr/>
      </w:pPr>
      <w:r>
        <w:rPr>
          <w:rFonts w:ascii="Amiri" w:hAnsi="Amiri" w:eastAsia="Amiri" w:cs="Amiri"/>
          <w:color w:val="111111"/>
          <w:sz w:val="28"/>
          <w:sz w:val="28"/>
          <w:szCs w:val="28"/>
          <w:rtl w:val="true"/>
          <w:lang w:bidi="ar-SA"/>
        </w:rPr>
        <w:t>، و ما قسم في مستقبل الحياة و استعلامها، من عند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بعضهم حرمة ذلك علي تضمنه العقيدة بالأصنام، و رده بعضهم بأن ذلك لم يكن في جميع الأحوال عند الأصنام، فربما كان مع الرجل زلمان، يستقسم بهما إذا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ذلك بأن هذا لا ينافي كون العلة تكريم الأصنام، فإن الظاهر أن الأصل في ذلك عندهم أن يكون عند الأصنام، و عند تعذر الحضور في بيت الصنم يستقسم بما معه من الأزلام، كما أن الظاهر أن هذا ليس من العلة المنحصرة، فيمكن أن يكون لحرمته علل اخري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قال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الاستقسام مذكور في موضعه، و الأزلام كانت لقريش في الجاهلية مكتوب عليها أمر و نهي، و افعل و لا تفعل، قد زلمت و سويت و وضعت في الكعبة، يقوم بها سدنة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رجل سفراً أو نكاحاً، أتي السادن،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لي زلماً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فيخرجه و ينظر إليه، فإذا خرج قدح الأمر، مضي علي ما عزم عليه، و إن خرج قدح النهي، قعد عما أراده، و ربما كان مع الرجل زلمان، وضعهما في قرابه، فإذا أراد الاستقسام أخرج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ابو البقاء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سبعة عند سادن الكعبة، عليها أعلام، كانوا يحكمونها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أمرتهم ائتمروا، و إن نهتهم انتهوا</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الطبري في تفسيره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هُبَل أعظم أصنام قريش بمكة، و كانت في بئر في جوف الكعبة، و كانت تلك البئر هي التي يجمع فيها ما يهدي</w:t>
      </w:r>
      <w:bookmarkStart w:id="15" w:name="pg963_5888"/>
    </w:p>
    <w:p>
      <w:pPr>
        <w:pStyle w:val="BookText"/>
        <w:rPr/>
      </w:pPr>
      <w:bookmarkEnd w:id="15"/>
      <w:r>
        <w:rPr>
          <w:rFonts w:ascii="Amiri" w:hAnsi="Amiri" w:eastAsia="Amiri" w:cs="Amiri"/>
          <w:color w:val="111111"/>
          <w:sz w:val="28"/>
          <w:sz w:val="28"/>
          <w:szCs w:val="28"/>
          <w:rtl w:val="true"/>
          <w:lang w:bidi="ar-SA"/>
        </w:rPr>
        <w:t>للكعبة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عند هُبل سبعة أقداح، كل قدح منها فيه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كانوا إذا أرادوا أن يجيبوا غلاماً، أو أن ينكحوا منكحاً، أو أن يدفنوا ميتاً، أو يشكّوا في نسب واحد منهم، ذهبوا به إلي هبل بمائة درهم و بجزور، فأعطاها صاحب القداح الذي يضربها، ثمّ قربوا صاحبهم الذي يريدون به ما يريدون،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إلهنا هذا فلان بن فلان، قد أردنا به كذا و كذا، فاخرج الحق فيه،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تري يدل علي عدم انحصار الاستقسام بالأزلام بمعرفة الخير و الشر، بل يعمها و معرفة الحق عند اختلافهم فكأنهم يحكمونها أو يحكمون الصنم الذي يستقسمون بالأزلام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في جملة المطاعم، لأنه مما أبدعه أهل الجاهلية، و كان موافقاً لما كانوا فعلوه في المطاعم، و ذلك ان الذبح علي النصب إنما كان يقع عند البيت، و كذا الاستقسام بالأزلام كانوا يوقعونه عند البيت إذا كانوا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حرّم ذلك لأنهم كانوا يحملون تلك الأزلام عند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هو اختيار جمهور كما نقل الرازي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سياق الآية يأبي عن ذلك، فإن اللّٰه تعالي قال في أول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لَكُمْ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استثناء أشياء بقوله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يُتْليٰ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الآية الكريمة ذكر تلك الصورة المستثناة، و استثناء الاستقسام علي هذا التفسير من العموم المستفاد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لَكُمْ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من المطاعم علي هذا القول لا يستقيم، و ذكره في جملة المطاعم أيضاً ينافي هذا القول و توجيه القفال بعيد من الظاهر</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886919_373438147"/>
      <w:bookmarkStart w:id="17" w:name="_Toc6"/>
      <w:bookmarkEnd w:id="16"/>
      <w:r>
        <w:rPr>
          <w:rtl w:val="true"/>
        </w:rPr>
        <w:t>القول الثاني</w:t>
      </w:r>
      <w:r>
        <w:rPr>
          <w:rtl w:val="true"/>
        </w:rPr>
        <w:t xml:space="preserve">: </w:t>
      </w:r>
      <w:r>
        <w:rPr>
          <w:rtl w:val="true"/>
        </w:rPr>
        <w:t xml:space="preserve">ما نقله الرازيُّ و غيره، </w:t>
      </w:r>
      <w:r>
        <w:rPr>
          <w:rtl w:val="true"/>
        </w:rPr>
        <w:t>[</w:t>
      </w:r>
      <w:r>
        <w:rPr>
          <w:rtl w:val="true"/>
        </w:rPr>
        <w:t>و هو أن الاستقسام هو الميسر المنهي عنه</w:t>
      </w:r>
      <w:r>
        <w:rPr>
          <w:rtl w:val="true"/>
        </w:rPr>
        <w:t>]</w:t>
      </w:r>
      <w:bookmarkEnd w:id="17"/>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 المؤرج و كثير من أهل اللغة، و هو أن الاستقسام هو الميسر المنهي عنه، و الأزلام، قداح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هذا يرجع ما حكي عن مجاهد من أنه كعاب فارس و الروم التي كانوا يتقامرون بها، و ما حكي عن أبي سفيان بن وكيع من أنه هو الشطرنج</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القول إن كان راجعاً إلي أن الاستقسام هو من افراد الميسر المنهي عنه، يرجع إلي القول الثالث المروي عن أهل البيت الطاهرة عليهم السلام، و إن كان المراد منه تفسير</w:t>
      </w:r>
      <w:bookmarkStart w:id="18" w:name="pg963_5889"/>
    </w:p>
    <w:p>
      <w:pPr>
        <w:pStyle w:val="BookText"/>
        <w:rPr/>
      </w:pPr>
      <w:bookmarkEnd w:id="18"/>
      <w:r>
        <w:rPr>
          <w:rFonts w:ascii="Amiri" w:hAnsi="Amiri" w:eastAsia="Amiri" w:cs="Amiri"/>
          <w:color w:val="111111"/>
          <w:sz w:val="28"/>
          <w:sz w:val="28"/>
          <w:szCs w:val="28"/>
          <w:rtl w:val="true"/>
          <w:lang w:bidi="ar-SA"/>
        </w:rPr>
        <w:t>الاستقسام بمطلق الميسر، يرده السياق و الظاهر، كما رددنا به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تفسير الأزلام بقداح الميسر و بما يتقامرون به لا ينافي هذا السياق</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886921_373438147"/>
      <w:bookmarkStart w:id="20" w:name="_Toc7"/>
      <w:bookmarkEnd w:id="19"/>
      <w:r>
        <w:rPr>
          <w:rtl w:val="true"/>
        </w:rPr>
        <w:t>القول الثالث</w:t>
      </w:r>
      <w:r>
        <w:rPr>
          <w:rtl w:val="true"/>
        </w:rPr>
        <w:t xml:space="preserve">: </w:t>
      </w:r>
      <w:r>
        <w:rPr>
          <w:rtl w:val="true"/>
        </w:rPr>
        <w:t>و هو القول الحق لأنه مروي عن أئمة أهل البيت ع</w:t>
      </w:r>
      <w:bookmarkEnd w:id="20"/>
    </w:p>
    <w:p>
      <w:pPr>
        <w:pStyle w:val="BookText"/>
        <w:rPr/>
      </w:pPr>
      <w:r>
        <w:rPr>
          <w:rFonts w:ascii="Amiri" w:hAnsi="Amiri" w:eastAsia="Amiri" w:cs="Amiri"/>
          <w:color w:val="111111"/>
          <w:sz w:val="28"/>
          <w:sz w:val="28"/>
          <w:szCs w:val="28"/>
          <w:rtl w:val="true"/>
          <w:lang w:bidi="ar-SA"/>
        </w:rPr>
        <w:t xml:space="preserve">الذين جعلهم النبي صلي الله عليه و آله عدلًا للقرآن،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لن يفترقا حتي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القول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روي عن الإمام أبي جعفر محمد الباقر بن علي بن الحسين، و ابنه جعفر بن محمد الصادق عليهم السلام،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الأزلام عشرة، سبعة لها انصباء، و ثلاثة لا أنصباء لها، و كانوا يعمدون إلي الجزور فيجزءونه أجزاءً، ثمّ يجتمعون عليه، فيخرجون السهام و يدفعونها إلي رجل، و ثمن الجزور علي من تخرج له التي لا أنصباء لها، و هو القمار، فحرمه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هذا القول، أبو السعود في تفسيره إلا أنه ترك التنويه بذكر قائله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هو استقسام الجزور بالأقداح علي الانصباء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البيضاوي و السيوطي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الآلوسي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المراد بالاستقسام بالأزلام، استقسام الجزور بالأقداح علي الانصباء المعلومة، أي طلب قسم من الجزور أو ما قسم اللّٰه تعالي منه، و هذا هو الميسر و قد تقدم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علي بن إبراهيم عن الأئمة الصادقين رضي اللّٰه تعالي عنهم، و رجح بأنه يناسب ذكره مع محرمات الطعام انتهي كلام الآلوسي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هو القول الموافق لسياق الآية و ما قبلها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القول يعرف المنصف أن الامة لو تمسكوا بالكتاب و العترة، و أخذوا العلم من أهله، و اتبعوا هدي أهل البيت عليهم السلام، أمنوا من الضلال و الاختلاف و من القول بغير علم و تفسير القرآن بالرأي، و يعرف أن رسول اللّٰه صلي الله عليه و آله لم يأمر الامة بالرجوع إلي أهل بيته إلا لفضائل اختصهم اللّٰه بها، و لأن اللّٰه تعالي أمره بذلك</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فسر الزمان سر ذلك، فصدر منهم في المعارف الإسلامية و العلوم الحقيقية من التوحيد و التفسير و الفقه و الحديث و الأخلاق و الآداب و شرح معالم الإنسانية، ما لم يصدر عن أحد بعد رسول اللّٰه صلي الله عليه و آله، قد اعترف بذلك الموافق و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جميع ذلك يظهر أن لا وجه لإلحاق الاستخارة بالقرآن المجيد و بحبات السبحة، بالاستقسام بالأزلام لوجود الفرق بين الاستقسام بالأزلام و بين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حقيقة الاستقسام علي القول الأول الذي ظهر لك ضعفه، يرجع إلي الشرك، و استعلام ما يكون في المستقبل، و طلب معرفة الخير و الشر من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الاستخارة حقيقتها، الدعاء، و طلب الحاجة، و معرفة الخير من اللّٰه تعالي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هو الفرق بين الشرك و التوحيد، مع أنه ليس في الاستخارة طلب معرفة ما يقع في مستقبل الحياة مثل الموت و المرض و وجدان الضالة و غيرها مما يكون مآله طلب معرفة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يستفاد منها إذا كان مؤداها الخير، أن الأمر كيف وقع، و وقع أم لم يقع، يكون فيه الخير، و أن ما يقع هو أصلح الأمرين أو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إنما يؤثر في الإقدام علي الفعل أو تركه، و لهذا ورد النهي عن التفؤّل بالقرآن دون الاستخارة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التفؤّل إنما يكون فيما سيقع كشفاء المريض و قدوم المسافر و غيرهما، بخلاف الاستخارة، فإنها طلب لمعرفة الرشد و ما فيه الخيرة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الاستخارة بالقرآن الكريم و بالسبحة، ليست مخالفة للكتاب، و لا مانعاً من هدايته و إرشاده للتي هي أقوم، و لو قلنا بالقول الأول في تفسير الاستقسام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بحسب القول الثاني و الثالث، فلا ارتباط بين الاستقسام و الاستخارة أصلًا، و لا وجه لإلحاقها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فلا بأس بذكر بعض ما ورد في الاستخارة من الأحاديث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الروايات من طرق العامة علي استحباب الاستخارة و مطلوبيتها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أحمد و البخاري و غيرهما من أرباب السنن و المسانيد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يعلمنا الاستخارة في الامور كلها كالسورة من القرآن،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أحدكم بالأمر فليركع ركعتين من غير الفريضة، ثمّ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أستخيرك بعلمك، و أستقدرك بقدرتك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أحمد في مسنده،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ابن آدم، استخارته اللّٰه، و من سعادة ابن آدم، رضاه بما قضاه اللّٰه، و من شقوة ابن آدم، تركه استخارة اللّٰه، و من شقوة ابن آدم، سخطه بما قضي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انس بن مالك، لما توفي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آخر يضرح،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نستخير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إليهما، فأيهما سبق تركناه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إليهما، فسبق اللّٰه صاحب اللحد، فألحدوا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يدل علي أن الاستخارة بالسبحة جائزة، لا إشكال في 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من طرقنا، فأكثر من أن تحصي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ركعتين، و استخر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استخار اللّٰه مسلم إلا خار له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شقاء عبدي أن يعمل الأعمال، فلا يستخيرني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أردت الأمر، تفرق مني فريقان، أحدهما يأمرني، و الآخر ينهاني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كذلك، فصل ركعتين، و استخر اللّٰه مائة مرة و مرة، ثمّ انظر أجزم الأمرين لك، فافعله، فإن الخيرة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أي شي‌ء يقع في قلبك، فاعمل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اليسع القمي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إذا قمت إلي الصلاة فإن الشيطان أبعد ما يكون من الإنسان إذا قام إلي الصلاة، أي شي‌ء يقع في قلبك، فخذ به، و افتح المصحف، فانظر إلي أول ما تري فيه، فخذ به إن شاء اللّٰه تعالي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يستخار لرفع التحير و طلب تعرف ما فيه الخيرة بالسبحة، و هي أيضاً مروية في طرقنا عن الصادق عليه السلام، و كذا بالرقاع، و هي أيضاً مروية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أحدكم شيئاً، فليصل ركعتين، ثمّ ليحمد اللّٰه و ليُثنِ عليه، و يصلي علي محمد و أهل بيته،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الأمر خيراً لي في ديني و دنياي، فيسره لي و أقدره، و إن كان غير ذلك، فاصرفه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إذا همّ بأمر حج و عمرة أو بيع أو شراء أو عتق، تطهر، ثمّ صلي ركعتي الاستخارة و قرأ فيهما سورة الرحمن و الحشر، و المعوَّذتين و قل هو اللّٰه أحد إذا فرغ و هو جالس في دبر الركعتين،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كذا و كذا خيراً لي في ديني و دنياي و عاجل أمري و آجله، فصل علي محمد و آله و يسره لي علي أحسن الوجوه و أجملها، اللهم و إن كان كذا و كذا شراً لي في ديني و دنياي و آخرتي و عاجل أمري و آجله، فصل علي محمد و آله و اصرفه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محمد بن خالد أنه سأل أبا عبد اللّٰه عليه السلام عن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 اللّٰه في آخر ركعة من صلاة الليل، و أنت ساجد، مائة مرة و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اللّٰه برحمته، أستخير اللّٰه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مما هو مذكور في جوامع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عليك أنه يستفاد من مجموع هذه الأحاديث أن الاستخارة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طلب الخير بالدعاء، كما دلت عليه رواية محمد بن خالد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تعرف ما فيه الخير من اللّٰه تعالي، أو طلب العزم علي ما فيه الخيرة، كما دل عليه خبر اليسع القمي و أحاديث الاستخارة بالرقاع و بالقرآن المجيد و بالسبحة و حديث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هذا النوع، تحير المستخير في أمرين مباحين، أو مستحبين، بل و مكروهين إذا لم يكن طريق لمعرفة رجحان أحدهما علي الآخر، لا من الشرع و لا من العقل، و لا من أحد يشاوره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صار حاله كذلك، و لم يأت منه الجزم علي أحد الطرفين، يستخير اللّٰه تعالي لرفع تحيره و تحصيل الجزم علي أحد الطرفين، و يعمل علي مؤدي استخارته، و يبني علي أن ذلك هو الأرجح، كما أنه يصير أرجح أيضاً من جهة أداء استخارته إليه و كونه عملًا بما خار اللّٰه تعالي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هذا آخر كلامنا في هذا البيان، و من أراد التوسع في ذلك، فعليه بمراجعة جوامع الحديث و ما كتب الأصحاب حول الاستخارة و آدابها و 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حرره لطف اللّٰه الصافي الگلپايگاني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الأول من السنة الخامسة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الأزهر الأسبق، توفي سنة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النقد كتب في حياته عند ما نشر هذا العدد، و ارسل إليه و هذا الذي بيد قارينا العزيز هو ما ارسل إليه مع إضافات اضيفت إليه عند عرضه للطبع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2.jpeg"/><Relationship Id="rId16" Type="http://schemas.openxmlformats.org/officeDocument/2006/relationships/image" Target="media/image2.jpeg"/><Relationship Id="rId17" Type="http://schemas.openxmlformats.org/officeDocument/2006/relationships/footer" Target="footer10.xml"/><Relationship Id="rId18" Type="http://schemas.openxmlformats.org/officeDocument/2006/relationships/footnotes" Target="footnotes.xml"/><Relationship Id="rId19" Type="http://schemas.openxmlformats.org/officeDocument/2006/relationships/numbering" Target="numbering.xm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Pages>
  <Words>2743</Words>
  <Characters>11096</Characters>
  <CharactersWithSpaces>13747</CharactersWithSpaces>
  <Paragraphs>105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2026-08-16T10:50:13Z</dcterms:created>
  <dc:creator>ghaemiyeh.com</dc:creator>
  <dc:description/>
  <dc:language>en-US</dc:language>
  <cp:lastModifiedBy/>
  <dcterms:modified xsi:type="dcterms:W3CDTF">2026-08-16T14:20:14Z</dcterms:modified>
  <cp:revision>1</cp:revision>
  <dc:subject/>
  <dc:title>بحث حول الاستسقام مشروعیة الاستخارة</dc:title>
</cp:coreProperties>
</file>

<file path=docProps/custom.xml><?xml version="1.0" encoding="utf-8"?>
<Properties xmlns="http://schemas.openxmlformats.org/officeDocument/2006/custom-properties" xmlns:vt="http://schemas.openxmlformats.org/officeDocument/2006/docPropsVTypes"/>
</file>