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تحریر الوسیلة ولایة الفقیه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289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33291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33293_373438147">
            <w:r>
              <w:rPr>
                <w:webHidden/>
                <w:rStyle w:val="IndexLink"/>
                <w:rtl w:val="true"/>
              </w:rPr>
              <w:t>شكر و تقدير</w:t>
            </w:r>
            <w:r>
              <w:rPr>
                <w:rStyle w:val="IndexLink"/>
                <w:rtl w:val="true"/>
              </w:rPr>
              <w:tab/>
            </w:r>
            <w:r>
              <w:rPr>
                <w:rStyle w:val="IndexLink"/>
              </w:rPr>
              <w:t>7</w:t>
            </w:r>
          </w:hyperlink>
        </w:p>
        <w:p>
          <w:pPr>
            <w:pStyle w:val="Contents2"/>
            <w:tabs>
              <w:tab w:val="clear" w:pos="8743"/>
              <w:tab w:val="right" w:pos="9026" w:leader="dot"/>
            </w:tabs>
            <w:rPr/>
          </w:pPr>
          <w:hyperlink w:anchor="__RefHeading___Toc733295_373438147">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733297_373438147">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733299_373438147">
            <w:r>
              <w:rPr>
                <w:webHidden/>
                <w:rStyle w:val="IndexLink"/>
                <w:rtl w:val="true"/>
              </w:rPr>
              <w:t>أهمّية مسألة ولاية الفقيه</w:t>
            </w:r>
            <w:r>
              <w:rPr>
                <w:rStyle w:val="IndexLink"/>
                <w:rtl w:val="true"/>
              </w:rPr>
              <w:tab/>
            </w:r>
            <w:r>
              <w:rPr>
                <w:rStyle w:val="IndexLink"/>
              </w:rPr>
              <w:t>10</w:t>
            </w:r>
          </w:hyperlink>
        </w:p>
        <w:p>
          <w:pPr>
            <w:pStyle w:val="Contents2"/>
            <w:tabs>
              <w:tab w:val="clear" w:pos="8743"/>
              <w:tab w:val="right" w:pos="9026" w:leader="dot"/>
            </w:tabs>
            <w:rPr/>
          </w:pPr>
          <w:hyperlink w:anchor="__RefHeading___Toc733301_373438147">
            <w:r>
              <w:rPr>
                <w:webHidden/>
                <w:rStyle w:val="IndexLink"/>
                <w:rtl w:val="true"/>
              </w:rPr>
              <w:t>منهج البحث</w:t>
            </w:r>
            <w:r>
              <w:rPr>
                <w:rStyle w:val="IndexLink"/>
                <w:rtl w:val="true"/>
              </w:rPr>
              <w:tab/>
            </w:r>
            <w:r>
              <w:rPr>
                <w:rStyle w:val="IndexLink"/>
              </w:rPr>
              <w:t>11</w:t>
            </w:r>
          </w:hyperlink>
        </w:p>
        <w:p>
          <w:pPr>
            <w:pStyle w:val="Contents2"/>
            <w:tabs>
              <w:tab w:val="clear" w:pos="8743"/>
              <w:tab w:val="right" w:pos="9026" w:leader="dot"/>
            </w:tabs>
            <w:rPr/>
          </w:pPr>
          <w:hyperlink w:anchor="__RefHeading___Toc733303_373438147">
            <w:r>
              <w:rPr>
                <w:webHidden/>
                <w:rStyle w:val="IndexLink"/>
                <w:rtl w:val="true"/>
              </w:rPr>
              <w:t>ولاية الفقيه</w:t>
            </w:r>
            <w:r>
              <w:rPr>
                <w:rStyle w:val="IndexLink"/>
                <w:rtl w:val="true"/>
              </w:rPr>
              <w:tab/>
            </w:r>
            <w:r>
              <w:rPr>
                <w:rStyle w:val="IndexLink"/>
              </w:rPr>
              <w:t>14</w:t>
            </w:r>
          </w:hyperlink>
        </w:p>
        <w:p>
          <w:pPr>
            <w:pStyle w:val="Contents3"/>
            <w:tabs>
              <w:tab w:val="clear" w:pos="8459"/>
              <w:tab w:val="right" w:pos="9026" w:leader="dot"/>
            </w:tabs>
            <w:rPr/>
          </w:pPr>
          <w:hyperlink w:anchor="__RefHeading___Toc733305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33307_373438147">
            <w:r>
              <w:rPr>
                <w:webHidden/>
                <w:rStyle w:val="IndexLink"/>
                <w:rtl w:val="true"/>
              </w:rPr>
              <w:t>الولاية في عصر الحضور</w:t>
            </w:r>
            <w:r>
              <w:rPr>
                <w:rStyle w:val="IndexLink"/>
                <w:rtl w:val="true"/>
              </w:rPr>
              <w:tab/>
            </w:r>
            <w:r>
              <w:rPr>
                <w:rStyle w:val="IndexLink"/>
              </w:rPr>
              <w:t>15</w:t>
            </w:r>
          </w:hyperlink>
        </w:p>
        <w:p>
          <w:pPr>
            <w:pStyle w:val="Contents4"/>
            <w:tabs>
              <w:tab w:val="clear" w:pos="8176"/>
              <w:tab w:val="right" w:pos="9026" w:leader="dot"/>
            </w:tabs>
            <w:rPr/>
          </w:pPr>
          <w:hyperlink w:anchor="__RefHeading___Toc733309_37343814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733311_373438147">
            <w:r>
              <w:rPr>
                <w:webHidden/>
                <w:rStyle w:val="IndexLink"/>
                <w:rtl w:val="true"/>
              </w:rPr>
              <w:t>مقتضى القاعدة الأوّلية</w:t>
            </w:r>
            <w:r>
              <w:rPr>
                <w:rStyle w:val="IndexLink"/>
                <w:rtl w:val="true"/>
              </w:rPr>
              <w:tab/>
            </w:r>
            <w:r>
              <w:rPr>
                <w:rStyle w:val="IndexLink"/>
              </w:rPr>
              <w:t>15</w:t>
            </w:r>
          </w:hyperlink>
        </w:p>
        <w:p>
          <w:pPr>
            <w:pStyle w:val="Contents4"/>
            <w:tabs>
              <w:tab w:val="clear" w:pos="8176"/>
              <w:tab w:val="right" w:pos="9026" w:leader="dot"/>
            </w:tabs>
            <w:rPr/>
          </w:pPr>
          <w:hyperlink w:anchor="__RefHeading___Toc733313_373438147">
            <w:r>
              <w:rPr>
                <w:webHidden/>
                <w:rStyle w:val="IndexLink"/>
                <w:rtl w:val="true"/>
              </w:rPr>
              <w:t xml:space="preserve">ثبوت الولاية للنبي و الأئمّة </w:t>
            </w:r>
            <w:r>
              <w:rPr>
                <w:rStyle w:val="IndexLink"/>
                <w:rtl w:val="true"/>
              </w:rPr>
              <w:t>(</w:t>
            </w:r>
            <w:r>
              <w:rPr>
                <w:rStyle w:val="IndexLink"/>
                <w:rtl w:val="true"/>
              </w:rPr>
              <w:t>عليهم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733315_373438147">
            <w:r>
              <w:rPr>
                <w:webHidden/>
                <w:rStyle w:val="IndexLink"/>
                <w:rtl w:val="true"/>
              </w:rPr>
              <w:t>الولاية في عصر الغيبة</w:t>
            </w:r>
            <w:r>
              <w:rPr>
                <w:rStyle w:val="IndexLink"/>
                <w:rtl w:val="true"/>
              </w:rPr>
              <w:tab/>
            </w:r>
            <w:r>
              <w:rPr>
                <w:rStyle w:val="IndexLink"/>
              </w:rPr>
              <w:t>23</w:t>
            </w:r>
          </w:hyperlink>
        </w:p>
        <w:p>
          <w:pPr>
            <w:pStyle w:val="Contents4"/>
            <w:tabs>
              <w:tab w:val="clear" w:pos="8176"/>
              <w:tab w:val="right" w:pos="9026" w:leader="dot"/>
            </w:tabs>
            <w:rPr/>
          </w:pPr>
          <w:hyperlink w:anchor="__RefHeading___Toc733317_37343814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33319_373438147">
            <w:r>
              <w:rPr>
                <w:webHidden/>
                <w:rStyle w:val="IndexLink"/>
                <w:rtl w:val="true"/>
              </w:rPr>
              <w:t>الأوّل</w:t>
            </w:r>
            <w:r>
              <w:rPr>
                <w:rStyle w:val="IndexLink"/>
                <w:rtl w:val="true"/>
              </w:rPr>
              <w:t xml:space="preserve">: </w:t>
            </w:r>
            <w:r>
              <w:rPr>
                <w:rStyle w:val="IndexLink"/>
                <w:rtl w:val="true"/>
              </w:rPr>
              <w:t>الفرق بين الحكم و الفتوى</w:t>
            </w:r>
            <w:r>
              <w:rPr>
                <w:rStyle w:val="IndexLink"/>
                <w:rtl w:val="true"/>
              </w:rPr>
              <w:tab/>
            </w:r>
            <w:r>
              <w:rPr>
                <w:rStyle w:val="IndexLink"/>
              </w:rPr>
              <w:t>23</w:t>
            </w:r>
          </w:hyperlink>
        </w:p>
        <w:p>
          <w:pPr>
            <w:pStyle w:val="Contents5"/>
            <w:tabs>
              <w:tab w:val="clear" w:pos="7892"/>
              <w:tab w:val="right" w:pos="9026" w:leader="dot"/>
            </w:tabs>
            <w:rPr/>
          </w:pPr>
          <w:hyperlink w:anchor="__RefHeading___Toc733321_37343814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733323_373438147">
            <w:r>
              <w:rPr>
                <w:webHidden/>
                <w:rStyle w:val="IndexLink"/>
                <w:rtl w:val="true"/>
              </w:rPr>
              <w:t>مقتضى التحقيق في المقام</w:t>
            </w:r>
            <w:r>
              <w:rPr>
                <w:rStyle w:val="IndexLink"/>
                <w:rtl w:val="true"/>
              </w:rPr>
              <w:tab/>
            </w:r>
            <w:r>
              <w:rPr>
                <w:rStyle w:val="IndexLink"/>
              </w:rPr>
              <w:t>29</w:t>
            </w:r>
          </w:hyperlink>
        </w:p>
        <w:p>
          <w:pPr>
            <w:pStyle w:val="Contents4"/>
            <w:tabs>
              <w:tab w:val="clear" w:pos="8176"/>
              <w:tab w:val="right" w:pos="9026" w:leader="dot"/>
            </w:tabs>
            <w:rPr/>
          </w:pPr>
          <w:hyperlink w:anchor="__RefHeading___Toc733325_373438147">
            <w:r>
              <w:rPr>
                <w:webHidden/>
                <w:rStyle w:val="IndexLink"/>
                <w:rtl w:val="true"/>
              </w:rPr>
              <w:t>الثاني</w:t>
            </w:r>
            <w:r>
              <w:rPr>
                <w:rStyle w:val="IndexLink"/>
                <w:rtl w:val="true"/>
              </w:rPr>
              <w:t xml:space="preserve">: </w:t>
            </w:r>
            <w:r>
              <w:rPr>
                <w:rStyle w:val="IndexLink"/>
                <w:rtl w:val="true"/>
              </w:rPr>
              <w:t>تقدّم الحكم الولائي على الفتوى عند التزاحم</w:t>
            </w:r>
            <w:r>
              <w:rPr>
                <w:rStyle w:val="IndexLink"/>
                <w:rtl w:val="true"/>
              </w:rPr>
              <w:tab/>
            </w:r>
            <w:r>
              <w:rPr>
                <w:rStyle w:val="IndexLink"/>
              </w:rPr>
              <w:t>32</w:t>
            </w:r>
          </w:hyperlink>
        </w:p>
        <w:p>
          <w:pPr>
            <w:pStyle w:val="Contents4"/>
            <w:tabs>
              <w:tab w:val="clear" w:pos="8176"/>
              <w:tab w:val="right" w:pos="9026" w:leader="dot"/>
            </w:tabs>
            <w:rPr/>
          </w:pPr>
          <w:hyperlink w:anchor="__RefHeading___Toc733327_373438147">
            <w:r>
              <w:rPr>
                <w:webHidden/>
                <w:rStyle w:val="IndexLink"/>
                <w:rtl w:val="true"/>
              </w:rPr>
              <w:t>الثالث</w:t>
            </w:r>
            <w:r>
              <w:rPr>
                <w:rStyle w:val="IndexLink"/>
                <w:rtl w:val="true"/>
              </w:rPr>
              <w:t xml:space="preserve">: </w:t>
            </w:r>
            <w:r>
              <w:rPr>
                <w:rStyle w:val="IndexLink"/>
                <w:rtl w:val="true"/>
              </w:rPr>
              <w:t>أقسام الحكم الولائي</w:t>
            </w:r>
            <w:r>
              <w:rPr>
                <w:rStyle w:val="IndexLink"/>
                <w:rtl w:val="true"/>
              </w:rPr>
              <w:tab/>
            </w:r>
            <w:r>
              <w:rPr>
                <w:rStyle w:val="IndexLink"/>
              </w:rPr>
              <w:t>35</w:t>
            </w:r>
          </w:hyperlink>
        </w:p>
        <w:p>
          <w:pPr>
            <w:pStyle w:val="Contents4"/>
            <w:tabs>
              <w:tab w:val="clear" w:pos="8176"/>
              <w:tab w:val="right" w:pos="9026" w:leader="dot"/>
            </w:tabs>
            <w:rPr/>
          </w:pPr>
          <w:hyperlink w:anchor="__RefHeading___Toc733329_373438147">
            <w:r>
              <w:rPr>
                <w:webHidden/>
                <w:rStyle w:val="IndexLink"/>
                <w:rtl w:val="true"/>
              </w:rPr>
              <w:t>الرابع</w:t>
            </w:r>
            <w:r>
              <w:rPr>
                <w:rStyle w:val="IndexLink"/>
                <w:rtl w:val="true"/>
              </w:rPr>
              <w:t xml:space="preserve">: </w:t>
            </w:r>
            <w:r>
              <w:rPr>
                <w:rStyle w:val="IndexLink"/>
                <w:rtl w:val="true"/>
              </w:rPr>
              <w:t>ابتناء الحكم الحكومي على المصلحة</w:t>
            </w:r>
            <w:r>
              <w:rPr>
                <w:rStyle w:val="IndexLink"/>
                <w:rtl w:val="true"/>
              </w:rPr>
              <w:tab/>
            </w:r>
            <w:r>
              <w:rPr>
                <w:rStyle w:val="IndexLink"/>
              </w:rPr>
              <w:t>36</w:t>
            </w:r>
          </w:hyperlink>
        </w:p>
        <w:p>
          <w:pPr>
            <w:pStyle w:val="Contents4"/>
            <w:tabs>
              <w:tab w:val="clear" w:pos="8176"/>
              <w:tab w:val="right" w:pos="9026" w:leader="dot"/>
            </w:tabs>
            <w:rPr/>
          </w:pPr>
          <w:hyperlink w:anchor="__RefHeading___Toc733331_373438147">
            <w:r>
              <w:rPr>
                <w:webHidden/>
                <w:rStyle w:val="IndexLink"/>
                <w:rtl w:val="true"/>
              </w:rPr>
              <w:t>الخامس</w:t>
            </w:r>
            <w:r>
              <w:rPr>
                <w:rStyle w:val="IndexLink"/>
                <w:rtl w:val="true"/>
              </w:rPr>
              <w:t xml:space="preserve">: </w:t>
            </w:r>
            <w:r>
              <w:rPr>
                <w:rStyle w:val="IndexLink"/>
                <w:rtl w:val="true"/>
              </w:rPr>
              <w:t>نطاق نفوذ الحكم الولائي</w:t>
            </w:r>
            <w:r>
              <w:rPr>
                <w:rStyle w:val="IndexLink"/>
                <w:rtl w:val="true"/>
              </w:rPr>
              <w:tab/>
            </w:r>
            <w:r>
              <w:rPr>
                <w:rStyle w:val="IndexLink"/>
              </w:rPr>
              <w:t>38</w:t>
            </w:r>
          </w:hyperlink>
        </w:p>
        <w:p>
          <w:pPr>
            <w:pStyle w:val="Contents4"/>
            <w:tabs>
              <w:tab w:val="clear" w:pos="8176"/>
              <w:tab w:val="right" w:pos="9026" w:leader="dot"/>
            </w:tabs>
            <w:rPr/>
          </w:pPr>
          <w:hyperlink w:anchor="__RefHeading___Toc733333_373438147">
            <w:r>
              <w:rPr>
                <w:webHidden/>
                <w:rStyle w:val="IndexLink"/>
                <w:rtl w:val="true"/>
              </w:rPr>
              <w:t>السادس</w:t>
            </w:r>
            <w:r>
              <w:rPr>
                <w:rStyle w:val="IndexLink"/>
                <w:rtl w:val="true"/>
              </w:rPr>
              <w:t xml:space="preserve">: </w:t>
            </w:r>
            <w:r>
              <w:rPr>
                <w:rStyle w:val="IndexLink"/>
                <w:rtl w:val="true"/>
              </w:rPr>
              <w:t xml:space="preserve">نماذج من الأحكام الصادرة عن النبي و الأئمّة </w:t>
            </w:r>
            <w:r>
              <w:rPr>
                <w:rStyle w:val="IndexLink"/>
                <w:rtl w:val="true"/>
              </w:rPr>
              <w:t>(</w:t>
            </w:r>
            <w:r>
              <w:rPr>
                <w:rStyle w:val="IndexLink"/>
                <w:rtl w:val="true"/>
              </w:rPr>
              <w:t>عليهم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733335_373438147">
            <w:r>
              <w:rPr>
                <w:webHidden/>
                <w:rStyle w:val="IndexLink"/>
                <w:rtl w:val="true"/>
              </w:rPr>
              <w:t>السابع</w:t>
            </w:r>
            <w:r>
              <w:rPr>
                <w:rStyle w:val="IndexLink"/>
                <w:rtl w:val="true"/>
              </w:rPr>
              <w:t xml:space="preserve">: </w:t>
            </w:r>
            <w:r>
              <w:rPr>
                <w:rStyle w:val="IndexLink"/>
                <w:rtl w:val="true"/>
              </w:rPr>
              <w:t>نماذج من الأحكام الولائية الصادرة من الفقهاء</w:t>
            </w:r>
            <w:r>
              <w:rPr>
                <w:rStyle w:val="IndexLink"/>
                <w:rtl w:val="true"/>
              </w:rPr>
              <w:tab/>
            </w:r>
            <w:r>
              <w:rPr>
                <w:rStyle w:val="IndexLink"/>
              </w:rPr>
              <w:t>47</w:t>
            </w:r>
          </w:hyperlink>
        </w:p>
        <w:p>
          <w:pPr>
            <w:pStyle w:val="Contents5"/>
            <w:tabs>
              <w:tab w:val="clear" w:pos="7892"/>
              <w:tab w:val="right" w:pos="9026" w:leader="dot"/>
            </w:tabs>
            <w:rPr/>
          </w:pPr>
          <w:hyperlink w:anchor="__RefHeading___Toc733337_3734381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733339_373438147">
            <w:r>
              <w:rPr>
                <w:webHidden/>
                <w:rStyle w:val="IndexLink"/>
                <w:rtl w:val="true"/>
              </w:rPr>
              <w:t>تحقيق في ولاية الفقيه على الحكومة و القضاء</w:t>
            </w:r>
            <w:r>
              <w:rPr>
                <w:rStyle w:val="IndexLink"/>
                <w:rtl w:val="true"/>
              </w:rPr>
              <w:tab/>
            </w:r>
            <w:r>
              <w:rPr>
                <w:rStyle w:val="IndexLink"/>
              </w:rPr>
              <w:t>51</w:t>
            </w:r>
          </w:hyperlink>
        </w:p>
        <w:p>
          <w:pPr>
            <w:pStyle w:val="Contents5"/>
            <w:tabs>
              <w:tab w:val="clear" w:pos="7892"/>
              <w:tab w:val="right" w:pos="9026" w:leader="dot"/>
            </w:tabs>
            <w:rPr/>
          </w:pPr>
          <w:hyperlink w:anchor="__RefHeading___Toc733341_373438147">
            <w:r>
              <w:rPr>
                <w:webHidden/>
                <w:rStyle w:val="IndexLink"/>
                <w:rtl w:val="true"/>
              </w:rPr>
              <w:t>فيما استدلّ به على عدم ثبوت الولاية للفقهاء</w:t>
            </w:r>
            <w:r>
              <w:rPr>
                <w:rStyle w:val="IndexLink"/>
                <w:rtl w:val="true"/>
              </w:rPr>
              <w:tab/>
            </w:r>
            <w:r>
              <w:rPr>
                <w:rStyle w:val="IndexLink"/>
              </w:rPr>
              <w:t>51</w:t>
            </w:r>
          </w:hyperlink>
        </w:p>
        <w:p>
          <w:pPr>
            <w:pStyle w:val="Contents4"/>
            <w:tabs>
              <w:tab w:val="clear" w:pos="8176"/>
              <w:tab w:val="right" w:pos="9026" w:leader="dot"/>
            </w:tabs>
            <w:rPr/>
          </w:pPr>
          <w:hyperlink w:anchor="__RefHeading___Toc733343_373438147">
            <w:r>
              <w:rPr>
                <w:webHidden/>
                <w:rStyle w:val="IndexLink"/>
                <w:rtl w:val="true"/>
              </w:rPr>
              <w:t>أدلّة ولاية الفقيه المطلقة</w:t>
            </w:r>
            <w:r>
              <w:rPr>
                <w:rStyle w:val="IndexLink"/>
                <w:rtl w:val="true"/>
              </w:rPr>
              <w:tab/>
            </w:r>
            <w:r>
              <w:rPr>
                <w:rStyle w:val="IndexLink"/>
              </w:rPr>
              <w:t>55</w:t>
            </w:r>
          </w:hyperlink>
        </w:p>
        <w:p>
          <w:pPr>
            <w:pStyle w:val="Contents5"/>
            <w:tabs>
              <w:tab w:val="clear" w:pos="7892"/>
              <w:tab w:val="right" w:pos="9026" w:leader="dot"/>
            </w:tabs>
            <w:rPr/>
          </w:pPr>
          <w:hyperlink w:anchor="__RefHeading___Toc733345_373438147">
            <w:r>
              <w:rPr>
                <w:webHidden/>
                <w:rStyle w:val="IndexLink"/>
                <w:rtl w:val="true"/>
              </w:rPr>
              <w:t>الاستدلال بالإجماع و الشهرة</w:t>
            </w:r>
            <w:r>
              <w:rPr>
                <w:rStyle w:val="IndexLink"/>
                <w:rtl w:val="true"/>
              </w:rPr>
              <w:tab/>
            </w:r>
            <w:r>
              <w:rPr>
                <w:rStyle w:val="IndexLink"/>
              </w:rPr>
              <w:t>55</w:t>
            </w:r>
          </w:hyperlink>
        </w:p>
        <w:p>
          <w:pPr>
            <w:pStyle w:val="Contents6"/>
            <w:tabs>
              <w:tab w:val="clear" w:pos="7609"/>
              <w:tab w:val="right" w:pos="9026" w:leader="dot"/>
            </w:tabs>
            <w:rPr/>
          </w:pPr>
          <w:hyperlink w:anchor="__RefHeading___Toc733347_373438147">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733349_373438147">
            <w:r>
              <w:rPr>
                <w:webHidden/>
                <w:rStyle w:val="IndexLink"/>
                <w:rtl w:val="true"/>
              </w:rPr>
              <w:t>كلمات الأصحاب في ولاية الفقيه المطلقة</w:t>
            </w:r>
            <w:r>
              <w:rPr>
                <w:rStyle w:val="IndexLink"/>
                <w:rtl w:val="true"/>
              </w:rPr>
              <w:tab/>
            </w:r>
            <w:r>
              <w:rPr>
                <w:rStyle w:val="IndexLink"/>
              </w:rPr>
              <w:t>55</w:t>
            </w:r>
          </w:hyperlink>
        </w:p>
        <w:p>
          <w:pPr>
            <w:pStyle w:val="Contents5"/>
            <w:tabs>
              <w:tab w:val="clear" w:pos="7892"/>
              <w:tab w:val="right" w:pos="9026" w:leader="dot"/>
            </w:tabs>
            <w:rPr/>
          </w:pPr>
          <w:hyperlink w:anchor="__RefHeading___Toc733351_373438147">
            <w:r>
              <w:rPr>
                <w:webHidden/>
                <w:rStyle w:val="IndexLink"/>
                <w:rtl w:val="true"/>
              </w:rPr>
              <w:t>الاستدلال بالضرورة</w:t>
            </w:r>
            <w:r>
              <w:rPr>
                <w:rStyle w:val="IndexLink"/>
                <w:rtl w:val="true"/>
              </w:rPr>
              <w:tab/>
            </w:r>
            <w:r>
              <w:rPr>
                <w:rStyle w:val="IndexLink"/>
              </w:rPr>
              <w:t>65</w:t>
            </w:r>
          </w:hyperlink>
        </w:p>
        <w:p>
          <w:pPr>
            <w:pStyle w:val="Contents5"/>
            <w:tabs>
              <w:tab w:val="clear" w:pos="7892"/>
              <w:tab w:val="right" w:pos="9026" w:leader="dot"/>
            </w:tabs>
            <w:rPr/>
          </w:pPr>
          <w:hyperlink w:anchor="__RefHeading___Toc733353_373438147">
            <w:r>
              <w:rPr>
                <w:webHidden/>
                <w:rStyle w:val="IndexLink"/>
                <w:rtl w:val="true"/>
              </w:rPr>
              <w:t>الاستدلال بالدليل العقلي</w:t>
            </w:r>
            <w:r>
              <w:rPr>
                <w:rStyle w:val="IndexLink"/>
                <w:rtl w:val="true"/>
              </w:rPr>
              <w:tab/>
            </w:r>
            <w:r>
              <w:rPr>
                <w:rStyle w:val="IndexLink"/>
              </w:rPr>
              <w:t>68</w:t>
            </w:r>
          </w:hyperlink>
        </w:p>
        <w:p>
          <w:pPr>
            <w:pStyle w:val="Contents5"/>
            <w:tabs>
              <w:tab w:val="clear" w:pos="7892"/>
              <w:tab w:val="right" w:pos="9026" w:leader="dot"/>
            </w:tabs>
            <w:rPr/>
          </w:pPr>
          <w:hyperlink w:anchor="__RefHeading___Toc733355_373438147">
            <w:r>
              <w:rPr>
                <w:webHidden/>
                <w:rStyle w:val="IndexLink"/>
                <w:rtl w:val="true"/>
              </w:rPr>
              <w:t>الاستدلال ببناء العقلاء</w:t>
            </w:r>
            <w:r>
              <w:rPr>
                <w:rStyle w:val="IndexLink"/>
                <w:rtl w:val="true"/>
              </w:rPr>
              <w:tab/>
            </w:r>
            <w:r>
              <w:rPr>
                <w:rStyle w:val="IndexLink"/>
              </w:rPr>
              <w:t>70</w:t>
            </w:r>
          </w:hyperlink>
        </w:p>
        <w:p>
          <w:pPr>
            <w:pStyle w:val="Contents5"/>
            <w:tabs>
              <w:tab w:val="clear" w:pos="7892"/>
              <w:tab w:val="right" w:pos="9026" w:leader="dot"/>
            </w:tabs>
            <w:rPr/>
          </w:pPr>
          <w:hyperlink w:anchor="__RefHeading___Toc733357_373438147">
            <w:r>
              <w:rPr>
                <w:webHidden/>
                <w:rStyle w:val="IndexLink"/>
                <w:rtl w:val="true"/>
              </w:rPr>
              <w:t>الاستدلال بدليل الحِسبة</w:t>
            </w:r>
            <w:r>
              <w:rPr>
                <w:rStyle w:val="IndexLink"/>
                <w:rtl w:val="true"/>
              </w:rPr>
              <w:tab/>
            </w:r>
            <w:r>
              <w:rPr>
                <w:rStyle w:val="IndexLink"/>
              </w:rPr>
              <w:t>72</w:t>
            </w:r>
          </w:hyperlink>
        </w:p>
        <w:p>
          <w:pPr>
            <w:pStyle w:val="Contents5"/>
            <w:tabs>
              <w:tab w:val="clear" w:pos="7892"/>
              <w:tab w:val="right" w:pos="9026" w:leader="dot"/>
            </w:tabs>
            <w:rPr/>
          </w:pPr>
          <w:hyperlink w:anchor="__RefHeading___Toc733359_373438147">
            <w:r>
              <w:rPr>
                <w:webHidden/>
                <w:rStyle w:val="IndexLink"/>
                <w:rtl w:val="true"/>
              </w:rPr>
              <w:t>الاستدلال بالآيات</w:t>
            </w:r>
            <w:r>
              <w:rPr>
                <w:rStyle w:val="IndexLink"/>
                <w:rtl w:val="true"/>
              </w:rPr>
              <w:tab/>
            </w:r>
            <w:r>
              <w:rPr>
                <w:rStyle w:val="IndexLink"/>
              </w:rPr>
              <w:t>73</w:t>
            </w:r>
          </w:hyperlink>
        </w:p>
        <w:p>
          <w:pPr>
            <w:pStyle w:val="Contents5"/>
            <w:tabs>
              <w:tab w:val="clear" w:pos="7892"/>
              <w:tab w:val="right" w:pos="9026" w:leader="dot"/>
            </w:tabs>
            <w:rPr/>
          </w:pPr>
          <w:hyperlink w:anchor="__RefHeading___Toc733361_373438147">
            <w:r>
              <w:rPr>
                <w:webHidden/>
                <w:rStyle w:val="IndexLink"/>
                <w:rtl w:val="true"/>
              </w:rPr>
              <w:t>الاستدلال بالأخبار</w:t>
            </w:r>
            <w:r>
              <w:rPr>
                <w:rStyle w:val="IndexLink"/>
                <w:rtl w:val="true"/>
              </w:rPr>
              <w:tab/>
            </w:r>
            <w:r>
              <w:rPr>
                <w:rStyle w:val="IndexLink"/>
              </w:rPr>
              <w:t>79</w:t>
            </w:r>
          </w:hyperlink>
        </w:p>
        <w:p>
          <w:pPr>
            <w:pStyle w:val="Contents6"/>
            <w:tabs>
              <w:tab w:val="clear" w:pos="7609"/>
              <w:tab w:val="right" w:pos="9026" w:leader="dot"/>
            </w:tabs>
            <w:rPr/>
          </w:pPr>
          <w:hyperlink w:anchor="__RefHeading___Toc733363_37343814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733365_373438147">
            <w:r>
              <w:rPr>
                <w:webHidden/>
                <w:rStyle w:val="IndexLink"/>
                <w:rtl w:val="true"/>
              </w:rPr>
              <w:t>الطائفة الأُولى</w:t>
            </w:r>
            <w:r>
              <w:rPr>
                <w:rStyle w:val="IndexLink"/>
                <w:rtl w:val="true"/>
              </w:rPr>
              <w:t xml:space="preserve">: </w:t>
            </w:r>
            <w:r>
              <w:rPr>
                <w:rStyle w:val="IndexLink"/>
                <w:rtl w:val="true"/>
              </w:rPr>
              <w:t>ما دلّت على أنّ الشارع الأقدس قد بيّن جميع ما تحتاج إليه الأُمّة</w:t>
            </w:r>
            <w:r>
              <w:rPr>
                <w:rStyle w:val="IndexLink"/>
                <w:rtl w:val="true"/>
              </w:rPr>
              <w:tab/>
            </w:r>
            <w:r>
              <w:rPr>
                <w:rStyle w:val="IndexLink"/>
              </w:rPr>
              <w:t>79</w:t>
            </w:r>
          </w:hyperlink>
        </w:p>
        <w:p>
          <w:pPr>
            <w:pStyle w:val="Contents6"/>
            <w:tabs>
              <w:tab w:val="clear" w:pos="7609"/>
              <w:tab w:val="right" w:pos="9026" w:leader="dot"/>
            </w:tabs>
            <w:rPr/>
          </w:pPr>
          <w:hyperlink w:anchor="__RefHeading___Toc733367_373438147">
            <w:r>
              <w:rPr>
                <w:webHidden/>
                <w:rStyle w:val="IndexLink"/>
                <w:rtl w:val="true"/>
              </w:rPr>
              <w:t>الطائفة الثانية</w:t>
            </w:r>
            <w:r>
              <w:rPr>
                <w:rStyle w:val="IndexLink"/>
                <w:rtl w:val="true"/>
              </w:rPr>
              <w:t xml:space="preserve">: </w:t>
            </w:r>
            <w:r>
              <w:rPr>
                <w:rStyle w:val="IndexLink"/>
                <w:rtl w:val="true"/>
              </w:rPr>
              <w:t>ما دلّ على ضرورة وجود أمين قيّم للناس في كلّ عصر</w:t>
            </w:r>
            <w:r>
              <w:rPr>
                <w:rStyle w:val="IndexLink"/>
                <w:rtl w:val="true"/>
              </w:rPr>
              <w:tab/>
            </w:r>
            <w:r>
              <w:rPr>
                <w:rStyle w:val="IndexLink"/>
              </w:rPr>
              <w:t>81</w:t>
            </w:r>
          </w:hyperlink>
        </w:p>
        <w:p>
          <w:pPr>
            <w:pStyle w:val="Contents6"/>
            <w:tabs>
              <w:tab w:val="clear" w:pos="7609"/>
              <w:tab w:val="right" w:pos="9026" w:leader="dot"/>
            </w:tabs>
            <w:rPr/>
          </w:pPr>
          <w:hyperlink w:anchor="__RefHeading___Toc733369_373438147">
            <w:r>
              <w:rPr>
                <w:webHidden/>
                <w:rStyle w:val="IndexLink"/>
                <w:rtl w:val="true"/>
              </w:rPr>
              <w:t>الطائفة الثالثة</w:t>
            </w:r>
            <w:r>
              <w:rPr>
                <w:rStyle w:val="IndexLink"/>
                <w:rtl w:val="true"/>
              </w:rPr>
              <w:t xml:space="preserve">: </w:t>
            </w:r>
            <w:r>
              <w:rPr>
                <w:rStyle w:val="IndexLink"/>
                <w:rtl w:val="true"/>
              </w:rPr>
              <w:t>ما دلّ على لزوم كون الوالي على المسلمين و القاضي بينهم</w:t>
            </w:r>
            <w:r>
              <w:rPr>
                <w:rStyle w:val="IndexLink"/>
                <w:rtl w:val="true"/>
              </w:rPr>
              <w:tab/>
            </w:r>
            <w:r>
              <w:rPr>
                <w:rStyle w:val="IndexLink"/>
              </w:rPr>
              <w:t>84</w:t>
            </w:r>
          </w:hyperlink>
        </w:p>
        <w:p>
          <w:pPr>
            <w:pStyle w:val="Contents6"/>
            <w:tabs>
              <w:tab w:val="clear" w:pos="7609"/>
              <w:tab w:val="right" w:pos="9026" w:leader="dot"/>
            </w:tabs>
            <w:rPr/>
          </w:pPr>
          <w:hyperlink w:anchor="__RefHeading___Toc733371_373438147">
            <w:r>
              <w:rPr>
                <w:webHidden/>
                <w:rStyle w:val="IndexLink"/>
                <w:rtl w:val="true"/>
              </w:rPr>
              <w:t>الطائفة الرابعة</w:t>
            </w:r>
            <w:r>
              <w:rPr>
                <w:rStyle w:val="IndexLink"/>
                <w:rtl w:val="true"/>
              </w:rPr>
              <w:t xml:space="preserve">: </w:t>
            </w:r>
            <w:r>
              <w:rPr>
                <w:rStyle w:val="IndexLink"/>
                <w:rtl w:val="true"/>
              </w:rPr>
              <w:t>نصوص ذكر فيها العلماء و الفقهاء خلفاء رسول اللّه و أمناء الرسل و حصون الإسلام</w:t>
            </w:r>
            <w:r>
              <w:rPr>
                <w:rStyle w:val="IndexLink"/>
                <w:rtl w:val="true"/>
              </w:rPr>
              <w:tab/>
            </w:r>
            <w:r>
              <w:rPr>
                <w:rStyle w:val="IndexLink"/>
              </w:rPr>
              <w:t>91</w:t>
            </w:r>
          </w:hyperlink>
        </w:p>
        <w:p>
          <w:pPr>
            <w:pStyle w:val="Contents4"/>
            <w:tabs>
              <w:tab w:val="clear" w:pos="8176"/>
              <w:tab w:val="right" w:pos="9026" w:leader="dot"/>
            </w:tabs>
            <w:rPr/>
          </w:pPr>
          <w:hyperlink w:anchor="__RefHeading___Toc733373_373438147">
            <w:r>
              <w:rPr>
                <w:webHidden/>
                <w:rStyle w:val="IndexLink"/>
                <w:rtl w:val="true"/>
              </w:rPr>
              <w:t>إزاحة الشبهات</w:t>
            </w:r>
            <w:r>
              <w:rPr>
                <w:rStyle w:val="IndexLink"/>
                <w:rtl w:val="true"/>
              </w:rPr>
              <w:tab/>
            </w:r>
            <w:r>
              <w:rPr>
                <w:rStyle w:val="IndexLink"/>
              </w:rPr>
              <w:t>107</w:t>
            </w:r>
          </w:hyperlink>
        </w:p>
        <w:p>
          <w:pPr>
            <w:pStyle w:val="Contents4"/>
            <w:tabs>
              <w:tab w:val="clear" w:pos="8176"/>
              <w:tab w:val="right" w:pos="9026" w:leader="dot"/>
            </w:tabs>
            <w:rPr/>
          </w:pPr>
          <w:hyperlink w:anchor="__RefHeading___Toc733375_373438147">
            <w:r>
              <w:rPr>
                <w:webHidden/>
                <w:rStyle w:val="IndexLink"/>
                <w:rtl w:val="true"/>
              </w:rPr>
              <w:t>تنبيهان</w:t>
            </w:r>
            <w:r>
              <w:rPr>
                <w:rStyle w:val="IndexLink"/>
                <w:rtl w:val="true"/>
              </w:rPr>
              <w:tab/>
            </w:r>
            <w:r>
              <w:rPr>
                <w:rStyle w:val="IndexLink"/>
              </w:rPr>
              <w:t>113</w:t>
            </w:r>
          </w:hyperlink>
        </w:p>
        <w:p>
          <w:pPr>
            <w:pStyle w:val="Contents5"/>
            <w:tabs>
              <w:tab w:val="clear" w:pos="7892"/>
              <w:tab w:val="right" w:pos="9026" w:leader="dot"/>
            </w:tabs>
            <w:rPr/>
          </w:pPr>
          <w:hyperlink w:anchor="__RefHeading___Toc733377_373438147">
            <w:r>
              <w:rPr>
                <w:webHidden/>
                <w:rStyle w:val="IndexLink"/>
                <w:rtl w:val="true"/>
              </w:rPr>
              <w:t>الأوّل</w:t>
            </w:r>
            <w:r>
              <w:rPr>
                <w:rStyle w:val="IndexLink"/>
                <w:rtl w:val="true"/>
              </w:rPr>
              <w:t xml:space="preserve">: </w:t>
            </w:r>
            <w:r>
              <w:rPr>
                <w:rStyle w:val="IndexLink"/>
                <w:rtl w:val="true"/>
              </w:rPr>
              <w:t>في دور انتخاب الشعب</w:t>
            </w:r>
            <w:r>
              <w:rPr>
                <w:rStyle w:val="IndexLink"/>
                <w:rtl w:val="true"/>
              </w:rPr>
              <w:tab/>
            </w:r>
            <w:r>
              <w:rPr>
                <w:rStyle w:val="IndexLink"/>
              </w:rPr>
              <w:t>113</w:t>
            </w:r>
          </w:hyperlink>
        </w:p>
        <w:p>
          <w:pPr>
            <w:pStyle w:val="Contents5"/>
            <w:tabs>
              <w:tab w:val="clear" w:pos="7892"/>
              <w:tab w:val="right" w:pos="9026" w:leader="dot"/>
            </w:tabs>
            <w:rPr/>
          </w:pPr>
          <w:hyperlink w:anchor="__RefHeading___Toc733379_373438147">
            <w:r>
              <w:rPr>
                <w:webHidden/>
                <w:rStyle w:val="IndexLink"/>
                <w:rtl w:val="true"/>
              </w:rPr>
              <w:t>الثاني</w:t>
            </w:r>
            <w:r>
              <w:rPr>
                <w:rStyle w:val="IndexLink"/>
                <w:rtl w:val="true"/>
              </w:rPr>
              <w:t xml:space="preserve">: </w:t>
            </w:r>
            <w:r>
              <w:rPr>
                <w:rStyle w:val="IndexLink"/>
                <w:rtl w:val="true"/>
              </w:rPr>
              <w:t>في شرطية الأعلمية</w:t>
            </w:r>
            <w:r>
              <w:rPr>
                <w:rStyle w:val="IndexLink"/>
                <w:rtl w:val="true"/>
              </w:rPr>
              <w:tab/>
            </w:r>
            <w:r>
              <w:rPr>
                <w:rStyle w:val="IndexLink"/>
              </w:rPr>
              <w:t>114</w:t>
            </w:r>
          </w:hyperlink>
        </w:p>
        <w:p>
          <w:pPr>
            <w:pStyle w:val="Contents4"/>
            <w:tabs>
              <w:tab w:val="clear" w:pos="8176"/>
              <w:tab w:val="right" w:pos="9026" w:leader="dot"/>
            </w:tabs>
            <w:rPr/>
          </w:pPr>
          <w:hyperlink w:anchor="__RefHeading___Toc733381_373438147">
            <w:r>
              <w:rPr>
                <w:webHidden/>
                <w:rStyle w:val="IndexLink"/>
                <w:rtl w:val="true"/>
              </w:rPr>
              <w:t>القول في ولاية الفقيه على الجهاد الابتدائي</w:t>
            </w:r>
            <w:r>
              <w:rPr>
                <w:rStyle w:val="IndexLink"/>
                <w:rtl w:val="true"/>
              </w:rPr>
              <w:tab/>
            </w:r>
            <w:r>
              <w:rPr>
                <w:rStyle w:val="IndexLink"/>
              </w:rPr>
              <w:t>115</w:t>
            </w:r>
          </w:hyperlink>
        </w:p>
        <w:p>
          <w:pPr>
            <w:pStyle w:val="Contents5"/>
            <w:tabs>
              <w:tab w:val="clear" w:pos="7892"/>
              <w:tab w:val="right" w:pos="9026" w:leader="dot"/>
            </w:tabs>
            <w:rPr/>
          </w:pPr>
          <w:hyperlink w:anchor="__RefHeading___Toc733383_373438147">
            <w:r>
              <w:rPr>
                <w:webHidden/>
                <w:rStyle w:val="IndexLink"/>
                <w:rtl w:val="true"/>
              </w:rPr>
              <w:t>تعريف الجهاد</w:t>
            </w:r>
            <w:r>
              <w:rPr>
                <w:rStyle w:val="IndexLink"/>
                <w:rtl w:val="true"/>
              </w:rPr>
              <w:tab/>
            </w:r>
            <w:r>
              <w:rPr>
                <w:rStyle w:val="IndexLink"/>
              </w:rPr>
              <w:t>115</w:t>
            </w:r>
          </w:hyperlink>
        </w:p>
        <w:p>
          <w:pPr>
            <w:pStyle w:val="Contents5"/>
            <w:tabs>
              <w:tab w:val="clear" w:pos="7892"/>
              <w:tab w:val="right" w:pos="9026" w:leader="dot"/>
            </w:tabs>
            <w:rPr/>
          </w:pPr>
          <w:hyperlink w:anchor="__RefHeading___Toc733385_373438147">
            <w:r>
              <w:rPr>
                <w:webHidden/>
                <w:rStyle w:val="IndexLink"/>
                <w:rtl w:val="true"/>
              </w:rPr>
              <w:t>الجهاد الابتدائي و الدفاعي</w:t>
            </w:r>
            <w:r>
              <w:rPr>
                <w:rStyle w:val="IndexLink"/>
                <w:rtl w:val="true"/>
              </w:rPr>
              <w:tab/>
            </w:r>
            <w:r>
              <w:rPr>
                <w:rStyle w:val="IndexLink"/>
              </w:rPr>
              <w:t>116</w:t>
            </w:r>
          </w:hyperlink>
        </w:p>
        <w:p>
          <w:pPr>
            <w:pStyle w:val="Contents5"/>
            <w:tabs>
              <w:tab w:val="clear" w:pos="7892"/>
              <w:tab w:val="right" w:pos="9026" w:leader="dot"/>
            </w:tabs>
            <w:rPr/>
          </w:pPr>
          <w:hyperlink w:anchor="__RefHeading___Toc733387_373438147">
            <w:r>
              <w:rPr>
                <w:webHidden/>
                <w:rStyle w:val="IndexLink"/>
                <w:rtl w:val="true"/>
              </w:rPr>
              <w:t>هل للفقيه الولاية على الجهاد الابتدائي؟</w:t>
            </w:r>
            <w:r>
              <w:rPr>
                <w:rStyle w:val="IndexLink"/>
                <w:rtl w:val="true"/>
              </w:rPr>
              <w:tab/>
            </w:r>
            <w:r>
              <w:rPr>
                <w:rStyle w:val="IndexLink"/>
              </w:rPr>
              <w:t>119</w:t>
            </w:r>
          </w:hyperlink>
        </w:p>
        <w:p>
          <w:pPr>
            <w:pStyle w:val="Contents3"/>
            <w:tabs>
              <w:tab w:val="clear" w:pos="8459"/>
              <w:tab w:val="right" w:pos="9026" w:leader="dot"/>
            </w:tabs>
            <w:rPr/>
          </w:pPr>
          <w:hyperlink w:anchor="__RefHeading___Toc733389_373438147">
            <w:r>
              <w:rPr>
                <w:webHidden/>
                <w:rStyle w:val="IndexLink"/>
                <w:rtl w:val="true"/>
              </w:rPr>
              <w:t>[</w:t>
            </w:r>
            <w:r>
              <w:rPr>
                <w:rStyle w:val="IndexLink"/>
                <w:rtl w:val="true"/>
              </w:rPr>
              <w:t>وجوب قيام الفقهاء مع بسط يدهم كفاية بالعدل و القسط و إقامة الحدود المعطّلة و إحياء سنّة النبي و تصدي الأُمور الحسبة</w:t>
            </w:r>
            <w:r>
              <w:rPr>
                <w:rStyle w:val="IndexLink"/>
                <w:rtl w:val="true"/>
              </w:rPr>
              <w:t>]</w:t>
              <w:tab/>
            </w:r>
            <w:r>
              <w:rPr>
                <w:rStyle w:val="IndexLink"/>
              </w:rPr>
              <w:t>130</w:t>
            </w:r>
          </w:hyperlink>
        </w:p>
        <w:p>
          <w:pPr>
            <w:pStyle w:val="Contents3"/>
            <w:tabs>
              <w:tab w:val="clear" w:pos="8459"/>
              <w:tab w:val="right" w:pos="9026" w:leader="dot"/>
            </w:tabs>
            <w:rPr/>
          </w:pPr>
          <w:hyperlink w:anchor="__RefHeading___Toc733391_373438147">
            <w:r>
              <w:rPr>
                <w:webHidden/>
                <w:rStyle w:val="IndexLink"/>
                <w:rtl w:val="true"/>
              </w:rPr>
              <w:t>[</w:t>
            </w:r>
            <w:r>
              <w:rPr>
                <w:rStyle w:val="IndexLink"/>
                <w:rtl w:val="true"/>
              </w:rPr>
              <w:t>وجوب مساعدة الفقهاء كفاية في إجراء السياسات و غيرها من الحسبيّات و عدم جواز التولّي للحدود و القضاء و غيرها من قبل الجائر</w:t>
            </w:r>
            <w:r>
              <w:rPr>
                <w:rStyle w:val="IndexLink"/>
                <w:rtl w:val="true"/>
              </w:rPr>
              <w:t>]</w:t>
              <w:tab/>
            </w:r>
            <w:r>
              <w:rPr>
                <w:rStyle w:val="IndexLink"/>
              </w:rPr>
              <w:t>131</w:t>
            </w:r>
          </w:hyperlink>
        </w:p>
        <w:p>
          <w:pPr>
            <w:pStyle w:val="Contents3"/>
            <w:tabs>
              <w:tab w:val="clear" w:pos="8459"/>
              <w:tab w:val="right" w:pos="9026" w:leader="dot"/>
            </w:tabs>
            <w:rPr/>
          </w:pPr>
          <w:hyperlink w:anchor="__RefHeading___Toc733393_373438147">
            <w:r>
              <w:rPr>
                <w:webHidden/>
                <w:rStyle w:val="IndexLink"/>
                <w:rtl w:val="true"/>
              </w:rPr>
              <w:t>[</w:t>
            </w:r>
            <w:r>
              <w:rPr>
                <w:rStyle w:val="IndexLink"/>
                <w:rtl w:val="true"/>
              </w:rPr>
              <w:t>حكم من أكرهه الجائر على تولّي أمر من الأُمور</w:t>
            </w:r>
            <w:r>
              <w:rPr>
                <w:rStyle w:val="IndexLink"/>
                <w:rtl w:val="true"/>
              </w:rPr>
              <w:t>]</w:t>
              <w:tab/>
            </w:r>
            <w:r>
              <w:rPr>
                <w:rStyle w:val="IndexLink"/>
              </w:rPr>
              <w:t>132</w:t>
            </w:r>
          </w:hyperlink>
        </w:p>
        <w:p>
          <w:pPr>
            <w:pStyle w:val="Contents3"/>
            <w:tabs>
              <w:tab w:val="clear" w:pos="8459"/>
              <w:tab w:val="right" w:pos="9026" w:leader="dot"/>
            </w:tabs>
            <w:rPr/>
          </w:pPr>
          <w:hyperlink w:anchor="__RefHeading___Toc733395_373438147">
            <w:r>
              <w:rPr>
                <w:webHidden/>
                <w:rStyle w:val="IndexLink"/>
                <w:rtl w:val="true"/>
              </w:rPr>
              <w:t>[</w:t>
            </w:r>
            <w:r>
              <w:rPr>
                <w:rStyle w:val="IndexLink"/>
                <w:rtl w:val="true"/>
              </w:rPr>
              <w:t>حكم تولّى الفقيه الجامع للشرائط أمراً من قبل والي الجور من السياسات و القضاء و نحوها لمصلحة</w:t>
            </w:r>
            <w:r>
              <w:rPr>
                <w:rStyle w:val="IndexLink"/>
                <w:rtl w:val="true"/>
              </w:rPr>
              <w:t>]</w:t>
              <w:tab/>
            </w:r>
            <w:r>
              <w:rPr>
                <w:rStyle w:val="IndexLink"/>
              </w:rPr>
              <w:t>133</w:t>
            </w:r>
          </w:hyperlink>
        </w:p>
        <w:p>
          <w:pPr>
            <w:pStyle w:val="Contents3"/>
            <w:tabs>
              <w:tab w:val="clear" w:pos="8459"/>
              <w:tab w:val="right" w:pos="9026" w:leader="dot"/>
            </w:tabs>
            <w:rPr/>
          </w:pPr>
          <w:hyperlink w:anchor="__RefHeading___Toc733397_373438147">
            <w:r>
              <w:rPr>
                <w:webHidden/>
                <w:rStyle w:val="IndexLink"/>
                <w:rtl w:val="true"/>
              </w:rPr>
              <w:t>[</w:t>
            </w:r>
            <w:r>
              <w:rPr>
                <w:rStyle w:val="IndexLink"/>
                <w:rtl w:val="true"/>
              </w:rPr>
              <w:t>لو رأى الفقيه أن تصدّيه من قبل الجائر موجب لإجراء الحدود الشرعيّة و السياسات الإلهيّة</w:t>
            </w:r>
            <w:r>
              <w:rPr>
                <w:rStyle w:val="IndexLink"/>
                <w:rtl w:val="true"/>
              </w:rPr>
              <w:t>]</w:t>
              <w:tab/>
            </w:r>
            <w:r>
              <w:rPr>
                <w:rStyle w:val="IndexLink"/>
              </w:rPr>
              <w:t>133</w:t>
            </w:r>
          </w:hyperlink>
        </w:p>
        <w:p>
          <w:pPr>
            <w:pStyle w:val="Contents3"/>
            <w:tabs>
              <w:tab w:val="clear" w:pos="8459"/>
              <w:tab w:val="right" w:pos="9026" w:leader="dot"/>
            </w:tabs>
            <w:rPr/>
          </w:pPr>
          <w:hyperlink w:anchor="__RefHeading___Toc733399_373438147">
            <w:r>
              <w:rPr>
                <w:webHidden/>
                <w:rStyle w:val="IndexLink"/>
                <w:rtl w:val="true"/>
              </w:rPr>
              <w:t>[</w:t>
            </w:r>
            <w:r>
              <w:rPr>
                <w:rStyle w:val="IndexLink"/>
                <w:rtl w:val="true"/>
              </w:rPr>
              <w:t>المتجزّي حاله حال العامّي في الأُمور المتقدّمة</w:t>
            </w:r>
            <w:r>
              <w:rPr>
                <w:rStyle w:val="IndexLink"/>
                <w:rtl w:val="true"/>
              </w:rPr>
              <w:t>]</w:t>
              <w:tab/>
            </w:r>
            <w:r>
              <w:rPr>
                <w:rStyle w:val="IndexLink"/>
              </w:rPr>
              <w:t>133</w:t>
            </w:r>
          </w:hyperlink>
        </w:p>
        <w:p>
          <w:pPr>
            <w:pStyle w:val="Contents3"/>
            <w:tabs>
              <w:tab w:val="clear" w:pos="8459"/>
              <w:tab w:val="right" w:pos="9026" w:leader="dot"/>
            </w:tabs>
            <w:rPr/>
          </w:pPr>
          <w:hyperlink w:anchor="__RefHeading___Toc733401_373438147">
            <w:r>
              <w:rPr>
                <w:webHidden/>
                <w:rStyle w:val="IndexLink"/>
                <w:rtl w:val="true"/>
              </w:rPr>
              <w:t>[</w:t>
            </w:r>
            <w:r>
              <w:rPr>
                <w:rStyle w:val="IndexLink"/>
                <w:rtl w:val="true"/>
              </w:rPr>
              <w:t>عدم جواز الرجوع في الخصومات إلى حكّام الجور و قضاته</w:t>
            </w:r>
            <w:r>
              <w:rPr>
                <w:rStyle w:val="IndexLink"/>
                <w:rtl w:val="true"/>
              </w:rPr>
              <w:t>]</w:t>
              <w:tab/>
            </w:r>
            <w:r>
              <w:rPr>
                <w:rStyle w:val="IndexLink"/>
              </w:rPr>
              <w:t>135</w:t>
            </w:r>
          </w:hyperlink>
        </w:p>
        <w:p>
          <w:pPr>
            <w:pStyle w:val="Contents2"/>
            <w:tabs>
              <w:tab w:val="clear" w:pos="8743"/>
              <w:tab w:val="right" w:pos="9026" w:leader="dot"/>
            </w:tabs>
            <w:rPr/>
          </w:pPr>
          <w:hyperlink w:anchor="__RefHeading___Toc733403_373438147">
            <w:r>
              <w:rPr>
                <w:webHidden/>
                <w:rStyle w:val="IndexLink"/>
                <w:rtl w:val="true"/>
              </w:rPr>
              <w:t>هل للمرأة الولاية على الحكومة و القضاء و الإفتاء؟</w:t>
            </w:r>
            <w:r>
              <w:rPr>
                <w:rStyle w:val="IndexLink"/>
                <w:rtl w:val="true"/>
              </w:rPr>
              <w:tab/>
            </w:r>
            <w:r>
              <w:rPr>
                <w:rStyle w:val="IndexLink"/>
              </w:rPr>
              <w:t>137</w:t>
            </w:r>
          </w:hyperlink>
        </w:p>
        <w:p>
          <w:pPr>
            <w:pStyle w:val="Contents3"/>
            <w:tabs>
              <w:tab w:val="clear" w:pos="8459"/>
              <w:tab w:val="right" w:pos="9026" w:leader="dot"/>
            </w:tabs>
            <w:rPr/>
          </w:pPr>
          <w:hyperlink w:anchor="__RefHeading___Toc733405_373438147">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733407_373438147">
            <w:r>
              <w:rPr>
                <w:webHidden/>
                <w:rStyle w:val="IndexLink"/>
                <w:rtl w:val="true"/>
              </w:rPr>
              <w:t>القول في منصب القضاء و الحكومة و الإفتاء للمرأة</w:t>
            </w:r>
            <w:r>
              <w:rPr>
                <w:rStyle w:val="IndexLink"/>
                <w:rtl w:val="true"/>
              </w:rPr>
              <w:tab/>
            </w:r>
            <w:r>
              <w:rPr>
                <w:rStyle w:val="IndexLink"/>
              </w:rPr>
              <w:t>138</w:t>
            </w:r>
          </w:hyperlink>
        </w:p>
        <w:p>
          <w:pPr>
            <w:pStyle w:val="Contents4"/>
            <w:tabs>
              <w:tab w:val="clear" w:pos="8176"/>
              <w:tab w:val="right" w:pos="9026" w:leader="dot"/>
            </w:tabs>
            <w:rPr/>
          </w:pPr>
          <w:hyperlink w:anchor="__RefHeading___Toc733409_37343814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33411_373438147">
            <w:r>
              <w:rPr>
                <w:webHidden/>
                <w:rStyle w:val="IndexLink"/>
                <w:rtl w:val="true"/>
              </w:rPr>
              <w:t>آراء الفقهاء</w:t>
            </w:r>
            <w:r>
              <w:rPr>
                <w:rStyle w:val="IndexLink"/>
                <w:rtl w:val="true"/>
              </w:rPr>
              <w:tab/>
            </w:r>
            <w:r>
              <w:rPr>
                <w:rStyle w:val="IndexLink"/>
              </w:rPr>
              <w:t>139</w:t>
            </w:r>
          </w:hyperlink>
        </w:p>
        <w:p>
          <w:pPr>
            <w:pStyle w:val="Contents4"/>
            <w:tabs>
              <w:tab w:val="clear" w:pos="8176"/>
              <w:tab w:val="right" w:pos="9026" w:leader="dot"/>
            </w:tabs>
            <w:rPr/>
          </w:pPr>
          <w:hyperlink w:anchor="__RefHeading___Toc733413_373438147">
            <w:r>
              <w:rPr>
                <w:webHidden/>
                <w:rStyle w:val="IndexLink"/>
                <w:rtl w:val="true"/>
              </w:rPr>
              <w:t>أدلّة عدم جواز القضاء و الحكومة للمرأة</w:t>
            </w:r>
            <w:r>
              <w:rPr>
                <w:rStyle w:val="IndexLink"/>
                <w:rtl w:val="true"/>
              </w:rPr>
              <w:tab/>
            </w:r>
            <w:r>
              <w:rPr>
                <w:rStyle w:val="IndexLink"/>
              </w:rPr>
              <w:t>141</w:t>
            </w:r>
          </w:hyperlink>
        </w:p>
        <w:p>
          <w:pPr>
            <w:pStyle w:val="Contents5"/>
            <w:tabs>
              <w:tab w:val="clear" w:pos="7892"/>
              <w:tab w:val="right" w:pos="9026" w:leader="dot"/>
            </w:tabs>
            <w:rPr/>
          </w:pPr>
          <w:hyperlink w:anchor="__RefHeading___Toc733415_37343814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733417_373438147">
            <w:r>
              <w:rPr>
                <w:webHidden/>
                <w:rStyle w:val="IndexLink"/>
                <w:rtl w:val="true"/>
              </w:rPr>
              <w:t>مقتضى الأصل</w:t>
            </w:r>
            <w:r>
              <w:rPr>
                <w:rStyle w:val="IndexLink"/>
                <w:rtl w:val="true"/>
              </w:rPr>
              <w:tab/>
            </w:r>
            <w:r>
              <w:rPr>
                <w:rStyle w:val="IndexLink"/>
              </w:rPr>
              <w:t>141</w:t>
            </w:r>
          </w:hyperlink>
        </w:p>
        <w:p>
          <w:pPr>
            <w:pStyle w:val="Contents5"/>
            <w:tabs>
              <w:tab w:val="clear" w:pos="7892"/>
              <w:tab w:val="right" w:pos="9026" w:leader="dot"/>
            </w:tabs>
            <w:rPr/>
          </w:pPr>
          <w:hyperlink w:anchor="__RefHeading___Toc733419_373438147">
            <w:r>
              <w:rPr>
                <w:webHidden/>
                <w:rStyle w:val="IndexLink"/>
                <w:rtl w:val="true"/>
              </w:rPr>
              <w:t>الاستدلال بالكتاب</w:t>
            </w:r>
            <w:r>
              <w:rPr>
                <w:rStyle w:val="IndexLink"/>
                <w:rtl w:val="true"/>
              </w:rPr>
              <w:tab/>
            </w:r>
            <w:r>
              <w:rPr>
                <w:rStyle w:val="IndexLink"/>
              </w:rPr>
              <w:t>144</w:t>
            </w:r>
          </w:hyperlink>
        </w:p>
        <w:p>
          <w:pPr>
            <w:pStyle w:val="Contents5"/>
            <w:tabs>
              <w:tab w:val="clear" w:pos="7892"/>
              <w:tab w:val="right" w:pos="9026" w:leader="dot"/>
            </w:tabs>
            <w:rPr/>
          </w:pPr>
          <w:hyperlink w:anchor="__RefHeading___Toc733421_373438147">
            <w:r>
              <w:rPr>
                <w:webHidden/>
                <w:rStyle w:val="IndexLink"/>
                <w:rtl w:val="true"/>
              </w:rPr>
              <w:t>الاستدلال بالسنّة</w:t>
            </w:r>
            <w:r>
              <w:rPr>
                <w:rStyle w:val="IndexLink"/>
                <w:rtl w:val="true"/>
              </w:rPr>
              <w:tab/>
            </w:r>
            <w:r>
              <w:rPr>
                <w:rStyle w:val="IndexLink"/>
              </w:rPr>
              <w:t>155</w:t>
            </w:r>
          </w:hyperlink>
        </w:p>
        <w:p>
          <w:pPr>
            <w:pStyle w:val="Contents5"/>
            <w:tabs>
              <w:tab w:val="clear" w:pos="7892"/>
              <w:tab w:val="right" w:pos="9026" w:leader="dot"/>
            </w:tabs>
            <w:rPr/>
          </w:pPr>
          <w:hyperlink w:anchor="__RefHeading___Toc733423_373438147">
            <w:r>
              <w:rPr>
                <w:webHidden/>
                <w:rStyle w:val="IndexLink"/>
                <w:rtl w:val="true"/>
              </w:rPr>
              <w:t>الاستدلال بالسيرة</w:t>
            </w:r>
            <w:r>
              <w:rPr>
                <w:rStyle w:val="IndexLink"/>
                <w:rtl w:val="true"/>
              </w:rPr>
              <w:tab/>
            </w:r>
            <w:r>
              <w:rPr>
                <w:rStyle w:val="IndexLink"/>
              </w:rPr>
              <w:t>166</w:t>
            </w:r>
          </w:hyperlink>
        </w:p>
        <w:p>
          <w:pPr>
            <w:pStyle w:val="Contents4"/>
            <w:tabs>
              <w:tab w:val="clear" w:pos="8176"/>
              <w:tab w:val="right" w:pos="9026" w:leader="dot"/>
            </w:tabs>
            <w:rPr/>
          </w:pPr>
          <w:hyperlink w:anchor="__RefHeading___Toc733425_373438147">
            <w:r>
              <w:rPr>
                <w:webHidden/>
                <w:rStyle w:val="IndexLink"/>
                <w:rtl w:val="true"/>
              </w:rPr>
              <w:t>أدلّة جواز القضاء و الحكومة للمرأة</w:t>
            </w:r>
            <w:r>
              <w:rPr>
                <w:rStyle w:val="IndexLink"/>
                <w:rtl w:val="true"/>
              </w:rPr>
              <w:tab/>
            </w:r>
            <w:r>
              <w:rPr>
                <w:rStyle w:val="IndexLink"/>
              </w:rPr>
              <w:t>167</w:t>
            </w:r>
          </w:hyperlink>
        </w:p>
        <w:p>
          <w:pPr>
            <w:pStyle w:val="Contents5"/>
            <w:tabs>
              <w:tab w:val="clear" w:pos="7892"/>
              <w:tab w:val="right" w:pos="9026" w:leader="dot"/>
            </w:tabs>
            <w:rPr/>
          </w:pPr>
          <w:hyperlink w:anchor="__RefHeading___Toc733427_37343814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33429_373438147">
            <w:r>
              <w:rPr>
                <w:webHidden/>
                <w:rStyle w:val="IndexLink"/>
                <w:rtl w:val="true"/>
              </w:rPr>
              <w:t>الاستدلال بالعقل</w:t>
            </w:r>
            <w:r>
              <w:rPr>
                <w:rStyle w:val="IndexLink"/>
                <w:rtl w:val="true"/>
              </w:rPr>
              <w:tab/>
            </w:r>
            <w:r>
              <w:rPr>
                <w:rStyle w:val="IndexLink"/>
              </w:rPr>
              <w:t>167</w:t>
            </w:r>
          </w:hyperlink>
        </w:p>
        <w:p>
          <w:pPr>
            <w:pStyle w:val="Contents5"/>
            <w:tabs>
              <w:tab w:val="clear" w:pos="7892"/>
              <w:tab w:val="right" w:pos="9026" w:leader="dot"/>
            </w:tabs>
            <w:rPr/>
          </w:pPr>
          <w:hyperlink w:anchor="__RefHeading___Toc733431_373438147">
            <w:r>
              <w:rPr>
                <w:webHidden/>
                <w:rStyle w:val="IndexLink"/>
                <w:rtl w:val="true"/>
              </w:rPr>
              <w:t>الاستدلال بقاعدة الاشتراك</w:t>
            </w:r>
            <w:r>
              <w:rPr>
                <w:rStyle w:val="IndexLink"/>
                <w:rtl w:val="true"/>
              </w:rPr>
              <w:tab/>
            </w:r>
            <w:r>
              <w:rPr>
                <w:rStyle w:val="IndexLink"/>
              </w:rPr>
              <w:t>168</w:t>
            </w:r>
          </w:hyperlink>
        </w:p>
        <w:p>
          <w:pPr>
            <w:pStyle w:val="Contents5"/>
            <w:tabs>
              <w:tab w:val="clear" w:pos="7892"/>
              <w:tab w:val="right" w:pos="9026" w:leader="dot"/>
            </w:tabs>
            <w:rPr/>
          </w:pPr>
          <w:hyperlink w:anchor="__RefHeading___Toc733433_373438147">
            <w:r>
              <w:rPr>
                <w:webHidden/>
                <w:rStyle w:val="IndexLink"/>
                <w:rtl w:val="true"/>
              </w:rPr>
              <w:t>الاستدلال بالآيات</w:t>
            </w:r>
            <w:r>
              <w:rPr>
                <w:rStyle w:val="IndexLink"/>
                <w:rtl w:val="true"/>
              </w:rPr>
              <w:tab/>
            </w:r>
            <w:r>
              <w:rPr>
                <w:rStyle w:val="IndexLink"/>
              </w:rPr>
              <w:t>170</w:t>
            </w:r>
          </w:hyperlink>
        </w:p>
        <w:p>
          <w:pPr>
            <w:pStyle w:val="Contents5"/>
            <w:tabs>
              <w:tab w:val="clear" w:pos="7892"/>
              <w:tab w:val="right" w:pos="9026" w:leader="dot"/>
            </w:tabs>
            <w:rPr/>
          </w:pPr>
          <w:hyperlink w:anchor="__RefHeading___Toc733435_373438147">
            <w:r>
              <w:rPr>
                <w:webHidden/>
                <w:rStyle w:val="IndexLink"/>
                <w:rtl w:val="true"/>
              </w:rPr>
              <w:t>الاستدلال بالسنة</w:t>
            </w:r>
            <w:r>
              <w:rPr>
                <w:rStyle w:val="IndexLink"/>
                <w:rtl w:val="true"/>
              </w:rPr>
              <w:tab/>
            </w:r>
            <w:r>
              <w:rPr>
                <w:rStyle w:val="IndexLink"/>
              </w:rPr>
              <w:t>173</w:t>
            </w:r>
          </w:hyperlink>
        </w:p>
        <w:p>
          <w:pPr>
            <w:pStyle w:val="Contents5"/>
            <w:tabs>
              <w:tab w:val="clear" w:pos="7892"/>
              <w:tab w:val="right" w:pos="9026" w:leader="dot"/>
            </w:tabs>
            <w:rPr/>
          </w:pPr>
          <w:hyperlink w:anchor="__RefHeading___Toc733437_373438147">
            <w:r>
              <w:rPr>
                <w:webHidden/>
                <w:rStyle w:val="IndexLink"/>
                <w:rtl w:val="true"/>
              </w:rPr>
              <w:t>اشتراط الرجولية في جواز التقليد</w:t>
            </w:r>
            <w:r>
              <w:rPr>
                <w:rStyle w:val="IndexLink"/>
                <w:rtl w:val="true"/>
              </w:rPr>
              <w:tab/>
            </w:r>
            <w:r>
              <w:rPr>
                <w:rStyle w:val="IndexLink"/>
              </w:rPr>
              <w:t>177</w:t>
            </w:r>
          </w:hyperlink>
        </w:p>
        <w:p>
          <w:pPr>
            <w:pStyle w:val="Contents2"/>
            <w:tabs>
              <w:tab w:val="clear" w:pos="8743"/>
              <w:tab w:val="right" w:pos="9026" w:leader="dot"/>
            </w:tabs>
            <w:rPr/>
          </w:pPr>
          <w:hyperlink w:anchor="__RefHeading___Toc733439_373438147">
            <w:r>
              <w:rPr>
                <w:webHidden/>
                <w:rStyle w:val="IndexLink"/>
                <w:rtl w:val="true"/>
              </w:rPr>
              <w:t>ثبوت الهلال بحكم الحاكم</w:t>
            </w:r>
            <w:r>
              <w:rPr>
                <w:rStyle w:val="IndexLink"/>
                <w:rtl w:val="true"/>
              </w:rPr>
              <w:tab/>
            </w:r>
            <w:r>
              <w:rPr>
                <w:rStyle w:val="IndexLink"/>
              </w:rPr>
              <w:t>185</w:t>
            </w:r>
          </w:hyperlink>
        </w:p>
        <w:p>
          <w:pPr>
            <w:pStyle w:val="Contents3"/>
            <w:tabs>
              <w:tab w:val="clear" w:pos="8459"/>
              <w:tab w:val="right" w:pos="9026" w:leader="dot"/>
            </w:tabs>
            <w:rPr/>
          </w:pPr>
          <w:hyperlink w:anchor="__RefHeading___Toc733441_37343814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733443_373438147">
            <w:r>
              <w:rPr>
                <w:webHidden/>
                <w:rStyle w:val="IndexLink"/>
                <w:rtl w:val="true"/>
              </w:rPr>
              <w:t>القول في ثبوت الهلال بحكم الحاكم</w:t>
            </w:r>
            <w:r>
              <w:rPr>
                <w:rStyle w:val="IndexLink"/>
                <w:rtl w:val="true"/>
              </w:rPr>
              <w:tab/>
            </w:r>
            <w:r>
              <w:rPr>
                <w:rStyle w:val="IndexLink"/>
              </w:rPr>
              <w:t>186</w:t>
            </w:r>
          </w:hyperlink>
        </w:p>
        <w:p>
          <w:pPr>
            <w:pStyle w:val="Contents3"/>
            <w:tabs>
              <w:tab w:val="clear" w:pos="8459"/>
              <w:tab w:val="right" w:pos="9026" w:leader="dot"/>
            </w:tabs>
            <w:rPr/>
          </w:pPr>
          <w:hyperlink w:anchor="__RefHeading___Toc733445_373438147">
            <w:r>
              <w:rPr>
                <w:webHidden/>
                <w:rStyle w:val="IndexLink"/>
                <w:rtl w:val="true"/>
              </w:rPr>
              <w:t>جواز حكم الحاكم بعلمه</w:t>
            </w:r>
            <w:r>
              <w:rPr>
                <w:rStyle w:val="IndexLink"/>
                <w:rtl w:val="true"/>
              </w:rPr>
              <w:tab/>
            </w:r>
            <w:r>
              <w:rPr>
                <w:rStyle w:val="IndexLink"/>
              </w:rPr>
              <w:t>202</w:t>
            </w:r>
          </w:hyperlink>
        </w:p>
        <w:p>
          <w:pPr>
            <w:pStyle w:val="Contents3"/>
            <w:tabs>
              <w:tab w:val="clear" w:pos="8459"/>
              <w:tab w:val="right" w:pos="9026" w:leader="dot"/>
            </w:tabs>
            <w:rPr/>
          </w:pPr>
          <w:hyperlink w:anchor="__RefHeading___Toc733447_373438147">
            <w:r>
              <w:rPr>
                <w:webHidden/>
                <w:rStyle w:val="IndexLink"/>
                <w:rtl w:val="true"/>
              </w:rPr>
              <w:t>نفوذ حكم الحاكم بالنسبة إلى غير مقلّديه، حتى الحاكم الآخر</w:t>
            </w:r>
            <w:r>
              <w:rPr>
                <w:rStyle w:val="IndexLink"/>
                <w:rtl w:val="true"/>
              </w:rPr>
              <w:tab/>
            </w:r>
            <w:r>
              <w:rPr>
                <w:rStyle w:val="IndexLink"/>
              </w:rPr>
              <w:t>210</w:t>
            </w:r>
          </w:hyperlink>
        </w:p>
        <w:p>
          <w:pPr>
            <w:pStyle w:val="Contents2"/>
            <w:tabs>
              <w:tab w:val="clear" w:pos="8743"/>
              <w:tab w:val="right" w:pos="9026" w:leader="dot"/>
            </w:tabs>
            <w:rPr/>
          </w:pPr>
          <w:hyperlink w:anchor="__RefHeading___Toc733449_373438147">
            <w:r>
              <w:rPr>
                <w:webHidden/>
                <w:rStyle w:val="IndexLink"/>
                <w:rtl w:val="true"/>
              </w:rPr>
              <w:t>أولياء الصغار</w:t>
            </w:r>
            <w:r>
              <w:rPr>
                <w:rStyle w:val="IndexLink"/>
                <w:rtl w:val="true"/>
              </w:rPr>
              <w:tab/>
            </w:r>
            <w:r>
              <w:rPr>
                <w:rStyle w:val="IndexLink"/>
              </w:rPr>
              <w:t>212</w:t>
            </w:r>
          </w:hyperlink>
        </w:p>
        <w:p>
          <w:pPr>
            <w:pStyle w:val="Contents3"/>
            <w:tabs>
              <w:tab w:val="clear" w:pos="8459"/>
              <w:tab w:val="right" w:pos="9026" w:leader="dot"/>
            </w:tabs>
            <w:rPr/>
          </w:pPr>
          <w:hyperlink w:anchor="__RefHeading___Toc733451_37343814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733453_373438147">
            <w:r>
              <w:rPr>
                <w:webHidden/>
                <w:rStyle w:val="IndexLink"/>
                <w:rtl w:val="true"/>
              </w:rPr>
              <w:t>ولاية الأب و الجدّ</w:t>
            </w:r>
            <w:r>
              <w:rPr>
                <w:rStyle w:val="IndexLink"/>
                <w:rtl w:val="true"/>
              </w:rPr>
              <w:tab/>
            </w:r>
            <w:r>
              <w:rPr>
                <w:rStyle w:val="IndexLink"/>
              </w:rPr>
              <w:t>213</w:t>
            </w:r>
          </w:hyperlink>
        </w:p>
        <w:p>
          <w:pPr>
            <w:pStyle w:val="Contents3"/>
            <w:tabs>
              <w:tab w:val="clear" w:pos="8459"/>
              <w:tab w:val="right" w:pos="9026" w:leader="dot"/>
            </w:tabs>
            <w:rPr/>
          </w:pPr>
          <w:hyperlink w:anchor="__RefHeading___Toc733455_373438147">
            <w:r>
              <w:rPr>
                <w:webHidden/>
                <w:rStyle w:val="IndexLink"/>
                <w:rtl w:val="true"/>
              </w:rPr>
              <w:t>ولاية الوصي و القيّم</w:t>
            </w:r>
            <w:r>
              <w:rPr>
                <w:rStyle w:val="IndexLink"/>
                <w:rtl w:val="true"/>
              </w:rPr>
              <w:tab/>
            </w:r>
            <w:r>
              <w:rPr>
                <w:rStyle w:val="IndexLink"/>
              </w:rPr>
              <w:t>217</w:t>
            </w:r>
          </w:hyperlink>
        </w:p>
        <w:p>
          <w:pPr>
            <w:pStyle w:val="Contents3"/>
            <w:tabs>
              <w:tab w:val="clear" w:pos="8459"/>
              <w:tab w:val="right" w:pos="9026" w:leader="dot"/>
            </w:tabs>
            <w:rPr/>
          </w:pPr>
          <w:hyperlink w:anchor="__RefHeading___Toc733457_373438147">
            <w:r>
              <w:rPr>
                <w:webHidden/>
                <w:rStyle w:val="IndexLink"/>
                <w:rtl w:val="true"/>
              </w:rPr>
              <w:t>ولاية الحاكم الشرعي</w:t>
            </w:r>
            <w:r>
              <w:rPr>
                <w:rStyle w:val="IndexLink"/>
                <w:rtl w:val="true"/>
              </w:rPr>
              <w:tab/>
            </w:r>
            <w:r>
              <w:rPr>
                <w:rStyle w:val="IndexLink"/>
              </w:rPr>
              <w:t>222</w:t>
            </w:r>
          </w:hyperlink>
        </w:p>
        <w:p>
          <w:pPr>
            <w:pStyle w:val="Contents3"/>
            <w:tabs>
              <w:tab w:val="clear" w:pos="8459"/>
              <w:tab w:val="right" w:pos="9026" w:leader="dot"/>
            </w:tabs>
            <w:rPr/>
          </w:pPr>
          <w:hyperlink w:anchor="__RefHeading___Toc733459_373438147">
            <w:r>
              <w:rPr>
                <w:webHidden/>
                <w:rStyle w:val="IndexLink"/>
                <w:rtl w:val="true"/>
              </w:rPr>
              <w:t>عدم الولاية للاُمّ و الجدّ للاُمّ و الأخ و العمّ و الخال</w:t>
            </w:r>
            <w:r>
              <w:rPr>
                <w:rStyle w:val="IndexLink"/>
                <w:rtl w:val="true"/>
              </w:rPr>
              <w:tab/>
            </w:r>
            <w:r>
              <w:rPr>
                <w:rStyle w:val="IndexLink"/>
              </w:rPr>
              <w:t>226</w:t>
            </w:r>
          </w:hyperlink>
        </w:p>
        <w:p>
          <w:pPr>
            <w:pStyle w:val="Contents3"/>
            <w:tabs>
              <w:tab w:val="clear" w:pos="8459"/>
              <w:tab w:val="right" w:pos="9026" w:leader="dot"/>
            </w:tabs>
            <w:rPr/>
          </w:pPr>
          <w:hyperlink w:anchor="__RefHeading___Toc733461_373438147">
            <w:r>
              <w:rPr>
                <w:webHidden/>
                <w:rStyle w:val="IndexLink"/>
                <w:rtl w:val="true"/>
              </w:rPr>
              <w:t>ولاية عدول المؤمنين</w:t>
            </w:r>
            <w:r>
              <w:rPr>
                <w:rStyle w:val="IndexLink"/>
                <w:rtl w:val="true"/>
              </w:rPr>
              <w:tab/>
            </w:r>
            <w:r>
              <w:rPr>
                <w:rStyle w:val="IndexLink"/>
              </w:rPr>
              <w:t>230</w:t>
            </w:r>
          </w:hyperlink>
        </w:p>
        <w:p>
          <w:pPr>
            <w:pStyle w:val="Contents2"/>
            <w:tabs>
              <w:tab w:val="clear" w:pos="8743"/>
              <w:tab w:val="right" w:pos="9026" w:leader="dot"/>
            </w:tabs>
            <w:rPr/>
          </w:pPr>
          <w:hyperlink w:anchor="__RefHeading___Toc733463_373438147">
            <w:r>
              <w:rPr>
                <w:webHidden/>
                <w:rStyle w:val="IndexLink"/>
                <w:rtl w:val="true"/>
              </w:rPr>
              <w:t>الرشوة إلى الولاة و العمّال و القضاة</w:t>
            </w:r>
            <w:r>
              <w:rPr>
                <w:rStyle w:val="IndexLink"/>
                <w:rtl w:val="true"/>
              </w:rPr>
              <w:tab/>
            </w:r>
            <w:r>
              <w:rPr>
                <w:rStyle w:val="IndexLink"/>
              </w:rPr>
              <w:t>236</w:t>
            </w:r>
          </w:hyperlink>
        </w:p>
        <w:p>
          <w:pPr>
            <w:pStyle w:val="Contents3"/>
            <w:tabs>
              <w:tab w:val="clear" w:pos="8459"/>
              <w:tab w:val="right" w:pos="9026" w:leader="dot"/>
            </w:tabs>
            <w:rPr/>
          </w:pPr>
          <w:hyperlink w:anchor="__RefHeading___Toc733465_37343814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733467_373438147">
            <w:r>
              <w:rPr>
                <w:webHidden/>
                <w:rStyle w:val="IndexLink"/>
                <w:rtl w:val="true"/>
              </w:rPr>
              <w:t>[</w:t>
            </w:r>
            <w:r>
              <w:rPr>
                <w:rStyle w:val="IndexLink"/>
                <w:rtl w:val="true"/>
              </w:rPr>
              <w:t>حكم أخذ الرشوة و إعطاؤها</w:t>
            </w:r>
            <w:r>
              <w:rPr>
                <w:rStyle w:val="IndexLink"/>
                <w:rtl w:val="true"/>
              </w:rPr>
              <w:t>]</w:t>
              <w:tab/>
            </w:r>
            <w:r>
              <w:rPr>
                <w:rStyle w:val="IndexLink"/>
              </w:rPr>
              <w:t>237</w:t>
            </w:r>
          </w:hyperlink>
        </w:p>
        <w:p>
          <w:pPr>
            <w:pStyle w:val="Contents3"/>
            <w:tabs>
              <w:tab w:val="clear" w:pos="8459"/>
              <w:tab w:val="right" w:pos="9026" w:leader="dot"/>
            </w:tabs>
            <w:rPr/>
          </w:pPr>
          <w:hyperlink w:anchor="__RefHeading___Toc733469_373438147">
            <w:r>
              <w:rPr>
                <w:webHidden/>
                <w:rStyle w:val="IndexLink"/>
                <w:rtl w:val="true"/>
              </w:rPr>
              <w:t>ماهية الرشوة و تعريفها</w:t>
            </w:r>
            <w:r>
              <w:rPr>
                <w:rStyle w:val="IndexLink"/>
                <w:rtl w:val="true"/>
              </w:rPr>
              <w:tab/>
            </w:r>
            <w:r>
              <w:rPr>
                <w:rStyle w:val="IndexLink"/>
              </w:rPr>
              <w:t>238</w:t>
            </w:r>
          </w:hyperlink>
        </w:p>
        <w:p>
          <w:pPr>
            <w:pStyle w:val="Contents3"/>
            <w:tabs>
              <w:tab w:val="clear" w:pos="8459"/>
              <w:tab w:val="right" w:pos="9026" w:leader="dot"/>
            </w:tabs>
            <w:rPr/>
          </w:pPr>
          <w:hyperlink w:anchor="__RefHeading___Toc733471_373438147">
            <w:r>
              <w:rPr>
                <w:webHidden/>
                <w:rStyle w:val="IndexLink"/>
                <w:rtl w:val="true"/>
              </w:rPr>
              <w:t>كلمات أهل اللغة</w:t>
            </w:r>
            <w:r>
              <w:rPr>
                <w:rStyle w:val="IndexLink"/>
                <w:rtl w:val="true"/>
              </w:rPr>
              <w:tab/>
            </w:r>
            <w:r>
              <w:rPr>
                <w:rStyle w:val="IndexLink"/>
              </w:rPr>
              <w:t>239</w:t>
            </w:r>
          </w:hyperlink>
        </w:p>
        <w:p>
          <w:pPr>
            <w:pStyle w:val="Contents3"/>
            <w:tabs>
              <w:tab w:val="clear" w:pos="8459"/>
              <w:tab w:val="right" w:pos="9026" w:leader="dot"/>
            </w:tabs>
            <w:rPr/>
          </w:pPr>
          <w:hyperlink w:anchor="__RefHeading___Toc733473_373438147">
            <w:r>
              <w:rPr>
                <w:webHidden/>
                <w:rStyle w:val="IndexLink"/>
                <w:rtl w:val="true"/>
              </w:rPr>
              <w:t>كلمات الفقهاء</w:t>
            </w:r>
            <w:r>
              <w:rPr>
                <w:rStyle w:val="IndexLink"/>
                <w:rtl w:val="true"/>
              </w:rPr>
              <w:tab/>
            </w:r>
            <w:r>
              <w:rPr>
                <w:rStyle w:val="IndexLink"/>
              </w:rPr>
              <w:t>240</w:t>
            </w:r>
          </w:hyperlink>
        </w:p>
        <w:p>
          <w:pPr>
            <w:pStyle w:val="Contents3"/>
            <w:tabs>
              <w:tab w:val="clear" w:pos="8459"/>
              <w:tab w:val="right" w:pos="9026" w:leader="dot"/>
            </w:tabs>
            <w:rPr/>
          </w:pPr>
          <w:hyperlink w:anchor="__RefHeading___Toc733475_373438147">
            <w:r>
              <w:rPr>
                <w:webHidden/>
                <w:rStyle w:val="IndexLink"/>
                <w:rtl w:val="true"/>
              </w:rPr>
              <w:t>موارد استعمال الرشوة في النصوص</w:t>
            </w:r>
            <w:r>
              <w:rPr>
                <w:rStyle w:val="IndexLink"/>
                <w:rtl w:val="true"/>
              </w:rPr>
              <w:tab/>
            </w:r>
            <w:r>
              <w:rPr>
                <w:rStyle w:val="IndexLink"/>
              </w:rPr>
              <w:t>247</w:t>
            </w:r>
          </w:hyperlink>
        </w:p>
        <w:p>
          <w:pPr>
            <w:pStyle w:val="Contents3"/>
            <w:tabs>
              <w:tab w:val="clear" w:pos="8459"/>
              <w:tab w:val="right" w:pos="9026" w:leader="dot"/>
            </w:tabs>
            <w:rPr/>
          </w:pPr>
          <w:hyperlink w:anchor="__RefHeading___Toc733477_373438147">
            <w:r>
              <w:rPr>
                <w:webHidden/>
                <w:rStyle w:val="IndexLink"/>
                <w:rtl w:val="true"/>
              </w:rPr>
              <w:t>مقتضى التحقيق</w:t>
            </w:r>
            <w:r>
              <w:rPr>
                <w:rStyle w:val="IndexLink"/>
                <w:rtl w:val="true"/>
              </w:rPr>
              <w:tab/>
            </w:r>
            <w:r>
              <w:rPr>
                <w:rStyle w:val="IndexLink"/>
              </w:rPr>
              <w:t>252</w:t>
            </w:r>
          </w:hyperlink>
        </w:p>
        <w:p>
          <w:pPr>
            <w:pStyle w:val="Contents3"/>
            <w:tabs>
              <w:tab w:val="clear" w:pos="8459"/>
              <w:tab w:val="right" w:pos="9026" w:leader="dot"/>
            </w:tabs>
            <w:rPr/>
          </w:pPr>
          <w:hyperlink w:anchor="__RefHeading___Toc733479_373438147">
            <w:r>
              <w:rPr>
                <w:webHidden/>
                <w:rStyle w:val="IndexLink"/>
                <w:rtl w:val="true"/>
              </w:rPr>
              <w:t>الفرق بين الرشوة و الهدية و الجُعل</w:t>
            </w:r>
            <w:r>
              <w:rPr>
                <w:rStyle w:val="IndexLink"/>
                <w:rtl w:val="true"/>
              </w:rPr>
              <w:tab/>
            </w:r>
            <w:r>
              <w:rPr>
                <w:rStyle w:val="IndexLink"/>
              </w:rPr>
              <w:t>254</w:t>
            </w:r>
          </w:hyperlink>
        </w:p>
        <w:p>
          <w:pPr>
            <w:pStyle w:val="Contents3"/>
            <w:tabs>
              <w:tab w:val="clear" w:pos="8459"/>
              <w:tab w:val="right" w:pos="9026" w:leader="dot"/>
            </w:tabs>
            <w:rPr/>
          </w:pPr>
          <w:hyperlink w:anchor="__RefHeading___Toc733481_373438147">
            <w:r>
              <w:rPr>
                <w:webHidden/>
                <w:rStyle w:val="IndexLink"/>
                <w:rtl w:val="true"/>
              </w:rPr>
              <w:t>حكم الرشوة</w:t>
            </w:r>
            <w:r>
              <w:rPr>
                <w:rStyle w:val="IndexLink"/>
                <w:rtl w:val="true"/>
              </w:rPr>
              <w:tab/>
            </w:r>
            <w:r>
              <w:rPr>
                <w:rStyle w:val="IndexLink"/>
              </w:rPr>
              <w:t>257</w:t>
            </w:r>
          </w:hyperlink>
        </w:p>
        <w:p>
          <w:pPr>
            <w:pStyle w:val="Contents3"/>
            <w:tabs>
              <w:tab w:val="clear" w:pos="8459"/>
              <w:tab w:val="right" w:pos="9026" w:leader="dot"/>
            </w:tabs>
            <w:rPr/>
          </w:pPr>
          <w:hyperlink w:anchor="__RefHeading___Toc733483_373438147">
            <w:r>
              <w:rPr>
                <w:webHidden/>
                <w:rStyle w:val="IndexLink"/>
                <w:rtl w:val="true"/>
              </w:rPr>
              <w:t>الرشوة في غير الحكم</w:t>
            </w:r>
            <w:r>
              <w:rPr>
                <w:rStyle w:val="IndexLink"/>
                <w:rtl w:val="true"/>
              </w:rPr>
              <w:tab/>
            </w:r>
            <w:r>
              <w:rPr>
                <w:rStyle w:val="IndexLink"/>
              </w:rPr>
              <w:t>260</w:t>
            </w:r>
          </w:hyperlink>
        </w:p>
        <w:p>
          <w:pPr>
            <w:pStyle w:val="Contents3"/>
            <w:tabs>
              <w:tab w:val="clear" w:pos="8459"/>
              <w:tab w:val="right" w:pos="9026" w:leader="dot"/>
            </w:tabs>
            <w:rPr/>
          </w:pPr>
          <w:hyperlink w:anchor="__RefHeading___Toc733485_373438147">
            <w:r>
              <w:rPr>
                <w:webHidden/>
                <w:rStyle w:val="IndexLink"/>
                <w:rtl w:val="true"/>
              </w:rPr>
              <w:t>مقتضى التحقيق في المقام</w:t>
            </w:r>
            <w:r>
              <w:rPr>
                <w:rStyle w:val="IndexLink"/>
                <w:rtl w:val="true"/>
              </w:rPr>
              <w:tab/>
            </w:r>
            <w:r>
              <w:rPr>
                <w:rStyle w:val="IndexLink"/>
              </w:rPr>
              <w:t>263</w:t>
            </w:r>
          </w:hyperlink>
        </w:p>
        <w:p>
          <w:pPr>
            <w:pStyle w:val="Contents3"/>
            <w:tabs>
              <w:tab w:val="clear" w:pos="8459"/>
              <w:tab w:val="right" w:pos="9026" w:leader="dot"/>
            </w:tabs>
            <w:rPr/>
          </w:pPr>
          <w:hyperlink w:anchor="__RefHeading___Toc733487_373438147">
            <w:r>
              <w:rPr>
                <w:webHidden/>
                <w:rStyle w:val="IndexLink"/>
                <w:rtl w:val="true"/>
              </w:rPr>
              <w:t>الرشوة على الحكم</w:t>
            </w:r>
            <w:r>
              <w:rPr>
                <w:rStyle w:val="IndexLink"/>
                <w:rtl w:val="true"/>
              </w:rPr>
              <w:tab/>
            </w:r>
            <w:r>
              <w:rPr>
                <w:rStyle w:val="IndexLink"/>
              </w:rPr>
              <w:t>272</w:t>
            </w:r>
          </w:hyperlink>
        </w:p>
        <w:p>
          <w:pPr>
            <w:pStyle w:val="Contents4"/>
            <w:tabs>
              <w:tab w:val="clear" w:pos="8176"/>
              <w:tab w:val="right" w:pos="9026" w:leader="dot"/>
            </w:tabs>
            <w:rPr/>
          </w:pPr>
          <w:hyperlink w:anchor="__RefHeading___Toc733489_37343814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733491_373438147">
            <w:r>
              <w:rPr>
                <w:webHidden/>
                <w:rStyle w:val="IndexLink"/>
                <w:rtl w:val="true"/>
              </w:rPr>
              <w:t>هل تختص الحرمة بالرشوة على حكم الحاكم الشرعي؟</w:t>
            </w:r>
            <w:r>
              <w:rPr>
                <w:rStyle w:val="IndexLink"/>
                <w:rtl w:val="true"/>
              </w:rPr>
              <w:tab/>
            </w:r>
            <w:r>
              <w:rPr>
                <w:rStyle w:val="IndexLink"/>
              </w:rPr>
              <w:t>272</w:t>
            </w:r>
          </w:hyperlink>
        </w:p>
        <w:p>
          <w:pPr>
            <w:pStyle w:val="Contents4"/>
            <w:tabs>
              <w:tab w:val="clear" w:pos="8176"/>
              <w:tab w:val="right" w:pos="9026" w:leader="dot"/>
            </w:tabs>
            <w:rPr/>
          </w:pPr>
          <w:hyperlink w:anchor="__RefHeading___Toc733493_373438147">
            <w:r>
              <w:rPr>
                <w:webHidden/>
                <w:rStyle w:val="IndexLink"/>
                <w:rtl w:val="true"/>
              </w:rPr>
              <w:t>هل المبذول قبل الخصومة رشوة محرّمة؟</w:t>
            </w:r>
            <w:r>
              <w:rPr>
                <w:rStyle w:val="IndexLink"/>
                <w:rtl w:val="true"/>
              </w:rPr>
              <w:tab/>
            </w:r>
            <w:r>
              <w:rPr>
                <w:rStyle w:val="IndexLink"/>
              </w:rPr>
              <w:t>273</w:t>
            </w:r>
          </w:hyperlink>
        </w:p>
        <w:p>
          <w:pPr>
            <w:pStyle w:val="Contents4"/>
            <w:tabs>
              <w:tab w:val="clear" w:pos="8176"/>
              <w:tab w:val="right" w:pos="9026" w:leader="dot"/>
            </w:tabs>
            <w:rPr/>
          </w:pPr>
          <w:hyperlink w:anchor="__RefHeading___Toc733495_373438147">
            <w:r>
              <w:rPr>
                <w:webHidden/>
                <w:rStyle w:val="IndexLink"/>
                <w:rtl w:val="true"/>
              </w:rPr>
              <w:t>هل تحرم الرشوة إذا لم يكن لها تأثير في الحكم؟</w:t>
            </w:r>
            <w:r>
              <w:rPr>
                <w:rStyle w:val="IndexLink"/>
                <w:rtl w:val="true"/>
              </w:rPr>
              <w:tab/>
            </w:r>
            <w:r>
              <w:rPr>
                <w:rStyle w:val="IndexLink"/>
              </w:rPr>
              <w:t>274</w:t>
            </w:r>
          </w:hyperlink>
        </w:p>
        <w:p>
          <w:pPr>
            <w:pStyle w:val="Contents4"/>
            <w:tabs>
              <w:tab w:val="clear" w:pos="8176"/>
              <w:tab w:val="right" w:pos="9026" w:leader="dot"/>
            </w:tabs>
            <w:rPr/>
          </w:pPr>
          <w:hyperlink w:anchor="__RefHeading___Toc733497_373438147">
            <w:r>
              <w:rPr>
                <w:webHidden/>
                <w:rStyle w:val="IndexLink"/>
                <w:rtl w:val="true"/>
              </w:rPr>
              <w:t>حكم الرشوة إذا توقف استنقاذ الحق عليها</w:t>
            </w:r>
            <w:r>
              <w:rPr>
                <w:rStyle w:val="IndexLink"/>
                <w:rtl w:val="true"/>
              </w:rPr>
              <w:tab/>
            </w:r>
            <w:r>
              <w:rPr>
                <w:rStyle w:val="IndexLink"/>
              </w:rPr>
              <w:t>275</w:t>
            </w:r>
          </w:hyperlink>
        </w:p>
        <w:p>
          <w:pPr>
            <w:pStyle w:val="Contents4"/>
            <w:tabs>
              <w:tab w:val="clear" w:pos="8176"/>
              <w:tab w:val="right" w:pos="9026" w:leader="dot"/>
            </w:tabs>
            <w:rPr/>
          </w:pPr>
          <w:hyperlink w:anchor="__RefHeading___Toc733499_373438147">
            <w:r>
              <w:rPr>
                <w:webHidden/>
                <w:rStyle w:val="IndexLink"/>
                <w:rtl w:val="true"/>
              </w:rPr>
              <w:t>حرمة الرشوة إذا توصّل بها إلى الحكم بالحق من دون توقّفه عليها</w:t>
            </w:r>
            <w:r>
              <w:rPr>
                <w:rStyle w:val="IndexLink"/>
                <w:rtl w:val="true"/>
              </w:rPr>
              <w:tab/>
            </w:r>
            <w:r>
              <w:rPr>
                <w:rStyle w:val="IndexLink"/>
              </w:rPr>
              <w:t>277</w:t>
            </w:r>
          </w:hyperlink>
        </w:p>
        <w:p>
          <w:pPr>
            <w:pStyle w:val="Contents4"/>
            <w:tabs>
              <w:tab w:val="clear" w:pos="8176"/>
              <w:tab w:val="right" w:pos="9026" w:leader="dot"/>
            </w:tabs>
            <w:rPr/>
          </w:pPr>
          <w:hyperlink w:anchor="__RefHeading___Toc733501_373438147">
            <w:r>
              <w:rPr>
                <w:webHidden/>
                <w:rStyle w:val="IndexLink"/>
                <w:rtl w:val="true"/>
              </w:rPr>
              <w:t>توقّف أصل الحكم على الرشوة</w:t>
            </w:r>
            <w:r>
              <w:rPr>
                <w:rStyle w:val="IndexLink"/>
                <w:rtl w:val="true"/>
              </w:rPr>
              <w:tab/>
            </w:r>
            <w:r>
              <w:rPr>
                <w:rStyle w:val="IndexLink"/>
              </w:rPr>
              <w:t>280</w:t>
            </w:r>
          </w:hyperlink>
        </w:p>
        <w:p>
          <w:pPr>
            <w:pStyle w:val="Contents3"/>
            <w:tabs>
              <w:tab w:val="clear" w:pos="8459"/>
              <w:tab w:val="right" w:pos="9026" w:leader="dot"/>
            </w:tabs>
            <w:rPr/>
          </w:pPr>
          <w:hyperlink w:anchor="__RefHeading___Toc733503_373438147">
            <w:r>
              <w:rPr>
                <w:webHidden/>
                <w:rStyle w:val="IndexLink"/>
                <w:rtl w:val="true"/>
              </w:rPr>
              <w:t>تنبيهات</w:t>
            </w:r>
            <w:r>
              <w:rPr>
                <w:rStyle w:val="IndexLink"/>
                <w:rtl w:val="true"/>
              </w:rPr>
              <w:tab/>
            </w:r>
            <w:r>
              <w:rPr>
                <w:rStyle w:val="IndexLink"/>
              </w:rPr>
              <w:t>281</w:t>
            </w:r>
          </w:hyperlink>
        </w:p>
        <w:p>
          <w:pPr>
            <w:pStyle w:val="Contents4"/>
            <w:tabs>
              <w:tab w:val="clear" w:pos="8176"/>
              <w:tab w:val="right" w:pos="9026" w:leader="dot"/>
            </w:tabs>
            <w:rPr/>
          </w:pPr>
          <w:hyperlink w:anchor="__RefHeading___Toc733505_373438147">
            <w:r>
              <w:rPr>
                <w:webHidden/>
                <w:rStyle w:val="IndexLink"/>
                <w:rtl w:val="true"/>
              </w:rPr>
              <w:t>الأوّل</w:t>
            </w:r>
            <w:r>
              <w:rPr>
                <w:rStyle w:val="IndexLink"/>
                <w:rtl w:val="true"/>
              </w:rPr>
              <w:t xml:space="preserve">: </w:t>
            </w:r>
            <w:r>
              <w:rPr>
                <w:rStyle w:val="IndexLink"/>
                <w:rtl w:val="true"/>
              </w:rPr>
              <w:t>عدم نفوذ حكم الحاكم الآخذ للرشوة</w:t>
            </w:r>
            <w:r>
              <w:rPr>
                <w:rStyle w:val="IndexLink"/>
                <w:rtl w:val="true"/>
              </w:rPr>
              <w:tab/>
            </w:r>
            <w:r>
              <w:rPr>
                <w:rStyle w:val="IndexLink"/>
              </w:rPr>
              <w:t>281</w:t>
            </w:r>
          </w:hyperlink>
        </w:p>
        <w:p>
          <w:pPr>
            <w:pStyle w:val="Contents4"/>
            <w:tabs>
              <w:tab w:val="clear" w:pos="8176"/>
              <w:tab w:val="right" w:pos="9026" w:leader="dot"/>
            </w:tabs>
            <w:rPr/>
          </w:pPr>
          <w:hyperlink w:anchor="__RefHeading___Toc733507_373438147">
            <w:r>
              <w:rPr>
                <w:webHidden/>
                <w:rStyle w:val="IndexLink"/>
                <w:rtl w:val="true"/>
              </w:rPr>
              <w:t>الثاني</w:t>
            </w:r>
            <w:r>
              <w:rPr>
                <w:rStyle w:val="IndexLink"/>
                <w:rtl w:val="true"/>
              </w:rPr>
              <w:t xml:space="preserve">: </w:t>
            </w:r>
            <w:r>
              <w:rPr>
                <w:rStyle w:val="IndexLink"/>
                <w:rtl w:val="true"/>
              </w:rPr>
              <w:t>الأُجرة على القضاء</w:t>
            </w:r>
            <w:r>
              <w:rPr>
                <w:rStyle w:val="IndexLink"/>
                <w:rtl w:val="true"/>
              </w:rPr>
              <w:tab/>
            </w:r>
            <w:r>
              <w:rPr>
                <w:rStyle w:val="IndexLink"/>
              </w:rPr>
              <w:t>281</w:t>
            </w:r>
          </w:hyperlink>
        </w:p>
        <w:p>
          <w:pPr>
            <w:pStyle w:val="Contents4"/>
            <w:tabs>
              <w:tab w:val="clear" w:pos="8176"/>
              <w:tab w:val="right" w:pos="9026" w:leader="dot"/>
            </w:tabs>
            <w:rPr/>
          </w:pPr>
          <w:hyperlink w:anchor="__RefHeading___Toc733509_373438147">
            <w:r>
              <w:rPr>
                <w:webHidden/>
                <w:rStyle w:val="IndexLink"/>
                <w:rtl w:val="true"/>
              </w:rPr>
              <w:t>الثالث</w:t>
            </w:r>
            <w:r>
              <w:rPr>
                <w:rStyle w:val="IndexLink"/>
                <w:rtl w:val="true"/>
              </w:rPr>
              <w:t xml:space="preserve">: </w:t>
            </w:r>
            <w:r>
              <w:rPr>
                <w:rStyle w:val="IndexLink"/>
                <w:rtl w:val="true"/>
              </w:rPr>
              <w:t>هدايا العمّال و الولاة و القضاة</w:t>
            </w:r>
            <w:r>
              <w:rPr>
                <w:rStyle w:val="IndexLink"/>
                <w:rtl w:val="true"/>
              </w:rPr>
              <w:tab/>
            </w:r>
            <w:r>
              <w:rPr>
                <w:rStyle w:val="IndexLink"/>
              </w:rPr>
              <w:t>284</w:t>
            </w:r>
          </w:hyperlink>
        </w:p>
        <w:p>
          <w:pPr>
            <w:pStyle w:val="Contents3"/>
            <w:tabs>
              <w:tab w:val="clear" w:pos="8459"/>
              <w:tab w:val="right" w:pos="9026" w:leader="dot"/>
            </w:tabs>
            <w:rPr/>
          </w:pPr>
          <w:hyperlink w:anchor="__RefHeading___Toc733511_373438147">
            <w:r>
              <w:rPr>
                <w:webHidden/>
                <w:rStyle w:val="IndexLink"/>
                <w:rtl w:val="true"/>
              </w:rPr>
              <w:t>ضمان المرتشي الرشوة المأخوذة</w:t>
            </w:r>
            <w:r>
              <w:rPr>
                <w:rStyle w:val="IndexLink"/>
                <w:rtl w:val="true"/>
              </w:rPr>
              <w:tab/>
            </w:r>
            <w:r>
              <w:rPr>
                <w:rStyle w:val="IndexLink"/>
              </w:rPr>
              <w:t>289</w:t>
            </w:r>
          </w:hyperlink>
        </w:p>
        <w:p>
          <w:pPr>
            <w:pStyle w:val="Contents3"/>
            <w:tabs>
              <w:tab w:val="clear" w:pos="8459"/>
              <w:tab w:val="right" w:pos="9026" w:leader="dot"/>
            </w:tabs>
            <w:rPr/>
          </w:pPr>
          <w:hyperlink w:anchor="__RefHeading___Toc733513_373438147">
            <w:r>
              <w:rPr>
                <w:webHidden/>
                <w:rStyle w:val="IndexLink"/>
                <w:rtl w:val="true"/>
              </w:rPr>
              <w:t>تذنيب صورة الشك في الرشوة موضوعاً أو حكماً</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_10479"/>
      <w:bookmarkStart w:id="1" w:name="pg937_10479"/>
      <w:bookmarkEnd w:id="1"/>
    </w:p>
    <w:p>
      <w:pPr>
        <w:pStyle w:val="Heading2"/>
        <w:numPr>
          <w:ilvl w:val="1"/>
          <w:numId w:val="1"/>
        </w:numPr>
        <w:rPr/>
      </w:pPr>
      <w:bookmarkStart w:id="2" w:name="pg937_10479"/>
      <w:bookmarkStart w:id="3" w:name="__RefHeading___Toc733289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 علی‌اکبر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تحریر الوسیله للامام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الفقیه و 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السیفی المازندرانی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تراث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30234578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27300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291_373438147"/>
      <w:bookmarkStart w:id="6" w:name="_Toc2"/>
      <w:bookmarkEnd w:id="5"/>
      <w:r>
        <w:rPr>
          <w:rtl w:val="true"/>
        </w:rPr>
        <w:t>اشارة</w:t>
      </w:r>
      <w:bookmarkStart w:id="7" w:name="pg937_10483"/>
      <w:bookmarkEnd w:id="6"/>
    </w:p>
    <w:p>
      <w:pPr>
        <w:pStyle w:val="Heading2"/>
        <w:numPr>
          <w:ilvl w:val="1"/>
          <w:numId w:val="1"/>
        </w:numPr>
        <w:rPr/>
      </w:pPr>
      <w:bookmarkStart w:id="8" w:name="__RefHeading___Toc733293_373438147"/>
      <w:bookmarkStart w:id="9" w:name="_Toc3"/>
      <w:bookmarkEnd w:id="7"/>
      <w:bookmarkEnd w:id="8"/>
      <w:r>
        <w:rPr>
          <w:rtl w:val="true"/>
        </w:rPr>
        <w:t>شكر و تقدير</w:t>
      </w:r>
      <w:bookmarkEnd w:id="9"/>
    </w:p>
    <w:p>
      <w:pPr>
        <w:pStyle w:val="BookText"/>
        <w:rPr/>
      </w:pPr>
      <w:r>
        <w:rPr>
          <w:rFonts w:ascii="Amiri" w:hAnsi="Amiri" w:eastAsia="Amiri" w:cs="Amiri"/>
          <w:color w:val="111111"/>
          <w:sz w:val="28"/>
          <w:sz w:val="28"/>
          <w:szCs w:val="28"/>
          <w:rtl w:val="true"/>
          <w:lang w:bidi="ar-SA"/>
        </w:rPr>
        <w:t>نتقدّم بجزيل الشكر و التقدير إلى الإخوة الأجلّاء الذين ساهموا في إنجاز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المساعدون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طاهري كيا، محمود أيوبي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أخضري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الحروف و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المظفر</w:t>
      </w:r>
      <w:r>
        <w:rPr>
          <w:rFonts w:eastAsia="Amiri" w:cs="Amiri" w:ascii="Amiri" w:hAnsi="Amiri"/>
          <w:color w:val="111111"/>
          <w:sz w:val="28"/>
          <w:szCs w:val="28"/>
          <w:rtl w:val="true"/>
          <w:lang w:bidi="ar-SA"/>
        </w:rPr>
        <w:t>.</w:t>
      </w:r>
      <w:bookmarkStart w:id="10" w:name="pg937_10488"/>
    </w:p>
    <w:p>
      <w:pPr>
        <w:pStyle w:val="Heading2"/>
        <w:numPr>
          <w:ilvl w:val="1"/>
          <w:numId w:val="1"/>
        </w:numPr>
        <w:rPr/>
      </w:pPr>
      <w:bookmarkStart w:id="11" w:name="__RefHeading___Toc733295_373438147"/>
      <w:bookmarkStart w:id="12" w:name="_Toc4"/>
      <w:bookmarkEnd w:id="10"/>
      <w:bookmarkEnd w:id="11"/>
      <w:r>
        <w:rPr>
          <w:rtl w:val="true"/>
        </w:rPr>
        <w:t>مقدّمة الناشر</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وسيلة يبتغيها المكلّف في سيره و سلوكه، و هو أوثقها عُرى، و أصلحها منهاجاً؛ لِما امتاز به من سداد في تحديد الموقف العمليّ، و إصابة في تشخيص الوظائف المُلقاة على عاتق المكلّفين، و ذلك على ضوء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الاجتهاديّ و الفقاهتيّ، النابعين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جمعه للمسائل العمليّة، و نأيه عن المسائل ذات الصبغة النظريّة التي لا تمسّ إلى واقعنا المُعاش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كتب الشهيد الأوّل قدّس اللّه نفسه الزكيّة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سجين، فإنّ إمامنا العظيم نوّر اللّه ضريحه قد ألّف هذا الكتاب حينما كان منفيّاً في مدينة بورسا التركيّة من قبل الطاغوت الغاشم، و لم يكن بحوزته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تكن بيده المباركة إلّا هذه الكتب الثلاثة، و لكنّ نفسه العلويّة لو لم تكن خزانة للعلوم الحقّة، و فؤاده مهبطاً للإلهام و التحديث، لامتنع وجود هذا السفر الخالد في تلك الظروف العصيبة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إلى أهمّية هذا الكتاب، و ضرورة نشره على مختلف المستويات</w:t>
      </w:r>
    </w:p>
    <w:p>
      <w:pPr>
        <w:pStyle w:val="BookText"/>
        <w:rPr/>
      </w:pPr>
      <w:r>
        <w:rPr>
          <w:rFonts w:ascii="Amiri" w:hAnsi="Amiri" w:eastAsia="Amiri" w:cs="Amiri"/>
          <w:color w:val="111111"/>
          <w:sz w:val="28"/>
          <w:sz w:val="28"/>
          <w:szCs w:val="28"/>
          <w:rtl w:val="true"/>
          <w:lang w:bidi="ar-SA"/>
        </w:rPr>
        <w:t xml:space="preserve">و الأصعدة؛ لذا فقد أخذت مؤسّسة تنظيم و 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عاتقها نشر شروح و تعاليق العلماء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نفقتها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الكتاب الذي بين يديك، واحداً من هذه السلسلة الضخمة التي تروم مؤسّستنا طبعها، و هو شرح لمباحث ولاية الفقيه، و منصب القضاء و الحكومة و الإفتاء للمرأة، و ثبوت الهلال بحكم الحاكم و أولياء الصغار، و الرشوة إلى الولاة و العمّال و القضاة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الشيخ علي أكبر السيفي المازندراني دام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يوفّقه و إيّانا و أن يختم لنا جميعاً بالحسنى إنّه سميع الدعاء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تنظيم و 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قم المقدّسة</w:t>
      </w:r>
      <w:bookmarkStart w:id="13" w:name="pg937_10493"/>
    </w:p>
    <w:p>
      <w:pPr>
        <w:pStyle w:val="Heading2"/>
        <w:numPr>
          <w:ilvl w:val="1"/>
          <w:numId w:val="1"/>
        </w:numPr>
        <w:rPr/>
      </w:pPr>
      <w:bookmarkStart w:id="14" w:name="__RefHeading___Toc733297_373438147"/>
      <w:bookmarkStart w:id="15" w:name="_Toc5"/>
      <w:bookmarkEnd w:id="13"/>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محمّد عبده و رسوله المصطفى، و السلام على آل بيته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فلا يخفى على القرّاء الكرام أنّ تحرير الوسيلة من أحسن المتون الفتوائية الجامعة لأهمّ المسائل الفقهية، و لا سيّما أنّ مؤلّفه الإمام الراحل، و هو مؤسّس هذا النظام الإسلامي المقدّس، قد تعرّض في هذا الكتاب إلى مسائل فقهية مهمّة ملائمة لمقتضيات العصر الحاضر على أساس ذوقه الفقهي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بالبحث و التحقيق حول هذه المسائل يحدث في الحوزات العلمية الدينية تحوّل أساسي، و تخطى بذلك خطوة شاسعة مثمرة في جهة ازدهار الفقه الشيعي في العالم العصري</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33299_373438147"/>
      <w:bookmarkStart w:id="17" w:name="_Toc6"/>
      <w:bookmarkEnd w:id="16"/>
      <w:r>
        <w:rPr>
          <w:rtl w:val="true"/>
        </w:rPr>
        <w:t>أهمّية مسألة ولاية الفقيه</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الفقيه من أهمّ المسائل الفقهية، و لا سيّما في هذه الأيّام؛ لما أنّها شفرة انتصار ثورتنا الإسلامية، و من أهمّ عوامل صيانة القيم الإسلامية و معطيات الثورة، و من أُصول أركان هذا النظام الثائر المقدّس، و هي حصن حصين في قبال</w:t>
      </w:r>
      <w:bookmarkStart w:id="18" w:name="pg937_10496"/>
    </w:p>
    <w:p>
      <w:pPr>
        <w:pStyle w:val="BookText"/>
        <w:rPr/>
      </w:pPr>
      <w:bookmarkEnd w:id="18"/>
      <w:r>
        <w:rPr>
          <w:rFonts w:ascii="Amiri" w:hAnsi="Amiri" w:eastAsia="Amiri" w:cs="Amiri"/>
          <w:color w:val="111111"/>
          <w:sz w:val="28"/>
          <w:sz w:val="28"/>
          <w:szCs w:val="28"/>
          <w:rtl w:val="true"/>
          <w:lang w:bidi="ar-SA"/>
        </w:rPr>
        <w:t>أنحاء هجمات الاستكبار العالمي و دسائس الدول الاستعمارية و يصان بها الإسلام و المسلمون من صدمات الفتن و الخطرات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قد قام العدوّ بجميع إمكانيّاته لإيراد الصدمة على هذا الركن الأساسي و أعمل جميع مساعيه لإمحائه عن صفحة هذه الثورة، و من ظرائف مكايده أنّه أنجز هذا الهدف الاستعماري أخيراً بعد رحلة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بعض أصدقاء هذه الثورة، فتفوّهوا أحياناً بما يوهن هذا الركن الركين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نرجو اللّه سبحانه أن يوفّقنا لحراسة معطيات ثورتنا الإلهية و صيانة دماء شهدائنا الأبرار و طيّ خطّة عمل إمامنا الراحل و طاعة أوامر قائدنا المعظم آية اللّه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فقهائنا العظام في طول الغيبة الكبرى و إن لم يغفلوا عن أهمّية مسألة ولاية الفقيه، بل قد تعرّض كثيرٌ من فحول المحقّقين لبيان أهمّيتها و إثبات توسعة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يُشيّد أساس هذه المسألة و لم يهتم بتحكيم مبانيها و توسيع نطاقها أحدٌ مثل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ذلك على من لاحظ كتابة المسمّى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تأمّل في بحوثه العميقة الاستدلالية في كتاب البيع، و ما عقده من المسائل حول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أنّ اللّه تعالى وفّقه لإجراء هذا الحكم الإلهي و إنجاز هذا الهدف المقدّس بتأسيس الحكومة الدينية الإسلامية على أساس هذه المسألة و تشيد أركانها عليها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33301_373438147"/>
      <w:bookmarkStart w:id="20" w:name="_Toc7"/>
      <w:bookmarkEnd w:id="19"/>
      <w:r>
        <w:rPr>
          <w:rtl w:val="true"/>
        </w:rPr>
        <w:t>منهج البحث</w:t>
      </w:r>
      <w:bookmarkEnd w:id="20"/>
    </w:p>
    <w:p>
      <w:pPr>
        <w:pStyle w:val="BookText"/>
        <w:rPr/>
      </w:pPr>
      <w:r>
        <w:rPr>
          <w:rFonts w:ascii="Amiri" w:hAnsi="Amiri" w:eastAsia="Amiri" w:cs="Amiri"/>
          <w:color w:val="111111"/>
          <w:sz w:val="28"/>
          <w:sz w:val="28"/>
          <w:szCs w:val="28"/>
          <w:rtl w:val="true"/>
          <w:lang w:bidi="ar-SA"/>
        </w:rPr>
        <w:t>منهجنا في البحث عن مسألة ولاية الفقيه يكون بالاُسلوب الآتي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بحثنا في البداية عن مقتضى القاعدة الأوّلية العقلية، و هي تفيد عدم ثبوت</w:t>
      </w:r>
    </w:p>
    <w:p>
      <w:pPr>
        <w:pStyle w:val="BookText"/>
        <w:rPr/>
      </w:pPr>
      <w:r>
        <w:rPr>
          <w:rFonts w:ascii="Amiri" w:hAnsi="Amiri" w:eastAsia="Amiri" w:cs="Amiri"/>
          <w:color w:val="111111"/>
          <w:sz w:val="28"/>
          <w:sz w:val="28"/>
          <w:szCs w:val="28"/>
          <w:rtl w:val="true"/>
          <w:lang w:bidi="ar-SA"/>
        </w:rPr>
        <w:t>الولاية على الناس لأحد غير ذات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ثبوت الولاية عليهم لغيره تعالى بحاجة إلى نصّ قطعي واصل من جانبه تعالى،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بحثنا في المرحلة الثانية عن أُمور و مسائل مرتبطة بولاية الفقيه؛ لكي تنقّح جوانب هذه المسألة و تتضح نقاطها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لابتناء كثير من فروعها و مبانيها الفقهية على هذه الأُمور، 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الحكم و الفتوى، و أقسام الحكم الولائي، و نطاق نفوذه، و نماذج من الأحكام الولائية الصادرة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الثالثة تعرّضنا لتحرير كلمات الأصحاب من القدماء و المتأخرين الواردة في ثبوت الولاية العامّة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الرابعة ذكرنا أدلّة إثبات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الاستدلال بالضرورة الشرعية المستفادة من مسلّمات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قرّبناها بوجهين مستفادين من كلام الإمام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الدليل العقلي بتقريبين، ثمّ حرّرنا الاستدلال ببناء العقلاء و أشكلنا على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تلونا ذلك بدليل الحسبة و نقّحنا الاستدلال بها على ثبوت الولاية للفقيه، رغم ما يتوهم من عدم ثبوتها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تمسّكنا ببعض الآيات، و هي على طوائف، يدلّ بعضها بالملازمة على ثبوت الولاية للفقيه العادل المتمكّن من إقامة حدود اللّه و إجراء أحكامه و القيام بالقسط و العدل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استدللنا بالأخبار، و هي على طوائف، و لا إشكال في تماميتها بمجموعها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للقطع بصدور ما يدلّ على مضمونها، مضافاً إلى</w:t>
      </w:r>
    </w:p>
    <w:p>
      <w:pPr>
        <w:pStyle w:val="BookText"/>
        <w:rPr/>
      </w:pPr>
      <w:r>
        <w:rPr>
          <w:rFonts w:ascii="Amiri" w:hAnsi="Amiri" w:eastAsia="Amiri" w:cs="Amiri"/>
          <w:color w:val="111111"/>
          <w:sz w:val="28"/>
          <w:sz w:val="28"/>
          <w:szCs w:val="28"/>
          <w:rtl w:val="true"/>
          <w:lang w:bidi="ar-SA"/>
        </w:rPr>
        <w:t>صحة سند بعضها، كما لا ريب في دلالتها على ثبوت الولاية العامّة و لا أقلّ من الولاية على الحكومة و القضاء للفقيه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الخامسة تعرّضنا للبحث عن دور انتخاب الجمهور و مسألة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الخامسة بحثنا عن حكم الجهاد الابتدائي و أثبتنا عدم ثبوت الولاية للفقيه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بحثنا في المرحلة السادسة عن مسائل مهمّة ترتبط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للمرأة الولاية على الحكومة و القضاء و الإفتاء أم لا؟ و أثبتنا عدم ولايتها على شيء من ذلك بمقتضى الأصل الأوّلي و بدلالة النصوص العامّة و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ثبوت الهلال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حكم الحاكم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حكم الحاكم بالنسبة إلى غير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أولياء الصغار، حيث إنّ الكلام وقع في ولاية الفقيه على الصغار و نطاق ولايته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الرشوة إلى الحُكّام و القضاة و الولاة و الفقهاء لأجل التوصّل بها إلى الحكم و الفتوى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من الفقهاء الأبرار و الفضلاء الكرام أن يسامحوني في موارد الزلّة و الخطأ و يذكّروني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لي و لوالديّ و لإخواني المؤمنين العبد الخجلان من ساحة ربّه الغفّار علي أكبر السيفي المازندراني</w:t>
      </w:r>
      <w:bookmarkStart w:id="21" w:name="pg937_10505"/>
    </w:p>
    <w:p>
      <w:pPr>
        <w:pStyle w:val="Heading2"/>
        <w:numPr>
          <w:ilvl w:val="1"/>
          <w:numId w:val="1"/>
        </w:numPr>
        <w:rPr/>
      </w:pPr>
      <w:bookmarkStart w:id="22" w:name="__RefHeading___Toc733303_373438147"/>
      <w:bookmarkStart w:id="23" w:name="_Toc8"/>
      <w:bookmarkEnd w:id="21"/>
      <w:bookmarkEnd w:id="22"/>
      <w:r>
        <w:rPr>
          <w:rtl w:val="true"/>
        </w:rPr>
        <w:t>ولاية الفقيه</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733305_373438147"/>
      <w:bookmarkStart w:id="25" w:name="_Toc9"/>
      <w:bookmarkEnd w:id="24"/>
      <w:r>
        <w:rPr>
          <w:rtl w:val="true"/>
        </w:rPr>
        <w:t>اشارة</w:t>
      </w:r>
      <w:bookmarkStart w:id="26" w:name="pg937_10511"/>
      <w:bookmarkEnd w:id="25"/>
    </w:p>
    <w:p>
      <w:pPr>
        <w:pStyle w:val="Heading3"/>
        <w:numPr>
          <w:ilvl w:val="2"/>
          <w:numId w:val="1"/>
        </w:numPr>
        <w:rPr/>
      </w:pPr>
      <w:bookmarkStart w:id="27" w:name="__RefHeading___Toc733307_373438147"/>
      <w:bookmarkStart w:id="28" w:name="_Toc10"/>
      <w:bookmarkEnd w:id="26"/>
      <w:bookmarkEnd w:id="27"/>
      <w:r>
        <w:rPr>
          <w:rtl w:val="true"/>
        </w:rPr>
        <w:t>الولاية في عصر الحضور</w:t>
      </w:r>
      <w:bookmarkEnd w:id="28"/>
    </w:p>
    <w:p>
      <w:pPr>
        <w:pStyle w:val="Heading4"/>
        <w:numPr>
          <w:ilvl w:val="3"/>
          <w:numId w:val="1"/>
        </w:numPr>
        <w:rPr/>
      </w:pPr>
      <w:bookmarkStart w:id="29" w:name="__RefHeading___Toc733309_37343814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تكفّل الأُمور السياسيّة، كإجراء الحدود و القضائية و المالية، كأخذ الخراجات و الماليّات الشرعيّة، إلّا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نصبه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33311_373438147"/>
      <w:bookmarkStart w:id="32" w:name="_Toc12"/>
      <w:bookmarkEnd w:id="31"/>
      <w:r>
        <w:rPr>
          <w:rtl w:val="true"/>
        </w:rPr>
        <w:t>مقتضى القاعدة الأوّلية</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مقتضى الأصل الأوّلي العقلي انحصار الولاية على الحكم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لذلك بوجهين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العقل في عدم نفوذ حكم أحد غير اللّه تعالى في حق غيره؛ حيث لا يرى حق الطاعة و المولوية إلّا للّه تعالى؛ و ذلك لحكمه بأنّه موجدهم و رازقهم و وليّ نعمهم و مالكهم، فلا يرى لغيره حق سلطنة على العباد إلّا من أذنه اللّه تعالى للحكومة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نظر العقل إنّما يجب طاعة من يرى ملاك وجوب الطاعة حاصلاً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ملاك وجوب الطاعة إنّما هو ثابت بنظر العقل في حق اللّه تعالى؛ حيث يرى جميع النعمات من أصل الوجود إلى جميع ما يحتاج إليه البشر في حياته و معاشه، من أُصول النعم من جانب خالق الوجود و ربّ العالمين؛ فلذا يحكم بوجوب حمده و شكر نعمه و يستقل بطاعة ذاته المقدّسة؛ شكراً لنعمائه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يحمل الأمر بالطاعة في قوله تعالى أَطِيعُوا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 الأمر بالعبادة في قوله تعالى يا أَيُّهَا النّاسُ اعْبُدُوا رَبَّكُمُ الَّذِي خَلَقَكُمْ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 نحوهما من الآيات الآمرة بطاعة اللّه و عبادته على الإرشاد إلى حكم العقل بذلك؛ شكراً لنعمته تعالى؛ أو إلى مقتضى الفطرة، من دفع الضرر و العقاب الأُخروي الدائم الناشي من عصيان أمر اللّه تعالى و مخالفة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يرى حق المولوية و التكليف، إلّا للمنعم بما يوجب له ذلك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من له التكليف و حق الطاعة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صفات المكلّف فيجب أن يكون حكيماً مأموناً منه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انتفاء وجه القبح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قادراً على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منعماً بما يجب له به العبادة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العبادة لا تستحق إلّا بأُصول النعم من خلق الحياة و الشهوة و البقاء و القدرة و كمال العقل و خلق المشتهي و غير ذلك مما لا يدخل نعمة كل منعم في كونها نعمة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بعد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يستحق بعضنا على بعض العبادة، و إن استحقّ عليه الشكر؛ لأنّه لا يقدر على ما هو أُصول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اللّه تعالى بالقدرة على ذلك، فلذلك اختص تعالى بالعبادة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في العدّة بأنّ وجوب شكر المنعم من الضروريات العقلية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الأعظم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عدم ثبوت الولاية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عن هذا الأصل في خصوص النبي و الأئمّة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من الأدلّة استقلال العقل في حكمه بوجوب شكر المنعم، بعد معرفة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النعم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فيه نظر؛ إذ العقل و إن يحكم بوجوب شكر المنعم؛ إلّا أنّه لا يرى حق المولوية و الطاعة، إلّا للمنعم بأُصول النعم، كما جاء في كلام الشيخ الطوسي، لا في فروعها و لا في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المحقق الخراساني</w:t>
      </w:r>
      <w:r>
        <w:rPr>
          <w:rStyle w:val="FootnoteAnchor"/>
          <w:rtl w:val="true"/>
        </w:rPr>
        <w:footnoteReference w:id="7"/>
      </w:r>
      <w:r>
        <w:rPr>
          <w:rFonts w:ascii="Amiri" w:hAnsi="Amiri" w:eastAsia="Amiri" w:cs="Amiri"/>
          <w:color w:val="111111"/>
          <w:sz w:val="28"/>
          <w:sz w:val="28"/>
          <w:szCs w:val="28"/>
          <w:rtl w:val="true"/>
          <w:lang w:bidi="ar-SA"/>
        </w:rPr>
        <w:t>و المحقق الأصفهاني</w:t>
      </w:r>
      <w:r>
        <w:rPr>
          <w:rStyle w:val="FootnoteAnchor"/>
          <w:rtl w:val="true"/>
        </w:rPr>
        <w:footnoteReference w:id="8"/>
      </w:r>
      <w:r>
        <w:rPr>
          <w:rFonts w:ascii="Amiri" w:hAnsi="Amiri" w:eastAsia="Amiri" w:cs="Amiri"/>
          <w:color w:val="111111"/>
          <w:sz w:val="28"/>
          <w:sz w:val="28"/>
          <w:szCs w:val="28"/>
          <w:rtl w:val="true"/>
          <w:lang w:bidi="ar-SA"/>
        </w:rPr>
        <w:t>على الشيخ في حاشيتهما على المكاسب،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مقتضى حكم العقل بوجوب شكر المنعم وجوب طاعته في أوامره و نواهيه، لا ثبوت ولايته على الأنفس؛ إذ هي ليست من مصاديق شكر النعمة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ظاهر إشكالهما عليه و إن كان في ثبوت الولاية للنبي و الإمام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المستفاد من كلامهما توجّه الإشكال على أصل الاستدلال بوجوب شكر المنعم على ثبوت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ليست إلّا حق المولوية و شأنية الأمر و التكليف، و لما كان هذا الحق ثابتاً في نظر العقل للمنعم بأُصول النعم فيستقلّ بلزوم طاعته؛ لأنّه يرى طاعته و عبوديته في جميع الجهات أداءً لشكر نعمه و قضاءً لحقّ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شكر نعم المنعم إنّما هو بصرفها في جهة طلب المنعم و أمره و نهيه، و لذا يستقلّ العقل بلزوم صرف القدرة و العقل و سائر قوى البدن في جهة طاعته؛ شكراً لنعمائه، بلا فرق بين ما يتعلّق بنفسه أو بغيره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معنى ما ورد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العبودية جوهرة كنهها الربوبية</w:t>
      </w:r>
      <w:r>
        <w:rPr>
          <w:rStyle w:val="FootnoteAnchor"/>
          <w:rtl w:val="true"/>
        </w:rPr>
        <w:footnoteReference w:id="9"/>
      </w:r>
      <w:r>
        <w:rPr>
          <w:rFonts w:ascii="Amiri" w:hAnsi="Amiri" w:eastAsia="Amiri" w:cs="Amiri"/>
          <w:color w:val="111111"/>
          <w:sz w:val="28"/>
          <w:sz w:val="28"/>
          <w:szCs w:val="28"/>
          <w:rtl w:val="true"/>
          <w:lang w:bidi="ar-SA"/>
        </w:rPr>
        <w:t>فإنّ العقل لا يرى استحقاق المولوية و العبودية إلّا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قوله تعالى يا أَيُّهَا النّاسُ اعْبُدُوا رَبَّكُمُ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الربّ الذي أنعم عليكم بأصل الوجود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لحصر الولاية في اللّه بأنّ العقل لا يجوّز لأحد التصرف في سلطان اللّه و ملكه إلّا بإذنه و أنّ ثبوت الولاية على العباد تجويز التصرف في ملكه تعالى؛ لأنّ جميع الموجودات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خرجنا عن هذا الأصل في غير الإنسان من الحيوانات و النباتات و الأمتعة و الأشياء بمثل قوله خَلَقَ لَكُمْ ما فِي الْأَرْضِ جَمِيعاً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في الإنسان، فخرج خصوص تصرف المولى في عبده بدليل الكتاب و السنّة، و أمّا الإنسان الحرّ فيبقى تحت عموم المنع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اللّه تعالى حقيقية، لا اعتبارية، و إنّما يناقض سلطانه و ملكيته التصرف التكويني الحقيقي في الإنسان، لا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إنّما يتحقق بالقهر التكويني، كالإجبار و الضرب و الجرح و القتل، لا بمجرد الأمر ما دام لم ينجرّ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يرد على هذا الاستدلال أنّ العقل لا يحكم بمنع التصرف في ملك اللّه إلّا بملاك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الملاك لا يكون إلّا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حكم للعقل بمنع التصرف في الناس إذا كان لإجراء العدل و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يحكم به إذا كان من مصاديق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الكلام في ثبوت الولاية لغير اللّه لغرض إجراء العدل و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 الظلم و الجور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تقريب هذا الاستدلال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العقل لا يرى الولاية على التصرف في شيء إلّا لمالكه، و أنّه لا يرى المالكية الحقيقية للموجودات إلّا لخالقها و موجدها، و أنّ اللّه تعالى هو المالك الحقيقي للموجودات بنظر العقل؛ لأنّه خلقها و أوجد ما لها من الكمالات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فله تعالى حق التصرف في جميع الموجودات و الولاية على العباد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لا حظّ لغيره في ذلك، لا يرى لأحد الولاية على أحد من الناس، إلّا من ثبتت له الولاية عليهم بإذنه تعالى و إعطائه الولاية إليه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يرى العقل لغير اللّه تعالى من العباد ملاكاً لوجوب طاعته، إلّا من ورد له إذن من اللّه تعالى بالحكومة و الولاية على الناس كما ورد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صريح الكتاب و السنة المتواترة</w:t>
      </w:r>
      <w:r>
        <w:rPr>
          <w:rFonts w:eastAsia="Amiri" w:cs="Amiri" w:ascii="Amiri" w:hAnsi="Amiri"/>
          <w:color w:val="111111"/>
          <w:sz w:val="28"/>
          <w:szCs w:val="28"/>
          <w:rtl w:val="true"/>
          <w:lang w:bidi="ar-SA"/>
        </w:rPr>
        <w:t>.</w:t>
      </w:r>
      <w:bookmarkStart w:id="33" w:name="pg937_10526"/>
    </w:p>
    <w:p>
      <w:pPr>
        <w:pStyle w:val="Heading4"/>
        <w:numPr>
          <w:ilvl w:val="3"/>
          <w:numId w:val="1"/>
        </w:numPr>
        <w:rPr/>
      </w:pPr>
      <w:bookmarkStart w:id="34" w:name="__RefHeading___Toc733313_373438147"/>
      <w:bookmarkStart w:id="35" w:name="_Toc13"/>
      <w:bookmarkEnd w:id="33"/>
      <w:bookmarkEnd w:id="34"/>
      <w:r>
        <w:rPr>
          <w:rtl w:val="true"/>
        </w:rPr>
        <w:t xml:space="preserve">ثبوت الولاية للنبي و الأئمّة </w:t>
      </w:r>
      <w:r>
        <w:rPr>
          <w:rtl w:val="true"/>
        </w:rPr>
        <w:t>(</w:t>
      </w:r>
      <w:r>
        <w:rPr>
          <w:rtl w:val="true"/>
        </w:rPr>
        <w:t>عليهم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فمن الكتاب قوله تعالى اَلنَّبِيُّ أَوْلى بِالْمُؤْمِنِينَ مِنْ أَنْفُسِهِمْ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فَلا وَ رَبِّكَ لا يُؤْمِنُونَ حَتّى يُحَكِّمُوكَ فِيما شَجَرَ بَيْنَهُمْ ثُمَّ لا يَجِدُوا فِي أَنْفُسِهِمْ حَرَجاً مِمّا قَضَيْتَ </w:t>
      </w:r>
      <w:r>
        <w:rPr>
          <w:rStyle w:val="FootnoteAnchor"/>
          <w:rtl w:val="true"/>
        </w:rPr>
        <w:footnoteReference w:id="12"/>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إِنّا أَنْزَلْنا إِلَيْكَ الْكِتابَ بِالْحَقِّ لِتَحْكُمَ بَيْنَ النّاسِ بِما أَراكَ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كون الأمر بطاعة اللّه إرشاداً إلى حكم العقل بقرينة استقلاله بلزوم طاعة اللّه، لا ينافي كونه مولوياً في تعلّقه بطاعة الرسول و أُولى الأمر؛ لعدم القرينة العقلية في ذلك، و لا بأس بتبعّض المتعلّقات في سنخ الأمر المتعلّق بها في كلام واحد فيما إذا دلّت القرينة العقلية على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ظهور الحكم في القضاء و فصل الخصومات، و لا سيّما بقرينة قوله فِيما شَجَرَ بَيْنَهُمْ و بَيْنَ النّاسِ ، لو سلّم تكفي الآية الأُولى و الأخيرة لإثبات تعميم ولايتهم إلى غير مورد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اختصاص الحكم بالقضاء و فصل الخصومة ممنوعة؛ أمّا لغةً فلأنّ الحكم في الأصل المنع، كما في المقاييس</w:t>
      </w:r>
      <w:r>
        <w:rPr>
          <w:rStyle w:val="FootnoteAnchor"/>
          <w:rtl w:val="true"/>
        </w:rPr>
        <w:footnoteReference w:id="15"/>
      </w:r>
      <w:r>
        <w:rPr>
          <w:rFonts w:ascii="Amiri" w:hAnsi="Amiri" w:eastAsia="Amiri" w:cs="Amiri"/>
          <w:color w:val="111111"/>
          <w:sz w:val="28"/>
          <w:sz w:val="28"/>
          <w:szCs w:val="28"/>
          <w:rtl w:val="true"/>
          <w:lang w:bidi="ar-SA"/>
        </w:rPr>
        <w:t>أو المنع لإصلاح، كما في المفردات</w:t>
      </w:r>
      <w:r>
        <w:rPr>
          <w:rStyle w:val="FootnoteAnchor"/>
          <w:rtl w:val="true"/>
        </w:rPr>
        <w:footnoteReference w:id="16"/>
      </w:r>
      <w:r>
        <w:rPr>
          <w:rFonts w:ascii="Amiri" w:hAnsi="Amiri" w:eastAsia="Amiri" w:cs="Amiri"/>
          <w:color w:val="111111"/>
          <w:sz w:val="28"/>
          <w:sz w:val="28"/>
          <w:szCs w:val="28"/>
          <w:rtl w:val="true"/>
          <w:lang w:bidi="ar-SA"/>
        </w:rPr>
        <w:t>، و هو لا يختص بالخصومة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اصطلاح الآيات فقد جاء بمعنى مطلق الحكم بما أنزل اللّه، بل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اصطلاح الروايات و إن كان بمعنى القضاء غالباً و لكن أُطلق أيضاً في الحكم بثبوت الهلال و إجراء الحدود و لو من غير خصومة 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اصطلاح الفقه فلا يختص استعمال الحكم بباب القضاء و فصل الخصومة؛ بل استعمل في موارد اخرى، مثل ثبوت الهلال و الحدود و البدأة بالجهاد، كما قال في الجواهر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الذي ينفع في المقام هو تعيين المعنى المقصود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قرينية قوله بَيْنَ النّاسِ على إرادة خصوص الحكم القضائي الصادر لفصل الخصومات و رفع الاختلاف الواقع بين الناس،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تكفي تمامية دلالة قوله اَلنَّبِيُّ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المطلوب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عمومات الأمر بطاعة الرسول في كثير من الآيات، و يجدها المتتبع بسهولة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النصوص المتواترة</w:t>
      </w:r>
      <w:r>
        <w:rPr>
          <w:rStyle w:val="FootnoteAnchor"/>
          <w:rtl w:val="true"/>
        </w:rPr>
        <w:footnoteReference w:id="18"/>
      </w:r>
      <w:r>
        <w:rPr>
          <w:rFonts w:ascii="Amiri" w:hAnsi="Amiri" w:eastAsia="Amiri" w:cs="Amiri"/>
          <w:color w:val="111111"/>
          <w:sz w:val="28"/>
          <w:sz w:val="28"/>
          <w:szCs w:val="28"/>
          <w:rtl w:val="true"/>
          <w:lang w:bidi="ar-SA"/>
        </w:rPr>
        <w:t xml:space="preserve">تفسير اولى الأمر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وردت نصوص متواترة أُخرى في موارد مختلفة دلّت على فرض طاعتهم و أنّهم خلفاء اللّه عزّ و جلّ في أرضه و ولاة أمره</w:t>
      </w:r>
      <w:r>
        <w:rPr>
          <w:rStyle w:val="FootnoteAnchor"/>
          <w:rtl w:val="true"/>
        </w:rPr>
        <w:footnoteReference w:id="19"/>
      </w:r>
      <w:r>
        <w:rPr>
          <w:rFonts w:ascii="Amiri" w:hAnsi="Amiri" w:eastAsia="Amiri" w:cs="Amiri"/>
          <w:color w:val="111111"/>
          <w:sz w:val="28"/>
          <w:sz w:val="28"/>
          <w:szCs w:val="28"/>
          <w:rtl w:val="true"/>
          <w:lang w:bidi="ar-SA"/>
        </w:rPr>
        <w:t>، و غير ذلك مما ذكر في أبواب الحجة من أُصول الكافي، و غيره من الجوامع الروائية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بينّاه أنّ مقتضى القاعدة العقلية عدم ولاية أحد على غيره من أيّة جهة إلّا من ثبتت له الولاية على ذلك من جانب اللّه تعالى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ذلك من الثمرة الفقهية، أنّه لا اعتبار لآراء الناس و لا قيمة لانتخابهم في إعطاء الولاية على أنفسهم إلى من ينتخبونه بعنوان رئيس القوم و قائد الشعب، ما دام لم تثبت ولايته بدليل شرعي من جانب الشارع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ثبوت الولاية على الحكومة و القضاء في عصر الغيبة للفقهاء الجامعين لشرائط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6" w:name="pg937_10535"/>
    </w:p>
    <w:p>
      <w:pPr>
        <w:pStyle w:val="Heading3"/>
        <w:numPr>
          <w:ilvl w:val="2"/>
          <w:numId w:val="1"/>
        </w:numPr>
        <w:rPr/>
      </w:pPr>
      <w:bookmarkStart w:id="37" w:name="__RefHeading___Toc733315_373438147"/>
      <w:bookmarkStart w:id="38" w:name="_Toc14"/>
      <w:bookmarkEnd w:id="36"/>
      <w:bookmarkEnd w:id="37"/>
      <w:r>
        <w:rPr>
          <w:rtl w:val="true"/>
        </w:rPr>
        <w:t>الولاية في عصر الغيبة</w:t>
      </w:r>
      <w:bookmarkEnd w:id="38"/>
    </w:p>
    <w:p>
      <w:pPr>
        <w:pStyle w:val="Heading4"/>
        <w:numPr>
          <w:ilvl w:val="3"/>
          <w:numId w:val="1"/>
        </w:numPr>
        <w:rPr/>
      </w:pPr>
      <w:bookmarkStart w:id="39" w:name="__RefHeading___Toc733317_373438147"/>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غيبة وليّ الأمر و سلطان العصر عجّل اللّه فرجه الشريف يقوم نوّابه العامّة؛ و هم الفقهاء الجامعون لشرائط الفتوى و القضاء مقامه في إجراء السياسات و سائر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البدأة بالجهاد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الورود في البحث ينبغي التنبيه على أُمور تنفع في المقام، و هي ما يلي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33319_373438147"/>
      <w:bookmarkStart w:id="42" w:name="_Toc16"/>
      <w:bookmarkEnd w:id="41"/>
      <w:r>
        <w:rPr>
          <w:rtl w:val="true"/>
        </w:rPr>
        <w:t>الأوّل</w:t>
      </w:r>
      <w:r>
        <w:rPr>
          <w:rtl w:val="true"/>
        </w:rPr>
        <w:t xml:space="preserve">: </w:t>
      </w:r>
      <w:r>
        <w:rPr>
          <w:rtl w:val="true"/>
        </w:rPr>
        <w:t>الفرق بين الحكم و الفتوى</w:t>
      </w:r>
      <w:bookmarkEnd w:id="42"/>
    </w:p>
    <w:p>
      <w:pPr>
        <w:pStyle w:val="Heading5"/>
        <w:numPr>
          <w:ilvl w:val="4"/>
          <w:numId w:val="1"/>
        </w:numPr>
        <w:rPr/>
      </w:pPr>
      <w:bookmarkStart w:id="43" w:name="__RefHeading___Toc733321_373438147"/>
      <w:bookmarkStart w:id="44" w:name="_Toc17"/>
      <w:bookmarkEnd w:id="43"/>
      <w:r>
        <w:rPr>
          <w:rtl w:val="true"/>
        </w:rPr>
        <w:t>اشارة</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الأوّل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الفتوى و الحكم، مع أنّ كلا منهما إخبار عن حكم اللّه تعالى يلزم المكلّف اعتقاده 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مجرد إخبار عن اللّه تعالى بأنّ حكمه في هذه القضية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إنشاء إطلاق أو إلزام في المسائل الاجتهادية و غيرها، مع تقارب المدارك فيها مما يتنازع فيه الخصمان لمصالح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الفتوى؛ لأنّها إخبار، و الإطلاق و الإلزام نوعان للحكم، و غالب الأحكام 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بإطلاق مسجون، لعدم ثبوت الحق عليه، و رجوع أرض حجّرها شخص ثمّ أعرض عنها و عطّلها، و بإطلاق حرّ من يد من ادعى رقّه و لم يكن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بتقارب المدارك في المسائل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ما ضعف مدركه جدّاً كالعول، و التعصيب، و قتل المسلم بالكافر، فإنّه لو حكم به حاكم وجب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بمصالح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العبادات؛ فإنّه لا مدخل للحكم فيها، فلو حكم الحاكم بصحة صلاة زيد لم يلزم صحتها، بل إن كانت صحيحة في نفس الأمر فذاك، و إلّا فهي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بأنّ مال التجارة لا زكاة فيه، أو أنّ الميراث لا خمس فيه، فإنّ الحكم به لا يرفع الخلاف، بل لحاكم غيره أن يخالفه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اتصل بها أخذ الحاكم ممن حكم عليه بالوجوب مثلاً لم يجز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المجرد عن اتصال الأخذ إخبار، كالفتوى، و أخذه للفقراء حكم باستحقاقهم، فلا ينقض إذا كان في محل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اشتملت الواقعة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مصالح المعاد و الآخر من مصالح المعاش، كما لو حكم بصحة حجّ من أدرك اضطراري المشعر و كان نائباً، فإنّه لا أثر له في براءة ذمة النائب في نفس الأمر، و لكن يؤثر في عدم رجوعهم عليه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فالفتوى ليس فيها منع للغير عن مخالفة مقتضاها من المفتي و لا من المستفتي، أمّا من المفتي فظاهر، و أمّا من المستفتي فلأنّ المستفتي له أن يستفتي آخر، و إذا اختلفا عمل بقول الأعلم، ثمّ الأورع، ثمّ يتخير مع التساوي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لمّا كان إنشاءً خاصاً في واقعة خاصة وقع الخلاف في تلك الواقعة، بحيث لا يجوز لغيره نقضها، كما لو حكم حاكم بتوريث ابن العمّ، و منع العمّ للأب</w:t>
      </w:r>
    </w:p>
    <w:p>
      <w:pPr>
        <w:pStyle w:val="BookText"/>
        <w:rPr/>
      </w:pPr>
      <w:r>
        <w:rPr>
          <w:rFonts w:ascii="Amiri" w:hAnsi="Amiri" w:eastAsia="Amiri" w:cs="Amiri"/>
          <w:color w:val="111111"/>
          <w:sz w:val="28"/>
          <w:sz w:val="28"/>
          <w:szCs w:val="28"/>
          <w:rtl w:val="true"/>
          <w:lang w:bidi="ar-SA"/>
        </w:rPr>
        <w:t>و في المسألة خال، فإنّه يقتضي بخصوصه منع حاكم آخر بتوريث العمّ و الخال في هذه المسألة، لأنّه لو جاز له نقضها لجاز لآخر نقض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فيؤدي إلى عدم استقرار الأحكام، و هو مناف للمصلحة التي لأجلها شرع نصب الحكام من نظم أُمور أهل الإسلام، و لا يكون ذلك رفعاً للخلاف في سائر الوقائع المشتملة على مثل هذه الواقعة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إن كان إنشاءً، إلّا أنّ مرجعه إلى الإخبار عن حكم اللّه، أي إخبار عن حكم الشارع في قالب الإنشاء؛ لأنّ الحاكم لا ينشئ الحكم إلّا باستناده إلى مدرك شرعي ينبئ عن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الفتوى فهو إخبار محضٌ أي بيان مفاد دليل الحكم الشرعي في قالب الإفتاء بصيغة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يصدر عن الحاكم بالإنشاء في مقام فصل الخصومة و رفع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تصدر عن الفقيه في مقام الاجتهاد و الاستنباط لمجرّد الإخبار عن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الحكم إلى حكم بالإطلاق و الترخيص و حكم بالإلزام 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اشترط تمامية مدرك كلّ من الفتوى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أنّ ذلك لا دخل له في ماهية كلّ واحد منهما و لا في الفرق بينهما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يستفاد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الحكم بمصالح المعاش لا مصالح المعاد و تعلّق الفتوى بالأعم منهما، صحيح و يمكن به التمييز بين الحكم الفتوى و من هنا لا ينفذ حكم الحاكم في العبادات، كحكمه بصحة صلاة شخص أو بطلان حج أحد أو نفي الزكاة أو الخمس عن متعلّقهما من الأموال، بل و حتى في مثل الحجّ النيابي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استقر رأي الحاكم على بطلان حجّه أو صحته لا اعتبار بحكمه ببطلان حج النائب أو صحته، بل إنّما ينفذ حكمه برجوع المنوب عنه عليه بالأُجرة في فرض البطلان أو عدم رجوعه في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و البطلان فيدوران مدار مفاد الأدلّة الشرعية حسب استنباطه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منع الغير دون الفتوى،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أيضاً تتضمّن نهي المكلّف و منعه عن الحرام، نعم لا تختصّ بغير الحاكم كما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المنع المستفاد من الفتوى الحاكم و غيره على حدّ سواء، كما هو مقتضى القضية الحقيقية، و هذا بخلاف الحكم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أشار إليه من وقوع الخلاف في توريث ابن العمّ و منعه العمّ للأب و في المسألة خالٌ،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ابن عمّ مع عمّ و لا ابن خال مع خال أو عمّ؛ لأنّ ابن العمّ و ابن الخال أبعد عن الميت من العمّ و الخال، إلّا في مسألة واحدة إجماعية، و هي ما لو اجتمع ابن عمّ لأب و أُمّ مع عمّ لأب، فابن العمّ أولى حينئذٍ بلا خلاف، كما صرّح به في الجواهر</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خلاف في حكم هذه المسألة ما دام لم ينضمّ إليهما الخال، و إلّا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جماعة من الفقهاء رجوع المسألة إلى مقتضى القاعدة حينئذٍ، و هو سقوط ابن العمّ، كما صرّح به في الشرائع و حكى في الجواهر</w:t>
      </w:r>
      <w:r>
        <w:rPr>
          <w:rStyle w:val="FootnoteAnchor"/>
          <w:rtl w:val="true"/>
        </w:rPr>
        <w:footnoteReference w:id="22"/>
      </w:r>
      <w:r>
        <w:rPr>
          <w:rFonts w:ascii="Amiri" w:hAnsi="Amiri" w:eastAsia="Amiri" w:cs="Amiri"/>
          <w:color w:val="111111"/>
          <w:sz w:val="28"/>
          <w:sz w:val="28"/>
          <w:szCs w:val="28"/>
          <w:rtl w:val="true"/>
          <w:lang w:bidi="ar-SA"/>
        </w:rPr>
        <w:t>عن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إلى تقديم الخال؛ نظراً إلى حجب العمّ للأب بابن العمّ من الأب و الأُمّ و حجب ابن العمّ بالخال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ثالث تقديم ابن العمّ؛ لأنّ العمّ محجوب بابن العمّ، فكذا الخال؛ لتساويهما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شركة ابن العمّ مع الخال؛ نظراً إلى حجبه لخصوص العمّ و لكن المشهور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مقصود الشهيد من ذلك أنّ في المسألة الخلافية لا يجوز نقض حكم الحاكم، بخلاف الفتوى، فيجوز فيها الرجوع إلى فتوى الفقيه الآخر، إذا لم يكن الأوّل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بينهما أنّ الحكم إنشاء قول في حكم شرعي يتعلق بواقعة شخصية، كالحكم على زيد بثبوت دين لعمر و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حكم شرعي على وجه كلّي، كالحكم بأنّ قول ذي اليد مقدّم على الخارج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إخبار عن حكم معيّن بحيث يمكن جعله كلّياً،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زيد باطلة، لأنّه تكلّم فيها عمداً؛ فإنّه و إن كان حكماً جزئياً، لكن يمكن جعله كلّياً، بحيث يكون هذا الجزئي من جملة أفراده،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تكلّم في صلاته عمداً بطلت صلاته بخلاف الحكم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يمتاز تعريفه عن تعريف الشهيد الأوّل بعدم اختصاص الحكم بباب المرافعات و الخصومات، بل يكون في مطلق الوقائع الشخصية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بينهما أنّ الحكم إنشاء قول في حكم شرعي متعلق بواقعة مخصوصة، كالحكم بأنّ الدار ملك لزيد، و أنّ هلال شهر رمضان سنة كذا قد حصل و نحو ذلك مما هو في قضايا شخصية، و الفتوى حكم شرعي على وجه كلّي،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المعاطات جائزة، أو شخصي يرجع إلى كلّي، كقوله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 باطلة؛ لأنّك تكلّمت فيها مثلاً، إذ مرجعه إلى بطلان صلاة من تكلّم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صلاته، و زيد منهم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المراد بالأُولى الإخبار عن اللّه تعالى بحكم شرعي متعلق بكلّي، كالقول بنجاسة ملاقي البول أو الخمر، و أمّا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القدح نجس لذلك، فهو ليس فتوى في الحقيقة، و إن كان ربما يتوسع بإطلاقها عليه، و أمّا الحكم فهو إنشاء إنفاذ من الحاكم لا منه تعالى لحكم شرعي أو وضعي أو موضوعهما في شيء مخصوص</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تأمّلت في كلامه تعرف أنّه يرجع إلى ما قاله الشهيد، إلّا أنّ في كلامه خصوصيّتين،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تتعلّق بالحكم الكلّي، و أنّ ما يلقى منها على نحو القضية الشخصية الخارجية ليس بفتوى حقيقة، بل إنّما يطلق عليه لفظ الفتوى توسّعاً 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بيان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حكم مجعول من اللّه تعالى و الحكم مجعول بإنشاء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الخوئي في الفرق بين الحكم و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 و بين الفتوى هو أنّ الفتوى عبارة عن بيان الأحكام التكليفية من دون نظر إلى تطبيقها على موردها، و 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لا يكون حجة إلّا على من يجب عليه تقليد المفتي بها؛ و أمّا القضاء فهو الحكم بالقضايا الشخصية التي هي مورد الترافع و التشاجر، فيحكم القاضي بأنّ المال الفلاني لزيد أو أنّ المرأة الفلانية زوجة فلان و ما شاكل ذلك، و هو نافذ على كل حال حتى إذا كان أحد المتخاصمين أو كلاهما مجتهداً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كلّ من تعرّض لبيان الفرق بين الحكم و الفتوى، مقصوده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5" w:name="pg937_10552"/>
    </w:p>
    <w:p>
      <w:pPr>
        <w:pStyle w:val="BookText"/>
        <w:rPr/>
      </w:pPr>
      <w:bookmarkEnd w:id="45"/>
      <w:r>
        <w:rPr>
          <w:rFonts w:ascii="Amiri" w:hAnsi="Amiri" w:eastAsia="Amiri" w:cs="Amiri"/>
          <w:color w:val="111111"/>
          <w:sz w:val="28"/>
          <w:sz w:val="28"/>
          <w:szCs w:val="28"/>
          <w:rtl w:val="true"/>
          <w:lang w:bidi="ar-SA"/>
        </w:rPr>
        <w:t>من الحكم هو الحكم الولائي الحكومي، لا الحكم التكليفي المنقسم إلى الأحكام الخمسة و لا الحكم الوضعي كالصحة و الفساد و الملكية و الزوجية و الطهارة و النجاسة و نحو ذلك</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33323_373438147"/>
      <w:bookmarkStart w:id="47" w:name="_Toc18"/>
      <w:bookmarkEnd w:id="46"/>
      <w:r>
        <w:rPr>
          <w:rtl w:val="true"/>
        </w:rPr>
        <w:t>مقتضى التحقيق في المقام</w:t>
      </w:r>
      <w:bookmarkEnd w:id="47"/>
    </w:p>
    <w:p>
      <w:pPr>
        <w:pStyle w:val="BookText"/>
        <w:rPr/>
      </w:pPr>
      <w:r>
        <w:rPr>
          <w:rFonts w:ascii="Amiri" w:hAnsi="Amiri" w:eastAsia="Amiri" w:cs="Amiri"/>
          <w:color w:val="111111"/>
          <w:sz w:val="28"/>
          <w:sz w:val="28"/>
          <w:szCs w:val="28"/>
          <w:rtl w:val="true"/>
          <w:lang w:bidi="ar-SA"/>
        </w:rPr>
        <w:t>مقتضى التحقيق و التأمّل في مجموع كلماتهم أنّ الحكم يفترق عن الفتوى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إنشاء إلزام و إنفاذ من جانب القاضي بالاستناد إلى دليل شرعي، و لكن الفتوى إخبار الفقيه عمّا استنبطه من الأدلّة من الحكم الشرعي الكلّي في مقام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يرجع في الحقيقة إلى تطبيق حكم كلّي على مورد جزئي وقع فيه النزاع و الخصومة بين المترافعين، فإنّ إنشاء الإنفاذ من جانب الحاكم يبتني على تطبيقه الحكم الشرعي الكلّي الذي استنبطه من الأدلّة على مورد الإنشاء و الإنفاذ، و لكن الفتوى ترجع إلى استنباط المجتهد حكماً شرعياً كلّياً من أدلّته التفصيلية و إعلانه للمقلّدين على نحو القضية الحقيقية، و إن كانت أحياناً بصورة التطبيق على مورد بإلقاء قضية شخصية خارجية باقتضاء سؤال السائل، إلّا أنّها ترجع في الحقيقة إلى إعلان حكم كلّي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يرجع إلى مصالح المعاش و قلع مادة النزاع و الخصومة بين الناس في أُمورهم اليومية الراجعة إلى عيشهم أو إثبات موضوع خارجي كالهلال أو إجراء حدّ من حدود اللّه تعالى، و لا يتعلّق بالعبادات، بل و ليس مشروعاً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الفتوى فتتعلق بالأعم من العبادات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نفوذ للحكم في العبادات</w:t>
      </w:r>
    </w:p>
    <w:p>
      <w:pPr>
        <w:pStyle w:val="BookText"/>
        <w:rPr/>
      </w:pPr>
      <w:r>
        <w:rPr>
          <w:rFonts w:ascii="Amiri" w:hAnsi="Amiri" w:eastAsia="Amiri" w:cs="Amiri"/>
          <w:color w:val="111111"/>
          <w:sz w:val="28"/>
          <w:sz w:val="28"/>
          <w:szCs w:val="28"/>
          <w:rtl w:val="true"/>
          <w:lang w:bidi="ar-SA"/>
        </w:rPr>
        <w:t>بخلاف الفتوى فإنّها لا اختصاص لحجيتها بمورد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يجوز نقضها للغير، حتى في المسائل الخلافية بل و لو كان المحكوم عليه مجتهداً، إلّا إذا ادّعى جور الحاكم في حكمه و شكى في ذلك إلى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حينئذٍ نقضه، إذا ثبت له شرعاً جور الحاكم الأوّل في حكمه، أو بان خطأ مستنده في الحكم، كما أشار إلى الأوّل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الحاكم تتبع حكم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زعم المحكوم عليه أنّ الأوّل حكم عليه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النظر فيه، أي في حكمه بلا خلاف أجده بين من تعرّض له منّا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كل حكم قضى به الأوّل و بان للثاني فيه الخطأ و لو لفساد الاجتهاد من الأوّل فإنّه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حكم هو ثمّ تبيّن الخطأ فإنّه يبطل الأوّل و يستأنف الحكم بما علمه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الفتوى فيجوز للمقلّد نقضه بالرجوع إلى مجتهد آخر، إلّا إذا كان الأوّل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الغير عاميّاً مقلّداً، و أمّا إذا كان مجتهداً، فله أن يعمل بفتوى نفسه و إن كان ناقضاً بذلك فتوى مجتهد آخر، بل يجب عليه ذلك مطلقاً و إن كان المجتهد الآخر أعلم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مقلّديه العمل بالفتوى الثانية فيما يأتي، دون ما مضى فإنّه صحيح، فالأعمال السابقة محكومة بالصحة، بل إذا كان ما مضى عقداً أو إيقاعاً أو نحوهما ممّا من شأنه الدوام و الاستمرار، يبقى على صحته فيما يأتي أيضاً، بالنسبة إلى تلك الواقعة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 بكراً بإذنها بناءً على كون أمرها بيدها ثمّ تبدّل رأيه أو رأي مجتهده إلى كون أمرها بيد أبيها، تكون باقية على زوجيته و إن كان لا يجوز له نكاح مثلها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فكما إذا كان مذهبه اجتهاداً أو تقليداً نجاسة الغسالة أو عرق الجنب من الحرام مثلاً، و اشترى مائعاً، فتبيّن أنّه كان ملاقياً للغسالة أو عرق الجنب من الحرام، فتنازع مع البائع في صحة البيع و عدمها، و ترافعا إلى مجتهد كان مذهبه عدم النجاسة و صحة البيع فحكم بصحته، فإنّ اللازم على المشتري العمل به و جواز التصرف في ذلك المائع، ففي خصوص هذا المورد يعمل بمقتضى الطهارة و يبني عليها و ينقض الفتوى بالنسبة إليه بذلك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سائر الموارد فعلى مذهبه من النجاسة، حتى أنّه إذا لاقى ذلك المائع بعد الحكم بطهارة الغسالة أو عرق الجنب يبقى على تقليده الأوّل فيبني على نجاسته، و هكذا في سائر المسائل الظنية في غير الصورتين المذكورتين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في الحكم هو القاضي؛ نظراً إلى صدور الحكم بإنشائه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الفتوى فالحاكم فيه هو الشارع، و إنّما الفقيه يخبر بالفتوى عن حكمه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فالحكم الفتوائي يشرّعه الشارع و ينشئه بالخطابات اللفظية، و لكن الحكم الحكومي ينشئه الحاكم في مقام القضاء و الإلزام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8" w:name="pg937_10561"/>
    </w:p>
    <w:p>
      <w:pPr>
        <w:pStyle w:val="Heading4"/>
        <w:numPr>
          <w:ilvl w:val="3"/>
          <w:numId w:val="1"/>
        </w:numPr>
        <w:rPr/>
      </w:pPr>
      <w:bookmarkStart w:id="49" w:name="__RefHeading___Toc733325_373438147"/>
      <w:bookmarkStart w:id="50" w:name="_Toc19"/>
      <w:bookmarkEnd w:id="48"/>
      <w:bookmarkEnd w:id="49"/>
      <w:r>
        <w:rPr>
          <w:rtl w:val="true"/>
        </w:rPr>
        <w:t>الثاني</w:t>
      </w:r>
      <w:r>
        <w:rPr>
          <w:rtl w:val="true"/>
        </w:rPr>
        <w:t xml:space="preserve">: </w:t>
      </w:r>
      <w:r>
        <w:rPr>
          <w:rtl w:val="true"/>
        </w:rPr>
        <w:t>تقدّم الحكم الولائي على الفتوى عند التزاحم</w:t>
      </w:r>
      <w:bookmarkEnd w:id="50"/>
    </w:p>
    <w:p>
      <w:pPr>
        <w:pStyle w:val="BookText"/>
        <w:rPr/>
      </w:pPr>
      <w:r>
        <w:rPr>
          <w:rFonts w:ascii="Amiri" w:hAnsi="Amiri" w:eastAsia="Amiri" w:cs="Amiri"/>
          <w:color w:val="111111"/>
          <w:sz w:val="28"/>
          <w:sz w:val="28"/>
          <w:szCs w:val="28"/>
          <w:rtl w:val="true"/>
          <w:lang w:bidi="ar-SA"/>
        </w:rPr>
        <w:t>لا إشكال في تقدّم الحكم الحكومي على الفتوى عند المزاحمة في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توقف فصل الخصومات و حفظ النظام و إجراء الحدود و قلع مادة النزاع و الفساد على نفوذ الحكم، و إلّا لا يستقرّ حجر على حجر و لا يزال الناس في التخاصم و المنازعة، و هذا يوجب الفساد و الاختلال في نظام معاش الناس و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يجوز نقض حكم الحاكم بأيّ شيء، لا بالفتوى و لا بحكم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إطلاق دليل الحكم الكلّي الفتوائي و اختصاص الحكم الولائي بواقعة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تخصيص عموم دليل الحكم الفتوائي بدليل الحكم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الفقهاء بتقدّم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يجوز نقض الحكم بالحكم، كذلك لا يجوز نقضه بالفتوى</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كلامه آنفاً بالتفصيل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لصاحب الجواهر كلاماً جامعاً في المقام ينبغي نقله بطوله؛ لما فيه من النكات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مفصّل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بان لك من جميع ما ذكرنا أنّ الحكم ينقض و لو بالظن إذا تراضى الخصمان على تجديد الدعوى و قبول حكم الحاكم الثاني، و ينقض إذا خالف دليلاً علمياً لا مجال للاجتهاد فيه أو دليلاً اجتهادياً لا مجال للاجتهاد بخلافه إلّا غفلة و نحوها، و لا ينقض في غير ذلك، لأنّ الحكم بالاجتهاد الصحيح حكمهم، فالرادّ عليه رادّ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عليهم على</w:t>
      </w:r>
    </w:p>
    <w:p>
      <w:pPr>
        <w:pStyle w:val="BookText"/>
        <w:rPr/>
      </w:pPr>
      <w:r>
        <w:rPr>
          <w:rFonts w:ascii="Amiri" w:hAnsi="Amiri" w:eastAsia="Amiri" w:cs="Amiri"/>
          <w:color w:val="111111"/>
          <w:sz w:val="28"/>
          <w:sz w:val="28"/>
          <w:szCs w:val="28"/>
          <w:rtl w:val="true"/>
          <w:lang w:bidi="ar-SA"/>
        </w:rPr>
        <w:t>حد الشرك باللّه تعالى، من غير فرق بين اقتضائه نقض فتوى و عدمه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جاز نقض الفتوى بالحكم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بنقضها إبطال حكم الكلّي في خصوص الجزئي الذي كان مورد الحكم بالنسبة إلى كل أحد، من غير الفرق بين الحاكم و مقلّدته و بين غيرهم من الحكام المخالفين له و مقلّدتهم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حكم الاجتهاد و التقليد في خصوص ذلك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في ذلك بين العقود و الإيقاعات و الحلّ و الحرمة و الأحكام الوضعية حتى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ترافع شخصان على بيع شيء من المائعات، و قد لاقى عرق الجنب من زنا مثلاً، عند من يرى طهارته، فحكم بذلك، كان طاهراً مملوكاً للمحكوم عليه، و إن كان مجتهداً يرى نجاسته أو مقلّد مجتهد كذلك؛ لإطلاق ما دلّ على وجوب قبول حكمه و أنّه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رادّ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حينئذٍ هذا الجزئي من كلّي الفتوى بأنّ المائع الملاقي عرق الجنب نجس في حق ذلك المجتهد و مقلّدته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البيوع و الأنكحة و الطلاق و الوقوف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وجوب تنفيذ الحاكم الثاني ما حكم به الأوّل، و إن خالف رأيه ما لم يعلم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نقض الحكم بالفتوى حتى من ذلك الحاكم لو فرض تغيّر رأيه عن الفتوى بعد حكمه في جزئي خاص؛ فلأصالة بقاء أثر الحكم و ظهور أدلته في عدم جواز نقضه مطلقاً، و عدم اقتضاء دليل الفتوى أزيد من العمل بأفراد كلّي متعلّقها من حيث إنّها كذلك، فلا تنافي خروج بعض أفرادها بالحكم لدليلها، بل لعله ليس من متعلق كلّيها المراد به ما عدا المحكوم عليه من أفرادها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إنّما تنقض بالفتوى على معنى بطلان الفتوى برجوع صاحبها عنها</w:t>
      </w:r>
    </w:p>
    <w:p>
      <w:pPr>
        <w:pStyle w:val="BookText"/>
        <w:rPr/>
      </w:pPr>
      <w:r>
        <w:rPr>
          <w:rFonts w:ascii="Amiri" w:hAnsi="Amiri" w:eastAsia="Amiri" w:cs="Amiri"/>
          <w:color w:val="111111"/>
          <w:sz w:val="28"/>
          <w:sz w:val="28"/>
          <w:szCs w:val="28"/>
          <w:rtl w:val="true"/>
          <w:lang w:bidi="ar-SA"/>
        </w:rPr>
        <w:t>فيما لم يعمل به من أفرادها، أمّا ما عمل به فيه منها، فلا نقض فيما لا يتصور النقض فيه، كما إذا كان فعلاً قد فعله أو مالاً أكله أو شربه بل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نقض الفتوى 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ينقض و لو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جواز نقض حكم الحاكم الأوّل إذا تراضي الخصمان على تجديد الدعوى و رفعها إلى قاضٍ آخر و اتفقا على قبول حكمه، و بان للثاني خطأ الأوّل في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المورد ثاني الموردين اللذين سبق نقلهما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المحكوم عليه جور الحاكم في حكمه و شكى إلى حاكم آخر،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بأن خطأ مستند الحاكم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الثاني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فلأصالة بقاء أثر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فمقصوده أنّ الحكم الشرعي الثابت بالفتوى إذا شككنا في ارتفاعه بتبدّل رأي المجتهد، مقتضى الاستصحاب بقاؤه، هذا مضافاً إلى أنّ أدلّة مشروعية الحكم الولائي و نفوذه ظاهرة في عدم جواز نقضه مطلقاً، و لو خالفته فتوى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إطلاق دليل حجّية الفتوى بالنسبة إلى أفراد متعلّقها الذي هو الكلّي الطبيعي فيمكن تقييده بدليل حجّية الحكم الولائي؛ نظراً إلى أنّ مورده واقعة جزئية، و هي بعض مصاديق متعلّق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دليل حجّية الحكم أخصّ موضوعاً عن دليل اعتبار الفتوى، فمقتضى الصناعة تقييد دليل الفتوى بدليل الحكم؛ إذا الضابطة في أخذ النسبة بين دليلين متخالفين ملاحظة النسبة بين موضوعهما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1" w:name="pg937_10570"/>
    </w:p>
    <w:p>
      <w:pPr>
        <w:pStyle w:val="BookText"/>
        <w:rPr/>
      </w:pPr>
      <w:bookmarkEnd w:id="51"/>
      <w:r>
        <w:rPr>
          <w:rFonts w:ascii="Amiri" w:hAnsi="Amiri" w:eastAsia="Amiri" w:cs="Amiri"/>
          <w:color w:val="111111"/>
          <w:sz w:val="28"/>
          <w:sz w:val="28"/>
          <w:szCs w:val="28"/>
          <w:rtl w:val="true"/>
          <w:lang w:bidi="ar-SA"/>
        </w:rPr>
        <w:t>و عليه فمقتضى الأدلّة الاجتهادية و الأصل العملي عدم جواز نقض الحكم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الرجوع إلى الاستصحاب إنّما هو في فرض عدم تمامية دلالة الأدلّة الاجتهادية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33327_373438147"/>
      <w:bookmarkStart w:id="53" w:name="_Toc20"/>
      <w:bookmarkEnd w:id="52"/>
      <w:r>
        <w:rPr>
          <w:rtl w:val="true"/>
        </w:rPr>
        <w:t>الثالث</w:t>
      </w:r>
      <w:r>
        <w:rPr>
          <w:rtl w:val="true"/>
        </w:rPr>
        <w:t xml:space="preserve">: </w:t>
      </w:r>
      <w:r>
        <w:rPr>
          <w:rtl w:val="true"/>
        </w:rPr>
        <w:t>أقسام الحكم الولائي</w:t>
      </w:r>
      <w:bookmarkEnd w:id="53"/>
    </w:p>
    <w:p>
      <w:pPr>
        <w:pStyle w:val="BookText"/>
        <w:rPr/>
      </w:pPr>
      <w:r>
        <w:rPr>
          <w:rFonts w:ascii="Amiri" w:hAnsi="Amiri" w:eastAsia="Amiri" w:cs="Amiri"/>
          <w:color w:val="111111"/>
          <w:sz w:val="28"/>
          <w:sz w:val="28"/>
          <w:szCs w:val="28"/>
          <w:rtl w:val="true"/>
          <w:lang w:bidi="ar-SA"/>
        </w:rPr>
        <w:t>يمكن تقسيم الحكم الحكومي الإنشائي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الحاكم؛ حيث قد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زمان صدوره؛ حيث قد يصدر في زمان استقرار الحكومة العادلة الإسلامية و قد يصدر في غير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مورد صدوره، و من هذه الحيثية ينقسم الحكم إلى أقسام عديدة،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من الفقيه الحاكم في موارد إجراء الأحكام الجزائية، من الحدود و القصاص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منه في الأُمور السياسية، مما يرتبط بشئون الحكومة، كنصب الأُمراء و الوزراء و مسئولي الحكومة و عمّالها و عزلهم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بقطع الرابطة من بعض الدّول و الحكومات و بإيجادها مع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في جهة عمران البلاد و تخطيط المدن، كالحكم بإحداث الطرق و توسيع الشوارع في أملاك الناس باقتضاء المصلحة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تخريب المساجد و البيوت و الأماكن الواقعة في مسير الطرق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في الأُمور النظامية، كالحكم بإجبار الشباب على الخدمة العسكرية، و الإعزام الإجباري إلى جبهات الدفاع و القتال، و منع</w:t>
      </w:r>
      <w:bookmarkStart w:id="54" w:name="pg937_10573"/>
    </w:p>
    <w:p>
      <w:pPr>
        <w:pStyle w:val="BookText"/>
        <w:rPr/>
      </w:pPr>
      <w:bookmarkEnd w:id="54"/>
      <w:r>
        <w:rPr>
          <w:rFonts w:ascii="IRNazanin" w:hAnsi="IRNazanin" w:eastAsia="IRNazanin"/>
          <w:color w:val="111111"/>
          <w:sz w:val="28"/>
          <w:sz w:val="28"/>
          <w:szCs w:val="28"/>
          <w:rtl w:val="true"/>
          <w:lang w:bidi="fa-IR"/>
        </w:rPr>
        <w:t>عموم الناس من حمل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في الأُمور القضائية، كالحكم في المرافعات لفصل الخصومات و قلع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لدفع المفاسد و منع المنكرات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في الأُمور الاقتصادية، كالحكم بتعزير المحتكر، و تقييم الأجناس، و المنع من إخراج العملة و الأمتعة الأساسية عن المملكة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الحكم في تحديد الإجراءات الجمركية، و أخذ الضرائب المالية، و الحكم بمصادرة الأموال الربوية، و نحو ذلك مما يكون دخيلاً في حفظ النظام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من موارد الحكم الولائي تتضح لك سعة نطاق الولاية المطلقة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733329_373438147"/>
      <w:bookmarkStart w:id="56" w:name="_Toc21"/>
      <w:bookmarkEnd w:id="55"/>
      <w:r>
        <w:rPr>
          <w:rtl w:val="true"/>
        </w:rPr>
        <w:t>الرابع</w:t>
      </w:r>
      <w:r>
        <w:rPr>
          <w:rtl w:val="true"/>
        </w:rPr>
        <w:t xml:space="preserve">: </w:t>
      </w:r>
      <w:r>
        <w:rPr>
          <w:rtl w:val="true"/>
        </w:rPr>
        <w:t>ابتناء الحكم الحكومي على المصلحة</w:t>
      </w:r>
      <w:bookmarkEnd w:id="56"/>
    </w:p>
    <w:p>
      <w:pPr>
        <w:pStyle w:val="BookText"/>
        <w:rPr/>
      </w:pPr>
      <w:r>
        <w:rPr>
          <w:rFonts w:ascii="Amiri" w:hAnsi="Amiri" w:eastAsia="Amiri" w:cs="Amiri"/>
          <w:color w:val="111111"/>
          <w:sz w:val="28"/>
          <w:sz w:val="28"/>
          <w:szCs w:val="28"/>
          <w:rtl w:val="true"/>
          <w:lang w:bidi="ar-SA"/>
        </w:rPr>
        <w:t>إنّ الحكم الحكومي من جهة ابتنائه على المصلحة يمكن تقسيمه إلى قسمين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ابتناء له على المصلحة بأيّ وجه، بل إنّما يبتني على اجتهاده الصحيح في الأحكام الإلهية المقرّرة في الشريعة، من دون دخل لرعاية المصلحة في مشروعية هذا النوع من الأحكام و نفوذه، و هو الحكم الصادر في الأُمور القضائية و فصل الخصومات و المرافعات، و كذا الأحكام الصادرة لإجراء الحدود و القصاص و الديات و نحو ذلك من توقيفيات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اعتبار هذه الأحكام و نفوذها مدار مطابقتها للأحكام الشرعية التي جعلها الشارع في موازين القضاء و أبواب</w:t>
      </w:r>
    </w:p>
    <w:p>
      <w:pPr>
        <w:pStyle w:val="BookText"/>
        <w:rPr/>
      </w:pPr>
      <w:r>
        <w:rPr>
          <w:rFonts w:ascii="Amiri" w:hAnsi="Amiri" w:eastAsia="Amiri" w:cs="Amiri"/>
          <w:color w:val="111111"/>
          <w:sz w:val="28"/>
          <w:sz w:val="28"/>
          <w:szCs w:val="28"/>
          <w:rtl w:val="true"/>
          <w:lang w:bidi="ar-SA"/>
        </w:rPr>
        <w:t>الحدود و الديات 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حكم لم يطابقها لا اعتبار و لا مشروعية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إنفاذ هذه الأحكام مصالح واقعية يبتني عليها تشريع الأحكام الشرعية الأوّلية، كما أشار الكتاب المجيد بقوله تعالى وَ لَكُمْ فِي الْقِصاصِ حَياةٌ يا أُولِي الْأَلْبابِ </w:t>
      </w:r>
      <w:r>
        <w:rPr>
          <w:rStyle w:val="FootnoteAnchor"/>
          <w:rtl w:val="true"/>
        </w:rPr>
        <w:footnoteReference w:id="32"/>
      </w:r>
      <w:r>
        <w:rPr>
          <w:rFonts w:ascii="Amiri" w:hAnsi="Amiri" w:eastAsia="Amiri" w:cs="Amiri"/>
          <w:color w:val="111111"/>
          <w:sz w:val="28"/>
          <w:sz w:val="28"/>
          <w:szCs w:val="28"/>
          <w:rtl w:val="true"/>
          <w:lang w:bidi="ar-SA"/>
        </w:rPr>
        <w:t>، إلّا أنّ المقصود من المصلحة هاهنا ما هو مصلحة الإسلام و المسلمين بنظر شخص الحاكم، لا المصالح الواقعية الكائنة في تشريع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يبتني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 تكون شخصية، و ذلك كابتناء تعيين مقدار التعزير و نوعه على المصلحة الراجعة إلى شخص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تشخيص الحاكم؛ من طاقة بدن المجرم و شدّة جرمه و حصول التنبيه و منعه عن الفساد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المصلحة اجتماعية،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نظامية، إلى غير ذلك من جهات المصالح المترتبة على إنشاء الحكم و إنفاذه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الحكم يدور اعتباره و نفوذه مدار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ابتناء أصل ولاية الحاكم على رعاية مصالح الإسلام و المسلمين بشئونها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للإمام الخميني كلاماً جامعاً في ذلك نكتفي هاهنا بذكره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فالإسلام أسّس حكومة لا على نهج الاستبداد المحكّم فيه رأي الفرد و ميوله النفسانية من الجمع، و لا على نهج المشروطة أو الجمهورية المؤسّسة على القوانين البشرية، التي تفرض تحكيم آراء جماعة من البشر على المجتمع، بل حكومةً تستوحي و تستمدّ في جميع مجالاتها من القانون الإلهي، و ليس لأحد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7" w:name="pg937_10578"/>
    </w:p>
    <w:p>
      <w:pPr>
        <w:pStyle w:val="BookText"/>
        <w:rPr/>
      </w:pPr>
      <w:bookmarkEnd w:id="57"/>
      <w:r>
        <w:rPr>
          <w:rFonts w:ascii="Amiri" w:hAnsi="Amiri" w:eastAsia="Amiri" w:cs="Amiri"/>
          <w:color w:val="111111"/>
          <w:sz w:val="28"/>
          <w:sz w:val="28"/>
          <w:szCs w:val="28"/>
          <w:rtl w:val="true"/>
          <w:lang w:bidi="ar-SA"/>
        </w:rPr>
        <w:t>الولاة الاستبداد برأيه، بل جميع ما يجري في الحكومة و شئونها و لوازمها لا بدّ و أن يكون على طبق القانون الإلهي حتى الإطاعة لولاة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للوالي أن يعمل في الموضوعات على طبق الصلاح للمسلمين أو لأهل حوزته، و ليس ذلك استبداداً بالرأي، بل هو على طبق الصلاح، فرأيه تبعٌ للصلاح كعمله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فللفقيه العادل جميع ما للرسول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يرجع إلى الحكومة و السياسة، و لا يعقل الفرق؛ لأنّ الوالي أيّ شخص كان هو المجري لأحكام الشريعة و المقيم للحدود الإلهية و الآخذ للخراج و سائر الضرائب و المتصرّف فيها بما هو صلاح المسلمين،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الزاني مائة جلدة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الفقيه كذلك، و يأخذون الصدقات بمنوال واحد، و مع اقتضاء المصالح يأمرون الناس بالأوامر التي للوالي، و يجب إطاعتهم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733331_373438147"/>
      <w:bookmarkStart w:id="59" w:name="_Toc22"/>
      <w:bookmarkEnd w:id="58"/>
      <w:r>
        <w:rPr>
          <w:rtl w:val="true"/>
        </w:rPr>
        <w:t>الخامس</w:t>
      </w:r>
      <w:r>
        <w:rPr>
          <w:rtl w:val="true"/>
        </w:rPr>
        <w:t xml:space="preserve">: </w:t>
      </w:r>
      <w:r>
        <w:rPr>
          <w:rtl w:val="true"/>
        </w:rPr>
        <w:t>نطاق نفوذ الحكم الولائي</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الخلاف في أنّ الحكم الولائي هل يكون نافذاً عند مخالفته و مزاحمته للأحكام الأوّلية، أو يختص نفوذه بخصوص الأحكام التي لم يجعل الشارع فيها حكماً إلزامياً، من وجوب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الحكومي مقدّمٌ على جميع الأحكام عند المزاحمة أو يقدّم على خصوص أحكام غير إلزامية؟ فقد يستفاد من كلام بعض اختصاص نفوذه بغير الإلزاميات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يظهر ذلك من السيد الشهيد الصدر؛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نشاط و عمل لم يرد نصّ تشريعي يدلّ على حرمته أو وجوبه يسمح لولي الأمر بإعطائه صفة ثانوية، بالمنع عنه أو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الإمام عن فعل مباح بطبيعته، أصبح حراماً، و إذا أمر به، أصبح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الأفعال التي ثبت تشريعياً تحريمها بشكل عام، كالربا مثلاً، فليس من حق ولي الأمر،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الفعل الذي حكمت الشريعة بوجوبه، كإنفاق الزوج على زوجته، لا يمكن لولي الأمر المنع عنه، لأنّ طاعة اولي الأمر مفروضة في الحدود التي لا تتعارض مع طاعة اللّه و أحكامه العامة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كلامه و إن كان صحيحاً في تشريع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بإطلاقه يشمل إنشاء الحكم الولائي بالمناط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أوّل ما يرد عليه أنّ الآية التي استشهد لكلامه و هي أَطِيعُوا اللّهَ وَ أَطِيعُوا الرَّسُولَ وَ أُولِي الْأَمْرِ مِنْكُمْ لا تدلّ على مطلوبه؛ لما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إطاعة الرسول و أُولي الأمر طاعتهم في أوامرهم و أحكامهم الولائية، و إلّا يكون من قبيل طاعة اللّه لا طاعتهم؛ لأنّهم في تشريع الأحكام الأوّلية يخبرون عن حكم اللّه، من دون أن ينشئونها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على إطلاق كلامه فستعرفه في ترجيح القول الآخر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كلمات بعض آخر عدم اختصاص اعتبار الحكم الولائي و نفوذه بذلك، بل هو مقدّم على جميع الأحكام، حتى الإلزامية، و أنّه نافذٌ مطلقاً، سواءٌ خالف حكماً غير إلزامي أو حكماً إلزامياً، كما هو المستفاد من كلام صاحب الجواهر و صاحب العروة في توجيه تقدّم الحكم على الفتوى، و قد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بذلك السيد الإمام الخميني في مواضع عديدة من كلماته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اختلال النظام من عدم نفوذ الحكم في مطلق الموارد بتقديم الحكم الأوّلي الفتوائي عليه في موارد التزاحم، كما سبقت الإشارة إليه، و لا سيّما في موارد كان حكم الفقيه على أساس رعاية مصالح الإسلام و المسلمين و يبتني عليه حفظ كيان الإسلام و نواميس المسلمين و عزّتهم، فحينئذٍ يقدّم على جميع الأحكام الفرعية الأوّلية؛ نظراً إلى القطع بأهمّية ذلك عند الشارع بالنسبة إليها،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لأجل حفظ هذا المهم و تحصيله تباح الدماء، بل يجب القتال و بذل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بذلك يتضح موقف الولاية من بين الأحكام الإلهية و دورها الأساسي في حفظ جميع الأحكام الشرعية الأوّلية، كما جاء في النصوص أنّه لم يناد أحدٌ ما نودي بالولاية؛ لأنّها حافظة لجميع الأحكام و مفتاحهنّ‌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نفوذ الحكم و مشروعيته، فيشمل بإطلاقه موارد مخالفته للأحكام الأوّلية، و لا يلزم إلغاء تشريع الأحكام الأوّلية؛ و ذلك لأنّ متعلقها كلّي على نحو القضية الحقيقية و أمّا الحكم الولائي فمورده بعض مصاديق ذلك الحكم الأوّلي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الصناعة حينئذٍ تخصيص دليل الحكم الأوّلي بدليل وجوب إنفاذ الحكم الولائي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سبقت الإشارة إلى ذلك في كلام صاحب الجواهر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0" w:name="pg937_10587"/>
    </w:p>
    <w:p>
      <w:pPr>
        <w:pStyle w:val="Heading4"/>
        <w:numPr>
          <w:ilvl w:val="3"/>
          <w:numId w:val="1"/>
        </w:numPr>
        <w:rPr/>
      </w:pPr>
      <w:bookmarkStart w:id="61" w:name="__RefHeading___Toc733333_373438147"/>
      <w:bookmarkStart w:id="62" w:name="_Toc23"/>
      <w:bookmarkEnd w:id="60"/>
      <w:bookmarkEnd w:id="61"/>
      <w:r>
        <w:rPr>
          <w:rtl w:val="true"/>
        </w:rPr>
        <w:t>السادس</w:t>
      </w:r>
      <w:r>
        <w:rPr>
          <w:rtl w:val="true"/>
        </w:rPr>
        <w:t xml:space="preserve">: </w:t>
      </w:r>
      <w:r>
        <w:rPr>
          <w:rtl w:val="true"/>
        </w:rPr>
        <w:t xml:space="preserve">نماذج من الأحكام الصادرة عن النبي و الأئمّة </w:t>
      </w:r>
      <w:r>
        <w:rPr>
          <w:rtl w:val="true"/>
        </w:rPr>
        <w:t>(</w:t>
      </w:r>
      <w:r>
        <w:rPr>
          <w:rtl w:val="true"/>
        </w:rPr>
        <w:t>عليهم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لا ريب أنّ بعض الأحكام الصادرة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مختصاً بزمانهم و باقتضاء المصالح التي كانوا يرونها في إنفاذ تلك الأحكام التي أنشئوها على أساس ولايتهم التي جعلها اللّه لهم، فيعملون ولايتهم بإنشاء الأحكام الولائية الحكومية في جهة مصالح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صدرت الأحكام الولائية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هاهنا بذكر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الأحكام الولائية الصادرة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بتغيير الشيب بخضاب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بغربة الدين و قلّة أهله و لذا خصّه بزمانه، كما جاء عنه في نهج البلاغة</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الشيب و لا تشبّهوا باليهود،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و قد اتّسع نطاقه و 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فَامرُؤ و ما اختار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الحضور في صلاة الجماعة، و بإحراق البيوت الذين لا يحضرون الجماعة من جيران المسجد</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استحباب الخضاب و الحضور في صلاة الجماعة بالأدلّة القطعية من النصوص و الإجماع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 المسجد الضرار، كما نزل في شأن ذلك قوله</w:t>
      </w:r>
    </w:p>
    <w:p>
      <w:pPr>
        <w:pStyle w:val="BookText"/>
        <w:rPr/>
      </w:pPr>
      <w:r>
        <w:rPr>
          <w:rFonts w:ascii="Amiri" w:hAnsi="Amiri" w:eastAsia="Amiri" w:cs="Amiri"/>
          <w:color w:val="111111"/>
          <w:sz w:val="28"/>
          <w:sz w:val="28"/>
          <w:szCs w:val="28"/>
          <w:rtl w:val="true"/>
          <w:lang w:bidi="ar-SA"/>
        </w:rPr>
        <w:t>تعالى وَ الَّذِينَ اتَّخَذُوا مَسْجِداً ضِراراً وَ كُفْراً وَ تَفْرِيقاً بَيْنَ الْمُؤْمِنِينَ‌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مجمع البيان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عمرو بن عوف اتخذوا مسجد قبا و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يأتيهم فأتاهم و صلّى فيه، فحسدهم جماعة من بني غنم بن عوف، فقالوا نبني مسجداً فنصلّي فيه و لا نحضر جماعة محمّد، و كانوا اثنى عشر رجلاً، و قيل خمسة عشر رجلاً، منهم ثعلبة بن حاطب و معتب بن قشير و نبتل بن الحرث، فبنوا مسجداً إلى جنب مسجد قبا؛ فلمّا فرغوا منه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بنينا مسجداً لذي العلّة و الحاجة و الليلة الشاتية</w:t>
      </w:r>
      <w:r>
        <w:rPr>
          <w:rStyle w:val="FootnoteAnchor"/>
          <w:rtl w:val="true"/>
        </w:rPr>
        <w:footnoteReference w:id="41"/>
      </w:r>
      <w:r>
        <w:rPr>
          <w:rFonts w:ascii="Amiri" w:hAnsi="Amiri" w:eastAsia="Amiri" w:cs="Amiri"/>
          <w:color w:val="111111"/>
          <w:sz w:val="28"/>
          <w:sz w:val="28"/>
          <w:szCs w:val="28"/>
          <w:rtl w:val="true"/>
          <w:lang w:bidi="ar-SA"/>
        </w:rPr>
        <w:t xml:space="preserve">، و إنّا نحبّ أن تأتينا فتصلّي فيه لنا و تدعو بالبركة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جناح سفر، و لو قدمنا أتيناكم إن شاء فصلّينا 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رسول اللّه من تبوك نزلت عليه الآية في شأن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رسول اللّه عند قدومه من تبوك عاصم بن عوف العجلاني و مالك بن الدخشم و كان مالك من بني عمرو بن عوف،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هذا المسجد الظالم أهله فاهدماه و حرّقاه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بعث عمار بن ياسر و وحشياً فحرّقاه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بأن يتخذ كناسة يلقى فيها الجيف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بهدم هذا المسجد و إحراقه و إيجابه ذلك حكم ولائي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لحوم الحمر الأهلية و نكاح المتعة، كما دلّت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حسنة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لحوم الحُمُر الأهلية و نكاح المتعة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و إن حملها الشيخ و غيره على التقية، إلّا أنّ الظاهر كون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بذلك حكماً ولائياً باقتضاء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بعض المنافقين، كما نقل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الأصحاب بقتل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و الحويرث بن نفيل و ابن خطل و مقبس بن ضبابة، و أمرهم بقتل قينتين كانتا تغنّيان بهجاء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اقتلوهم و إن وجدتموهم متعلّقين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الحويرث بن نفيل و إحدى القينتين و أفلتت الأُخرى و قتل مقبس بن ضبابة في السوق</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كعب الأشراف و هو الذي كان يحرّض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يبكي على قتلى بدر، و كان يشبّ على نساء المسلمين، فقتله محمد بن مسلمة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 نخلة سمرة بن جندب، كما دلّ عليه ما رواه الصدوق بسنده الصحيح أنّه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لسمرة بن جندب نخلة في حائط بني فلان فكان إذا جاء إلى نخلته ينظر إلى شيء من أهل الرجل يكرهه الرجل قال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سمرة يدخل عليّ بغير إذني فلو أرسلت إليه فأمرته أن يستأذن حتّى تأخذ أهلي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حذرها منه،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ما شأن فلان يشكوك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بغير إذني فترى من أهله ما يكره ذلك، يا سمرة استأذن إذا أنت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يكون لك عذق في الجنة بنخلتك؟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يا سمرة إلّا مضارّاً اذهب يا فلان فاقطعها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بها وجهه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البادية أن لا يمنعوا من فضل ماء و لا كلأ، كما دلّ عليه ما رواه في الكافي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المدينة في مشارب النخل أنّه لا يمنع نفع الشيء، و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البادية أنّه لا يمنع فضل ماء ليمنع به فضل كلاءٍ‌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الأحكام الولائية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المتعة على عمّار و سليمان بن خالد ما داما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رواية الكليني بسنده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لسليمان بن خالد</w:t>
      </w:r>
    </w:p>
    <w:p>
      <w:pPr>
        <w:pStyle w:val="BookText"/>
        <w:rPr/>
      </w:pPr>
      <w:r>
        <w:rPr>
          <w:rFonts w:ascii="Amiri" w:hAnsi="Amiri" w:eastAsia="Amiri" w:cs="Amiri"/>
          <w:color w:val="111111"/>
          <w:sz w:val="28"/>
          <w:sz w:val="28"/>
          <w:szCs w:val="28"/>
          <w:rtl w:val="true"/>
          <w:lang w:bidi="ar-SA"/>
        </w:rPr>
        <w:t>قد حرّمت عليكما المتعة من قبلي ما دمتما بالمدينة، لأنّكما تكثران الدخول عليّ و 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بتسعير الأثمان و تحديد القيم في كتابه إلى مالك؛ حيث أمره بقوله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البيع بيعاً سمحاً بموازين عدل، و أَسعارٍ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تجحف 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 عاقبهُ في غيرِ إسراف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أخذه عثمان من الرعايا، من القطائع و الأموال إلى بيت المال، كما أشار إليه بقوله</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بايعه الناس أمر بكلّ ما كان في دار عثمان من مال و سلاح، و كل ما كان من أموال المسلمين، فقبضه، و ترك ما كان لعثمان ميراثاً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p>
    <w:p>
      <w:pPr>
        <w:pStyle w:val="BookText"/>
        <w:rPr/>
      </w:pPr>
      <w:r>
        <w:rPr>
          <w:rFonts w:ascii="Amiri" w:hAnsi="Amiri" w:eastAsia="Amiri" w:cs="Amiri"/>
          <w:color w:val="111111"/>
          <w:sz w:val="28"/>
          <w:sz w:val="28"/>
          <w:szCs w:val="28"/>
          <w:rtl w:val="true"/>
          <w:lang w:bidi="ar-SA"/>
        </w:rPr>
        <w:t>إلا، وكّل قطعة أقطعها عثمانُ أو مال أعطاه من مال اللّه فهو ردٌّ على المسلمين في بيت مالهم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ابى الحديد بعد ذكر موارد ردّت فيها قطائع عثمان و أمواله إلى بيت المال بأمر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ترتجع الأموال التي أجاز بها عثمان حيث أصيبت أو أصيبت أصحابها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باسترداد أموال الأشعث بن قيس، كما روي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الأشعث بن قيس، و كان عثمان استعمله على أذربيجان، فأصاب مائة ألف درهم،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عثمان إيّاها،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الأشعث في عمله، فأمره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بإحضارها فدافعه،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أصبها في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لئن أنت لم تُحضِرها بيتَ مال المسلمين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لأضربنك بسيفي هذا أصاب منك ما أصاب، فأحضرها و أخذها منه و صيرها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 عمّال عثمان، فأخذ منهم كلّ ما أصابه قائماً في أيديهم و ضمّنهم ما أتلفوا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الإمام الحسن المجتبى بقتل جاسوسي معاوية لمّا اطّلع على أنّه أرسلهما للتجسّس و الاستخبار، و هما الحميري و القيني، كما روى المجلسي في البحار عن إرشاد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معاوية بن أبي سفيان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بيعة الناس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دسّ رجلاً من حمير إلى الكوفة، و رجلاً من بني القين إلى البصرة ليكتبا إليه بالأخبار، و يفسدا على الحسن الأُمور، 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باستخراج الحميري من عند 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فأخرج و أمر بضرب عنقه، و كتب إلى البصرة باستخراج القيني من بني سليم، فأخرج و ضرب عنقه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قاتل معلّى بن خنيس، كما ورد في الرواية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ابنه إسماعيل بقوله</w:t>
      </w:r>
    </w:p>
    <w:p>
      <w:pPr>
        <w:pStyle w:val="BookText"/>
        <w:rPr/>
      </w:pPr>
      <w:r>
        <w:rPr>
          <w:rFonts w:ascii="Amiri" w:hAnsi="Amiri" w:eastAsia="Amiri" w:cs="Amiri"/>
          <w:color w:val="111111"/>
          <w:sz w:val="28"/>
          <w:sz w:val="28"/>
          <w:szCs w:val="28"/>
          <w:rtl w:val="true"/>
          <w:lang w:bidi="ar-SA"/>
        </w:rPr>
        <w:t>يا إسماعيل، شأنك به فخرج إسماعيل و السيف معه حتى قتله في مجلسه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الإمام الجواد بإيجاب الخمس في خصوص الذهب و الفضّة في سنة خاصّة و عفوه عما سواهما من الأمتعة و الأرباح و الفوائد، و إيجابه في سائر الأمتعة و الأرباح نصف السدس لخصوص من تقوم ضيعته بمئونته و إباحة باقي الخمس عليهم عفواً و تخفيفاً لهم، كما ورد في الصحيحة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3" w:name="pg937_10605"/>
    </w:p>
    <w:p>
      <w:pPr>
        <w:pStyle w:val="BookText"/>
        <w:rPr/>
      </w:pPr>
      <w:bookmarkEnd w:id="63"/>
      <w:r>
        <w:rPr>
          <w:rFonts w:ascii="Amiri" w:hAnsi="Amiri" w:eastAsia="Amiri" w:cs="Amiri"/>
          <w:color w:val="111111"/>
          <w:sz w:val="28"/>
          <w:sz w:val="28"/>
          <w:szCs w:val="28"/>
          <w:rtl w:val="true"/>
          <w:lang w:bidi="ar-SA"/>
        </w:rPr>
        <w:t xml:space="preserve">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أوجبت في سنتي هذه هذه سنة عشرين و مائتين فقط لمعنى من المعاني، أكره تفسير المعنى كلّه؛ خوفاً من الانتشار، و ساُفسّر لك بعضه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 أسأل اللّه صلاحهم أو بعضهم قصّروا فيما يجب عليهم؛ فعلمت ذلك فأحببت أن أُطهّرهم و أُزكّيهم بما فعلت من أمر الخمس 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أُوجب عليهم ذلك في كل عام و لا أُوجب عليهم إلّا الزكاة التي فرضها اللّه عليهم، و إنّما أوجبت عليهم الخمس في سنتي هذه في الذهب و الفضّة التي قد حال عليهما الحول، و لم أُوجب ذلك عليهم في متاع و لا آنية و لا دوابّ و لا خدم و لا ربح ربحه في تجارة و لا ضيعة إلّا ضيعة سأُفسّر لك أمرها؛ تخفيفاً منّي عن مواليَّ و منّاً مني عليهم لما يغتال السلطان من أموالهم و لما ينوبهم في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 الغلات في كلّ عام فهو نصف السدس ممّن كانت ضيعته تقوم بمئونته، و من كانت ضيعته لا تقوم بمئونته فليس عليه نصف سدس و لا غير ذلك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الأحكام الولائية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المصلحة و الضرورة مما ليس إجراءً للحكم الإلهي الأوّلي، الثابت في الشريعة للأشياء بعناوينها الأوّلية، بل هي من الأحكام الولائية الصادرة عمّن له الولاية على إصدار الحكم من جانب اللّه تعالى</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33335_373438147"/>
      <w:bookmarkStart w:id="65" w:name="_Toc24"/>
      <w:bookmarkEnd w:id="64"/>
      <w:r>
        <w:rPr>
          <w:rtl w:val="true"/>
        </w:rPr>
        <w:t>السابع</w:t>
      </w:r>
      <w:r>
        <w:rPr>
          <w:rtl w:val="true"/>
        </w:rPr>
        <w:t xml:space="preserve">: </w:t>
      </w:r>
      <w:r>
        <w:rPr>
          <w:rtl w:val="true"/>
        </w:rPr>
        <w:t>نماذج من الأحكام الولائية الصادرة من الفقهاء</w:t>
      </w:r>
      <w:bookmarkEnd w:id="65"/>
    </w:p>
    <w:p>
      <w:pPr>
        <w:pStyle w:val="Heading5"/>
        <w:numPr>
          <w:ilvl w:val="4"/>
          <w:numId w:val="1"/>
        </w:numPr>
        <w:rPr/>
      </w:pPr>
      <w:bookmarkStart w:id="66" w:name="__RefHeading___Toc733337_373438147"/>
      <w:bookmarkStart w:id="67" w:name="_Toc25"/>
      <w:bookmarkEnd w:id="66"/>
      <w:r>
        <w:rPr>
          <w:rtl w:val="true"/>
        </w:rPr>
        <w:t>اشارة</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فقهائنا و إن لم يكونوا مبسوطي اليد في عصر الغيبة؛ حيث كانت الحكومة تحت سيطرة سلاطين الجور و الطواغيت؛ إلّا أنّهم قد يتدخلون في الأُمور السياسية</w:t>
      </w:r>
    </w:p>
    <w:p>
      <w:pPr>
        <w:pStyle w:val="BookText"/>
        <w:rPr/>
      </w:pPr>
      <w:r>
        <w:rPr>
          <w:rFonts w:ascii="Amiri" w:hAnsi="Amiri" w:eastAsia="Amiri" w:cs="Amiri"/>
          <w:color w:val="111111"/>
          <w:sz w:val="28"/>
          <w:sz w:val="28"/>
          <w:szCs w:val="28"/>
          <w:rtl w:val="true"/>
          <w:lang w:bidi="ar-SA"/>
        </w:rPr>
        <w:t>و الثقافية و الاجتماعية، حسب ما كانوا يعتقدونه من عدم انفكاك الدين عن السياسة و أنّ الشارع الأقدس أعطى إليهم الولاية على إنفاذ أُمور المسلمين، و قد صدر منهم في طول زمن الغيبة الكبرى أحكامٌ ولائيةٌ؛ حفظاً لبيضة الإسلام و مصالح المسلمين، و نحن نكتفي هاهنا بذكر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جماعة من الفقهاء بتحريم ثياب الدول الخارجية الكافرة و أجناسهم و أمتعتهم و بخلع هذه الألبسة و نزعها و لبس الألبسة الإسلامية، فمن هذه الجماعة السيد محمد كاظم اليزدي صاحب العروة و شيخ الشريعة الأصبهاني و ميرزا فتح اللّه الشيرازي و المحقق آخوند الخراساني و الشيخ محمد حسن المامقاني و غيرهم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جماعة منهم بالجهاد و القتال في مقابل تجاوز بعض دول الكفر، كحكم السيد محمد كاظم اليزدي و السيد عبد الحسين لأرى بالقتال مع دول إنكليز و إيطاليا و روس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السيد الحسيني القمي بالكفاح و النضال مع أمرية الطاغوت بكشف الحجاب عن النساء في إيران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السيد محمد تقي الخونساري بتأميم صناعة النفط، مع تصريحة بأنّ ردّ هذا الحكم ردّ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لأحد في ذلك</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جماعة من الفقهاء بتحريم الانتخابات حينما أقدم دولة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الإنكليز على ترشيح الفيصل في عراق بعد هزيمتها الشنعاء و فشلها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الجماعة المحقق النائيني؛ حيث حكم صريحاً بتحريم هذه الانتخابات و بأنّ الحضور فيهما مخالفة اللّه تعالى و الرسول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المعروف الصادر من الميرزا الشيرازي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استعمال التوتون و التنباكو بأيّ نحو كان في حكم محاربة الإمام الحجة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الولائية الكثيرة الصادرة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كحكمه بتشكيل مجلس قيادة الثورة و نصب رؤساء الجمهور و أمراء الجيش و رئيس القوّة القضائية و سائر مسئولي النظام الإسلامي و حكمه بمصادرة أموال الطواغيت الفهلوية و عائلتهم، و حكمه بإعدام سلمان رشدي؛ لإهانته بساحة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بتأليف كتاب الآيات الشيطانية، و إن كان الأخير من قبيل إعلان الحكم الشرعي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الأحكام الولائية الصادرة من الفقهاء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ولاية الفقهاء على الحكم بين الناس لو كانت في إطار الأحكام الفرعية الشرعية الأوّلية، لا معنى لتفويض الولاية المطلقة الثابتة للنبي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بل لا يعقل ثبوت الولاية لهم على الحكومة و حفظ نظام الإسلام و مصالح المسلمين؛ لوضوح توقف ذلك على إنفاد كثير من الأحكام الثانوية المخالفة للأحكام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كالحكم بالخدمة العسكرية الإجبارية، و إيجاد الطرق و توسيع الشوارع و لو انجرّ إلى التصرّف في ملك الغير، و الحكم بمنع خروج العملة من المملكة الإسلامية و ورودها فيها، و الحكم بأخذ الضرائب المالية من التجار و أصناف الكسبة، و بالإجراءات الجمركية و تقييم الأجناس، و بحبس عوامل توزيع المواد المخدّرة و إعدامهم، إلى غير ذلك من الأحكام الولائية الصادرة من الحاكم لأجل حفظ النظام أو لمصالح الإسلام و المسلمين، ممّا يخالف الأحكام الشرعية الكلّية الأوّلية، و إنّ للإمام الراحل بياناً جامعاً في ذلك فراجع</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68" w:name="pg937_10617"/>
    </w:p>
    <w:p>
      <w:pPr>
        <w:pStyle w:val="Heading5"/>
        <w:numPr>
          <w:ilvl w:val="4"/>
          <w:numId w:val="1"/>
        </w:numPr>
        <w:rPr/>
      </w:pPr>
      <w:bookmarkStart w:id="69" w:name="__RefHeading___Toc733339_373438147"/>
      <w:bookmarkStart w:id="70" w:name="_Toc26"/>
      <w:bookmarkEnd w:id="68"/>
      <w:bookmarkEnd w:id="69"/>
      <w:r>
        <w:rPr>
          <w:rtl w:val="true"/>
        </w:rPr>
        <w:t>تحقيق في ولاية الفقيه على الحكومة و القضاء</w:t>
      </w:r>
      <w:bookmarkEnd w:id="70"/>
    </w:p>
    <w:p>
      <w:pPr>
        <w:pStyle w:val="BookText"/>
        <w:rPr/>
      </w:pPr>
      <w:r>
        <w:rPr>
          <w:rFonts w:ascii="Amiri" w:hAnsi="Amiri" w:eastAsia="Amiri" w:cs="Amiri"/>
          <w:color w:val="111111"/>
          <w:sz w:val="28"/>
          <w:sz w:val="28"/>
          <w:szCs w:val="28"/>
          <w:rtl w:val="true"/>
          <w:lang w:bidi="ar-SA"/>
        </w:rPr>
        <w:t>قد تقدّم أنّ مقتضى القاعدة العقلية عدم ثبوت الولاية لأحد غير اللّه سبحانه على أحد إلّا بالدليل القطعي و الحجّة المعتبرة الثابتة من جانبه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ذلك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القطعية من الكتاب و السنة المتواترة،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ثبوته في حق الفقهاء العدول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إقامة الدليل المعتبر لإثبات ولايتهم على الحكومة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أنّه كما ورد الدليل القطعي المعتبر في ثبوت الولاية على الحكومة و القضاء للنبي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ورد في حق فقهاء عصر الغيبة أيضاً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النصوص الدالّة على ثبوت منصب القضاء و الحكومة للنبي و الإمام لا دلالة لها بنفسها على ثبوتهما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دلالة بعض الآيات و الروايات على عدم جواز الحكومة و القضاء لهم فلا يصغي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بنفسها مع قطع النظر عن أدلّة التنزيل قاصرة عن إثبات ذلك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33341_373438147"/>
      <w:bookmarkStart w:id="72" w:name="_Toc27"/>
      <w:bookmarkEnd w:id="71"/>
      <w:r>
        <w:rPr>
          <w:rtl w:val="true"/>
        </w:rPr>
        <w:t>فيما استدلّ به على عدم ثبوت الولاية للفقهاء</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المستدلّ بها على عدم ثبوت الولاية على الحكومة و القضاء لغير 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لفظ الفاء ظاهرٌ في التفريع، و مقتضى ذلك كون جواز الحكم بين الناس من متفرّعات الخلافة و عدم جوازه لغير خليفة اللّه في الأرض، بل ظاهر هذه الآية عدم جوازه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خرجنا عن مدلولها بدلالة النصوص المتواترة على ثبوت الولاية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تفريع الأمر بالحكم إنّما هو على نفس الجعل لا على عنوان الخلافة لكي يدور الحكم مداره، فالذي يتفرّع منه جواز الحكومة بين الناس هو جعل الولاية على ذلك من جانب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إثبات شيء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منصب الخلافة و الحكومة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لا ينفي ثبوته لغيره، بل إنّما هو تابعٌ لدليل آخر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هذا الجعل للأئمّة أيضاً بدليل التنزيل الوارد في الروايات؛ حيث إنّه دلّت النصوص المتواترة على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اللّه في أرضه و ولاة أمره و أنّ بيدهم زمام أُمور الناس، بل الخلق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النصوص صحيحة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اتقوا الحكومة؛ فإنّ الحكومة إنّما هي للإمام العالم بالقضاء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 بطريق الصدوق؛ نظراً إلى صحة طريقه إلى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اختصاص منصب الحكومة بالنبي و الإمام؛ نظراً إلى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يجلسه إلّا نبيّ أو وصيّ نبيّ أو شقيّ‌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بهما على عدم ثبوت الولاية على الحكومة بل القضاء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الاستدلال بصحيحة سليمان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كاف التمثيل قرينة تدلّ على أنّ المقصود من الإمام العالم العادل معناه العام و أنّ النبي و الوصي ذكرا بعنوان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العام يشمل الفقيه العادل المتكفّل لقيادة الأُمّة و زعامتهم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نسخة الفقيه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بناءً على ما في نسخة الكافي و التهذيب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إلّا أنّ المتعيّن هو نسخة الفقيه لصحة سند الصدوق إلى سليمان بن خالد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وصى النبي عنوان عام يمكن انطباقه على الفقهاء العدول بأدلّة التنزيل، كما ورد أنّهم ورثة الأنبياء</w:t>
      </w:r>
      <w:r>
        <w:rPr>
          <w:rStyle w:val="FootnoteAnchor"/>
          <w:rtl w:val="true"/>
        </w:rPr>
        <w:footnoteReference w:id="68"/>
      </w:r>
      <w:r>
        <w:rPr>
          <w:rFonts w:ascii="IRNazanin" w:hAnsi="IRNazanin" w:eastAsia="IRNazanin"/>
          <w:color w:val="111111"/>
          <w:sz w:val="28"/>
          <w:sz w:val="28"/>
          <w:szCs w:val="28"/>
          <w:rtl w:val="true"/>
          <w:lang w:bidi="fa-IR"/>
        </w:rPr>
        <w:t>و أُمناء الرسل</w:t>
      </w:r>
      <w:r>
        <w:rPr>
          <w:rStyle w:val="FootnoteAnchor"/>
          <w:rtl w:val="true"/>
        </w:rPr>
        <w:footnoteReference w:id="69"/>
      </w:r>
      <w:r>
        <w:rPr>
          <w:rFonts w:ascii="Amiri" w:hAnsi="Amiri" w:eastAsia="Amiri" w:cs="Amiri"/>
          <w:color w:val="111111"/>
          <w:sz w:val="28"/>
          <w:sz w:val="28"/>
          <w:szCs w:val="28"/>
          <w:rtl w:val="true"/>
          <w:lang w:bidi="ar-SA"/>
        </w:rPr>
        <w:t>و حكام على الناس</w:t>
      </w:r>
      <w:r>
        <w:rPr>
          <w:rStyle w:val="FootnoteAnchor"/>
          <w:rtl w:val="true"/>
        </w:rPr>
        <w:footnoteReference w:id="70"/>
      </w:r>
      <w:r>
        <w:rPr>
          <w:rFonts w:ascii="Amiri" w:hAnsi="Amiri" w:eastAsia="Amiri" w:cs="Amiri"/>
          <w:color w:val="111111"/>
          <w:sz w:val="28"/>
          <w:sz w:val="28"/>
          <w:szCs w:val="28"/>
          <w:rtl w:val="true"/>
          <w:lang w:bidi="ar-SA"/>
        </w:rPr>
        <w:t>و الكافلين لأيتام آل محمد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أنّه على فرض كون المراد من الوصي الأئمّة المعصومين لا غيرهم فأيّ مانع من تعيينهم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نصبهم الفقهاء العدول أوصيائهم و ولاة الأمر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دلّت النصوص المستفيضة على ذلك؛ فتدخل ولاية المنصوبين من قبلهم بذلك في ولايتهم بالجعل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المنفية عن غير النبي و الوصي بالحصر على فرضه هي الولاية بالأصالة لا بالتنزيل و النيابة، و إن يشكل على ذلك بأنّ الغرض الأصلي بيان شرائط الأهلية للقضاء في ضمن حصرها لمن له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من هذه الجهة بين الولاية بالأصالة و بالنيابة؛ فإنّ غير المتأهّل للولاية لا يستأهل لها بلا فرق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إسحاق بن عمار فمضافاً إلى الإشكال المزبور ضعيف سنداً؛ لوقوع مفضّل بن صالح أبي جميلة الكذّاب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قصور الآيات و النصوص المزبورة عن إثبات الولاية للفقهاء، فلا بدّ من التماس دليل آخر من الضرورة أو دليل التنزيل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يحتاج إثبات جواز القضاء و الحكومة للفقيه في عصر الغيبة إلى الدليل</w:t>
      </w:r>
      <w:r>
        <w:rPr>
          <w:rFonts w:eastAsia="Amiri" w:cs="Amiri" w:ascii="Amiri" w:hAnsi="Amiri"/>
          <w:color w:val="111111"/>
          <w:sz w:val="28"/>
          <w:szCs w:val="28"/>
          <w:rtl w:val="true"/>
          <w:lang w:bidi="ar-SA"/>
        </w:rPr>
        <w:t>.</w:t>
      </w:r>
      <w:bookmarkStart w:id="73" w:name="pg937_10629"/>
    </w:p>
    <w:p>
      <w:pPr>
        <w:pStyle w:val="Heading4"/>
        <w:numPr>
          <w:ilvl w:val="3"/>
          <w:numId w:val="1"/>
        </w:numPr>
        <w:rPr/>
      </w:pPr>
      <w:bookmarkStart w:id="74" w:name="__RefHeading___Toc733343_373438147"/>
      <w:bookmarkStart w:id="75" w:name="_Toc28"/>
      <w:bookmarkEnd w:id="73"/>
      <w:bookmarkEnd w:id="74"/>
      <w:r>
        <w:rPr>
          <w:rtl w:val="true"/>
        </w:rPr>
        <w:t>أدلّة ولاية الفقيه المطلقة</w:t>
      </w:r>
      <w:bookmarkEnd w:id="75"/>
    </w:p>
    <w:p>
      <w:pPr>
        <w:pStyle w:val="Heading5"/>
        <w:numPr>
          <w:ilvl w:val="4"/>
          <w:numId w:val="1"/>
        </w:numPr>
        <w:rPr/>
      </w:pPr>
      <w:bookmarkStart w:id="76" w:name="__RefHeading___Toc733345_373438147"/>
      <w:bookmarkStart w:id="77" w:name="_Toc29"/>
      <w:bookmarkEnd w:id="76"/>
      <w:r>
        <w:rPr>
          <w:rtl w:val="true"/>
        </w:rPr>
        <w:t>الاستدلال بالإجماع و الشهرة</w:t>
      </w:r>
      <w:bookmarkEnd w:id="77"/>
    </w:p>
    <w:p>
      <w:pPr>
        <w:pStyle w:val="Heading6"/>
        <w:numPr>
          <w:ilvl w:val="5"/>
          <w:numId w:val="1"/>
        </w:numPr>
        <w:rPr/>
      </w:pPr>
      <w:bookmarkStart w:id="78" w:name="__RefHeading___Toc733347_373438147"/>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لا خلاف بين الأصحاب في ثبوت الولاية للفقيه العادل على تولّي القضاء في فصل الخصومات و إقامة الحدود و تولّي أُمور الغيّب و القصّر و الصغار و أخذ الواجبات المالية، من الأخماس و الزكوات و إقامة الحدود، بل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الجوامع الفقهية مشحونة من كلمات فقهائنا العظام، من القدماء و المتأخرين، بل صرّح بعضهم بأنّ ذلك مقتضى ضرورة المذهب و أنّ كلماتهم في ذلك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بل لا حاجة إلى نقلها؛ لوضوح ذلك و عدم الخلاف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ثبوت الولاية له في جميع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الحكومة و الإمارة،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تأسيس الحكومة الإسلامية و ثبوت الولاية العامة على حكومة الإسلام للفقيه العادل في عصر الغيبة، و كذا ولايته على إجراء الحدود و القصاص و الديات، بل جميع الأحكام مشهورٌ بين الأصحاب، من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بعضهم بأنّ ذلك مما اتفق عليه أصحابنا، و أنّه من ضرورة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عدم تعرّض بعضهم لذلك لعلّه من باب الإيكال إلى الوضوح</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33349_373438147"/>
      <w:bookmarkStart w:id="81" w:name="_Toc31"/>
      <w:bookmarkEnd w:id="80"/>
      <w:r>
        <w:rPr>
          <w:rtl w:val="true"/>
        </w:rPr>
        <w:t>كلمات الأصحاب في ولاية الفقيه المطلقة</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المحقق الكركي في رسالة التي ألّفها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أصحابنا على أنّ الفقيه العدل الإمامي الجامع لشرائط الفتوى، المعبّر عنه بالمجتهد في</w:t>
      </w:r>
    </w:p>
    <w:p>
      <w:pPr>
        <w:pStyle w:val="BookText"/>
        <w:rPr/>
      </w:pPr>
      <w:r>
        <w:rPr>
          <w:rFonts w:ascii="Amiri" w:hAnsi="Amiri" w:eastAsia="Amiri" w:cs="Amiri"/>
          <w:color w:val="111111"/>
          <w:sz w:val="28"/>
          <w:sz w:val="28"/>
          <w:szCs w:val="28"/>
          <w:rtl w:val="true"/>
          <w:lang w:bidi="ar-SA"/>
        </w:rPr>
        <w:t xml:space="preserve">الأحكام الشرعية نائب من قبل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في جميع ما للنيابة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استثنى الأصحاب القتل و الحدود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كلامه هذا أنّ ثبوت الولاية للفقيه في غير القتل و الحدود مورد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شرائط الفقيه النائب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الفقيه الموصوف بالأوصاف المعينة منصوب من قبل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عنهم في جميع ما للنيابة فيه مدخل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استنابة على وجه كلّي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علل جواز تولّي أخذ الخراجات و المقاسمات و الزكوات للفقيه في زمان الغيبة بثبوت الولاية المطلقة للفقيه في عصر الغيبة عند كل من يرى جواز إقامة الحدود و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جوّز للفقهاء في حال الغيبة تولّي استيفاء الحدود و غير ذلك من توابع منصب الإمامة ينبغي تجويزه لهذا بالطريق الأولى لأنّ هذا أقلّ منه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في كثير من أحوال كبراء علمائنا السالفين مثل السيد الشريف المرتضى علم الهدى، و أعلم المحققين من المتقدمين و المتأخرين نصير الحق و الدين الطوسي و بحر العلوم مفتي الفرق جمال الملّة و الدين الحسن بن يوسف بن مطهر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متأمّل منصف لم يعترضه الشك في أنّهم كانوا يسلكون هذا المنهج و يقيمون هذا السبيل و ما كانوا ليودعوا بطون كتبهم إلّا ما يعتقدون صحته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علل تمامية الوقف و انقطاع ملكية الموقوف عن سلطنة الواقف بقبض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أو من فوّض الحاكم إليه القبض بأنّ للحاكم الولاية العامة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علل اعتبار قبض الحاكم و نفوذه بأنّه الوالي للمصالح العامة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بعد حكمه بعدم جواز تولّي الحكومة من قبل الطواغيت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تأمّر على الناس من أهل الحق بتمكين ظالم له و كان أميراً من قبله في ظاهر الحال فإنّما هو أميرٌ في الحقيقة من قبل صاحب الأمر الذي سوّغه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له فيه دون المتغلّب من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يصلح للولاية على الناس لجهل بالأحكام أو عجز عن القيام بما يسند إليه من أُمور الناس فلا يحلّ له التعرّض لذلك</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دلالة كلامه على ثبوت الولاية للفقيه العادل أنّ الولاية على الإمارة أوسع نطاقاً من الولاية على الحكم في فصل الخصومات و إجراء الحدود و على أخذ الحقوق المالية، فإنّها تشمل جميع شئون الحكومة و الرئاسة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الحكم بين الناس و القضاء بين المختلفين فلا يجوز أيضاً إلّا لمن أذن له سلطان الحق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فوّضوا ذلك إلى فقهاء شيعتهم في حال لا يتمكنون فيه تولّيه بنفوسهم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فوّضوا إلى الفقهاء إقامة الحدود و الأحكام بين الناس بعد أن لا يتعدّوا واجباً و لا يتجاوزوا حدّا، و أمروا عامّة الشيعة بمعاونة الفقهاء على ذلك ما استقاموا على الطريقة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لفظ الحكم في مقابل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في كلام الشيخ يشمل جميع موارد الحكم، و لو في غير فصل الخصومة، كما أنّ إقامة الحدود و الأحكام في كلام سلّار يشمل جميع موارد إقامة الأحكام بدلالة الجمع المحلّى 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الجواهر</w:t>
      </w:r>
      <w:r>
        <w:rPr>
          <w:rStyle w:val="FootnoteAnchor"/>
          <w:rtl w:val="true"/>
        </w:rPr>
        <w:footnoteReference w:id="80"/>
      </w:r>
      <w:r>
        <w:rPr>
          <w:rFonts w:ascii="Amiri" w:hAnsi="Amiri" w:eastAsia="Amiri" w:cs="Amiri"/>
          <w:color w:val="111111"/>
          <w:sz w:val="28"/>
          <w:sz w:val="28"/>
          <w:szCs w:val="28"/>
          <w:rtl w:val="true"/>
          <w:lang w:bidi="ar-SA"/>
        </w:rPr>
        <w:t>بأنّ عبارته في المراسم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يدلّ كلامه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تنفيذ الأحكام الشرعية و الحكم بمقتضى التعبّد فيها من فروض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تنفيذها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لغير شيعتهم تولّي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لمن لم يتكامل له شروط النائب عن الإمام في الحكم من شيعته؛ و هي العلم و التمكن و اجتماع العقل و الرأي و سعة الحلم و البصيرة بالوضع و ظهور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تكاملت هذه الشروط فقد أذن له في تقلّد الحكم؛ لكون هذه الولاية أمراً بمعروف و نهياً عن منكر تعيّن فرضها بالتعريض للولاية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نائب عن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 مأهول له؛ لثبوت الإذن منه و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بصفته في ذلك، و لا يحلّ له القعود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 في الدين مأمورون بالتحاكم و حمل حقوق الأموال إليه و التمكين من أنفسهم لحدّ أو تأديب تعيّن عليهم لا يحل لهم الرغبة عنه و لا الخروج عن حكمه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بذلك في السرائر أيضاً بنفس التعبير المزبور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كلامهما و إن كان له ظهور في الولاية المطلقة بعرضها العريض و لكن يشمل معظم مواردها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حيث علّل وجوب صرف الزكاة إلى الفقيه المأمون عند تعذّر إيصالها إلى الإمام بقوله</w:t>
      </w:r>
    </w:p>
    <w:p>
      <w:pPr>
        <w:pStyle w:val="BookText"/>
        <w:rPr/>
      </w:pPr>
      <w:r>
        <w:rPr>
          <w:rFonts w:ascii="Amiri" w:hAnsi="Amiri" w:eastAsia="Amiri" w:cs="Amiri"/>
          <w:color w:val="111111"/>
          <w:sz w:val="28"/>
          <w:sz w:val="28"/>
          <w:szCs w:val="28"/>
          <w:rtl w:val="true"/>
          <w:lang w:bidi="ar-SA"/>
        </w:rPr>
        <w:t xml:space="preserve">لأنّه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ولاية ما يتولّاه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كلامه ظاهرٌ في ثبوت الولاية للفقيه في كلّ ما يتولّاه الإمام من أمر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المختلف بعد نقل كلام سلّار و تقويته بأنّ الأحاديث الدالّة على تسويغ الحكم للفقهاء تعمّ إقامة الحدود و غيرها</w:t>
      </w:r>
      <w:r>
        <w:rPr>
          <w:rStyle w:val="FootnoteAnchor"/>
          <w:rtl w:val="true"/>
        </w:rPr>
        <w:footnoteReference w:id="84"/>
      </w:r>
      <w:r>
        <w:rPr>
          <w:rFonts w:ascii="Amiri" w:hAnsi="Amiri" w:eastAsia="Amiri" w:cs="Amiri"/>
          <w:color w:val="111111"/>
          <w:sz w:val="28"/>
          <w:sz w:val="28"/>
          <w:szCs w:val="28"/>
          <w:rtl w:val="true"/>
          <w:lang w:bidi="ar-SA"/>
        </w:rPr>
        <w:t>، و في التذكرة بنى عليه الجزم بجواز الحكم و الإفتاء للفقيه ما لم يخف على نفسه أو على أحد من المؤمنين</w:t>
      </w:r>
      <w:r>
        <w:rPr>
          <w:rStyle w:val="FootnoteAnchor"/>
          <w:rtl w:val="true"/>
        </w:rPr>
        <w:footnoteReference w:id="85"/>
      </w:r>
      <w:r>
        <w:rPr>
          <w:rFonts w:ascii="Amiri" w:hAnsi="Amiri" w:eastAsia="Amiri" w:cs="Amiri"/>
          <w:color w:val="111111"/>
          <w:sz w:val="28"/>
          <w:sz w:val="28"/>
          <w:szCs w:val="28"/>
          <w:rtl w:val="true"/>
          <w:lang w:bidi="ar-SA"/>
        </w:rPr>
        <w:t>، و صرّح بذلك أيضاً في التحرير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و الفتيا بين الناس منوطٌ بنظر الإمام فلا يجوز لأحد التعرّض له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فوّض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فقهاء شيعتهم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روض الجنان، حيث علّل عدم دلالة دليل اختصاص إقامة الجمعة بالإمام أو نائبه على نفيه للفقيه، بأنّ الفقيه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العموم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في المسالك أيضاً بأنّه منصوب للمصالح العامة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المحقق الأردبيلي بأنّ تولّى الحاكم لأُمور المجانين و الغيّب و القصّر و الصغار من باب الولاية العامة و وجّه بذلك ولايته على جميع المصالح العامة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السبزواري حيث علّل ما جزم به الشهيد في الدروس من بقاء سهم العاملين في زمن الغيبة، بأنّ الحاكم نائب الإمام على العموم</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علّل بذلك أفضلية تولّى الفقيه إخراج الفطرة في عصر الغيبة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الهندي؛ حيث علّل ولاية الحاكم على إجبار الزوجين عند الشقاق و الاختلاف على الإصلاح بثبوت الولاية العامة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للحاكم الولاية العامة و أنّهما إذا امتنعا من الإصلاح كان للحاكم أن يجبرهما عليه بما يراه و يدفع الظالم عن ظلمه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صرّح بثبوت الولاية المطلقة للفقيه في عصر الغيبة هو السيد محمد آل بحر العلوم فإنّه في ضمن بحث مفصّل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يتوقف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هم الفقهاء أو طائفة مخصوصة غيرهم، و الأخير باطل قطعاً، لعدم الدليل عليه، بل و لا الإشارة منه إليه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كون المنصوب هو الفقيه الجامع للشرائط في زمن الغيبة مع ظهور بعض الأدلّة المتقدمة في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و قوله</w:t>
      </w:r>
    </w:p>
    <w:p>
      <w:pPr>
        <w:pStyle w:val="BookText"/>
        <w:rPr/>
      </w:pPr>
      <w:r>
        <w:rPr>
          <w:rFonts w:ascii="Amiri" w:hAnsi="Amiri" w:eastAsia="Amiri" w:cs="Amiri"/>
          <w:color w:val="111111"/>
          <w:sz w:val="28"/>
          <w:sz w:val="28"/>
          <w:szCs w:val="28"/>
          <w:rtl w:val="true"/>
          <w:lang w:bidi="ar-SA"/>
        </w:rPr>
        <w:t>مجاري الأُمور بيد العلماء و قوله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حجتي عليكم، و جعلته حاكماً فإنّ المتبادر منها عرفاً استخلاف الفقيه على الرعية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إعطاء قاعدة لهم كلّية بالرجوع إليه في كل ما يحتاجون إليه في أُمورهم المتوقفة على نظر الإمام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الهمداني؛ حيث صرّح بثبوت النيابة للفقيه عن الإمام في كل ما يرجع فيه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بحث مفصّل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من تفريع إرجاع العوام إلى الرواة على جعلهم حجّةً عليهم أنّه أُريد بجعلهم حجةً إقامتهم مقامه في ما يرجع فيه إليه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العوائد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كلّية ما للفقيه العادل تولّيه و له الولاية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الذين هم سلاطين الأنام و حصون الإسلام فيه الولاية و كان لهم فللفقيه أيضاً ذلك إلّا ما أخرجه الدليل من إجماع أو نص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متعلّق بأُمور العباد في دينهم أو دنياهم لا بدّ من الإتيان به و لا مفرّ منه إمّا عقلاً أو عادة من جهة توقّف أُمور المعاد أو المعاش لواحد أو جماعة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إناطة انتظام أُمور الدين أو الدنيا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شرعاً من جهة ورود أمر به أو إجماع أو نفي ضرر أو إضرار أو عسر أو حرج أو فساد على مسلم أو دليل آخر، أو ورود الإذن فيه من الشارع و لم يجعل وظيفته لمعيّن واحد أو جماعة و لا لغير معيّن أي واحد لا بعينه بل علم لابدّية الإتيان به أو الإذن فيه و لم يعلم المأمور به و لا المأذون فيه، فهو وظيفة الفقيه و له التصرّف فيه و الإتيان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فالدليل عليه بعد ظاهر الإجماع حيث نصّ به كثيرٌ من الأصحاب بحيث يظهر منهم كونه من المسلّمات ما صرّحت به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بعد الإجماع أيضاً أمران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صرّح بثبوت الولاية المطلقة للفقيه في عصر الغيبة، و أحكم بنيان ذلك خاتم الفقهاء و المجتهدين و خرّيت صناعة الفقه، الشيخ محمد حسن النجفي؛ فإنّه نقل في الجواهر عن الإسكافي و الشيخين و الديلمي و الفاضل و الشهيدين و المقداد و ابن فهد و الكركي و السبزواري و الكاشاني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يجوز للفقهاء العارفين بالأحكام الشرعية عن أدلّتها التفصيلية العدول إقامة الحدود في حال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لهم الحكم بين الناس مع الأمن من ضرر سلطان الوقت فيجب على الناس مساعدتهم على ذلك، كما يجب مساعدة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المشهور، بل لا أجد فيه خلافاً إلّا ما يحكى عن ظاهر ابني زهرة و إدريس و لم نتحققه بل لعلّ المتحقق خلافه إذ قد سمعت سابقاً معقد إجماع الثاني منهما الذي يمكن اندراج الفقيه في الحكام عنهم منه، فيكون حينئذٍ إجماعه عليه لا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التنقيح من الحكاية عن سلّار أنّه جوّز الإقامة ما لم يكن قتلاً أو جرحاً كذلك أيضاً؛ فإنّ عبارته في المراسم عامة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كلامه بعين العبارة المتقدّمة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منه ينقدح التأييد بعموم الأمر بالجلد للزاني و القطع للسارق و نحوهما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تعطيل الحدود يفضي إلى ارتكاب المحارم و انتشار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المفاسد و ذلك مطلوب الترك في نظر الشرع، و بأنّ المقتضي لإقامة الحدّ قائم في صورتي حضور الإمام 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الحكمة عائدة إلى مقيمه قطعاً فتكون عائدةً إلى مستحقّه أو إلى نوع من المكلّفين، و على التقديرين لا بدّ من إقامته مطلقاً بثبوت النيابة لهم في كثير من المواضع على وجه يظهر منه عدم الفرق بين مناصب الإمام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المفروغية منه بين الأصحاب فإنّ كتبهم مملوّة بالرجوع إلى الحاكم المراد به نائب الغيبة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الغريب وسوسة بعض الناس في ذلك بل كأنّه ما ذاق من طعم الفقه شيئاً و لا فهم من لحن قولهم و رموزهم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 لا تأمّل في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جعلته عليكم حاكماً و قاضياً و حجّةً و خليفة و نحو ذلك ممّا يظهر منه ارادة نظم زمان الغيبة لشيعتهم في كثير من الأُمور الراجعة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صفحتين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المطلق الجامع للشرائط المفروغ من تعدادها و تفصيلها في محلّه إذ هو المتيقن من النصوص و الإجماع بقسميه بل الضرورة من المذهب نيابته في زمن الغيبة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نحوه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صرّح بثبوت الولاية العامة لفقهاء الشيعة في عصر الغيبة هو الشيخ الأعظم الأنصاري في كتاب القضاء و الشهادات، رغم ما اشتهر في الألسنة من نسبة المخالفة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هو وظيفة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شغله و مباشرة فصل الأُمور الواقعة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أنّها مختصّة في كل زمان بإمام ذلك الزمان، فإذا وكّله إلى غيره فهو نائبٌ عنه و وال فيما هو من وظيفة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أنّه إذا انتفت الوظيفة، انتفت النيابة و الولاية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وليّ فيه و له السلطنة عليه، و لا ريب في أنّ هذه الولاية و السلطنة تعمّ جميع الأُمور إلى يوم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وكّله كلاّ أو بعضاً إلى غيره فهو وال عنه فيما له الولاية فإذا لم يقيّد توليته بزمان استمرّ زمان ولايته تبعاً لولاية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ولاية الأصل ثابتة حتى في الأُمور الواقعة بعده، فولاية الفرع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الفرق بين ما هو وظيفةٌ و شغلٌ لإمام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ماله فيه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القضاة المنصوبين التي ينصبهم بالخصوص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الفقهاء المنصوبين منه بالتولية العامة فهو من قبيل الثاني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أيضاً في هذا الكتاب بظهور التوقيع و المقبولة في ثبوت الولاية المطلقة للفقيه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التوقيع الرفيع فصدره و إن كان مختصّاً بالأحكام الشرعية الكلّية من حيث تعلّق حكم الرجوع إلى رواة الحديث؛ فدلّ على كون الرجوع إليه فيما لرواية الحديث مدخلٌ فيه،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w:t>
      </w:r>
    </w:p>
    <w:p>
      <w:pPr>
        <w:pStyle w:val="BookText"/>
        <w:rPr/>
      </w:pPr>
      <w:r>
        <w:rPr>
          <w:rFonts w:ascii="Amiri" w:hAnsi="Amiri" w:eastAsia="Amiri" w:cs="Amiri"/>
          <w:color w:val="111111"/>
          <w:sz w:val="28"/>
          <w:sz w:val="28"/>
          <w:szCs w:val="28"/>
          <w:rtl w:val="true"/>
          <w:lang w:bidi="ar-SA"/>
        </w:rPr>
        <w:t>أنّهم حجتي عليكم، يدلّ على وجوب العمل بجميع ما يلزمون و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لو حكم بكون شخص سارقاً بعلمه أو بالبينة، وجب قطع يده و الحكم بفسقه، فكذلك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عيد أو أوّل الشهر،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الفلاني حكمت بفسقه أو بعدالته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تقريب الاستدلال بالتوقيع و بالمقبولة بوجه أوضح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نفوذ حكم الحاكم في الموضوعات الخاصة إذا كانت محلاّ للتخاصم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الرضا بحكومته في الخصومات بجعله حاكماً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2" w:name="pg937_10659"/>
    </w:p>
    <w:p>
      <w:pPr>
        <w:pStyle w:val="BookText"/>
        <w:rPr/>
      </w:pPr>
      <w:bookmarkEnd w:id="82"/>
      <w:r>
        <w:rPr>
          <w:rFonts w:ascii="Amiri" w:hAnsi="Amiri" w:eastAsia="Amiri" w:cs="Amiri"/>
          <w:color w:val="111111"/>
          <w:sz w:val="28"/>
          <w:sz w:val="28"/>
          <w:szCs w:val="28"/>
          <w:rtl w:val="true"/>
          <w:lang w:bidi="ar-SA"/>
        </w:rPr>
        <w:t>على الإطلاق و حجةً كذلك، يدلّ على كون حكمه في الخصومات و الوقائع من فروع حكومته المطلقة و حجيته العامة، فلا يختصّ بصورة التخاصم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علّل في كتاب الزكاة وجوب دفع الزكاة إلى الفقيه لو طلبها بثبوت الولاية العامة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طلبها الفقيه فمقتضى أدلّة النيابة العامة وجوب الدفع؛ لأنّ منعه ردّ عليه و الرادّ عليه رادّ على اللّه تعالى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و التعابير الواردة من الفقهاء في ذلك، و أنّ المتتبع يجد أكثر مما نقلناه بأضعاف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الاستدلال على ثبوت الولاية للفقيه بضرورة الدين و العقل و بناء العقلاء و دليل الحسبة و طوائف من الآيات و النصوص المتظافرة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33351_373438147"/>
      <w:bookmarkStart w:id="84" w:name="_Toc32"/>
      <w:bookmarkEnd w:id="83"/>
      <w:r>
        <w:rPr>
          <w:rtl w:val="true"/>
        </w:rPr>
        <w:t>الاستدلال بالضرورة</w:t>
      </w:r>
      <w:bookmarkEnd w:id="84"/>
    </w:p>
    <w:p>
      <w:pPr>
        <w:pStyle w:val="BookText"/>
        <w:rPr/>
      </w:pPr>
      <w:r>
        <w:rPr>
          <w:rFonts w:ascii="Amiri" w:hAnsi="Amiri" w:eastAsia="Amiri" w:cs="Amiri"/>
          <w:color w:val="111111"/>
          <w:sz w:val="28"/>
          <w:sz w:val="28"/>
          <w:szCs w:val="28"/>
          <w:rtl w:val="true"/>
          <w:lang w:bidi="ar-SA"/>
        </w:rPr>
        <w:t>أمّا الضرورة فيمكن تقريبها بوجهين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السيد الإمام الراحل في رسالة الاجتهاد و التقليد</w:t>
      </w:r>
      <w:r>
        <w:rPr>
          <w:rStyle w:val="FootnoteAnchor"/>
          <w:rtl w:val="true"/>
        </w:rPr>
        <w:footnoteReference w:id="101"/>
      </w:r>
      <w:r>
        <w:rPr>
          <w:rFonts w:ascii="Amiri" w:hAnsi="Amiri" w:eastAsia="Amiri" w:cs="Amiri"/>
          <w:color w:val="111111"/>
          <w:sz w:val="28"/>
          <w:sz w:val="28"/>
          <w:szCs w:val="28"/>
          <w:rtl w:val="true"/>
          <w:lang w:bidi="ar-SA"/>
        </w:rPr>
        <w:t xml:space="preserve">، بتقريب أنّا نعلم علماً ضرورياً بأنّ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خاتم الأنبياء و دينه أكمل الأديان، بعد عدم إهماله شيئاً مما يحتاج الناس إلى بيان حكمه حتى آداب النوم و الأكل، بل أرش الخدش لم يهمل هذا الأمر الذي من أهمّ ما يحتاج إليه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أهمل و العياذ باللّه مثل هذا الأمر المهم؛ أي السياسة و الحكومة، لكان تشريعه ناقصاً و كان مخالفاً لخطبته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w:t>
      </w:r>
    </w:p>
    <w:p>
      <w:pPr>
        <w:pStyle w:val="BookText"/>
        <w:rPr/>
      </w:pPr>
      <w:r>
        <w:rPr>
          <w:rFonts w:ascii="Amiri" w:hAnsi="Amiri" w:eastAsia="Amiri" w:cs="Amiri"/>
          <w:color w:val="111111"/>
          <w:sz w:val="28"/>
          <w:sz w:val="28"/>
          <w:szCs w:val="28"/>
          <w:rtl w:val="true"/>
          <w:lang w:bidi="ar-SA"/>
        </w:rPr>
        <w:t xml:space="preserve">يعيّن تكليفهم في زمان الغيبة أو لم 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مع أنّه نفسه أخبر بوقوع الغيبة و طول زمانها، كان نقصاً فاحشاً على ساحة الشارع في تقنين الشريعة، نعوذ باللّه من إسناد ذلك إلى مقامه الرفيع و شأنه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فالضرورة قاضية بأنّ الأُمّة بعد غيبة الإمام في الأزمنة المتطاولة لم تترك سدى في أمر السياسة و القضاء الذي هو من أهمّ ما يحتاجون إليه، و لا سيّما مع تحريم الرجوع إلى سلاطين الجور و قضاتهم و تعبيرهم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بحكمهم سحت و لو كان الحق ثابتاً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 إنّ ذلك واضح بضرورة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فيدور الأمر في زعامة الأُمّة و قيادتهم بين أن يتصدّيها الفقيه العادل و بين أن يتكفّلها غيره، من العامي الجاهل أو الفقيه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تعيّن الفقيه العادل لذلك في نظر العقل و الشرع؛ لأنّ الجاهل لا يتمكن من القيادة على أساس الكتاب و السنة لجهله، و الفاسق لا يؤمن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التقريب يستفاد من مذاق الشارع بحسب مجموع ما ورد عنه من النصوص المشار إليه مضمونها من الكتاب و السنة و من حكم العقل، فهو مقتضي ضرورة العقل و الشرع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استفادته ممّا استدل به في كتاب البيع</w:t>
      </w:r>
      <w:r>
        <w:rPr>
          <w:rStyle w:val="FootnoteAnchor"/>
          <w:rtl w:val="true"/>
        </w:rPr>
        <w:footnoteReference w:id="103"/>
      </w:r>
      <w:r>
        <w:rPr>
          <w:rFonts w:ascii="Amiri" w:hAnsi="Amiri" w:eastAsia="Amiri" w:cs="Amiri"/>
          <w:color w:val="111111"/>
          <w:sz w:val="28"/>
          <w:sz w:val="28"/>
          <w:szCs w:val="28"/>
          <w:rtl w:val="true"/>
          <w:lang w:bidi="ar-SA"/>
        </w:rPr>
        <w:t>على لزوم تأسيس الحكومة الإسلامية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الضروري أنّ الأحكام الإلهية بنطاقها الواسع الشامل للحقوق و السياسات و القضائيات و الماليات و الجزائيات و غيرها من الأحكام، لا تختصّ بعصر الشارع، بل هي باقية إلى يوم القيامة، و إنّ ذلك يتطلّب سيادة القانون الإلهي و تحكيمه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هذا المهم إلّا بتشكيل الحكومة الإسلامية، مع أنّ حفظ بيضة الإسلام و صيانة آثار الشريعة عن الدروس الذي وجب لأجله بذل النفوس بالقتال لا يمكن إلّا بتشكيل حكومة الإسلام بقيادة الفقيه العادل العارف بأحكام الشريعة العالم بزمانه القادر على دفع الشبهات و البدع و التحريفات و دسائس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الدليل على ذلك هو الدليل على ضرورة الإمامة بعينه و يدلّ على ضرورة النيابة القائمة مقام الإمامة بالفحوى؛ لأنّ زمن الغيبة أطول من زمن الحضور بأضعاف فلا بدّ أن يكون الاهتمام بالغرض المذكور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أساس هذا الاستدلال يبتني على مقتضى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غيبة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بسبب ظلم الأُمّة، و عدم لياقة أنفسهم فإنّهم غيّروا مصير حياتهم بأيدي أنفسهم، و لم يكن من جانب الشارع لينافي حكمته، كما قال تعالى إِنَّ اللّهَ لا يُغَيِّرُ ما بِقَوْمٍ حَتّى يُغَيِّرُوا ما بِأَنْفُسِهِمْ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الأُمم السالفة قد صدر منهم أقبح القبائح و أنواع الظلم في حق أنبيائهم، فمع ذلك لم ينقطع إرسال الرسل و الوحي عنهم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إرسال الرسل إنّما هو لأجل إتمام الحجّة على الظالمين و الفاسقين الذين لا يأتمرون بأوامر الشارع و لا ينتهون من نواهيه، لا لأجل اللطف و الرحمة بالنسبة إليهم لينقطع بظلمهم، كما قال تعالى رُسُلاً مُبَشِّرِينَ وَ مُنْذِرِينَ لِئَلاّ يَكُونَ لِلنّاسِ عَلَى اللّهِ حُجَّةٌ بَعْدَ الرُّسُلِ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5" w:name="pg937_10666"/>
    </w:p>
    <w:p>
      <w:pPr>
        <w:pStyle w:val="BookText"/>
        <w:rPr/>
      </w:pPr>
      <w:bookmarkEnd w:id="85"/>
      <w:r>
        <w:rPr>
          <w:rFonts w:ascii="Amiri" w:hAnsi="Amiri" w:eastAsia="Amiri" w:cs="Amiri"/>
          <w:color w:val="111111"/>
          <w:sz w:val="28"/>
          <w:sz w:val="28"/>
          <w:szCs w:val="28"/>
          <w:rtl w:val="true"/>
          <w:lang w:bidi="ar-SA"/>
        </w:rPr>
        <w:t>و أمّا الحجة الباطنة و هو العقل و إن كانت قائمة لآحاد الناس، إلّا أنّه لكثرة أهواء البشر و شهواته و ميوله النفسانية و الغرائز الحيوانية قد أرسل اللّه الرسل إليهم؛ ليتم عليهم الحجّة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ظلم الأُمّة المعاصرة للإمام الثاني عشر، فأيّ ذنب للذين تولّدوا في قرون بعد ذلك العصر حتى يحترقوا بنار أسلافهم بسلب حق حكومة الإسلام عنهم؟ فإنّ حرمانهم عن بركات قيادة الفقيه العادل العارف باللّه الأمين على حلاله و حرامه و ابتلائهم بحكومة الطواغيت لأجل ذلك، خلاف العدل و الإنصاف و ظلم بالنسبة إليهم،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الضرورة على لزوم تأسيس الحكومة الإسلامية في عصر غيبة صاحب الأمر بقيادة الفقيه العادل العارف بأحكام الشريعة، ليحكم بين الناس بالحق و العدل، و يقيم حدود اللّه، و يحيي آثار الشريعة، و يحفظ ما جاء به النبي من الاندراس، و يصدّ عن ظلم الطواغيت و يبطل البدع و يسوق مجتمع الأُمّة إلى السعادة و الفلاح، فيمهّدهم لظهور صاحبهم و يهيّئهم لسلطنته و حكومته الحقة العالميّة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33353_373438147"/>
      <w:bookmarkStart w:id="87" w:name="_Toc33"/>
      <w:bookmarkEnd w:id="86"/>
      <w:r>
        <w:rPr>
          <w:rtl w:val="true"/>
        </w:rPr>
        <w:t>الاستدلال بالدليل العقلي</w:t>
      </w:r>
      <w:bookmarkEnd w:id="87"/>
    </w:p>
    <w:p>
      <w:pPr>
        <w:pStyle w:val="BookText"/>
        <w:rPr/>
      </w:pPr>
      <w:r>
        <w:rPr>
          <w:rFonts w:ascii="Amiri" w:hAnsi="Amiri" w:eastAsia="Amiri" w:cs="Amiri"/>
          <w:color w:val="111111"/>
          <w:sz w:val="28"/>
          <w:sz w:val="28"/>
          <w:szCs w:val="28"/>
          <w:rtl w:val="true"/>
          <w:lang w:bidi="ar-SA"/>
        </w:rPr>
        <w:t>يمكن تقريب الدليل العقلي لثبوت الولاية على الحكومة للفقيه العادل المدبّر في عصر الغيبة بوجهين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شكر أُصول النعم في نظر العقل إنّما هو بصرفها في جهة إرادة المنعم و امتثال أمره، و لا يتحقق ذلك إلّا بإجراء أحكام دين اللّه تعالى، و إقامة الحكومة على أساس قوانين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يتوقف ذلك على عناصر ثلاثة أصلية</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التدبير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فلعدم تمكّن الجاهل بأحكام الدين من إجرائها؛ لجهله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التدبير فلتوقف الحكومة و الإمارة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العدالة فلأن الفاسق غير مأمون على إجراء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يتوفّر له أحد هذه الشروط الثلاثة الأساسية لا يكون أهلاً لتصدّي القيادة و الحكومة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حكمة اللّه تعالى في نظر العقل ضرورة ثبوت الولاية على الحكومة بين الناس لواحد منهم حتى يدفع ظلم الظالم و يأخذ حق المظلوم و يحفظ نظام حياة الناس و معاشهم من جميع جهاته الاقتصادية و الثقافية و الاجتماعية و السياسية و غيرها، على أساس إرادته تعالى و أحكامه، و ليحفظ به شريعته و دينه من الاندراس و التحريف و التغيير و هجمة الطواغيت و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يتوقف ذلك في نظر العقل على تحقق الشروط الثلاثة الأساسية المذكورة، و هي العلم بأحكام الدين و التدبير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فاقداً لأحد هذه الشروط ليس أهلاً لتكفّل الحكومة في نظر العقل لأجل الملاك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يشير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يجز في حكمة الحكيم أن يترك الخلق ممّا يعلم أنّه لا بدّ لهم منه و لا قوام لهم إلّا به، فيقاتلون به عدوّهم و يقسمون به فيئهم و يقيم لهم جمعتهم و جماعتهم و يمنع ظالمهم من مظلومهم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التقريبين أنّ في نظر العقل لا أهلية لغير الفقيه العادل المدبّر لتصدّي الحكومة على الناس و 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يحكم به العقل مع قطع النظر عن ثبوت ولاية الإمام المعصوم من جانب اللّه تعالى بالدليل النقلي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معرفته ذلك فمع قطع النظر عن النص الوارد من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يحكم بأنّ الواجد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8" w:name="pg937_10674"/>
    </w:p>
    <w:p>
      <w:pPr>
        <w:pStyle w:val="BookText"/>
        <w:rPr/>
      </w:pPr>
      <w:bookmarkEnd w:id="88"/>
      <w:r>
        <w:rPr>
          <w:rFonts w:ascii="Amiri" w:hAnsi="Amiri" w:eastAsia="Amiri" w:cs="Amiri"/>
          <w:color w:val="111111"/>
          <w:sz w:val="28"/>
          <w:sz w:val="28"/>
          <w:szCs w:val="28"/>
          <w:rtl w:val="true"/>
          <w:lang w:bidi="ar-SA"/>
        </w:rPr>
        <w:t xml:space="preserve">للشرائط الثلاثة المذكورة أهل لتصدّي الحكومة في عصر غيبة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يرد من الشارع نص يدلّ على اعتبار ما هو خارجٌ عن نطاق حكم العقل كاشتراط عدم كون الحكم ولد الزنا و لا من النساء فيحكم بالتعبّد به قضاءً لحق العبودية و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يكشف العقل حينئذٍ في مورد حكمه من الشرائط عن نظر الشارع الحكيم في ذلك؛ نظراً إلى عدم حكمه أبداً بما هو خلاف 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العقل بذلك بعد حكمه بعدم ثبوت الولاية على الناس لغير المنعم بأُصول النعم و مالك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حكمه أيضاً بأنّ مقتضى حكمته إعطاؤه تعالى الولاية على الحكومة إلى أحد لئلّا يترك عباده سدى بلا قيّم و حاكم يقيم أُمور معاشهم و معادهم و يحفظ نظام حياتهم و عيشهم، كما هو واضح</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733355_373438147"/>
      <w:bookmarkStart w:id="90" w:name="_Toc34"/>
      <w:bookmarkEnd w:id="89"/>
      <w:r>
        <w:rPr>
          <w:rtl w:val="true"/>
        </w:rPr>
        <w:t>الاستدلال ببناء العقلاء</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استدلّ به على مشروعية تصدّي الحكومة للفقيه العادل و ولايته على ذلك، بناء العقلاء، بتقريب استقرار سيرتهم على نصب رئيس و قيّم في أُمورهم و جعل الولاية له على شئونهم السياسية و الاجتماعية و سائر أُمورهم العامة، فيعطونه زمام أُمورهم؛ و إن يخطئون صغروياً بتطبيقها على غير مصاديقها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يضر ذلك بقطعية هذه الكبرى الثابتة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تطبيق هذه الكبرى المستقرّة عليها السيرة على جعل الفقيه العادل العارف بأحكام الشرع، فإنّما هو بالعلم الوجداني؛ نظراً إلى دوران الأمر بين تصدي الفقيه العادل العارف بقوانين الشرعية للحكومة و بين تصدّي غيره و من البديهي تقدّمه على غيره؛ ضرورة توقف</w:t>
      </w:r>
    </w:p>
    <w:p>
      <w:pPr>
        <w:pStyle w:val="BookText"/>
        <w:rPr/>
      </w:pPr>
      <w:r>
        <w:rPr>
          <w:rFonts w:ascii="Amiri" w:hAnsi="Amiri" w:eastAsia="Amiri" w:cs="Amiri"/>
          <w:color w:val="111111"/>
          <w:sz w:val="28"/>
          <w:sz w:val="28"/>
          <w:szCs w:val="28"/>
          <w:rtl w:val="true"/>
          <w:lang w:bidi="ar-SA"/>
        </w:rPr>
        <w:t>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بالقوانين الشرعية؛ نظراً إلى ابتناء الحكومة الإسلامية على 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العدالة ليؤمن من الخيانة و الحيف و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التدبير ليقدر به على القيادة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تشكيل الحكومة برئاسة من له الأهلية لذلك و إعطاء الولاية العامة على الأُمور إليه مما استقرّت عليه سيرة العقلاء و 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بعض النصوص إمضاؤها، مثل ما ورد في خبر الفضل بن شاذان، بل حسنته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نجد فرقة من الفرق و لا ملّة من الملل بقوا و عاشوا إلّا بقيّم و رئيس؛ لما لا بدّ لهم منه في أمر الدين و الدنيا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ذلك أيضاً من معتبرة أبي خديجة و مقبولة عمر بن حنظلة و غيرهما من النصوص الدالّة على تنزيل الفقهاء العدول 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في قيادة هذه الأُمّة و الحكومة عليهم؛ حيث دلّت على نصب من له الأهلية للحكومة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تقريب الاستدلال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أصل إقامة الحكومة و كذا إعطاء الولاية إلى من له الأهلية للرئاسة و القيادة في نظرهم، و إن لا يمكن إنكاره، إلّا أنّ الذي لم يردع عنه الشارع هو بناؤهم على إقامة أصل الحكومة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بنائهم في تعيين نوع الحكومة و إعطاء الولاية إلى من له الأهلية بنظرهم و على أساس مسلكهم أيّاً ما كان، لا نسلّم كونه مورد إمضاء الشارع، كيف و قد ثبت لنا بضرورة الدين أنّ الشارع لم يشرّع إلّا الحكومة الإسلامية و لم يعط الولاية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1" w:name="pg937_10680"/>
    </w:p>
    <w:p>
      <w:pPr>
        <w:pStyle w:val="BookText"/>
        <w:rPr/>
      </w:pPr>
      <w:bookmarkEnd w:id="91"/>
      <w:r>
        <w:rPr>
          <w:rFonts w:ascii="Amiri" w:hAnsi="Amiri" w:eastAsia="Amiri" w:cs="Amiri"/>
          <w:color w:val="111111"/>
          <w:sz w:val="28"/>
          <w:sz w:val="28"/>
          <w:szCs w:val="28"/>
          <w:rtl w:val="true"/>
          <w:lang w:bidi="ar-SA"/>
        </w:rPr>
        <w:t xml:space="preserve">الحكومة إلّا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مدلوله إمضاء بناء العقلاء في أصل إقامة حكومة بقيادة قيّم و رئيس، لا إمضاء بنائهم في تعيين نوع الحكومة و إعطاء الولاية إلى كلّ من له أهلية بنظرهم، من أيّ مسلك كانوا، و إلّا ليلزم كون جميع الحكومات القائمة بين العقلاء في جميع الأزمان و الأقطار مورد تأييد الشارع، و هو خلاف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حاجة إلى الاستدلال ببناء العقلاء بعد تمامية الاستدلال بدليل العقل و ضرورة الدين و سائر الوجوه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33357_373438147"/>
      <w:bookmarkStart w:id="93" w:name="_Toc35"/>
      <w:bookmarkEnd w:id="92"/>
      <w:r>
        <w:rPr>
          <w:rtl w:val="true"/>
        </w:rPr>
        <w:t>الاستدلال بدليل الحِسبة</w:t>
      </w:r>
      <w:bookmarkEnd w:id="93"/>
    </w:p>
    <w:p>
      <w:pPr>
        <w:pStyle w:val="BookText"/>
        <w:rPr/>
      </w:pPr>
      <w:r>
        <w:rPr>
          <w:rFonts w:ascii="Amiri" w:hAnsi="Amiri" w:eastAsia="Amiri" w:cs="Amiri"/>
          <w:color w:val="111111"/>
          <w:sz w:val="28"/>
          <w:sz w:val="28"/>
          <w:szCs w:val="28"/>
          <w:rtl w:val="true"/>
          <w:lang w:bidi="ar-SA"/>
        </w:rPr>
        <w:t>و مما يمكن أن يستدل به لجواز تصدّي الفقيه للحكومة و القضاء، بل وجوب ذلك هو دليل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الحسبة إمّا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الكفاية، و إمّا من الحسبة بمعنى التدبير، كما في المصباح المنير نقل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الحسبة؛ أي حسن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الأُمور الحسبة مثل تولّى أُمور الغيّب و القصّر و الصغار، و من لا وارث له، و من لا وصي له، و الأمر بالمعروف و النهي عن المنكر، و إجراء القصاص و الحدود و الديات، و كل ما يقطع بعدم رضى الشارع بتركه و تعطيله، مما يحتاج إلى التصدّي و التكفّل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من مذاق الشارع بعدم رضاه بتركه و تعطيله، لما له من الأهميّة في نظره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أنّ من أهم الأُمور الحسبية أمر الحكومة و الإمارة و الولاية و قيادة الأُمّة، كما ورد في خبر الفضل 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نقطع بعدم رضي الشارع بترك هذا الأمر المهم فكذلك نقطع بعدم رضاه بأن يتصدّى لذلك و يتكفّل به</w:t>
      </w:r>
      <w:bookmarkStart w:id="94" w:name="pg937_10683"/>
    </w:p>
    <w:p>
      <w:pPr>
        <w:pStyle w:val="BookText"/>
        <w:rPr/>
      </w:pPr>
      <w:bookmarkEnd w:id="94"/>
      <w:r>
        <w:rPr>
          <w:rFonts w:ascii="Amiri" w:hAnsi="Amiri" w:eastAsia="Amiri" w:cs="Amiri"/>
          <w:color w:val="111111"/>
          <w:sz w:val="28"/>
          <w:sz w:val="28"/>
          <w:szCs w:val="28"/>
          <w:rtl w:val="true"/>
          <w:lang w:bidi="ar-SA"/>
        </w:rPr>
        <w:t>من لا يليق به من الطواغيت و الفسقة أو الجهّال الذين لا يعرفون حلال الشريعة من حرامها و لا حدودها و قصاصها و 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فنقطع بأنّ الشارع كما لا يرضى بترك تأسيس الحكومة الإسلامية فكذلك لا يرضى بإقامتها إلّا بقيادة الفقيه العادل الجامع لشرائط الإفتاء، حيث عند دوران الأمر بينه و بين غيره نقطع بعدم رضى الشارع بتصدّي غيره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القطع بعدم رضى الشارع إنّما يحصل للفقيه بسبب معرفته مذاق الشارع و ديدنه الذي استنبطه من خطاباته الواردة في تشريع أحكام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الذي لأجله نقطع بعدم رضى الشارع بترك أُمور الحسبة و تعطيلها حاصلٌ في إقامة الحكومة و إعطاء ولايتها إلى الفقيه المدبر العادل بالفحوى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مقتضى دليل الحسبة ثبوت الولاية للفقيه بقدر الضرورات المتوقف عليها حفظ نظام الحكومة، لا الولاية المطلقة بعرضها العريض</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33359_373438147"/>
      <w:bookmarkStart w:id="96" w:name="_Toc36"/>
      <w:bookmarkEnd w:id="95"/>
      <w:r>
        <w:rPr>
          <w:rtl w:val="true"/>
        </w:rPr>
        <w:t>الاستدلال بالآيات</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على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فيها بالاجتناب عن الطاغوت و نهى عن التحاكم و الرجوع إلى الظالم و الركون إليه و حرّم فيها إطاعة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وَ لَقَدْ بَعَثْنا فِي كُلِّ أُمَّةٍ رَسُولاً أَنِ اعْبُدُوا اللّهَ وَ اجْتَنِبُوا الطّاغُوتَ‌</w:t>
      </w:r>
      <w:r>
        <w:rPr>
          <w:rStyle w:val="FootnoteAnchor"/>
          <w:rtl w:val="true"/>
        </w:rPr>
        <w:footnoteReference w:id="108"/>
      </w:r>
      <w:r>
        <w:rPr>
          <w:rFonts w:ascii="Amiri" w:hAnsi="Amiri" w:eastAsia="Amiri" w:cs="Amiri"/>
          <w:color w:val="111111"/>
          <w:sz w:val="28"/>
          <w:sz w:val="28"/>
          <w:szCs w:val="28"/>
          <w:rtl w:val="true"/>
          <w:lang w:bidi="ar-SA"/>
        </w:rPr>
        <w:t>هذه الآية و إن كان ربما يخطر بالبال كون المقصود الاجتناب عن عبادة الطاغوت بقرينة المقابلة، إلّا أنّ ذلك لا يمنع عن إطلاق الأمر بالاجتناب و شموله لجميع مصاديقه، فإنّ من راجع إلى الطاغوت و إنقاد لأوامره في جميع أُموره لم يجتنب عن الطاغوت</w:t>
      </w:r>
    </w:p>
    <w:p>
      <w:pPr>
        <w:pStyle w:val="BookText"/>
        <w:rPr/>
      </w:pPr>
      <w:r>
        <w:rPr>
          <w:rFonts w:ascii="Amiri" w:hAnsi="Amiri" w:eastAsia="Amiri" w:cs="Amiri"/>
          <w:color w:val="111111"/>
          <w:sz w:val="28"/>
          <w:sz w:val="28"/>
          <w:szCs w:val="28"/>
          <w:rtl w:val="true"/>
          <w:lang w:bidi="ar-SA"/>
        </w:rPr>
        <w:t>قطعاً، و خالف الأمر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أَ لَمْ تَرَ إِلَى الَّذِينَ يَزْعُمُونَ أَنَّهُمْ آمَنُوا بِما أُنْزِلَ إِلَيْكَ وَ ما أُنْزِلَ مِنْ قَبْلِكَ يُرِيدُونَ أَنْ يَتَحاكَمُوا إِلَى الطّاغُوتِ وَ قَدْ أُمِرُوا أَنْ يَكْفُرُوا بِهِ‌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نصوص كثيرة معتبرة دلت على تحريم الرجوع إلى قضاة الجور و الطواغيت</w:t>
      </w:r>
      <w:r>
        <w:rPr>
          <w:rStyle w:val="FootnoteAnchor"/>
          <w:rtl w:val="true"/>
        </w:rPr>
        <w:footnoteReference w:id="110"/>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دلّت بالمطابقة على حرمة التحاكم إلى الطاغوت و بالالتزام على وجوب التحاكم إلى الحاكم العدل، بتقريب أنّ اللوم و العتاب على الجمع بين دعوى الإيمان و بين التحاكم إلى الطاغوت يدلّ على وجوب تحكيم دين اللّه و شريعته على الناس و الحكم بينهم على طبقه؛ حيث إنّ الرجوع إلى الطاغوت و الركون إليه و الانقياد إلى أوامره يكشف عن الإيمان به، و ذلك يضادّ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عوتب هؤلاء على التحاكم إلى الطاغوت و جعل الاجتناب عنه كفراً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الملاك لا يختص بالتحاكم إلى الطاغوت في خصوص فصل الخصومات و المنازعات، كما هو مورد الآية، بل يعمّ الركون إلى الطاغوت و الانقياد لأوامره في جميع شئون العيش و أُمور الحياة فيعلم من ذلك أنّ المقصود النهي عن الرجوع إلى الطاغوت و الركون إليه في جميع شئون العيش و تحريم الانقياد لأوامره في مطلق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بقرينة المقابلة على وجوب الرجوع في ذلك إلى من يتديّن بدين اللّه و يعرف أحكامه لكي يحكم على أساس دين اللّه و شريعته؛ ليتحقّق بذلك تحكيم حدود اللّه و الانقياد لأوامره في مطلق الأُمور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شئون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بهذا المقدار يمكن استفادته من الآية بالدلالة السياقية الالتزامية، على نحو القضية الحقيقية، كما هي شأن الخطابات الشرعية، فهي تفيد كبرى كلّية صادقة على مصاديقها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انطباق من يتديّن بدين اللّه و يعرف أحكامه في عصر الغيبة على الفقيه العادل، فهو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قوله تعالى وَ لا تَرْكَنُوا إِلَى الَّذِينَ ظَلَمُوا فَتَمَسَّكُمُ النّارُ</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إعطاء زمام الحكومة إلى الظالم من أظهر مصاديق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لا تُطِيعُوا أَمْرَ الْمُسْرِفِينَ‌</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عدم مشروعية حكومة الفاسق، بلحاظ إسرافه على نفسه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تشريع الحدود و الديات و القصاص و غيرها من الأحكام المتوقف إجراؤها و إنفاذها على القهر و الإلزام و التعزير، بل القتال؛ فإنّ هذه الآيات تخاطب جميع المسلمين في كل عصر و تشمل بنطاقها الواسع مسلمي جميع الأعصار، من دون اختصاص بعصر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إنّما يقوم بإجراء الحدود و الأحكام الإلهية من اعتقد بالدين و عرف أحكامه، و إلّا فمن لا اعتقاد له بالشريعة لا داعي له للقيام بذلك، و من كان جاهلاً بأحكامها لا يتمكّن من ذلك، بل يرى إقامة حدودها مزاحماً لسلطنته، بل لا بدّ له مضافاً إلى العلم و الاعتقاد من الورع و التقوى، و إلّا لا يأتمر الأُمّة بأمره و لا تنتهي بنهيه، مع أنّ الفاسق لا يؤمن على حفظ آثار الشريعة و إقامة أحكامها و لا من الخيانة بالإسلام و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تعميم مفاده إلى سائر شئون الحكومة، غير إجراء الحدود و الديات و القصاص التي هي مورد هذه الآيات هو الملازمة الخارجية؛ حيث يقضي الوجدان بعدم إمكان إقامة الحدود الإلهية إلّا في حكومة عادلة، نعم قد يمكن القيام بإجراء بعضها و لكنه إنّما يمكن ما لم يزاحم سياسة الحكومة الجائرة و أمّا إقامة جميعها على النحو المشروع فلا يمكن عملاً إلّا في ظلّ الحكومة العادلة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أمر فيها بإقامة العدل و القسط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 وَ إِذا حَكَمْتُمْ بَيْنَ النّاسِ أَنْ تَحْكُمُوا بِالْعَدْلِ‌</w:t>
      </w:r>
      <w:r>
        <w:rPr>
          <w:rStyle w:val="FootnoteAnchor"/>
          <w:rtl w:val="true"/>
        </w:rPr>
        <w:footnoteReference w:id="113"/>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يا أَيُّهَا الَّذِينَ آمَنُوا كُونُوا قَوّامِينَ بِالْقِسْطِ</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تعالى بإقامة العدل و القسط إرشاد إلى حكم العقل لاستقلاله بحسن القسط و العدل و لزوم القيام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قُلْ أَمَرَ رَبِّي بِالْقِسْطِ</w:t>
      </w:r>
      <w:r>
        <w:rPr>
          <w:rStyle w:val="FootnoteAnchor"/>
          <w:rtl w:val="true"/>
        </w:rPr>
        <w:footnoteReference w:id="116"/>
      </w:r>
      <w:r>
        <w:rPr>
          <w:rFonts w:ascii="Amiri" w:hAnsi="Amiri" w:eastAsia="Amiri" w:cs="Amiri"/>
          <w:color w:val="111111"/>
          <w:sz w:val="28"/>
          <w:sz w:val="28"/>
          <w:szCs w:val="28"/>
          <w:rtl w:val="true"/>
          <w:lang w:bidi="ar-SA"/>
        </w:rPr>
        <w:t>، بل بيّن القيام بالقسط في بعض الآيات هدفاً لإرسال الرسل الإلهية و إنزال الكتب السماوية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لَقَدْ أَرْسَلْنا رُسُلَنا بِالْبَيِّناتِ وَ أَنْزَلْنا مَعَهُمُ الْكِتابَ وَ الْمِيزانَ لِيَقُومَ النّاسُ بِالْقِسْطِ وَ أَنْزَلْنَا الْحَدِيدَ فِيهِ بَأْسٌ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الواضح أنّ الذي تعلّق به أمر الشارع من العدل و القسط إنّما هو ما يطابق موازين الشرع و أحكام الدين؛ حيث لا يرى الشارع غير ذلك قسطاً و لا عدلاً، فليس المقصود ما كان قسطاً و عدلاً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جماعة من الناس أو بادعاء رؤساء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الآية أنّ إرسال الرسل و إنزال الكتاب و الميزان ليس لمجرّد إرشاد الناس إلى القيام بالقسط، بل المقصود سَوق الناس إلى القيام بالقسط بإجراء الأحكام الإلهية بينهم و تحكيم دين اللّه بينهم، كما يشير إلى ذلك ذيلها وَ أَنْزَلْنَا الْحَدِيدَ فِيهِ بَأْسٌ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المعنى تفيده الآية بالدلالة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انطباقه في عصر الغيبة على الفقيه العادل فهو بالوجدان؛ حيث يقضي بأنّ هذا الأمر المهمّ لا يتحقق في عصر الغيبة إلّا بتشكيل حكومة عادلة دينية، و أنّه لا يمكن إلّا بتولّي من كان عادلاً و عالماً بموازين القسط التي وضعها الشارع الأقدس بتشريع أحكام الدين و حدود الشريعة، و هو لا يكون إلّا فقيهاً عادلاً عالماً بقوانين الدين و أحكام الشريعة، لا الجاهل الجائر الذي لا حظّ له من العلم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حرّم فيها الحكم بغير ما أنزل اللّه بل أُسند فيها الكفر و الظلم و الفسق إلى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إيجاب الحكم بما أنزل اللّه على من تمكّن منه، كقوله تعالى وَ 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دلّت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الصالح لتولّي الحكم إنّما هو من يحكم بما أنزل اللّه دون 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من المعنى داخلٌ في مدلول لفظ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انطباقه على الفقيه العادل فإنّما هو بالوجدان؛ إذ الجاهل بأحكام الشريعة لا يتمكّن من الحكم بما أنزل اللّه، و لو كان مؤمناً عادلاً، كما أنّ الفاسق لا يؤمن منه على ذلك، و لو كان فقيهاً،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مخاطباً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118"/>
      </w:r>
      <w:r>
        <w:rPr>
          <w:rFonts w:ascii="Amiri" w:hAnsi="Amiri" w:eastAsia="Amiri" w:cs="Amiri"/>
          <w:color w:val="111111"/>
          <w:sz w:val="28"/>
          <w:sz w:val="28"/>
          <w:szCs w:val="28"/>
          <w:rtl w:val="true"/>
          <w:lang w:bidi="ar-SA"/>
        </w:rPr>
        <w:t>و لا يختص مدلول هذه الآية بالقضاء في فصل الخصومات أو بما يعمّه و خصوص الأحكام الجزائية من الحدود و الديات و القصاص بل يعمّ جميع الأحكام الراجعة إلى شئون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ما من حادثة و لا أمر و شأن من الأُمور و الشئون السياسية و الثقافية و النظامية و الاقتصادية و غيرها، إلّا و له حكمٌ في الإسلام، فلا بدّ من إقامته و إجرائه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لفظ الحكم في اصطلاح القرآن يعمّ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ثبوت التعميم بالفحوى؛ نظراً إلى وضوح أهمّية حكومة الدين على جميع شئون الناس من تحكيمه عليهم في خصوص فصل الخصومات و الجزائيات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هذا المهم الذي يشكّل الهدف من إنزال الكتاب لا يختص بعصر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يصلح للقيام به العارف بأحكامه العادل الورع في دينه،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الكثيرة و نحوها تدلّ بنطاقها الواسع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تشكيل حكومة العدل و القسط على أساس أحكام الشريعة و القوانين الإلهية و تحكيم دين اللّه و إقامة حدوده و إنفاذ الأحكام الشرعية و وجوب الحكم بما أنزل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تصدّي الفقيه العادل العالم بأحكام الدين العارف بالحلال و الحرام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الأمر بالقيام بالعدل و القسط و إيجاب الحكم بما أنزل اللّه و تحكيم دين اللّه و إقامة حدوده في جميع الأعصار، يستدعي ذلك؛ حيث لا تتحقق هذه الأُمور في عصر الغيبة، إلّا في حكومة عادلة إسلامية بقيادة الفقيه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7" w:name="pg937_10701"/>
    </w:p>
    <w:p>
      <w:pPr>
        <w:pStyle w:val="BookText"/>
        <w:rPr/>
      </w:pPr>
      <w:bookmarkEnd w:id="97"/>
      <w:r>
        <w:rPr>
          <w:rFonts w:ascii="Amiri" w:hAnsi="Amiri" w:eastAsia="Amiri" w:cs="Amiri"/>
          <w:color w:val="111111"/>
          <w:sz w:val="28"/>
          <w:sz w:val="28"/>
          <w:szCs w:val="28"/>
          <w:rtl w:val="true"/>
          <w:lang w:bidi="ar-SA"/>
        </w:rPr>
        <w:t>العادل، و إن كان هذا المعنى خارجاً عن نطاق مدلول لفظ الآيات و لكنّه من لوازم مدلولها الثابتة له بمقتضى السياق و الوجدان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33361_373438147"/>
      <w:bookmarkStart w:id="99" w:name="_Toc37"/>
      <w:bookmarkEnd w:id="98"/>
      <w:r>
        <w:rPr>
          <w:rtl w:val="true"/>
        </w:rPr>
        <w:t>الاستدلال بالأخبار</w:t>
      </w:r>
      <w:bookmarkEnd w:id="99"/>
    </w:p>
    <w:p>
      <w:pPr>
        <w:pStyle w:val="Heading6"/>
        <w:numPr>
          <w:ilvl w:val="5"/>
          <w:numId w:val="1"/>
        </w:numPr>
        <w:rPr/>
      </w:pPr>
      <w:bookmarkStart w:id="100" w:name="__RefHeading___Toc733363_373438147"/>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 أمّا الأخبار فهي عدّة طوائف</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33365_373438147"/>
      <w:bookmarkStart w:id="103" w:name="_Toc39"/>
      <w:bookmarkEnd w:id="102"/>
      <w:r>
        <w:rPr>
          <w:rtl w:val="true"/>
        </w:rPr>
        <w:t>الطائفة الأُولى</w:t>
      </w:r>
      <w:r>
        <w:rPr>
          <w:rtl w:val="true"/>
        </w:rPr>
        <w:t xml:space="preserve">: </w:t>
      </w:r>
      <w:r>
        <w:rPr>
          <w:rtl w:val="true"/>
        </w:rPr>
        <w:t>ما دلّت على أنّ الشارع الأقدس قد بيّن جميع ما تحتاج إليه الأُمّة</w:t>
      </w:r>
      <w:bookmarkEnd w:id="103"/>
    </w:p>
    <w:p>
      <w:pPr>
        <w:pStyle w:val="BookText"/>
        <w:rPr/>
      </w:pPr>
      <w:r>
        <w:rPr>
          <w:rFonts w:ascii="Amiri" w:hAnsi="Amiri" w:eastAsia="Amiri" w:cs="Amiri"/>
          <w:color w:val="111111"/>
          <w:sz w:val="28"/>
          <w:sz w:val="28"/>
          <w:szCs w:val="28"/>
          <w:rtl w:val="true"/>
          <w:lang w:bidi="ar-SA"/>
        </w:rPr>
        <w:t>و لم يضايق لهم عن بيان شيء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من أهمّ الأُمور أمر قيادة الأُمّة و القيام بالحكومة بينهم، فدلّت هذه الطائفة على عدم إهمال الشارع ما هو أهم قدراً و أعظم خطراً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في أُصول الكافي باب بهذا العنوان و ذكر هناك روايات تدلّ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إلّا و فيه كتاب أو سنّة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و 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 قد أنزله اللّه فيه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للتحضيض بمعنى الاعتراض 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خلق اللّه حلالاً و لا حراماً إلّا و له حدٌّ كحدّ الدار فما كان من الطريق فهو من الطريق، و ما كان من الدار فهو من الدار، حتى أرش الخدش فما سواه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ascii="Amiri" w:hAnsi="Amiri" w:eastAsia="Amiri" w:cs="Amiri"/>
          <w:color w:val="111111"/>
          <w:sz w:val="28"/>
          <w:sz w:val="28"/>
          <w:szCs w:val="28"/>
          <w:rtl w:val="true"/>
          <w:lang w:bidi="ar-SA"/>
        </w:rPr>
        <w:t>ما من أمرٍ يختلف فيه اثنان إلّا و له أصل في كتاب اللّه عزّ و جلّ‌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أنّ اللّه تبارك و تعالى لم يدَعْ شيئاً يحتاج إليه الأُمّة إلّا أنزله في كتابه و 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شيء حدّا و جعل عليه دليلاً يدلّ عليه و جعل على من تعدّى ذلك الحدّ حدّا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فضّال عن عاصم بن حميد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شيء يقرّبكم من الجنة و يباعدكم من النار إلّا و قد أمرتكم به، و ما من شيء يقرّبكم من النار و يباعدكم من الجنّة إلّا و قد نهيتكم عنه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النصوص الكثيرة الدالّة على هذا المضمون يجدها المتتبع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هذه النصوص على أنّ الشارع بيّن للناس وظائفهم و أحكام جميع أُمورهم و من الواضح أنّ تأسيس الحكومة و جعل الولاية للحاكم من أهم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غاية مدلول هذه الطائفة عدم سكوت الشارع عن أمر الحكومة و قيادة الأُمّة و تعيين الحاكم، و عدم إهماله لهذا المهم، لا أزيد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4" w:name="pg937_10706"/>
    </w:p>
    <w:p>
      <w:pPr>
        <w:pStyle w:val="BookText"/>
        <w:rPr/>
      </w:pPr>
      <w:bookmarkEnd w:id="104"/>
      <w:r>
        <w:rPr>
          <w:rFonts w:ascii="Amiri" w:hAnsi="Amiri" w:eastAsia="Amiri" w:cs="Amiri"/>
          <w:color w:val="111111"/>
          <w:sz w:val="28"/>
          <w:sz w:val="28"/>
          <w:szCs w:val="28"/>
          <w:rtl w:val="true"/>
          <w:lang w:bidi="ar-SA"/>
        </w:rPr>
        <w:t>فلا تصلح هذه الطائفة وحدها لإثبات المطلوب، بل يكون مفادها من مقدّمات الاستدلال بضرورة الدين على ولاية الفقيه بالتقريب المتقدّم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33367_373438147"/>
      <w:bookmarkStart w:id="106" w:name="_Toc40"/>
      <w:bookmarkEnd w:id="105"/>
      <w:r>
        <w:rPr>
          <w:rtl w:val="true"/>
        </w:rPr>
        <w:t>الطائفة الثانية</w:t>
      </w:r>
      <w:r>
        <w:rPr>
          <w:rtl w:val="true"/>
        </w:rPr>
        <w:t xml:space="preserve">: </w:t>
      </w:r>
      <w:r>
        <w:rPr>
          <w:rtl w:val="true"/>
        </w:rPr>
        <w:t>ما دلّ على ضرورة وجود أمين قيّم للناس في كلّ عصر</w:t>
      </w:r>
      <w:bookmarkEnd w:id="106"/>
    </w:p>
    <w:p>
      <w:pPr>
        <w:pStyle w:val="BookText"/>
        <w:rPr/>
      </w:pPr>
      <w:r>
        <w:rPr>
          <w:rFonts w:ascii="Amiri" w:hAnsi="Amiri" w:eastAsia="Amiri" w:cs="Amiri"/>
          <w:color w:val="111111"/>
          <w:sz w:val="28"/>
          <w:sz w:val="28"/>
          <w:szCs w:val="28"/>
          <w:rtl w:val="true"/>
          <w:lang w:bidi="ar-SA"/>
        </w:rPr>
        <w:t xml:space="preserve">ليمنعهم من التعدّي و الطغيان و الفساد و يقيم الحدود و الأحكام، و أنّه لا بدّ لهم من والٍ حتى يقاتلون به عدوّهم و يقيمون به جمعتهم، فتحفظ آثار الشريعة و أحكامها عن التغير، و يصان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الدروس، و أنّه لا بدّ لهم من إمام و حاكم أمين عادل لتنتظم به شتاتهم و تلمّ به فرقتهم و لا ينطبق ذلك في عصر الغيبة إلّا على الفقيه العادل؛ و قد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الطائفة ما رواه في العلل بسنده المعتبر عن الفضل بن شاذان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اولى الأمر و أَمَر بطاعتهم؟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على حدّ محدود و أُمِروا أن لا يتعدّوا ذلك الحدّ لما فيه من فسادهم، لم يكن يثبت ذلك و لا يقوم إلّا بأن يُجعل عليهم فيه أميناً يمنعهم من التعدّي و الدخول فيما خطر عليهم؛ لأنّه لو لم يكن ذلك لكان أحد لا يترك لذّته و منفعته لفساد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فرقةً من الفرق و لا ملّةً من الملل بقوا و عاشوا إلّا بقيّم و رئيس؛ لِما لا بدّ لهم منه في أمر الدين و الدنيا فلم يَجُز في حكمة الحكيم أن يترك الخلق ممّا يعلم أنّه لا بدّ لهم منه و لا قوام لهم إلّا به فيقاتلون به عدوّهم و يقسّمون به فيئهم و يقيم لهم جمعتهم و جماعتهم و يمنع ظالمهم من مظلومهم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يجعل لهم إماماً قيّماً أميناً حافظاً مستودعاً لدرست الملّة و ذهب الدين و غُيِّرت السنة و الأحكام و لزاد فيه المبتدعون و نقص منه الملحدون</w:t>
      </w:r>
    </w:p>
    <w:p>
      <w:pPr>
        <w:pStyle w:val="BookText"/>
        <w:rPr/>
      </w:pPr>
      <w:r>
        <w:rPr>
          <w:rFonts w:ascii="Amiri" w:hAnsi="Amiri" w:eastAsia="Amiri" w:cs="Amiri"/>
          <w:color w:val="111111"/>
          <w:sz w:val="28"/>
          <w:sz w:val="28"/>
          <w:szCs w:val="28"/>
          <w:rtl w:val="true"/>
          <w:lang w:bidi="ar-SA"/>
        </w:rPr>
        <w:t>و شبّهوا ذلك على المسلمين؛ لأنا قد وجدنا الخلق منقوصين محتاجين غير كاملين مع اختلافهم و اختلاف أهوائهم و تشتت أنحائهم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يجعل لهم 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لفسدوا على نحو ما بيّناه، و غُيّرت الشرائع و السنن و الأحكام و الإيمان، و كان في ذلك فساد الخلق أجمعين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لا إشكال في دلالتها على المطلوب؛ حيث لا ينطبق مفادها في عصر الغيبة إلّا على الفقيه العادل؛ لما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سنداً فقد رواه الصدوق في العلل عن عبد الواحد بن محمد بن عبدوس النيسابوري العطار عن أبي الحسن علي بن محمد بن قتيبة النيسابوري عن أبي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 الحاكم أبي جعفر محمد بن نعيم بن شاذان عن عمّه أبي عبد اللّه محمد بن شاذان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كونها حسنة سنداً؛ نظراً إلى أنّه و إن لم يوثق بعض رواته صريحاً، إلّا أنّ الصدوق رواها بطريقين عن الفضل، و لم يرد ذمّ في واحد من رواتها، بل يظهر من ترضّي الصدوق لهم و كونهم من مشايخه حسن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أنّه رواها بطريقين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يتوهم أنّها قول الفضل من عند نفسه، بل هي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الواحد بن محمد بن عبدوس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للفضل بن شاذان لمّا سمعت منه هذه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العلل أذكرتها من الاستنباط و الاستخراج و هي من نتائج العقل أو هي مما سمعت و رويته؟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لأعلم مراد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و جلّ بما فرض و لا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 و سنّ و لا علل ذلك من ذات نفسي، بل سمعتها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بعد المرّة و الشيء بعد الشيء، فجمعتها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بها عنك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حدّثنا الحاكم أبو محمد جعفر بن نعيم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أبي عبد اللّه محمد بن شاذان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العلل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فجمعتها و ألّفتها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الإيمان تطهيراً من الشرك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نظاماً للأُمّة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نقل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غلط، و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خطبة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نظاماً للملّة و الإمامة لمّاً من الفرقة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عدم اختصاص حاجة المسلمين إلى هذا المهم بعصر الشارع بل حاجتهم إلى ذلك في عصر الغيبة أشدّ بلحاظ كثرة ما ظهر من الطواغيت و أعداء الدين مع أنواع الحيل و الدسائس بأبعادها الوسيعة الاقتصادية و النظامية و الثقافية و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7" w:name="pg937_10715"/>
    </w:p>
    <w:p>
      <w:pPr>
        <w:pStyle w:val="BookText"/>
        <w:rPr/>
      </w:pPr>
      <w:bookmarkEnd w:id="10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لمّا ضربه ابن ملجم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إرادة الإمارة و الحكومة من لفظ الأمر، كما هو الظاهر من القرائن المقامية و الحالية؛ لأنّ أهمّ عويصة كان يبتلي بها المسلمون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تفرّقهم عن الحق و تشتّتهم عن ولي اللّه في مسألة الإمارة و الخلافة، بل أصل الإسلام كاد أن يمحو بسبب اختلاف الأُمّة و تشتّتهم و عدم انسجامهم و انتظامهم في أمر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الخطر العظيم يتطلّب توصية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مهم مثل حال الاحتضار ليهتمّ به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القرينة الكاشفة عن المراد و أمّا لغةً فقد جاء لفظ الأمر بمعنى الإمارة و الحكومة كما 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الإمرة و الإمارة الولاية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أمر على القوم يأمر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أمير و الجمع الأُمراء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كذا صرّح بذلك في سائر جوامع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إرادة مطلق الأمر يشمل المقام بالإطلاق؛ لأنّ إدارة المسلمين و التدبير و السياسة بينهم من أهمّ أُمورهم و أحوجها إلى النظم، و هو لا يتحقق إلّا بقيم لهم و رئيس ينظم بينهم بسياسة و تدبير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على أساس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لأخذ زمام نظام الإمارة و قيادة الأُمّة في عصر الغيبة إلّا الفقيه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النظم في الأُمور اليومية فواضح لا يحتاج إلى بيان و لا يناسب شأن الشارع، و لا سيّما حال الوصية و الاحتضار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 w:name="__RefHeading___Toc733369_373438147"/>
      <w:bookmarkStart w:id="109" w:name="_Toc41"/>
      <w:bookmarkEnd w:id="108"/>
      <w:r>
        <w:rPr>
          <w:rtl w:val="true"/>
        </w:rPr>
        <w:t>الطائفة الثالثة</w:t>
      </w:r>
      <w:r>
        <w:rPr>
          <w:rtl w:val="true"/>
        </w:rPr>
        <w:t xml:space="preserve">: </w:t>
      </w:r>
      <w:r>
        <w:rPr>
          <w:rtl w:val="true"/>
        </w:rPr>
        <w:t>ما دلّ على لزوم كون الوالي على المسلمين و القاضي بينهم</w:t>
      </w:r>
      <w:bookmarkEnd w:id="109"/>
    </w:p>
    <w:p>
      <w:pPr>
        <w:pStyle w:val="BookText"/>
        <w:rPr/>
      </w:pPr>
      <w:r>
        <w:rPr>
          <w:rFonts w:ascii="Amiri" w:hAnsi="Amiri" w:eastAsia="Amiri" w:cs="Amiri"/>
          <w:color w:val="111111"/>
          <w:sz w:val="28"/>
          <w:sz w:val="28"/>
          <w:szCs w:val="28"/>
          <w:rtl w:val="true"/>
          <w:lang w:bidi="ar-SA"/>
        </w:rPr>
        <w:t>عادلاً قائماً بالقسط، عالماً بأحكام الدين، عارفاً بحلاله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اعتبار ذلك واضحٌ بضرورة العقل و الوجدان، كما قلنا سابقاً؛ نظراً إلى أنّ الحكومة الإسلامية لمّا كانت حكومة قانونية إلهية مجعولة لأجل إجراء القانون و بسط العدل و القسط بين الناس، لا بدّ للوالي من صفتين هما أساس الحكومة الإسلامية و لا يعقل تحققها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لوضوح عدم صلاحية الجاهل و الظالم و الفاسق لذلك، و لا يلائم حكمة الشارع أن يجعله والياً على المسلمين و حاكماً على مقدّراتهم و على أموالهم و أنفسهم، مع شدّة اهتمامه بذلك؛ حيث لا يمكن إجراء القانون الإلهي كما هو حقّه إلّا بيد الفقيه العادل العارف بأحكام الدين؛ لأنّ الجاهل لا يعرف أحكام الدين و لا يميّز حلاله من حرامه، و لو كان عادلاً و الفاسق لا يؤمن منه عليها، و لو كان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يكون الوالي على الفروج و الدماء و المغانم و الأحكام و إمامة المسلمين البخيل فتكون في أموالهم نَهْمتُه</w:t>
      </w:r>
      <w:r>
        <w:rPr>
          <w:rStyle w:val="FootnoteAnchor"/>
          <w:rtl w:val="true"/>
        </w:rPr>
        <w:footnoteReference w:id="134"/>
      </w:r>
      <w:r>
        <w:rPr>
          <w:rFonts w:ascii="Amiri" w:hAnsi="Amiri" w:eastAsia="Amiri" w:cs="Amiri"/>
          <w:color w:val="111111"/>
          <w:sz w:val="28"/>
          <w:sz w:val="28"/>
          <w:szCs w:val="28"/>
          <w:rtl w:val="true"/>
          <w:lang w:bidi="ar-SA"/>
        </w:rPr>
        <w:t>، و لا الجاهل فيُضلّهم بجهله، و لا الجافي فيقطعهم بجفائه، و لا الحائف للدُّول</w:t>
      </w:r>
      <w:r>
        <w:rPr>
          <w:rStyle w:val="FootnoteAnchor"/>
          <w:rtl w:val="true"/>
        </w:rPr>
        <w:footnoteReference w:id="135"/>
      </w:r>
      <w:r>
        <w:rPr>
          <w:rFonts w:ascii="Amiri" w:hAnsi="Amiri" w:eastAsia="Amiri" w:cs="Amiri"/>
          <w:color w:val="111111"/>
          <w:sz w:val="28"/>
          <w:sz w:val="28"/>
          <w:szCs w:val="28"/>
          <w:rtl w:val="true"/>
          <w:lang w:bidi="ar-SA"/>
        </w:rPr>
        <w:t>فيتَّخذ قوماً دون قوم، و لا المرتشي في الحكم فيَذهب بالحقوق و يقف بها دون المقاطع</w:t>
      </w:r>
      <w:r>
        <w:rPr>
          <w:rStyle w:val="FootnoteAnchor"/>
          <w:rtl w:val="true"/>
        </w:rPr>
        <w:footnoteReference w:id="136"/>
      </w:r>
      <w:r>
        <w:rPr>
          <w:rFonts w:ascii="Amiri" w:hAnsi="Amiri" w:eastAsia="Amiri" w:cs="Amiri"/>
          <w:color w:val="111111"/>
          <w:sz w:val="28"/>
          <w:sz w:val="28"/>
          <w:szCs w:val="28"/>
          <w:rtl w:val="true"/>
          <w:lang w:bidi="ar-SA"/>
        </w:rPr>
        <w:t>، و لا المعطِّل للسنة فيُهلك الأُمّة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آسَى أنْ يَليَ أمْرَ هذه الأُمّة سفهاؤُها و فجّارها فيتّخذوا مال اللّه دُولاً و عبادَه خَولاً و الصالحين حرباً و الفاسقين حِزباً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جماعة من المتقدّمين على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إبراهيم بن هلال الثقفي في الغارات ذكره ابن أبي الحديد في شرحه</w:t>
      </w:r>
      <w:r>
        <w:rPr>
          <w:rStyle w:val="FootnoteAnchor"/>
          <w:rtl w:val="true"/>
        </w:rPr>
        <w:footnoteReference w:id="139"/>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في الإمامة و السياسة</w:t>
      </w:r>
      <w:r>
        <w:rPr>
          <w:rStyle w:val="FootnoteAnchor"/>
          <w:rtl w:val="true"/>
        </w:rPr>
        <w:footnoteReference w:id="140"/>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في المسترشد</w:t>
      </w:r>
      <w:r>
        <w:rPr>
          <w:rStyle w:val="FootnoteAnchor"/>
          <w:rtl w:val="true"/>
        </w:rPr>
        <w:footnoteReference w:id="141"/>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الرسائل على ما حكاه السيد بن طاوس في كشف المحجّة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آسى، أي أحزن، صيغة المتكلّم وحده من أسى يأسى، و 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الحلال من الولاية ولاية الوالي العادل و ولاية وُلاته بجهة ما أمر به الوالي العادل بلا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له و العمل معه و معونته و تقويته حلال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الحرام من الولاية فولاية الوالي الجائر و ولاية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لهم و الكسب معهم بجهة الولاية لهم حرام محرّم معذّب فاعل ذلك على قليل من فعله أو كثيرٍ؛ لأنّ كلّ شيء من جهة المعونة له معصية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في ولاية الوالي الجائر دروس الحق كله فلذلك حرّم العمل معهم و معونتهم و الكسب معهم إلّا بجهة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الضرورة إلى الدم و الميتة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ذلك نصوص قد ذكر فيها استيلاء الأشرار و الطواغيت بعنوان العذاب و من مظاهر غضب اللّه تعالى بسبب ترك الأمر بالمعروف و النهي عن المنكر و كثرة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نكتفي من هذه النصوص بذكر وصية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ضربه ابن ملجم لعنه اللّه تعالى فإنّها نقلت بطرق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أُصول الكافي بسنده المعتبر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موسى بوصية أمير المؤمنين، و فيها</w:t>
      </w:r>
    </w:p>
    <w:p>
      <w:pPr>
        <w:pStyle w:val="BookText"/>
        <w:rPr/>
      </w:pPr>
      <w:r>
        <w:rPr>
          <w:rFonts w:ascii="Amiri" w:hAnsi="Amiri" w:eastAsia="Amiri" w:cs="Amiri"/>
          <w:color w:val="111111"/>
          <w:sz w:val="28"/>
          <w:sz w:val="28"/>
          <w:szCs w:val="28"/>
          <w:rtl w:val="true"/>
          <w:lang w:bidi="ar-SA"/>
        </w:rPr>
        <w:t>و لا تتركوا الأمر بالمعروف و النهي عن المنكر فيولّي اللّه أمرَكم شرارَكم، ثمّ تدعون فلا يُستجاب لكم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هذا عذاباً يجب التخلص منه بتولية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أيضاً في الفقيه</w:t>
      </w:r>
      <w:r>
        <w:rPr>
          <w:rStyle w:val="FootnoteAnchor"/>
          <w:rtl w:val="true"/>
        </w:rPr>
        <w:footnoteReference w:id="145"/>
      </w:r>
      <w:r>
        <w:rPr>
          <w:rFonts w:ascii="Amiri" w:hAnsi="Amiri" w:eastAsia="Amiri" w:cs="Amiri"/>
          <w:color w:val="111111"/>
          <w:sz w:val="28"/>
          <w:sz w:val="28"/>
          <w:szCs w:val="28"/>
          <w:rtl w:val="true"/>
          <w:lang w:bidi="ar-SA"/>
        </w:rPr>
        <w:t>و الرضي في نهج البلاغة</w:t>
      </w:r>
      <w:r>
        <w:rPr>
          <w:rStyle w:val="FootnoteAnchor"/>
          <w:rtl w:val="true"/>
        </w:rPr>
        <w:footnoteReference w:id="146"/>
      </w:r>
      <w:r>
        <w:rPr>
          <w:rFonts w:ascii="Amiri" w:hAnsi="Amiri" w:eastAsia="Amiri" w:cs="Amiri"/>
          <w:color w:val="111111"/>
          <w:sz w:val="28"/>
          <w:sz w:val="28"/>
          <w:szCs w:val="28"/>
          <w:rtl w:val="true"/>
          <w:lang w:bidi="ar-SA"/>
        </w:rPr>
        <w:t>و أيضاً نقل بأسانيد كثيرة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يحاكم بعضكم بعضاً إلى 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انظروا إلى رجلٍ منكم يعلم شيئاً من قضايانا فاجعلوه بينكم، فإنّي قد جعلته قاضياً فتحاكموا إليه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ظاهر التنكير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التقليل، إلّا أنّه بالقياس إلى قضايا الأئمّة لا بدّ أن يكون كثيراً في نفسه ليصدق أنّه شيء من علمهم الذي كالبحر،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فلان شيء من أموال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بالقياس إلى ما في الدنيا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الأموال و الثروات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التعبير كناية عن الكثرة في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المضمون أيضاً معتبرته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تداري في شيء من الأخذ و العطاء أن تحاكموا إلى أحدٍ من هؤلاء الفساق، اجعلوا بينكم رجلاً قد عرف حلالنا و حرامنا، فإنّي قد جعلته عليكم قاضياً و إيّاكم أن يخاصم بعضكم بعضاً إلى السلطان الجائر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و إن وردتا في مورد الحكومة و القضاء، إلّا أنّ تصدّي ذلك للفقهاء لا يمكن تحققه على الوجه المطلوب للشارع إلّا بتشكيل الحكومة الإسلامية؛ لعدم إمكانه بقيادة الفاسق الجائر، إلّا أن يكون الأمير شخصاً عادلاً فيوكل أمر إجراء الحدود و الأحكام و القضاء إلى الفقيه العادل كما ربما ينقل ذلك في حق بعض سلاطين الصفوية،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 طهماسب أوكل ذلك إلى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إمكان ذلك لا يمكن القول بتوقف القضاء و إجراء الحدود و الأحكام على رئاسة الفقيه العادل و قيادته على الأُمّة، إلّا أنّه مشكل؛ لتضادّ أحكام الدين مع حكومة السلاطين و ميولهم و أغراضهم السياسية، إلّا أن يكون الأمير من عمّال الفقيه كما قد ينقل ذلك في قضية شاه طهماسب و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 كما إلى السلطان و إلى القضاة أ 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 و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يُقبل منه فإنّما استخفّ بحكم اللّه و علينا ردّ و الرادّ علينا الرادّ على اللّه و هو على حدّ الشرك باللّه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بهذه المقبولة على ثلاثة تقاريب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الحاكم أعم من القاضي فإنّه يشمل كلّ متصدّي الحكومة من الأمير و السلطان، فلا اختصاص له بالقاضي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يستشهد لذلك ذكر السلطان في السؤال؛ فإنّه قرينة على إرادة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الالتزام بشمول لفظ الحاكم لغير القاضي؛ نظراً إلى ظهوره في اصطلاح النصوص في القاضي لغلبة الاستعمال فيه، و لا سيّما بقرينة المقام و لا ينافيه كون لفظ الحكم في الأعم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 السلطان فلا يفيد التعميم بعد كون موضوع السؤال و الجواب التحاكم و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حيث إنّ قوله</w:t>
      </w:r>
    </w:p>
    <w:p>
      <w:pPr>
        <w:pStyle w:val="BookText"/>
        <w:rPr/>
      </w:pPr>
      <w:r>
        <w:rPr>
          <w:rFonts w:ascii="Amiri" w:hAnsi="Amiri" w:eastAsia="Amiri" w:cs="Amiri"/>
          <w:color w:val="111111"/>
          <w:sz w:val="28"/>
          <w:sz w:val="28"/>
          <w:szCs w:val="28"/>
          <w:rtl w:val="true"/>
          <w:lang w:bidi="ar-SA"/>
        </w:rPr>
        <w:t>فإنّي قد جعلته عليكم حاكماً في قوّة التعليل، أي تعليل وجوب الرجوع إليه بجعله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فمقتضى عموم التعليل وجوب الرجوع إليه في كل ما يحتاج إلى الحكم و يؤكّد هذا العموم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شموله لمطلق الحكم الصادر منه المطابق لحكم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التقريب يتم ولاية الفقيه الناظر في حلالهم و حرامهم العارف بأحكامهم على الحكم في جميع ما يحتاج إثباته أو إنفاذه أو إجراؤه إلى إنشاء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هذا التقريب على ظهور لفظ الحاكم عند الإطلاق في الأعم من القاضي 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يتوقف على عموم التعليل المثبت لنفوذ حكمه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القضاء تستتبع مشروعية سائر شئون الحكومة بالفحوى؛ لما في القضاء من التعرّض و التدخّل في النفوس و الأعراض و الدماء و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التقريب أيضاً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 الاستدلال بهذه المقبولة بأنّها واردة في مورد قاضي التحكيم؛ نظراً إلى كون السؤال فيها عن منازعة شخصية بين رجلين في قضية خارجية جزئية، 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جعل الحكم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و إن كان في منازعة خارجية شخصية،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بصدد جعل الولاية لكلّ من يتّصف بالأوصاف المذكورة على نحو القضية الحقيقية، كما هي شأن الخطابات الواردة في تشريع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أعم من الحكم، مع أنّ ذلك ينافي عموم التعليل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الجعل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المقبولة نفسه من قبيل الحكم الولائي المختص بزمانه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الحكم الأولي الثابت إلى يوم القيامة؛ نظراً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جعل الحاكم للمتخاصمين في قضايا شخصية واقعة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الولاية لو كان لشخص من أصحابه لتمّت هذه المناقشة، إلّا أنّه ليس كذلك بل على نحو القضية الحقيقية الكلّية المنطبقة على موضوعها المقدّر إذا تحقق في أيّ عصر و زمان، كما هو شأن خطابات تشريع الأحكام الأوّلية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المناقشة بأنّ فصل الخصومة و رفع المنازعة غير الولاية العامّة التي نحن بصدد إثباته، واضحة الدفع</w:t>
      </w:r>
      <w:r>
        <w:rPr>
          <w:rFonts w:eastAsia="Amiri" w:cs="Amiri" w:ascii="Amiri" w:hAnsi="Amiri"/>
          <w:color w:val="111111"/>
          <w:sz w:val="28"/>
          <w:szCs w:val="28"/>
          <w:rtl w:val="true"/>
          <w:lang w:bidi="ar-SA"/>
        </w:rPr>
        <w:t>.</w:t>
      </w:r>
      <w:bookmarkStart w:id="110" w:name="pg937_10736"/>
    </w:p>
    <w:p>
      <w:pPr>
        <w:pStyle w:val="BookText"/>
        <w:rPr/>
      </w:pPr>
      <w:bookmarkEnd w:id="110"/>
      <w:r>
        <w:rPr>
          <w:rFonts w:ascii="Amiri" w:hAnsi="Amiri" w:eastAsia="Amiri" w:cs="Amiri"/>
          <w:color w:val="111111"/>
          <w:sz w:val="28"/>
          <w:sz w:val="28"/>
          <w:szCs w:val="28"/>
          <w:rtl w:val="true"/>
          <w:lang w:bidi="ar-SA"/>
        </w:rPr>
        <w:t>و ذلك لأنّ فصل الخصومة و الحكم بين المتنازعين من شئون الحكومة العامّة و من متفرّعات الولاية على الناس، كما يشهد لذلك تفريع الأمر بردّ مورد النزاع إلى اللّه و رسوله على الأمر بطاعتهما في قوله تعالى يا أَيُّهَا الَّذِينَ آمَنُوا أَطِيعُوا اللّهَ وَ أَطِيعُوا الرَّسُولَ وَ أُولِي الْأَمْرِ مِنْكُمْ فَإِنْ تَنازَعْتُمْ فِي شَيْ‌ءٍ فَرُدُّوهُ إِلَى اللّهِ وَ الرَّسُولِ‌</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 يا داوُدُ إِنّا جَعَلْناكَ خَلِيفَةً فِي الْأَرْضِ فَاحْكُمْ بَيْنَ النّاسِ بِالْحَقِّ‌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بالرجوع إلى من كان متّصفاً بالأوصاف المذكورة بجعل الولاية له على الحكم في مطلق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الجعل هو ملاك مشروعية التحاكم إلى الواجد لتلك الأوصاف و موجبٌ لنفوذ حكمه مطلقاً، و خصوصية المورد لا تنافي كلّية الجعل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33371_373438147"/>
      <w:bookmarkStart w:id="112" w:name="_Toc42"/>
      <w:bookmarkEnd w:id="111"/>
      <w:r>
        <w:rPr>
          <w:rtl w:val="true"/>
        </w:rPr>
        <w:t>الطائفة الرابعة</w:t>
      </w:r>
      <w:r>
        <w:rPr>
          <w:rtl w:val="true"/>
        </w:rPr>
        <w:t xml:space="preserve">: </w:t>
      </w:r>
      <w:r>
        <w:rPr>
          <w:rtl w:val="true"/>
        </w:rPr>
        <w:t>نصوص ذكر فيها العلماء و الفقهاء خلفاء رسول اللّه و أمناء الرسل و حصون الإسلام</w:t>
      </w:r>
      <w:bookmarkEnd w:id="112"/>
    </w:p>
    <w:p>
      <w:pPr>
        <w:pStyle w:val="BookText"/>
        <w:rPr/>
      </w:pPr>
      <w:r>
        <w:rPr>
          <w:rFonts w:ascii="Amiri" w:hAnsi="Amiri" w:eastAsia="Amiri" w:cs="Amiri"/>
          <w:color w:val="111111"/>
          <w:sz w:val="28"/>
          <w:sz w:val="28"/>
          <w:szCs w:val="28"/>
          <w:rtl w:val="true"/>
          <w:lang w:bidi="ar-SA"/>
        </w:rPr>
        <w:t>كحصن سور المدينة و حجّة على الناس و مرجعهم في الحوادث الواقعة و بمنزلة أنبياء بني إسرائيل و حكاماً على الناس و أنّ مجاري الأُمور و الأحكام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و إن لا يخلو سند بعضها من النقاش، إلّا أنّها بمجموعها في حدّ من الكثرة و التظافر يوجب الاطمئنان بصدور مضمونها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الصحيح عن عليّ بن أبي حمزة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المؤمن بكت عليه الملائكة و بقاع</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المؤمنين الفقهاء حصون الإسلام كحصن سور المدينة لها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أهمّ خواص حصن البلد حفظ أهله من هجوم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فيدلّ هذا الخبر على أنّ شأن الفقهاء و منصبهم حفظ كيان الإسلام و نواميس المسلمين و دفع أعدائهم، فلا إشكال في دلالته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سنده بلحاظ علي بن أبي حمزة سالم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الاعتماد على رواياته ما لم تعارض بروايات أُخرى أو أصل أو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الشيخ الطوسي على عمل الطائفة بأخباره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كثير من أجلّاء الرواة و أصحاب الإجماع عنه روايات كثيرة، و هذا كاشف عن اعتمادهم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أسناد تفسير القمي و دخوله في من شهد علي بن إبراهيم بعدالته على النحو العام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له أصلاً نقله ابن أبي عمير، و له كتب و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وقفه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ينافي عدالته، لا وثاقته في نقل الخبر، و لا سيّما فيما أُحرز أنّه نقله قبل زمان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شهادة علي بن الحسن الفضال على كونه كذّاباً متّهما، فلعلّه باعتبار وقفه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علي بن الحسن نفسه فطحي لا يعبأ بشهادته و عدم قبول شهادته لا ينافي قبول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أنّها حدسية؛ لعدم إدراكه عليّ بن أبي حمزة؛ حيث إنّه كان من أصحاب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 بن أبي حمزة من أصحاب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قلناه استناد العلّامة في تضعيف الرجل إلى تكذيب علي بن الحسن، مع ابتناء تضعيفاته على الفسق في المذهب فهو كاشف عن أنّ نظر علي بن الحسن أيضاً كان إلى فسق الرجل في مذهبه و كذبه في إنكار إمامة علي بن موسى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لذلك لعن ابن الغضائري على فرض ثبوت نسبة الكتاب إليه استناداً إلى أنّه أصل الوقف و أشدّ الخلق عداوةً لولي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قال في ترجمة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أي علي بن أبي حمزة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التوجيه بأنّ مقصوده أنّه أقلّ ضعفاً من ابنه بقرينة تصريحه بضعف الابن خلاف ظاهر لفظ الأوثق في الاستعمال الدارج في 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الوثاقة في النقل و الإخبار، لا العدالة و الديانة، فلا ينافي فسقه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السند و أمّا من جهة الدلالة فهذه الرواية بصدد بيان شأنية الفقهاء لحفظ الإسلام و صيانة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من له شأنية ذلك هو المتعين لتصدّي منصب أمارة المسلمين و الحكومة عليهم، دون من لا حظّ له و لا شأنية 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أهمّ الأمانات التي أودعها اللّه تعالى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أهمّ وظائف الأمين 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حفظ الدين بمجرد التعليم و التعلّم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الإفتاء و التقليد، بل إنّما يتيسّر بإجراء أحكامه و تنفيذ قوانينه بين الناس، و لا يمكن ذلك إلّا بتأسيس الحكومة العادلة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المنسوب إلى صاحب الأمر</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أشكل في سندها لوقوع إسحاق بن يعقوب في طريقه؛ حيث لم يوثّق في كتب الرجال، و لكن استفاد صاحب الوسائل مدحه من دعاء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أرشدك اللّه و 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 لوقوعه نفسه في طريق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رواها الصدوق في إكمال الدين</w:t>
      </w:r>
      <w:r>
        <w:rPr>
          <w:rStyle w:val="FootnoteAnchor"/>
          <w:rtl w:val="true"/>
        </w:rPr>
        <w:footnoteReference w:id="158"/>
      </w:r>
      <w:r>
        <w:rPr>
          <w:rFonts w:ascii="Amiri" w:hAnsi="Amiri" w:eastAsia="Amiri" w:cs="Amiri"/>
          <w:color w:val="111111"/>
          <w:sz w:val="28"/>
          <w:sz w:val="28"/>
          <w:szCs w:val="28"/>
          <w:rtl w:val="true"/>
          <w:lang w:bidi="ar-SA"/>
        </w:rPr>
        <w:t>، و الشيخ في كتاب الغيبة</w:t>
      </w:r>
      <w:r>
        <w:rPr>
          <w:rStyle w:val="FootnoteAnchor"/>
          <w:rtl w:val="true"/>
        </w:rPr>
        <w:footnoteReference w:id="159"/>
      </w:r>
      <w:r>
        <w:rPr>
          <w:rFonts w:ascii="Amiri" w:hAnsi="Amiri" w:eastAsia="Amiri" w:cs="Amiri"/>
          <w:color w:val="111111"/>
          <w:sz w:val="28"/>
          <w:sz w:val="28"/>
          <w:szCs w:val="28"/>
          <w:rtl w:val="true"/>
          <w:lang w:bidi="ar-SA"/>
        </w:rPr>
        <w:t>عن جماعة عن جعفر بن محمد بن قولويه و أبي غالب الرازي و غيرهما كلّهم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 الصدوق إلى الكليني في هذا التوقيع إشكال لوقوع محمد بن عصام؛ نظراً إلى عدم تصريح أحد بتوثيقه و إن وقع مورد ترضّي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طريق الشيخ إلى الكليني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فعمدة الكلام في إسحاق بن يعقوب، و لم أر من يصرح بوثاقته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رواها الطبرسي في الاحتجاج</w:t>
      </w:r>
      <w:r>
        <w:rPr>
          <w:rStyle w:val="FootnoteAnchor"/>
          <w:rtl w:val="true"/>
        </w:rPr>
        <w:footnoteReference w:id="160"/>
      </w:r>
      <w:r>
        <w:rPr>
          <w:rFonts w:ascii="Amiri" w:hAnsi="Amiri" w:eastAsia="Amiri" w:cs="Amiri"/>
          <w:color w:val="111111"/>
          <w:sz w:val="28"/>
          <w:sz w:val="28"/>
          <w:szCs w:val="28"/>
          <w:rtl w:val="true"/>
          <w:lang w:bidi="ar-SA"/>
        </w:rPr>
        <w:t>، و رواه الراوندي في الخرائج و الجرائح</w:t>
      </w:r>
      <w:r>
        <w:rPr>
          <w:rStyle w:val="FootnoteAnchor"/>
          <w:rtl w:val="true"/>
        </w:rPr>
        <w:footnoteReference w:id="161"/>
      </w:r>
      <w:r>
        <w:rPr>
          <w:rFonts w:ascii="Amiri" w:hAnsi="Amiri" w:eastAsia="Amiri" w:cs="Amiri"/>
          <w:color w:val="111111"/>
          <w:sz w:val="28"/>
          <w:sz w:val="28"/>
          <w:szCs w:val="28"/>
          <w:rtl w:val="true"/>
          <w:lang w:bidi="ar-SA"/>
        </w:rPr>
        <w:t>و اعتنى الفقهاء الكبار بهذا التوقيع الشريف و استدلوا به في مختلف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الفقه بالمناسبة كالمحقق السبزواري في الكفاية</w:t>
      </w:r>
      <w:r>
        <w:rPr>
          <w:rStyle w:val="FootnoteAnchor"/>
          <w:rtl w:val="true"/>
        </w:rPr>
        <w:footnoteReference w:id="162"/>
      </w:r>
      <w:r>
        <w:rPr>
          <w:rFonts w:ascii="Amiri" w:hAnsi="Amiri" w:eastAsia="Amiri" w:cs="Amiri"/>
          <w:color w:val="111111"/>
          <w:sz w:val="28"/>
          <w:sz w:val="28"/>
          <w:szCs w:val="28"/>
          <w:rtl w:val="true"/>
          <w:lang w:bidi="ar-SA"/>
        </w:rPr>
        <w:t>و المحقق الأردبيلي في مجمع الفائدة</w:t>
      </w:r>
      <w:r>
        <w:rPr>
          <w:rStyle w:val="FootnoteAnchor"/>
          <w:rtl w:val="true"/>
        </w:rPr>
        <w:footnoteReference w:id="163"/>
      </w:r>
      <w:r>
        <w:rPr>
          <w:rFonts w:ascii="Amiri" w:hAnsi="Amiri" w:eastAsia="Amiri" w:cs="Amiri"/>
          <w:color w:val="111111"/>
          <w:sz w:val="28"/>
          <w:sz w:val="28"/>
          <w:szCs w:val="28"/>
          <w:rtl w:val="true"/>
          <w:lang w:bidi="ar-SA"/>
        </w:rPr>
        <w:t>، و المحدث البحراني في مواضع عديدة من الحدائق</w:t>
      </w:r>
      <w:r>
        <w:rPr>
          <w:rStyle w:val="FootnoteAnchor"/>
          <w:rtl w:val="true"/>
        </w:rPr>
        <w:footnoteReference w:id="164"/>
      </w:r>
      <w:r>
        <w:rPr>
          <w:rFonts w:ascii="Amiri" w:hAnsi="Amiri" w:eastAsia="Amiri" w:cs="Amiri"/>
          <w:color w:val="111111"/>
          <w:sz w:val="28"/>
          <w:sz w:val="28"/>
          <w:szCs w:val="28"/>
          <w:rtl w:val="true"/>
          <w:lang w:bidi="ar-SA"/>
        </w:rPr>
        <w:t>و الفاضل الهندي في كشف اللثام</w:t>
      </w:r>
      <w:r>
        <w:rPr>
          <w:rStyle w:val="FootnoteAnchor"/>
          <w:rtl w:val="true"/>
        </w:rPr>
        <w:footnoteReference w:id="165"/>
      </w:r>
      <w:r>
        <w:rPr>
          <w:rFonts w:ascii="Amiri" w:hAnsi="Amiri" w:eastAsia="Amiri" w:cs="Amiri"/>
          <w:color w:val="111111"/>
          <w:sz w:val="28"/>
          <w:sz w:val="28"/>
          <w:szCs w:val="28"/>
          <w:rtl w:val="true"/>
          <w:lang w:bidi="ar-SA"/>
        </w:rPr>
        <w:t>و صاحب الجواهر في مواضع مختلفة</w:t>
      </w:r>
      <w:r>
        <w:rPr>
          <w:rStyle w:val="FootnoteAnchor"/>
          <w:rtl w:val="true"/>
        </w:rPr>
        <w:footnoteReference w:id="166"/>
      </w:r>
      <w:r>
        <w:rPr>
          <w:rFonts w:ascii="Amiri" w:hAnsi="Amiri" w:eastAsia="Amiri" w:cs="Amiri"/>
          <w:color w:val="111111"/>
          <w:sz w:val="28"/>
          <w:sz w:val="28"/>
          <w:szCs w:val="28"/>
          <w:rtl w:val="true"/>
          <w:lang w:bidi="ar-SA"/>
        </w:rPr>
        <w:t>و الشيخ الأعظم</w:t>
      </w:r>
      <w:r>
        <w:rPr>
          <w:rStyle w:val="FootnoteAnchor"/>
          <w:rtl w:val="true"/>
        </w:rPr>
        <w:footnoteReference w:id="167"/>
      </w:r>
      <w:r>
        <w:rPr>
          <w:rFonts w:ascii="Amiri" w:hAnsi="Amiri" w:eastAsia="Amiri" w:cs="Amiri"/>
          <w:color w:val="111111"/>
          <w:sz w:val="28"/>
          <w:sz w:val="28"/>
          <w:szCs w:val="28"/>
          <w:rtl w:val="true"/>
          <w:lang w:bidi="ar-SA"/>
        </w:rPr>
        <w:t>و غيرهم ممّن تقدّم و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الجمع المحلّاة بالألف و اللام فيشمل بعمومه الحوادث الواقعة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حادث أهمّ من الأُمور السياسية و تأسيس الحكومة و تعيين الحاكم بين المسلمين؟ ففي جميع ذلك يكون الفقيه العارف بالحلال و الحرام هو المرجع بدلالة هذا التوقيع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p>
    <w:p>
      <w:pPr>
        <w:pStyle w:val="BookText"/>
        <w:rPr/>
      </w:pPr>
      <w:r>
        <w:rPr>
          <w:rFonts w:ascii="Amiri" w:hAnsi="Amiri" w:eastAsia="Amiri" w:cs="Amiri"/>
          <w:color w:val="111111"/>
          <w:sz w:val="28"/>
          <w:sz w:val="28"/>
          <w:szCs w:val="28"/>
          <w:rtl w:val="true"/>
          <w:lang w:bidi="ar-SA"/>
        </w:rPr>
        <w:t>فإنّهم حجتي عليكم و أنا حجة اللّه؛ حيث 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قول الفقهاء حجّةً و حكمهم فصلاً في جميع شئون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حجية قولهم على وزان حجية قول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كون الفقيه العادل بمنزلة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شئون المسلمين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الإرجاع إلى رواة الحديث لا يدلّ على الرجوع في مجرد نقل الرواية و تعلّم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صدور الرواية في جميع الحوادث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بجزئياتها، بل تحتاج إلى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لتقييد إطلاق الإرجاع، بل المراد أنّ الرجوع لا بدّ أن يكون إلى من استند في فتواه و حكمه إلى الرواية، و من الواضح أنّه لا فرق بين المفتي و بين الحاكم في استنادهما في كلّ من الفتوى و الحكم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إطلاق الحجية و إضافتها إلى الفقيه نفسه، و هو شامل للحكم و الفتوى الصادرين منه كليهما، و لا سيّما بقرينة تنزيل حجّيته منزلة حجّية الإمام المعصوم نفسه، لا مجرّد حجّية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أنّ حجّية ما يصدر من الفقيه فتوًى و حكماً جهةٌ جامعة بين الفتوى و الحكم، فإنّ إطلاق الحجّية يقتضي حجّية في كليهما، و لا سيّما بقرينة إطلاق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الصدوق بأسانيده المتعددة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خلفاؤك؟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أرسل الصدوق هذه الرواية جازماً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الحكومة من شئون الخلافة، كما بينّاه في استظهار ذلك من قوله تعالى يا داوُدُ إِنّا جَعَلْناكَ خَلِيفَةً فِي الْأَرْضِ فَاحْكُمْ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بدلالة فاء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الخبر على أنّ الفقهاء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إرادة خصوص الأئمّة خلاف ظاهر عموم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يروون حديثي و سنتي، كما أنّ تخصيص الخلافة بنقل الحديث و السنة لا وجه له، بل مادّة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ظاهرةٌ في الإمارة و الحكومة؛ لأنّ حقيقة الخلافة هي النيابة، و الخليفة هو النائب مناب من قبله و قائم مقامه، صرّح بذلك في جوامع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p>
    <w:p>
      <w:pPr>
        <w:pStyle w:val="BookText"/>
        <w:rPr/>
      </w:pPr>
      <w:r>
        <w:rPr>
          <w:rFonts w:ascii="Amiri" w:hAnsi="Amiri" w:eastAsia="Amiri" w:cs="Amiri"/>
          <w:color w:val="111111"/>
          <w:sz w:val="28"/>
          <w:sz w:val="28"/>
          <w:szCs w:val="28"/>
          <w:rtl w:val="true"/>
          <w:lang w:bidi="ar-SA"/>
        </w:rPr>
        <w:t xml:space="preserve">يروون حديثي و سنتي عنوان مشير إلى الفقهاء و العلماء، و ليس من باب ذكر القيد للخلافة ليصلح للتخصيص، فإذا كان الفقهاء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الأمر في تصدي الحكومة بينهم و بين من لا أهلية له لذلك، لا يبقى أيّ شك و لا ترديد في أنّ الفقهاء هم المتعيّنون لذلك، لأنّهم الذين ورد النص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الخلافة في شأنهم و أنّهم لائقون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w:t>
      </w:r>
    </w:p>
    <w:p>
      <w:pPr>
        <w:pStyle w:val="BookText"/>
        <w:rPr/>
      </w:pPr>
      <w:r>
        <w:rPr>
          <w:rFonts w:ascii="Amiri" w:hAnsi="Amiri" w:eastAsia="Amiri" w:cs="Amiri"/>
          <w:color w:val="111111"/>
          <w:sz w:val="28"/>
          <w:sz w:val="28"/>
          <w:szCs w:val="28"/>
          <w:rtl w:val="true"/>
          <w:lang w:bidi="ar-SA"/>
        </w:rPr>
        <w:t xml:space="preserve">يروون حديثي و سنتي أيّ شخص روى حديثاً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بل هو عنوان مشير إلى الفقهاء؛ بقرينة مادّة الخلافة، و لما ورد نظير ذلك في حقهم في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إشكال في دلالة هذه الرواية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سنداً فهي معتبرة لكثرة طرقها حيث رويت في مسند زيد بن علي</w:t>
      </w:r>
      <w:r>
        <w:rPr>
          <w:rStyle w:val="FootnoteAnchor"/>
          <w:rtl w:val="true"/>
        </w:rPr>
        <w:footnoteReference w:id="170"/>
      </w:r>
      <w:r>
        <w:rPr>
          <w:rFonts w:ascii="Amiri" w:hAnsi="Amiri" w:eastAsia="Amiri" w:cs="Amiri"/>
          <w:color w:val="111111"/>
          <w:sz w:val="28"/>
          <w:sz w:val="28"/>
          <w:szCs w:val="28"/>
          <w:rtl w:val="true"/>
          <w:lang w:bidi="ar-SA"/>
        </w:rPr>
        <w:t>و رواها الصدوق في الفقيه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في العيون بالأسانيد 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في الأمالي</w:t>
      </w:r>
      <w:r>
        <w:rPr>
          <w:rStyle w:val="FootnoteAnchor"/>
          <w:rtl w:val="true"/>
        </w:rPr>
        <w:footnoteReference w:id="173"/>
      </w:r>
      <w:r>
        <w:rPr>
          <w:rFonts w:ascii="Amiri" w:hAnsi="Amiri" w:eastAsia="Amiri" w:cs="Amiri"/>
          <w:color w:val="111111"/>
          <w:sz w:val="28"/>
          <w:sz w:val="28"/>
          <w:szCs w:val="28"/>
          <w:rtl w:val="true"/>
          <w:lang w:bidi="ar-SA"/>
        </w:rPr>
        <w:t>و معاني الأخبار</w:t>
      </w:r>
      <w:r>
        <w:rPr>
          <w:rStyle w:val="FootnoteAnchor"/>
          <w:rtl w:val="true"/>
        </w:rPr>
        <w:footnoteReference w:id="174"/>
      </w:r>
      <w:r>
        <w:rPr>
          <w:rFonts w:ascii="Amiri" w:hAnsi="Amiri" w:eastAsia="Amiri" w:cs="Amiri"/>
          <w:color w:val="111111"/>
          <w:sz w:val="28"/>
          <w:sz w:val="28"/>
          <w:szCs w:val="28"/>
          <w:rtl w:val="true"/>
          <w:lang w:bidi="ar-SA"/>
        </w:rPr>
        <w:t>، و أيضاً رواها في البحار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أعاظم الأصحاب و أكابر الفقهاء بهذه الرواية كالعلّامة الحلّي في تحرير الأحكام</w:t>
      </w:r>
      <w:r>
        <w:rPr>
          <w:rStyle w:val="FootnoteAnchor"/>
          <w:rtl w:val="true"/>
        </w:rPr>
        <w:footnoteReference w:id="176"/>
      </w:r>
      <w:r>
        <w:rPr>
          <w:rFonts w:ascii="Amiri" w:hAnsi="Amiri" w:eastAsia="Amiri" w:cs="Amiri"/>
          <w:color w:val="111111"/>
          <w:sz w:val="28"/>
          <w:sz w:val="28"/>
          <w:szCs w:val="28"/>
          <w:rtl w:val="true"/>
          <w:lang w:bidi="ar-SA"/>
        </w:rPr>
        <w:t>و ابن فهد في المهذب البارع</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المحدث البحراني في الحدائق</w:t>
      </w:r>
      <w:r>
        <w:rPr>
          <w:rStyle w:val="FootnoteAnchor"/>
          <w:rtl w:val="true"/>
        </w:rPr>
        <w:footnoteReference w:id="178"/>
      </w:r>
      <w:r>
        <w:rPr>
          <w:rFonts w:ascii="Amiri" w:hAnsi="Amiri" w:eastAsia="Amiri" w:cs="Amiri"/>
          <w:color w:val="111111"/>
          <w:sz w:val="28"/>
          <w:sz w:val="28"/>
          <w:szCs w:val="28"/>
          <w:rtl w:val="true"/>
          <w:lang w:bidi="ar-SA"/>
        </w:rPr>
        <w:t>و المحقق النراقي في العوائد</w:t>
      </w:r>
      <w:r>
        <w:rPr>
          <w:rStyle w:val="FootnoteAnchor"/>
          <w:rtl w:val="true"/>
        </w:rPr>
        <w:footnoteReference w:id="179"/>
      </w:r>
      <w:r>
        <w:rPr>
          <w:rFonts w:ascii="IRNazanin" w:hAnsi="IRNazanin" w:eastAsia="IRNazanin"/>
          <w:color w:val="111111"/>
          <w:sz w:val="28"/>
          <w:sz w:val="28"/>
          <w:szCs w:val="28"/>
          <w:rtl w:val="true"/>
          <w:lang w:bidi="fa-IR"/>
        </w:rPr>
        <w:t>و المستند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الجواهر</w:t>
      </w:r>
      <w:r>
        <w:rPr>
          <w:rStyle w:val="FootnoteAnchor"/>
          <w:rtl w:val="true"/>
        </w:rPr>
        <w:footnoteReference w:id="181"/>
      </w:r>
      <w:r>
        <w:rPr>
          <w:rFonts w:ascii="Amiri" w:hAnsi="Amiri" w:eastAsia="Amiri" w:cs="Amiri"/>
          <w:color w:val="111111"/>
          <w:sz w:val="28"/>
          <w:sz w:val="28"/>
          <w:szCs w:val="28"/>
          <w:rtl w:val="true"/>
          <w:lang w:bidi="ar-SA"/>
        </w:rPr>
        <w:t>و من بعدهم من الفقهاء المحققين مع أنّها من جوازم مرسلات 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أولى الناس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الأولوية بشئون الأنبياء يشمل ولايتهم المطلقة على إجراء الأحكام و حفظ نفوس المسلمين و أعراضهم و الحكومة عليهم على أساس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يعبأ بإشكال بعض من أنّ الأولوية غير ملازمة للولاية العامة؛ لوضوح أنّ المقصود أولوية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بشأن إبراهيم، و هو يقتضي ثبوت الولاية لهم، كما كانت ثابتة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الأمر إذا دار بين من هو أولى بالنبي و بين من هو ليست له هذه الأهلية، فالمتعين لتصدّي قيادة الأُمّة و رئاسة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و الحكومة عليهم إنّما هو من يكون أولى بشأن الأنبياء و أليق من غيره بولايتهم و تصدّي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 الناس بهذا الأمر أقواهم عليه و أعلمهم بأمر اللّه فيه</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w:t>
      </w:r>
    </w:p>
    <w:p>
      <w:pPr>
        <w:pStyle w:val="BookText"/>
        <w:rPr/>
      </w:pPr>
      <w:r>
        <w:rPr>
          <w:rFonts w:ascii="Amiri" w:hAnsi="Amiri" w:eastAsia="Amiri" w:cs="Amiri"/>
          <w:color w:val="111111"/>
          <w:sz w:val="28"/>
          <w:sz w:val="28"/>
          <w:szCs w:val="28"/>
          <w:rtl w:val="true"/>
          <w:lang w:bidi="ar-SA"/>
        </w:rPr>
        <w:t xml:space="preserve">هذا الأمر ليس إلّا الإمارة و الحكومة؛ لأنّها التي غصبها الغاصبون، و إلّا فمنصب الخلافة الإلهيّة و الإمامة بيد اللّه تعالى و غير قابل للغضب و لم تنفكّ عن عليّ و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من أدلّ النصوص على ثبوت الولاية للفقيه الأعلم بالأحكام و برموز الحكومة و السياسة، بل يستفاد اعتبار الأعلمية في أمر الحكومة و السياسة من</w:t>
      </w:r>
    </w:p>
    <w:p>
      <w:pPr>
        <w:pStyle w:val="BookText"/>
        <w:rPr/>
      </w:pPr>
      <w:r>
        <w:rPr>
          <w:rFonts w:ascii="Amiri" w:hAnsi="Amiri" w:eastAsia="Amiri" w:cs="Amiri"/>
          <w:color w:val="111111"/>
          <w:sz w:val="28"/>
          <w:sz w:val="28"/>
          <w:szCs w:val="28"/>
          <w:rtl w:val="true"/>
          <w:lang w:bidi="ar-SA"/>
        </w:rPr>
        <w:t>فيه؛ لرجوع ضمير الهاء إلى</w:t>
      </w:r>
    </w:p>
    <w:p>
      <w:pPr>
        <w:pStyle w:val="BookText"/>
        <w:rPr/>
      </w:pPr>
      <w:r>
        <w:rPr>
          <w:rFonts w:ascii="Amiri" w:hAnsi="Amiri" w:eastAsia="Amiri" w:cs="Amiri"/>
          <w:color w:val="111111"/>
          <w:sz w:val="28"/>
          <w:sz w:val="28"/>
          <w:szCs w:val="28"/>
          <w:rtl w:val="true"/>
          <w:lang w:bidi="ar-SA"/>
        </w:rPr>
        <w:t>هذا الأمر، و لأنّ العلم بأمر اللّه تعالى و أحكامه في أمر الخلافة و الحكومة إنّما يتوقف على العلم بما يرتبط من أحكام اللّه و حدوده بأمر الحكومة و الإمارة بين الناس، لا سائر الأحكام العبادية الفردية التي يجب على كل مكلّف أن يعمل بها بشخصه و لا مساس لها بأمر الحكومة و الإمارة،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ضرورة وجود أمير للناس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نعلم بالضرورة أنّ الشارع الأقدس لا يرضى بأمارة الفاجر الجاهل، فلا مناص من الالتزام بأنّه أوجب عليهم اتّخاذ أمير عالم عادل أمين؛ ليحفظ أحكام الشريعة عن الاندراس و الاضمحلال و حقوق الناس عن التعدّي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النصوص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حق يراد بها باطلٌ، نعم إنّه لا حكم إلّا للّه، و لكن هؤلاء يقولون لا إمرة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تحكيمهم قال</w:t>
      </w:r>
    </w:p>
    <w:p>
      <w:pPr>
        <w:pStyle w:val="BookText"/>
        <w:rPr/>
      </w:pP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الذي مطلوب الشارع الأقدس هو الإمرة البرّة الصالحة، و إن لا يستفاد ذلك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القيام على ضدّ الطواغيت و الظالمين للعلماء و تأسيس حكومة العدل قبالهم إذا تمكّنوا من ذلك بنصرة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وجوب إجابة دعوة الناس و القيام بالحكومة العادلة عند حضور الناس و بيعتهم و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غاربها، أي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أدعهم و أتركهم على حالهم فيذهبوا حيث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دولة العادل من الواجبات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ضمّها في أصل اللغة اسم لما يتداول بين الناس من المال و الجاه و المنصب و الحرب، فيطلق على كل واحد من هذه المعاني بلحاظ تداولها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المقصود منه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الجاه و القدرة و الإمرة ظاهراً؛ لعدم مناسبة سائر المعاني للاتصاف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أُريد ذلك بالقرينة المقالية و الدلالة السياقية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إلى الوالي حقّه و ادّى الوالي إليها حقّها عزّ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فصلحَ بذلك الزمان و طُمِعَ في بقاء الدولة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لا يبعد كون المقصود بقاء الدولة و ثباتها بالعدل و عدم ثباتها بالجور و إن يمكن حدوثها، كما لعلّه يستفاد من ذيل الحديث المزبور</w:t>
      </w:r>
    </w:p>
    <w:p>
      <w:pPr>
        <w:pStyle w:val="BookText"/>
        <w:rPr/>
      </w:pPr>
      <w:r>
        <w:rPr>
          <w:rFonts w:ascii="Amiri" w:hAnsi="Amiri" w:eastAsia="Amiri" w:cs="Amiri"/>
          <w:color w:val="111111"/>
          <w:sz w:val="28"/>
          <w:sz w:val="28"/>
          <w:szCs w:val="28"/>
          <w:rtl w:val="true"/>
          <w:lang w:bidi="ar-SA"/>
        </w:rPr>
        <w:t>و دولة الجائر من الممكنات</w:t>
      </w:r>
      <w:r>
        <w:rPr>
          <w:rStyle w:val="FootnoteAnchor"/>
          <w:rtl w:val="true"/>
        </w:rPr>
        <w:footnoteReference w:id="189"/>
      </w:r>
      <w:r>
        <w:rPr>
          <w:rFonts w:ascii="Amiri" w:hAnsi="Amiri" w:eastAsia="Amiri" w:cs="Amiri"/>
          <w:color w:val="111111"/>
          <w:sz w:val="28"/>
          <w:sz w:val="28"/>
          <w:szCs w:val="28"/>
          <w:rtl w:val="true"/>
          <w:lang w:bidi="ar-SA"/>
        </w:rPr>
        <w:t>، و يشهد لذلك كون الوجوب في أصل اللغة بمعنى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دلالة كلامه المزبور في الخطبة الشقشقية على وجوب قيام العلماء بالعدل و تأسيس حكومة العدل قبال الجبابرة و الطواغيت، إذا كانوا متمكنين من ذلك بنصرة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مدح من تولّى أُمور الناس و عدل و نظر في أُمورهم، مثل صحيح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تولّى أمراً من أُمور الناس فعَدَل و فتح بابَه و رفع ستره و نظر في أُمور الناس كان حقاً على اللّه عزّ و جلّ أن يؤمّن روعته يوم القيامة و يدخله الجنة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ترغيب الشارع إلى تأسيس حكومة العدل بين الناس و تشمل بإطلاقه تولّي مطلق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العامّة في صحيح مسلم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استُعمِلَ عليكم عبدٌ يقودكم بكتاب اللّه فاسمعوا له و أطيعوا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المقام إشكال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يأخذوا زمام الإمارة و الحكومة و لم يشوّقوا أصحابهم بتشكيل الحكومة و لم يأمروهم بتأسيس الحكومة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حال التقية؛ حيث كانت الحكومة بيد مخالفيهم و معانديهم من عمّال بني أُميّة و بني العباس الذين كانوا من أولع الناس بدمائهم و دماء شيعتهم و كانوا بصدد مستمسك ليقتلوهم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كانوا عليه من التقية و تكليف شيعتهم بذلك و عدم تعرّضهم لمسألة الحكومة، فمع ذلك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مراقبة جواسيس الخلفاء و محبوسين في سجونهم أو ينالون درجة الشهادة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دلّت على أنّه لو كان لهم ناصرين صدّيقين يمهّدون لهم مجالات القيام بالعدل بنصرهم، لم يسكتوا و كانوا ينهضون ضدّ الطواغيت بمجرد تمكّنهم من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أدلّ دليل على ذلك قيام أبي عبد اللّه الحسين ضدّ طاغوت عصره يزيد بن معاوية لعنه اللّه 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قيامه الدامي غرضٌ إلّا إزالة الباطل و الظلم و الفساد و إحياء الحق و العدل و الدين، كما نطق بذلك في خطبه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الشريفة الموجودة في المقاتل،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يسعك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و لِمَ يا سدير؟ قلت لكثرة مواليك و شيعتك و أنصارك و اللّه لو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الشيعة و الأنصار و الموالي ما طمع فيه تَيْمٌ و لا عَدي، فقال</w:t>
      </w:r>
    </w:p>
    <w:p>
      <w:pPr>
        <w:pStyle w:val="BookText"/>
        <w:rPr/>
      </w:pP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عسى أن 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مائتي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ثمّ نظر إلى غلام يرعى جداءً،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شيعة بعدد هذه الجداء ما وسعني القعود و نزلنا و صلّينا، فلمّا فرغنا من الصلاة عطفت على الجداء فعددتها، فإذا هي سبعة عشر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البحار عن دعائم الإسلام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p>
    <w:p>
      <w:pPr>
        <w:pStyle w:val="BookText"/>
        <w:rPr/>
      </w:pPr>
      <w:r>
        <w:rPr>
          <w:rFonts w:ascii="Amiri" w:hAnsi="Amiri" w:eastAsia="Amiri" w:cs="Amiri"/>
          <w:color w:val="111111"/>
          <w:sz w:val="28"/>
          <w:sz w:val="28"/>
          <w:szCs w:val="28"/>
          <w:rtl w:val="true"/>
          <w:lang w:bidi="ar-SA"/>
        </w:rPr>
        <w:t>إذا اجتمع للإمام عدّة أهل بدر ثلاث مائة و ثلاث عشر وجب عليه القيام و التغيير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الجواهر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لو أنّ لي عدد هذه الشويهات و كانت أربعين لخرجتُ‌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الشويهات جمع الشويهة مصغّر الشاة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القتال عند الخوف على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خاف الفقيه في حكومة الجائر على بيضة الإسلام يجب عليه تمهيد مقدّمات القتال مع الجائر و الإطاحة بحكومته و تأسيس حكومة الإسلام؛ تحصيلاً للغرض الذي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بالقتال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 صحيحة يونس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خاف على بيضة الإسلام و المسلمين قاتل فيكون قتاله لنفسه، ليس للسلطان؛ لأنّ في دروس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محمّد بن عيسى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يقاتل عن بيضة الإسلام، فإنّ في ذهاب بيضة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ذهاب بيضة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يشمل جميع الأعصار و الأوقات إذا حصل هذا الخوف لأيّ شخص و تمكّن من القيام ضد الطاغوت و الإطاحة بحكومته، و دلّ بالملازمة القطعية على لزوم تأسيس الحكومة على أساس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التمكن، إذا توقّف عليه حفظ بيضة الإسلام و صيانة شعائره و بقاء 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تصدّيه للأمارة و توجيه حكومته بإصلاح البلاد و أمن المظلومين من الظلم و إقامة الحدود الإلهية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التعليل يشمل كلّ فقيه عادل إذا تمكن من ذلك، بلا اختصاص بعصر دون عصر؛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توجيهه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الظلم و إحقاق حق المظلومين و إقامة الحدود الإلهية ملاك القيام بتأسيس الحكومة العادلة الإسلامية و دليل مشروعيته، بل وجوبه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التعليل ينفي اختصاص ذلك بعصره أو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مشروعية قيام العالم الأمين الذي يدعو الناس إلى الحق و إلى ما هو مرضي الأئمّة و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لزوم إجابته و نصرته و إعانته، مثل صحيح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عليكم بتقوى اللّه وحده لا شريك له و انظروا لأنفسكم فو اللّه إنّ الرجل ليكون له الغنم فيها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رجلاً هو أعلم بغنمه من الذي هو فيها يُخرجه و يجيءُ بذلك الذي هو أعلم بغنمه من الذي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كانت لأحدكم نفسان يقاتل بواحدةٍ يجرِّب بها ثمّ كانت الأُخرى باقيةً، فعمل على ما قد استبان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 نفس واحدة إذا ذهبت فقد و اللّه ذهبت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أحقّ أن تختاروا لأنفسكم إن أتاكم آتٍ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على أيّ شيء تخرجون، و لا تقولوا 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زيداً كان عالماً و كان صدوقاً، و لم يدعكم إلى نفسه، إنّما دعاكم إلى الرضى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لوفى بما دعاكم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إلى سلطان مجتمع لينقضه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فالخارج منّا اليوم إلى أيّ شيء يدعوكم؟ إلى الرِّضى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نُشهدكم أنّا لسنا نرضى به و هو يعصينا اليوم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الانقياد بقيادة العلماء و الفقهاء و إعطاء زمام الحكومة و الزعامة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العلماء و الفقهاءُ و النجباءُ و الحكماءُ و حملة الكتاب و المتهجّدون بالأسحار و عُمّار المساجد بتلاوة القرآن، أ فلا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تسخطون و تهتمّون أن ينازعكم للولاية عليكم سفهاؤكم و الأشرار و الأراذل منكم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واضحة الدلالة على المطلوب، و إن لا تخلو أسنادها من النقاش،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حكّامٌ على الناس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مجاري الأُمور و الأحكام على أيدي العلماء باللّه الاُمناء على حلاله و حرامه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للفقيه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الكافل لأيتام آل محمد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النصوص الكثيرة المتفرّقة في مظانّ موضوع البحث، فمن أرادها فليراجع إلى الكتب المفصّلة المؤلّفة في خصوص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إلى النصوص الخاصة لإثبات الولاية المطلقة للفقيه بعد تمامية دليل العقل و ضرورة الشرع، بل دليل الحسبة لإثبات ذلك بالتقريب المتقدّم ذكره، و بعد ذهاب أعاظم الفقهاء من القدماء و المتأخرين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3" w:name="pg937_10781"/>
    </w:p>
    <w:p>
      <w:pPr>
        <w:pStyle w:val="Heading4"/>
        <w:numPr>
          <w:ilvl w:val="3"/>
          <w:numId w:val="1"/>
        </w:numPr>
        <w:rPr/>
      </w:pPr>
      <w:bookmarkStart w:id="114" w:name="__RefHeading___Toc733373_373438147"/>
      <w:bookmarkStart w:id="115" w:name="_Toc43"/>
      <w:bookmarkEnd w:id="113"/>
      <w:bookmarkEnd w:id="114"/>
      <w:r>
        <w:rPr>
          <w:rtl w:val="true"/>
        </w:rPr>
        <w:t>إزاحة الشبهات</w:t>
      </w:r>
      <w:bookmarkEnd w:id="115"/>
    </w:p>
    <w:p>
      <w:pPr>
        <w:pStyle w:val="BookText"/>
        <w:rPr/>
      </w:pPr>
      <w:r>
        <w:rPr>
          <w:rFonts w:ascii="Amiri" w:hAnsi="Amiri" w:eastAsia="Amiri" w:cs="Amiri"/>
          <w:color w:val="111111"/>
          <w:sz w:val="28"/>
          <w:sz w:val="28"/>
          <w:szCs w:val="28"/>
          <w:rtl w:val="true"/>
          <w:lang w:bidi="ar-SA"/>
        </w:rPr>
        <w:t>أشكل على بعض النصوص و الوجوه المستدل بها في المقام بأُمور نذكر أهمّها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توقيع إسحاق بن يعقوب ناظرٌ إلى الرجوع إلى رواة الحديث لأخذ الروايات منهم في المسائل المستحدثة، و لا أقلّ من نظره إلى تقليد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الرجوع إليهم في الحكومة و القضاء و إعطاء الولاية إليهم في ذلك فخارج عن نطاق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أمر بالرجوع فيه إلى رواة الحديث هو جميع الحوادث الواقعة، لا خصوص المسائل الشرعية الحادثة؛ فإنّ عموم الجمع المحلّى بالألف و اللام يقتضي الرجوع إلى جميع الحوادث، و من أهمّها الحكومة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 بالاستفتاء عن حكم المسائل المستحدثة ينفيه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مشير إلى الفقهاء؛ نظراً إلى تعارف بيان الفتاوى في عصر الأئمّة ببيان الروايات و تطبيقها على مورد السؤال بالاستنباط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مجاري الأُمور و الأحكام على أيدي العلماء إخبار بأنّ تعيين مصير أُمور الملوك و السلطنة بفتاوى العلماء، و لا سيّما بلحاظ العلماء المعاصرين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تتغير سياسة بعض السلاطين بسبب فتوى فقيه في عصره، فلا يزال يدور رحى تدبير الحكومات مدار فتاواهم، فليست الرواية إنشاءً بمعنى لزوم كون تدبير أُمور الأُمّة و تعيين مقدّراتهم على أيديهم لتفيد إعطاء الولاية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المقصود مجرد الإخبار يلزم الكذب؛ حيث لم يكن أحكام سلاطين الجور و فرامينهم مبتنية على فتاوى عدول الفقهاء و آراء العلماء الاُمناء باللّه على حرامه و حلاله في واحد من الحكومات، بل كانت نواميس المسلمين و معتقداتهم و مقدراتهم ألعوبة ميول الطواغيت و السلاطين الجبابرة، و تحت سيطرة أهوائهم النفسانية في طول الأعصار و القرون المتمادية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فرامينهم على أساس فتاوى العلماء الفسقة و أعوان الظلمة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 يكن مجاري أحكام الطواغيت و سلاطين الجور إلّا على ميولهم و أغراضهم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أنفذوا فتاوى الفقهاء العدول أحياناً فإنّما على هذا الأساس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يحسّون مزاحمة فتاواهم لسلطنتهم و اقتدارهم السياسية لم يعتنوا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يخالفونها بأيّ نحو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ارادة الإنشاء من الجملة الخبرية شائعة في خطابات الشارع بل أنّه آكد من صيغة الأمر في إظهار الطلب و أبلغ في حث المكلّفين و بعثهم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الاستدلال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أُمناءُ الرسل في موثقة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الأمانة و الاستيداع منهم لا يقتضي كونهم ولياً من قبلهم في التصرف في أموال الناس و أنفسهم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وظائف الأمين و أبرز صفاته الذي أُطلق عليه عنوان الأمين بلحاظه هو حفظ الأمانة و الحراسة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دين اللّه تعالى و شريعته و إجراءها بين الناس و حفظ نفوس المسلمين و أعراضهم و أموالهم من أهمّ الأمانات التي أودعها اللّه تعالى عند الأنبياء و الأوصياء، و كلّفهم بتبليغ دينه</w:t>
      </w:r>
    </w:p>
    <w:p>
      <w:pPr>
        <w:pStyle w:val="BookText"/>
        <w:rPr/>
      </w:pPr>
      <w:r>
        <w:rPr>
          <w:rFonts w:ascii="Amiri" w:hAnsi="Amiri" w:eastAsia="Amiri" w:cs="Amiri"/>
          <w:color w:val="111111"/>
          <w:sz w:val="28"/>
          <w:sz w:val="28"/>
          <w:szCs w:val="28"/>
          <w:rtl w:val="true"/>
          <w:lang w:bidi="ar-SA"/>
        </w:rPr>
        <w:t>و حفظ شريعته و إجراء أحكامه بين الناس، كما فسّرت بذلك الأمانة المذكورة في الكتاب، بدلالة النصوص المتظافرة الواردة في ذيل قوله تعالى إِنّا عَرَضْنَا الْأَمانَةَ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حفظ هذه الأمانة، و تحقق هذا الهدف المقدّس في عصر الغيبة لا يتيسّر بغير إعطاء الولاية المطلقة إلى الفقيه في جهة حفظ الدين، كما قلنا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إرادة خصوص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الفقهاء و العلماء خلاف ظاهرهما لغةً، و لا سيّما بحسب استعمالهما الغالب في الآيات و النصوص المتواترة، بل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العلماء و شيعتنا المتعلّمون</w:t>
      </w:r>
      <w:r>
        <w:rPr>
          <w:rStyle w:val="FootnoteAnchor"/>
          <w:rtl w:val="true"/>
        </w:rPr>
        <w:footnoteReference w:id="204"/>
      </w:r>
      <w:r>
        <w:rPr>
          <w:rFonts w:ascii="Amiri" w:hAnsi="Amiri" w:eastAsia="Amiri" w:cs="Amiri"/>
          <w:color w:val="111111"/>
          <w:sz w:val="28"/>
          <w:sz w:val="28"/>
          <w:szCs w:val="28"/>
          <w:rtl w:val="true"/>
          <w:lang w:bidi="ar-SA"/>
        </w:rPr>
        <w:t>، فلا ينافي ذلك؛ لأنّ أيّ عالم يتعلم علمه ممّن قبله من العلماء؛ فإنّ العالم و المتعلم عنوانان إضافيان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الحديث لا يوجب 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ظاهره في مطلق العالم، إلّا إذا قامت قرينة على ارادة خصوص الأئمّة، فليس مقتضى الأصل في المقام عكس ذلك كما ادّعاه بعض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تعبير</w:t>
      </w:r>
    </w:p>
    <w:p>
      <w:pPr>
        <w:pStyle w:val="BookText"/>
        <w:rPr/>
      </w:pPr>
      <w:r>
        <w:rPr>
          <w:rFonts w:ascii="Amiri" w:hAnsi="Amiri" w:eastAsia="Amiri" w:cs="Amiri"/>
          <w:color w:val="111111"/>
          <w:sz w:val="28"/>
          <w:sz w:val="28"/>
          <w:szCs w:val="28"/>
          <w:rtl w:val="true"/>
          <w:lang w:bidi="ar-SA"/>
        </w:rPr>
        <w:t>العلماء باللّه في بعض النصوص لا ظهور له في الأئمّة، بل المقصود به مطلق العالم الرباني، كما ورد هذا التعبير في بعض النصوص الآخر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سبق من إثبات كبرى الولاية العامة بالسيرة القطعية و تطبيق صغراها على الفقيه بالضرورة و العلم الوجداني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اتصال السيرة على هذه الكبرى بزمان الشارع؛ لعدم دليل قطعي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فيه، فلا يثبت جواز التصرّف في أموال الناس و نفوسهم و أعراضهم إلّا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الطائفة الثانية كافية لإثبات تقرير هذه السيرة من جانب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نجد فرقة من الفرق و لا ملّة من الملل بقوا و عاشوا إلّا بقيّم و رئيس؛ لما لا بدّ لهم من أمر الدين و الدنيا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وصية أمير المؤمنين بنظم الأمر؛ نظراً إلى توقف ذلك على الولاية و الرئاسة العامة للوالي و الرئيس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ردع هذه السيرة من جانب الشارع يستلزم إمّا رضائه بالهرج و المرج بين المسلمين أو رضائه بولاية الطواغيت و سلاطين الجور، و من العجب أنّ هذا المستشكل كيف فرض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ضرورة الرجوع إلى الفقيه فيما لا مناص من القيام به من الأُمور الحسبة، مثل القيام بأُمور الغيّب و الأموات إذا لم ينصبوا قيّماً على صغارهم و لم يوصوا إلى وصي في أُمورهم، فاقتضت المصلحة إلى بيع بعض أموالهم أو تزويج صغار ولدهم؛ فإنّ الشارع بعد ما منع من الرجوع في ذلك إلى الطواغيت و قضاة الجور، و لمّا لم يجز في حكمته الإهمال في مثل هذه الأُمور الضرورية التي في تعطيلها مفاسد كثيرة، كان القدر المتيقن هو الرجوع إلى الفقيه العادل العارف بأحكام الدين، إلّا أنّ ارتفاع هذه الحاجة لا يتوقف على ثبوت الولاية العامة للفقيه ليكون جميع تصرفاته نافذة، حتى في غير موارد الضرورة، بل إنّما يستكشف بذلك نفوذ تصرفاته نفسه أو وكيله في خصوص موارد الضرورة و مساس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أيّة حاجة و ضرورة أشدّ من إجراء القسط و العدل و منع الظالم من التعدي إلى المظلوم و تنظيم أُمور المسلمين في جميع شئون معاشهم و معادهم و وضع القانون في جميع ذلك و التصدي لإجرائه و مجازات المتعدّي عنه و حفظ حقوق المحرومين و المستضعفين و إقامة الجمعة و الجماعات و الحراسة عن ثغور بلاد المسلمين و نواميسهم و دفع دسائس الكفار و مكائد المنافقين و نحو ذلك من الأُمور الأساسية الحياتية، التي يكون في القيام بها حفظ بيضة الإسلام و كيان المسلمين و صيانة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المقصود هو الاكتفاء بالضرورة بهذا العرض العريض سلّمه و لكنه ليس إلّا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أنّه كيف يكون لتولّى أموال الأموات و الغيّب و القصّر و القيام بمصالحهم ضرورة توجب نفوذ تصرفات الفقيه بل عدول المؤمنين في هذه الأُمور، و لكن القيام بما تحفظ به بيضة الإسلام و كيانه و مصالح المسلمين و ما يلزم من تعطيله اختلال النظام و الهرج و المرج و محو آثار الشريعة و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في ذلك الحد من الضرورة، لكي يقتضي نفوذ تصرّفات الفقيه في مثل هذه الأُمور الحياتية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أدلّة الولاية المطلقة للفقيه فلا مناص من تنفيذ تصرفاته في مثل هذه الأُمور المبتني عليها أساس مصالح الإسلام و المسلمين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 فإليك نص عبارته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حفظ النظام و سدّ ثغور المسلمين و حفظ شبّانهم من الانحراف عن الإسلام و منع التبليغات المضادّة للإسلام و نحوها من أوضح الحسبيات و لا يمكن الوصول</w:t>
      </w:r>
    </w:p>
    <w:p>
      <w:pPr>
        <w:pStyle w:val="BookText"/>
        <w:rPr/>
      </w:pPr>
      <w:r>
        <w:rPr>
          <w:rFonts w:ascii="Amiri" w:hAnsi="Amiri" w:eastAsia="Amiri" w:cs="Amiri"/>
          <w:color w:val="111111"/>
          <w:sz w:val="28"/>
          <w:sz w:val="28"/>
          <w:szCs w:val="28"/>
          <w:rtl w:val="true"/>
          <w:lang w:bidi="ar-SA"/>
        </w:rPr>
        <w:t>إليها إلّا بتشكيل حكومة عادلة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الغضّ عن أدلّة الولاية لا شك في أنّ الفقهاء العدول هم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دخالة نظرهم و لزوم كون الحكومة بإذنهم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مما ذكرنا عدم جواز مزاحمة فقيه لفقيه آخر إذا تصدّى للحكومة؛ نظراً إلى ابتناء ولاية الفقيه على أساس حفظ مصالح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حصول هذا الغرض بتصدّي الفقيه الأوّل للحكومة ينتفي ملاك فعلية الولاية للفقيه الآخر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عجز الأوّل عن التصدّي لضعف تدبيره أو عدم نفوذ رأيه بين الناس تصير الولاية فعلية لمن يقوى من الفقهاء العدول الجامع للشرائط على إدارة الحكومة و تحصيل الغرض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6" w:name="pg937_10799"/>
    </w:p>
    <w:p>
      <w:pPr>
        <w:pStyle w:val="Heading4"/>
        <w:numPr>
          <w:ilvl w:val="3"/>
          <w:numId w:val="1"/>
        </w:numPr>
        <w:rPr/>
      </w:pPr>
      <w:bookmarkStart w:id="117" w:name="__RefHeading___Toc733375_373438147"/>
      <w:bookmarkStart w:id="118" w:name="_Toc44"/>
      <w:bookmarkEnd w:id="116"/>
      <w:bookmarkEnd w:id="117"/>
      <w:r>
        <w:rPr>
          <w:rtl w:val="true"/>
        </w:rPr>
        <w:t>تنبيهان</w:t>
      </w:r>
      <w:bookmarkEnd w:id="118"/>
    </w:p>
    <w:p>
      <w:pPr>
        <w:pStyle w:val="Heading5"/>
        <w:numPr>
          <w:ilvl w:val="4"/>
          <w:numId w:val="1"/>
        </w:numPr>
        <w:rPr/>
      </w:pPr>
      <w:bookmarkStart w:id="119" w:name="__RefHeading___Toc733377_373438147"/>
      <w:bookmarkStart w:id="120" w:name="_Toc45"/>
      <w:bookmarkEnd w:id="119"/>
      <w:r>
        <w:rPr>
          <w:rtl w:val="true"/>
        </w:rPr>
        <w:t>الأوّل</w:t>
      </w:r>
      <w:r>
        <w:rPr>
          <w:rtl w:val="true"/>
        </w:rPr>
        <w:t xml:space="preserve">: </w:t>
      </w:r>
      <w:r>
        <w:rPr>
          <w:rtl w:val="true"/>
        </w:rPr>
        <w:t>في دور انتخاب الشعب</w:t>
      </w:r>
      <w:bookmarkEnd w:id="120"/>
    </w:p>
    <w:p>
      <w:pPr>
        <w:pStyle w:val="BookText"/>
        <w:rPr/>
      </w:pPr>
      <w:r>
        <w:rPr>
          <w:rFonts w:ascii="Amiri" w:hAnsi="Amiri" w:eastAsia="Amiri" w:cs="Amiri"/>
          <w:color w:val="111111"/>
          <w:sz w:val="28"/>
          <w:sz w:val="28"/>
          <w:szCs w:val="28"/>
          <w:rtl w:val="true"/>
          <w:lang w:bidi="ar-SA"/>
        </w:rPr>
        <w:t>أمّا انتخاب الأُمّة و رأيهم فلا شك في عدم دخله في أصل مشروعية الولاية للفقيه الجامع، بل إنّما تنوط مشروعيتها بمدلول الأدلّة المعتبرة السابقة بيانها بالوجوه و التقاريب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يكون لرأي الأُمّة و انتخابهم دور أساسي لفعلية ولاية الفقيه و إتمام الحجّة عليه لتصدّي قيادة الأُمّة و زعامتهم العامّة و الحكومة على أساس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وجّه بذلك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هذا التكليف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حضور الحاضر 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لوضوح أنّ القدرة على الحكومة و إعمال الولاية لا تتيسر بدون رأي الأُمّة و انتخابهم و 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قابلية الفقيه لتصدّي الحكومة و توفّر شرائط الفقاهة و الولاية لا يكفي لتوجه التكليف بذلك إليه ما دام لم تحصل موافقة الأُمّة و تأييدهم له؛ فإنّ من البناء المتسالم عليه بين العقلاء من جميع الملل ابتناء القيادة و الرئاسة على آراء عامة الناس، بل هو أمر وجداني واضح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تتفرّع فعلية ولاية الفقيه و توجه التكليف إليه في تصدي الحكومة على رأي عامة الناس و انتخابهم من دون دخل لذلك في أصل ثبوت الولاية للفقيه؛ فإنّه ثابت له بضرورة المذهب، بل الدين، و بالنصوص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لرأي</w:t>
      </w:r>
      <w:bookmarkStart w:id="121" w:name="pg937_10801"/>
    </w:p>
    <w:p>
      <w:pPr>
        <w:pStyle w:val="BookText"/>
        <w:rPr/>
      </w:pPr>
      <w:bookmarkEnd w:id="121"/>
      <w:r>
        <w:rPr>
          <w:rFonts w:ascii="Amiri" w:hAnsi="Amiri" w:eastAsia="Amiri" w:cs="Amiri"/>
          <w:color w:val="111111"/>
          <w:sz w:val="28"/>
          <w:sz w:val="28"/>
          <w:szCs w:val="28"/>
          <w:rtl w:val="true"/>
          <w:lang w:bidi="ar-SA"/>
        </w:rPr>
        <w:t xml:space="preserve">الناس و انتخابهم تمام الدخل في ذلك لم يكن معنى لنيابة الفقهاء العدول الجامعين للشرائط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الزعامة و الرئاسة العامة و الولاية المطلقة على جميع شئون الأُمّة ثابتة لهم بما أنّهم حجج 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نائبين منابه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بما أنّهم من سلسلة الإمامة و منصوبين من جانب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أنّهم وكلاء الناس و منصوبين من قبلهم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733379_373438147"/>
      <w:bookmarkStart w:id="123" w:name="_Toc46"/>
      <w:bookmarkEnd w:id="122"/>
      <w:r>
        <w:rPr>
          <w:rtl w:val="true"/>
        </w:rPr>
        <w:t>الثاني</w:t>
      </w:r>
      <w:r>
        <w:rPr>
          <w:rtl w:val="true"/>
        </w:rPr>
        <w:t xml:space="preserve">: </w:t>
      </w:r>
      <w:r>
        <w:rPr>
          <w:rtl w:val="true"/>
        </w:rPr>
        <w:t>في شرطية الأعلمية</w:t>
      </w:r>
      <w:bookmarkEnd w:id="123"/>
    </w:p>
    <w:p>
      <w:pPr>
        <w:pStyle w:val="BookText"/>
        <w:rPr/>
      </w:pPr>
      <w:r>
        <w:rPr>
          <w:rFonts w:ascii="Amiri" w:hAnsi="Amiri" w:eastAsia="Amiri" w:cs="Amiri"/>
          <w:color w:val="111111"/>
          <w:sz w:val="28"/>
          <w:sz w:val="28"/>
          <w:szCs w:val="28"/>
          <w:rtl w:val="true"/>
          <w:lang w:bidi="ar-SA"/>
        </w:rPr>
        <w:t>و أمّا الأعلمية فلو كانت في المسائل الشرعية الفردية التي لا مساس لها بأمر الحكومة، فلا ريب أنّها وحدها لا يكفي في القيادة و الزعامة و الرئاسة؛ لوضوح عدم الملازمة بينها و بين حسن التدبير، فربّ من هو أفقه من غيره، و لكن لا تدبير له بحيث يعجز عن إدارة بيته، فضلاً عن قيادة مجتمع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بهذا الأمر أقواهم عليه و أعلمهم بأمر اللّه فيه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فالمقصود من الأعلمية في النصوص الظاهرة في اعتبارها كما ورد في صحيح العيص و النصوص الواردة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الأعلمية في تدبير الحكومة و الإمارة و الأعرفية برموز الرئاسة على أساس أحكام الدين و قوانين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فيعتبر الأعلمية من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التساوي في الفقاهة أو مفضولية من هو أقوى تدبيراً و أحسن إدارة، لا ريب في تقديم من هو أقوى في التدبير و الرئاسة و السياسة بعد فرض اجتهاده المطلق لأنّه أحفظ لبيضة الإسلام و مصالح المؤمنين</w:t>
      </w:r>
      <w:r>
        <w:rPr>
          <w:rFonts w:eastAsia="Amiri" w:cs="Amiri" w:ascii="Amiri" w:hAnsi="Amiri"/>
          <w:color w:val="111111"/>
          <w:sz w:val="28"/>
          <w:szCs w:val="28"/>
          <w:rtl w:val="true"/>
          <w:lang w:bidi="ar-SA"/>
        </w:rPr>
        <w:t>.</w:t>
      </w:r>
      <w:bookmarkStart w:id="124" w:name="pg937_10804"/>
    </w:p>
    <w:p>
      <w:pPr>
        <w:pStyle w:val="Heading4"/>
        <w:numPr>
          <w:ilvl w:val="3"/>
          <w:numId w:val="1"/>
        </w:numPr>
        <w:rPr/>
      </w:pPr>
      <w:bookmarkStart w:id="125" w:name="__RefHeading___Toc733381_373438147"/>
      <w:bookmarkStart w:id="126" w:name="_Toc47"/>
      <w:bookmarkEnd w:id="124"/>
      <w:bookmarkEnd w:id="125"/>
      <w:r>
        <w:rPr>
          <w:rtl w:val="true"/>
        </w:rPr>
        <w:t>القول في ولاية الفقيه على الجهاد الابتدائي</w:t>
      </w:r>
      <w:bookmarkEnd w:id="126"/>
    </w:p>
    <w:p>
      <w:pPr>
        <w:pStyle w:val="Heading5"/>
        <w:numPr>
          <w:ilvl w:val="4"/>
          <w:numId w:val="1"/>
        </w:numPr>
        <w:rPr/>
      </w:pPr>
      <w:bookmarkStart w:id="127" w:name="__RefHeading___Toc733383_373438147"/>
      <w:bookmarkStart w:id="128" w:name="_Toc48"/>
      <w:bookmarkEnd w:id="127"/>
      <w:r>
        <w:rPr>
          <w:rtl w:val="true"/>
        </w:rPr>
        <w:t>تعريف الجهاد</w:t>
      </w:r>
      <w:bookmarkEnd w:id="128"/>
    </w:p>
    <w:p>
      <w:pPr>
        <w:pStyle w:val="BookText"/>
        <w:rPr/>
      </w:pPr>
      <w:r>
        <w:rPr>
          <w:rFonts w:ascii="Amiri" w:hAnsi="Amiri" w:eastAsia="Amiri" w:cs="Amiri"/>
          <w:color w:val="111111"/>
          <w:sz w:val="28"/>
          <w:sz w:val="28"/>
          <w:szCs w:val="28"/>
          <w:rtl w:val="true"/>
          <w:lang w:bidi="ar-SA"/>
        </w:rPr>
        <w:t>لفظ الجهاد على وزن فعال، مصدر ثانٍ للمجاهدة، كما صرّح به في مجمع البحرين و يظهر من الصحاح و النهاية و المصباح و سائر جوامع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الأصل إمّا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التعب و المشقة، أو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الوسع و الطاقة، كما عن ابن فارس في المقاييس، و عن الفرّاء على ما نقل عنه في الصحاح و عن الزمخشري في أساس البلاغة، و كذا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منهما كليهما و هما بمعنى الطاقة و الوسع كما قال في المفردات و نقله ابن الأثير في النهاية عن بعض، و أيضاً يظهر من ابن فارس رجوع بذل الطاقة و غاية الوسع بالمآل إلى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المقدّس الأردبيلي في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المسالك و الجواهر كونه إمّا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التعب و المشقة، أو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الضّم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الطاقة و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به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فالمهم هو معناه الشرعي حسب اصطلاح الفقهاء، و لا الكتاب و السنة؛ حيث جاء هذا اللفظ فيهما بمعناه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الأكثر بأنّه بذل الوسع بالنفس و المال في محاربة المشركين أو الباغين على الوجه المخصوص، كما عن المسالك و الرياض و الجواهر و غيرهم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 الشهيد الأوّل بأنّه بذل النفس و المال في إعلاء كلمة الإسلام و إقامة</w:t>
      </w:r>
      <w:bookmarkStart w:id="129" w:name="pg937_10807"/>
    </w:p>
    <w:p>
      <w:pPr>
        <w:pStyle w:val="BookText"/>
        <w:rPr/>
      </w:pPr>
      <w:bookmarkEnd w:id="129"/>
      <w:r>
        <w:rPr>
          <w:rFonts w:ascii="Amiri" w:hAnsi="Amiri" w:eastAsia="Amiri" w:cs="Amiri"/>
          <w:color w:val="111111"/>
          <w:sz w:val="28"/>
          <w:sz w:val="28"/>
          <w:szCs w:val="28"/>
          <w:rtl w:val="true"/>
          <w:lang w:bidi="ar-SA"/>
        </w:rPr>
        <w:t>شعائر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بهذا التعريف في مجمع البحرين 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بالأوّل إدخال جهاد المشركين و بالثاني جهاد الباغين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الأوّل بذل النفس و المال في إعلاء كلمة الإسلام و من الثاني بذلهما في إقامة شعائر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عليه بأنّه غير مانع؛ لأنّ إعزاز الدين أعم من كونه بالجهاد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مقصوده أنّ بذل النفس و المال في إعلاء كلمة الإسلام و إقامة شعائر الإيمان قد يكون على سبيل الأمر بالمعروف و النهي عن المنكر، لا المقاتلة المعهودة الخاصّة المعروفة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فالتعريف الثاني غير مانع مما هو خارج عن المعرّف، بل أعم منه، كما يظهر هذا التوجيه للإيراد المزبور من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لك بما بيّناه أنّ تعريف الأكثر هو الأصح؛ لأنّه أسلم من الإشكال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33385_373438147"/>
      <w:bookmarkStart w:id="131" w:name="_Toc49"/>
      <w:bookmarkEnd w:id="130"/>
      <w:r>
        <w:rPr>
          <w:rtl w:val="true"/>
        </w:rPr>
        <w:t>الجهاد الابتدائي و الدفاعي</w:t>
      </w:r>
      <w:bookmarkEnd w:id="131"/>
    </w:p>
    <w:p>
      <w:pPr>
        <w:pStyle w:val="BookText"/>
        <w:rPr/>
      </w:pPr>
      <w:r>
        <w:rPr>
          <w:rFonts w:ascii="Amiri" w:hAnsi="Amiri" w:eastAsia="Amiri" w:cs="Amiri"/>
          <w:color w:val="111111"/>
          <w:sz w:val="28"/>
          <w:sz w:val="28"/>
          <w:szCs w:val="28"/>
          <w:rtl w:val="true"/>
          <w:lang w:bidi="ar-SA"/>
        </w:rPr>
        <w:t>قد قسّم الفقهاء الجهاد إلى ابتدائي و دفاعي، كما صرّح به أبو الصلاح في الكافي و ابن إدريس في السرائر و الحلبي في الإشارة و المحقق في الشرائع و العلّامة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كلمات أكثر الفقهاء، بل كلّهم؛ إمّا تصريحاً أو تلويحاً، و سيأتي في خلال هذا البحث نقل كلمات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مقصودهم من الجهاد المبتدأ أو الابتدائي، هو محاربة المشركين و الكفار لغرض دعائهم و جلبهم إلى الإسلام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إشكال اعتقادي قد يناقش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إلى الإسلام لا بدّ أن تكون بالبيان و الدعوة الاستدلالية و التبليغ، لا بالقتال، كما أُشير إلى ذلك في</w:t>
      </w:r>
    </w:p>
    <w:p>
      <w:pPr>
        <w:pStyle w:val="BookText"/>
        <w:rPr/>
      </w:pPr>
      <w:r>
        <w:rPr>
          <w:rFonts w:ascii="Amiri" w:hAnsi="Amiri" w:eastAsia="Amiri" w:cs="Amiri"/>
          <w:color w:val="111111"/>
          <w:sz w:val="28"/>
          <w:sz w:val="28"/>
          <w:szCs w:val="28"/>
          <w:rtl w:val="true"/>
          <w:lang w:bidi="ar-SA"/>
        </w:rPr>
        <w:t>قوله تعالى لا إِكْراهَ فِي الدِّينِ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و قوله إِنّا هَدَيْناهُ السَّبِيلَ إِمّا شاكِراً وَ إِمّا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لعرف الإسلام بدين القهر و القتال، لا دين المنطق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الجهاد الابتدائي يرجع إلى رفع مزاحمة الجبابرة و الطواغيت عن شعوبهم و أقوامهم، و قلع سلطتهم و قهرهم عن رءوس المستضعفين المبتلين بظلمهم، حتى يرفع بذلك ستار الضلالة و حجاب جهلهم بمعالم الدين الحق، و يقصى موانع رشدهم و كمالهم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يكون الجهاد الابتدائي بعد دعوة الطواغيت إلى دين اللّه بالموعظة و الاستدلال، و بعد إحراز عدم اعتنائهم بذلك و عدم رفع أيديهم الظالمة الجائرة عن رءوس المستضعفين من شعوبهم و مللهم المبتلين بجورهم و ظلمهم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الجهاد الابتدائي على الشعوب و الملل، بل على الحكومات الجائرة و الطواغيت الذين يصدّون عن سبيل اللّه و أئمّة الكفر الذين ليس لهم أيّ تعهّد إنساني، كما قال تعالى فَقاتِلُوا أَئِمَّةَ الْكُفْرِ إِنَّهُمْ لا أَيْمانَ لَهُمْ‌</w:t>
      </w:r>
      <w:r>
        <w:rPr>
          <w:rStyle w:val="FootnoteAnchor"/>
          <w:rtl w:val="true"/>
        </w:rPr>
        <w:footnoteReference w:id="210"/>
      </w:r>
      <w:r>
        <w:rPr>
          <w:rFonts w:ascii="Amiri" w:hAnsi="Amiri" w:eastAsia="Amiri" w:cs="Amiri"/>
          <w:color w:val="111111"/>
          <w:sz w:val="28"/>
          <w:sz w:val="28"/>
          <w:szCs w:val="28"/>
          <w:rtl w:val="true"/>
          <w:lang w:bidi="ar-SA"/>
        </w:rPr>
        <w:t>، و لغرض قلع مادّة الفتنة و أصل الفساد عن المجتمع البشري، كما قال تعالى وَ قاتِلُوهُمْ حَتّى لا تَكُونَ فِتْنَةٌ‌</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يقتل أيُّ كافر و مشرك لأجل عدم انتحاله إلى الإسلام بعد الدعوة، كما هو من مسلّمات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إشكال قد يورد في المقام و الجواب عنه في 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خارج عن غرض البحث الفقهي و موكول إلى محله من المباحث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الدفاعي فهو محاربة المشركين و الكفار و البغاة و كلّ عدوّ يخشى منه على بيضة الإسلام و يخاف من استيلائه على دار الإسلام؛ لأجل حفظ معالم الدين و بيضة الإسلام، و لغرض صيانة الشريعة و آثارها عن الدروس، و لحراسة نواميس المسلمين و استقرار الأمنية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دفاع كلّ شخص عن نفسه و أهله و ماله إذا وقع في معرض هجوم أيِّ شخص، كافراً كان المهاجم أو مسلماً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ما إذا كان مسلمٌ في بلاد الشرك فوقع حرب بين أهل ذلك الديار و بين عدوّهم فعليه أن يدافع عن نفسه حينئذٍ بالقتال، كما أُشير إلى ذلك في معتبرة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الذين دخل عليهم قوم آخرون قال</w:t>
      </w:r>
    </w:p>
    <w:p>
      <w:pPr>
        <w:pStyle w:val="BookText"/>
        <w:rPr/>
      </w:pPr>
      <w:r>
        <w:rPr>
          <w:rFonts w:ascii="Amiri" w:hAnsi="Amiri" w:eastAsia="Amiri" w:cs="Amiri"/>
          <w:color w:val="111111"/>
          <w:sz w:val="28"/>
          <w:sz w:val="28"/>
          <w:szCs w:val="28"/>
          <w:rtl w:val="true"/>
          <w:lang w:bidi="ar-SA"/>
        </w:rPr>
        <w:t>على المسلم أن يمنع نفسه و يقاتل على حكم اللّه و حكم رسوله، و أمّا أن يقاتل الكفار على حكم الجور و سنتهم فلا يحلّ له ذلك</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ظاهراً أنّه يجب على المسلم أن يدافع عن نفسه أو يقاتل بأمر اللّه و رسوله لإعزاز الدين، فالمسلم الواقع بين المشركين و بين حروبهم لا بدّ أن يكون قتاله لأجل ذلك، لا لأجل نصرة طائفة من الكفار و المشركين الذين هو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يحتمل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يحبس نفسه للقتال في سبيل اللّه و رسوله، نعم بناءً على ثبوت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المعنى الأوّل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يطلق على الدفاع عنوان الجهاد؟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تجب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2" w:name="pg937_10816"/>
    </w:p>
    <w:p>
      <w:pPr>
        <w:pStyle w:val="BookText"/>
        <w:rPr/>
      </w:pPr>
      <w:bookmarkEnd w:id="132"/>
      <w:r>
        <w:rPr>
          <w:rFonts w:ascii="Amiri" w:hAnsi="Amiri" w:eastAsia="Amiri" w:cs="Amiri"/>
          <w:color w:val="111111"/>
          <w:sz w:val="28"/>
          <w:sz w:val="28"/>
          <w:szCs w:val="28"/>
          <w:rtl w:val="true"/>
          <w:lang w:bidi="ar-SA"/>
        </w:rPr>
        <w:t>المحاربة على 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في الجواهر</w:t>
      </w:r>
      <w:r>
        <w:rPr>
          <w:rStyle w:val="FootnoteAnchor"/>
          <w:rtl w:val="true"/>
        </w:rPr>
        <w:footnoteReference w:id="213"/>
      </w:r>
      <w:r>
        <w:rPr>
          <w:rFonts w:ascii="Amiri" w:hAnsi="Amiri" w:eastAsia="Amiri" w:cs="Amiri"/>
          <w:color w:val="111111"/>
          <w:sz w:val="28"/>
          <w:sz w:val="28"/>
          <w:szCs w:val="28"/>
          <w:rtl w:val="true"/>
          <w:lang w:bidi="ar-SA"/>
        </w:rPr>
        <w:t>بالمعنى الأخص، أي إنّما لا يطلق على الدفاع عنوان الجهاد الابتدائي الدعائي، و إلّا فيطلق عليه عنوان الجهاد بالمعنى الأعم الشامل للدفاع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تقسيم الفقهاء الجهاد إلى القسمين المزبورين، كما أشرنا إليه و سيأتي نقل كلمات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الجهاد إلى ثلاثة أقسام</w:t>
      </w:r>
      <w:r>
        <w:rPr>
          <w:rStyle w:val="FootnoteAnchor"/>
          <w:rtl w:val="true"/>
        </w:rPr>
        <w:footnoteReference w:id="214"/>
      </w:r>
      <w:r>
        <w:rPr>
          <w:rFonts w:ascii="Amiri" w:hAnsi="Amiri" w:eastAsia="Amiri" w:cs="Amiri"/>
          <w:color w:val="111111"/>
          <w:sz w:val="28"/>
          <w:sz w:val="28"/>
          <w:szCs w:val="28"/>
          <w:rtl w:val="true"/>
          <w:lang w:bidi="ar-SA"/>
        </w:rPr>
        <w:t>، فلا يصح؛ نظراً إلى اندراج الثالث منها في الثاني، و هما من قبيل الدفاع، كما هو ظاهر كلمات الأصحاب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بذلك ما يرد على ما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عدم تسمية ذلك كله جهاداً، بل دفاعٌ</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وجوب الدفاع في جميع موارده من الضروريات؛ لوضوح أنّ به حفظ بيضة الإسلام و آثار الشريعة و صيانة نواميس المسلمين و إنقاذ النفس عن الهلاك، مع دلالة النصوص المتواترة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النصوص جمعها صاحب الوسائل في أبواب جهاد العدوّ و النهي عن المنكر و الحدود، فراجع إلى مظانّها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33387_373438147"/>
      <w:bookmarkStart w:id="134" w:name="_Toc50"/>
      <w:bookmarkEnd w:id="133"/>
      <w:r>
        <w:rPr>
          <w:rtl w:val="true"/>
        </w:rPr>
        <w:t>هل للفقيه الولاية على الجهاد الابتدائي؟</w:t>
      </w:r>
      <w:bookmarkEnd w:id="1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في عدم اشتراط إذن أحد، 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 في وجوب الجهاد الدفاعي،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اشتراط حضور الإمام و إذنه أو إذن نائبه المنصوب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في أصل مشروعية الجهاد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كلمات الأصحاب اشتراط ذلك و عدم مشروعية الجهاد الابتدائي بغير إذن الإمام المعصوم أو نائبه المنصوب لخصوص ذلك، كما صرّح بذلك في الشرائع، بل ادعي في الجواهر الإجماع على ذلك بقسميه،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كل حال فلا خلاف بيننا، بل الإجماع بقسميه عليه في أنّه إنّما يجب على الوجه المزبور بشرط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أو من نصبه للجهاد، و لو بتعميم ولايته له و لغيره في قطر من الأقطار، بل أصل مشروعيته مشروط بذلك فضلاً عن وجوبه</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أعلمه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نبذة من كلمات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 الحلبي، بعد بيان القسمين المزبورين للجهاد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الثاني الأوّل؛ لأنّ الأوّل جهاد مبتدإ، وقف فرض النصرة فيه على داعي الحق؛ لوجوب معونته، دون داعي الضلال؛ لوجوب خذلانه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الجهاد الثاني بخلاف ذلك؛ لتعلّقه بنصرة الإسلام و دفع العدوّ عن دار الإيمان؛ لأنّه إن لم يدفع العدوّ، درس الحق و غلب على دار الإيمان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يجب عليه الجهاد إنّما يجب عليه عند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الإمام العادل الذي لا يجوز لهم القتال إلّا بأمره و لا يسوغ لهم الجهاد من دونه ظاهراً، أو يكون من نصبه الإمام للقيام بأمر المسلمين في الجهاد حاضراً، 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يدعوهم إلى الجهاد فيجب عليهم حينئذٍ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يكن الإمام ظاهراً و لا من نصبه حاضراً لم تجز مجاهدة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مع أئمّة الجور من غير إمام خطأ يستحق فاعله به الإثم، و إن أصاب لم يؤجر و إن أُصيب كان مأثوماً، اللهم إلّا أن يُدْهم المسلمين و العياذ باللّه أمرٌ من قبل العدوّ يخاف منه على بيضة الإسلام و يخشى بواره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عن أبي المجد الحلبي في الإشارة؛ حيث اشترط في الجهاد الابتدائي حضور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المنصوب من جانبه،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أمر الإمام الأصل به أو من نصبه و جرى مجراه أو ما حكمه حكم ذلك من حصول الخوف الطاري على كلمة الإسلام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 ما عن الشهيد في الدروس</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 الأصحاب المصرّحة في ذلك، و لا حاجة إلى ذكرها بعد دعوى الإجماع بقسميه عليه في كلام فقيه نحرير مثل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مقصودهم من النائب في المقام هو المنصوب من جانب الإمام لخصوص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 كذلك في كشف الغطاء</w:t>
      </w:r>
      <w:r>
        <w:rPr>
          <w:rStyle w:val="FootnoteAnchor"/>
          <w:rtl w:val="true"/>
        </w:rPr>
        <w:footnoteReference w:id="222"/>
      </w:r>
      <w:r>
        <w:rPr>
          <w:rFonts w:ascii="Amiri" w:hAnsi="Amiri" w:eastAsia="Amiri" w:cs="Amiri"/>
          <w:color w:val="111111"/>
          <w:sz w:val="28"/>
          <w:sz w:val="28"/>
          <w:szCs w:val="28"/>
          <w:rtl w:val="true"/>
          <w:lang w:bidi="ar-SA"/>
        </w:rPr>
        <w:t>، و يفهم ذلك أيضاً من كلام غيرهما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 تحصيل الإجماع الكاشف عن رأي المعصوم بالتعبّد مشكل جدّاً، بعد دلالة النصوص الواردة في المقام على ذلك، و إن كان إحراز استناد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الأصحاب إليها لذلك مشكل؛ لخلوّ كلماتهم حسب فحصي عن الاستدلال بالنصوص لذلك، و لا سيّما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المحتمل قوياً أنّ دلالتها منشأ ذهابهم إلى اشتراط ذلك، و قوّة احتمال ذلك كافية في إسقاط الإجماع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فاستدل لذلك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الصحيح عن 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 إنّ القتال مع غير الإمام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كذلك، هو كذلك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لا إشكال في دلالتها على عدم مشروعية الجهاد بغير إذن الإمام المعصوم، و هي بإطلاقها و إن تشمل القتال الدفاعي، إلّا أنّه خارج بالقرينة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سنداً فلا إشكال في رجال سندها إلّا بشير الدّهان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البرقي و الكشي و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حقه أيّ ذمّ و لا مدح، و هو مشمول لتوثيق ابن قولويه؛ نظراً إلى وقوعه في أسناد كامل الزيارات، و لكن يشكل الحكم بوثاقته؛ لما بنينا على عدم إثبات وثاقة آحاد رجال أسناد هذا الكتاب بإطلاق كلام ابن قولويه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بحثنا عن ذلك مفصّلاً في كتابنا مقياس الرواة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أنّه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بلادنا موضع رباط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عدواً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من جهاد أو هل من رباط؟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البيت فحجّوه، فأعاد عليه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بهذا البيت فحجّوه، أ ما يرضى أحدكم أن يكون في بيته ينفق على عياله من طوله ينتظر أمرنا، فإن أدركه كان كمن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فإن مات ينتظر أمرنا كان كمن كان مع قائمنا صلوات اللّه عليه هكذا في فسطاطه، و جمع بين السبّابتين،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جمع بين السبّابة و الوسطى، فإنّ هذه أطول من هذه،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اشتماله على الرباط لا يضرّ بالمطلوب بلحاظ وجوب الرباط مطلقاً؛ لما ثبت في محله من عدم البأس في تبعيض فقرأت الحديث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دلالة هذه الرواية على المطلوب، كما لا إشكال في سندها؛ حيث ذكر الكليني لها طريقين، و لا إشكال في رجال طريقه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تركت الجهاد و صعوبته، و أقبلت على الحج و لينه، إنّ اللّه عزّ و جلّ يقول إِنَّ اللّهَ اشْتَرى مِنَ الْمُؤْمِنِينَ أَنْفُسَهُمْ وَ أَمْوالَهُمْ بِأَنَّ لَهُمُ الْجَنَّةَ يُقاتِلُونَ فِي سَبِيلِ اللّهِ الآية،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الآية، فقال اَلتّائِبُونَ الْعابِدُونَ الآية،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رأينا هؤلاء الذين هذه صفتهم فالجهاد معهم أفضل من الحج</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الطبرسي في الاحتجاج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علي بن إبراهيم في تفسيره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أبيه، عن رجاله،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لا إشكال في اعتبار سندها، و لكن لا ربط لها بالمطلوب؛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في كلامه إلى اشتراط وجود ناصرين موصوفين بالأوصاف المذكورة، و ليس بصدد بيان اعتبار إذن الإمام في مشروعية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الاستدلال بها في المقام كما يظهر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p>
    <w:p>
      <w:pPr>
        <w:pStyle w:val="BookText"/>
        <w:rPr/>
      </w:pP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p>
    <w:p>
      <w:pPr>
        <w:pStyle w:val="BookText"/>
        <w:rPr/>
      </w:pPr>
      <w:r>
        <w:rPr>
          <w:rFonts w:ascii="Amiri" w:hAnsi="Amiri" w:eastAsia="Amiri" w:cs="Amiri"/>
          <w:color w:val="111111"/>
          <w:sz w:val="28"/>
          <w:sz w:val="28"/>
          <w:szCs w:val="28"/>
          <w:rtl w:val="true"/>
          <w:lang w:bidi="ar-SA"/>
        </w:rPr>
        <w:t>جدّة و عبّادان و المصيصة و قزوين،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انتظاراً لأمركم و الاقتداء بكم،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لو كان خيراً ما سبقونا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الزيدية يقولون ليس بيننا و بين جعفر خلاف، إلّا أنّه لا يرى الجهاد،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لأراه، و لكنّي أكره أن أدع علمي إلى جهلهم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مدلولها عدم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شخصية لذلك القتال المعهود الذي وقع مورد سؤال للراوي و عدم مشروعية فعل الذين أقدموا عليه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اشتراط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مطلقاً على سبيل القضية الحقيقية، فلا يستفاد من هذه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الدلالة ما ورد عن أبي جعفر الثاني في حديث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أعلم في هذا الزمان جهاداً، إلّا الحج و العمرة و الجوار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 مصدر المجاورة أي الاعتكاف في المساجد، كما قال في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p>
    <w:p>
      <w:pPr>
        <w:pStyle w:val="BookText"/>
        <w:rPr/>
      </w:pPr>
      <w:r>
        <w:rPr>
          <w:rFonts w:ascii="Amiri" w:hAnsi="Amiri" w:eastAsia="Amiri" w:cs="Amiri"/>
          <w:color w:val="111111"/>
          <w:sz w:val="28"/>
          <w:sz w:val="28"/>
          <w:szCs w:val="28"/>
          <w:rtl w:val="true"/>
          <w:lang w:bidi="ar-SA"/>
        </w:rPr>
        <w:t>و الجهاد واجب مع إمام عادل، و من قتل دون ماله فهو شهيد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مضافاً إلى ضعف سنده؛ لوقوع تميم بن بهلول في سنده، لا يدلّ على المطلوب، إلّا بناءً على ثبوت المفهوم لقيد</w:t>
      </w:r>
    </w:p>
    <w:p>
      <w:pPr>
        <w:pStyle w:val="BookText"/>
        <w:rPr/>
      </w:pPr>
      <w:r>
        <w:rPr>
          <w:rFonts w:ascii="Amiri" w:hAnsi="Amiri" w:eastAsia="Amiri" w:cs="Amiri"/>
          <w:color w:val="111111"/>
          <w:sz w:val="28"/>
          <w:sz w:val="28"/>
          <w:szCs w:val="28"/>
          <w:rtl w:val="true"/>
          <w:lang w:bidi="ar-SA"/>
        </w:rPr>
        <w:t xml:space="preserve">مع إمام عادل و لكنّه غير ثابت؛ لاحتمال عدم المفهوم؛ نظراً إلى عدم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و لا سيّما بعد توصيفه بعادل؛ حيث يقوّى إرادة معناه العام؛ لأنّ الإمام المعصوم لا يتعين بوصف العادل؛ لأنّه وصف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سنداً و دلالة ما رواه في تحف العقول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دلّت على النهي عن الخروج بالسيف قبل قيام القائم عجّ، و أنّه يصبح عقيماً، و أنّ الدماء المراقة في سبيل ذلك تذهب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ما أمر فيه بإلزام البيت قبل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ربعي عن علي بن الحسين،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يخرج أحد منّا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كان مثله كمثل فرخ طار من و كره قبل أن يستوي جناحاه فأخذه الصبيان فعبثوا به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سدير ألزم بيتك، و كن حلْساً من أحلاسه، و اسكن ما سكن اللّيل و النّهار، فإذا بلغك أنّ السفياني قد خرج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فارحل إلينا، و لو على رجلك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معتبرة الحسين بن المختار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معتبرة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الزم الأرض و لا تحرّك يداً و لا رجلاً، حتى ترى علامات أذكرها لك، و ما أراك تدركها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 و مناد ينادي من السماء، و يجيئكم الصوت من ناحية دمشق</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دلّت بإطلاقها على عدم جواز قتال الطواغيت و محاربة سلاطين الجور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يشمل الجهاد، و لو بإذن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وردت عدة نصوص أُخرى في قبال النصوص المزبورة دلّت بظاهرها على جواز الجهاد و مشروعية القتال إذا روعي فيه أحكام الجهاد و أحرز العمل بالحدود الشرعية التي وضعها الشارع في المسائل المرتبطة أو كان قائد الجند و أمير الجيش عالماً بحدود اللّه ورعاً في دينه، و كان غرضه من القتال الدعاء إلى إجراء أحكام اللّه المبيّنة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عبد اللّه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بالباب يعني باب الأبواب فينادون السلاح فأخرج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 xml:space="preserve">أ رأيتك إن خرجت فأَسرت رجلاً فأعطيته الأمان و جعلت له من العقد ما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أ كان يفون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جعلت فداك ما كانوا يفون لي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تخرج،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أ ما إنّ هناك السيف</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الحاكم في تلك المعركة هو قهر السيف، لا حكم اللّه و حدوده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دلّت على جواز الجهاد و مشروعيته إذا أُحرز فيه رعاية أحكامه؛ حيث يفهم ذلك من تعليقه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الخروج على إحراز رعاية حكم الأمان من جانب قائد الجيش، فيفهم منه أنّ قائد الجيش لو كان عالماً بأحكام الجهاد و عادلاً ورعاً عاملاً بها يجوز معه الخروج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ضعيفة سنداً بمحمد بن عبد اللّه السمندري و عبد اللّه بن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احتمال كون التعليق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إقناع السائل و الاحتجاج عليه، كما يشهد له بيان ذلك بصورة السؤال و الجواب مخاطباً لشخص السائل على سبيل القضية الشخصية، فلم يبيّن التعليق على سبيل القضية الكلّية الحقيقية، حتى تستفاد منه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راشد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المسلم في الجهاد مع من لا يؤمن على الحكم، و لا ينفذ في الفيء أمر اللّه عزّ و جلّ، فإنّه إن مات في ذلك المكان كان معيناً لعدوِّنا في حبس حقنا و الإشاطة بدمائنا، و ميتته ميتة جاهلية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الخصال</w:t>
      </w:r>
      <w:r>
        <w:rPr>
          <w:rStyle w:val="FootnoteAnchor"/>
          <w:rtl w:val="true"/>
        </w:rPr>
        <w:footnoteReference w:id="236"/>
      </w:r>
      <w:r>
        <w:rPr>
          <w:rFonts w:ascii="Amiri" w:hAnsi="Amiri" w:eastAsia="Amiri" w:cs="Amiri"/>
          <w:color w:val="111111"/>
          <w:sz w:val="28"/>
          <w:sz w:val="28"/>
          <w:szCs w:val="28"/>
          <w:rtl w:val="true"/>
          <w:lang w:bidi="ar-SA"/>
        </w:rPr>
        <w:t xml:space="preserve">بعين هذا السند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الإشاطة بدمائنا، يعني تعريضنا للقتل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تتوقف دلالتها على المطلوب على ظهورها في المفهوم بدلالة الوصف و هو مشكلٌ، و أشكل منه الأخذ بإطلاق مفهومها الشامل لغير الإمام، لا أصل المفهوم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في الحسن بن راشد؛ لأنّه كوفي مولى بني العباس و من أصحاب الصادق ظاهراً، أو هو الحسن بن راشد الطفاوي 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ضعيف؛ لأنّ الأوّل ضعّفه ابن الغضائري و الثاني ضعّفه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فليس الرجل الحسن بن راشد الثقة؛ فإنّه بغدادي من آل مهلب، و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متأخّر عن الواقع في سند هذه الرواية بطبقتين؛ لأنّه في طبقة أبي بصير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بحثنا عن ذلك في أوّل كتاب الخمس، من دليل تحرير الوسيلة،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بتقوى اللّه وحده لا شريك له و انظروا لأنفسكم، فو اللّه إنّ الرجل ليكون له الغنم فيها الراعي، فإذا وجد رجلاً هو أعلم بغنمه من الذي هو فيها يخرجه و يجيء بذلك الرجل الذي هو أعلم بغنمه من الذي كان فيها، و اللّه لو كانت لأحد كم نفسان يقاتل بواحدة يجرب بها ثمّ كانت الأُخرى باقية تعمل على ما قد استبان لها، و لكن له نفس واحدة إذا ذهبت فقد و اللّه ذهبت التوبة فأنتم أحق أن تختاروا لأنفسكم، إن أتاكم آت منّا فانظروا على أي شيء تخرجون، و لا تقولوا خرج زيد، فإنّ زيداً كان عالماً و كان صدوقاً و لم يدعكم إلى نفسه، و 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ظهر لوفى بما دعاكم إليه، إنّما خرج إلى سلطان مجتمع لينقضه، فالخارج منّا اليوم إلى أيّ شيء يدعوكم؟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نشهدكم إنّا لسنا نرضى به، و هو يعصينا اليوم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الصحيحة لا إشكال في سندها، كما أنّ مقتضى التحقيق تمامية دلالتها على المطلوب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لينقضه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ظاهر في كون المعلّل به هو ملاك مشروعية الجهاد و القيام، و لا غيره من الأوصاف 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الفقيه الجامع العادل واجداً لهذه الأوصاف و الخصوصيات المعلّل بها فيشرع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لكنّها محمولة على غير الجهاد الابتدائي، بل من قبيل الدفاع عن حريم الإمامة الواقع في معرض الخطر في ذلك الزمان بزعم زيد فكان قتاله من قبيل الدفاع، مع أنّ في بعض الروايات أنّه استشار الإمام في ذلك،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يمنعه، كما رواه في العيون هذا مضافاً إلى كون خروج زيد على طاغوت بني الأُمية، و لم يكن قتاله لدعاء الكفار و المشركين إلى الإسلام؛ حتى يكون من قبيل الجهاد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المقام عدم تمامية دلالة شيء من هذه النصوص على مشروعية الجهاد الابتدائي للفقيه في عصر الغيبة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ولاية له على ذلك؛ لخروجه عن عموم أدلة ولايته و إطلاقها بالنصوص الخاصة السابقة آنفاً، و لا إشكال في تمامية بعضها سنداً و دلالة على عدم مشروعية الجهاد الابتدائي لغير الإمام المعصوم فالتحقيق عدم ثبوت الولاية للفقيه على البدأة بالجهاد كما قال السيد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بملاحضة اتفاق الأصحاب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5" w:name="pg937_10848"/>
    </w:p>
    <w:p>
      <w:pPr>
        <w:pStyle w:val="Heading3"/>
        <w:numPr>
          <w:ilvl w:val="2"/>
          <w:numId w:val="1"/>
        </w:numPr>
        <w:rPr/>
      </w:pPr>
      <w:bookmarkStart w:id="136" w:name="__RefHeading___Toc733389_373438147"/>
      <w:bookmarkStart w:id="137" w:name="_Toc51"/>
      <w:bookmarkEnd w:id="135"/>
      <w:bookmarkEnd w:id="136"/>
      <w:r>
        <w:rPr>
          <w:rtl w:val="true"/>
        </w:rPr>
        <w:t>[</w:t>
      </w:r>
      <w:r>
        <w:rPr>
          <w:rtl w:val="true"/>
        </w:rPr>
        <w:t>وجوب قيام الفقهاء مع بسط يدهم كفاية بالعدل و القسط و إقامة الحدود المعطّلة و إحياء سنّة النبي و تصدي الأُمور الحسبة</w:t>
      </w:r>
      <w:r>
        <w:rPr>
          <w:rtl w:val="true"/>
        </w:rPr>
        <w:t>]</w:t>
      </w:r>
      <w:bookmarkEnd w:id="1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كفاية على النوّاب العامّة القيام بالأُمور المتقدّمة؛ مع بسط يدهم و عدم الخوف من حكّام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بقدر الميسور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دلّ من النصوص المتقدمة على وجوب القيام بالعدل و القسط و إقامة الحدود المعطّلة و إحياء سنّة النبي و تصدي الأُمور الحسبة، بل وجوب ذلك للمتمكن منه معلوم بضرورة العقل و الشرع، مع قطع النظر عن النصوص الخاصة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عدم الخوف على نفسه أو أنفس سائر المؤمنين من الطواغيت، بل عدم الخوف على عرضه و عدم لزوم الحرج من ذلك؛ و ذلك لعمومات النهي عن إلقاء النفس إلى التهلكة و عن إذلال النفس و هتك العرض و إطلاقات نفي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عدم رضى الشارع بشيء من هذه المحاذير في العمل بالوظيفة و إجراء الأحكام الشرعية، إلّا ما أُخذ في موضوعه إيثار المال و النفس، كالجهاد و الدفاع، بل و الأمر بالمعروف و النهي عن المنكر في مهمّات الشريعة، و لا سيّما إزالة البدع و التحريفات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لا بدّ من مراعات الأهمية في ذلك، فإذا رأى الفقيه بيضة الإسلام في خطر المحو و آثار الشريعة و شعائر الإيمان في خطر الدروس، و وثق بنفسه من القيام و أحسّ التمكّن من الإطاحة بالطاغوت لاطمئنانه بمساعدة الناس، وجب عليه القيام بذلك، و تأسيس حكومة الإسلام، و لو انجرّ إلى بذل النفوس</w:t>
      </w:r>
      <w:r>
        <w:rPr>
          <w:rFonts w:eastAsia="Amiri" w:cs="Amiri" w:ascii="Amiri" w:hAnsi="Amiri"/>
          <w:color w:val="111111"/>
          <w:sz w:val="28"/>
          <w:szCs w:val="28"/>
          <w:rtl w:val="true"/>
          <w:lang w:bidi="ar-SA"/>
        </w:rPr>
        <w:t>.</w:t>
      </w:r>
      <w:bookmarkStart w:id="138" w:name="pg937_10851"/>
    </w:p>
    <w:p>
      <w:pPr>
        <w:pStyle w:val="Heading3"/>
        <w:numPr>
          <w:ilvl w:val="2"/>
          <w:numId w:val="1"/>
        </w:numPr>
        <w:rPr/>
      </w:pPr>
      <w:bookmarkStart w:id="139" w:name="__RefHeading___Toc733391_373438147"/>
      <w:bookmarkStart w:id="140" w:name="_Toc52"/>
      <w:bookmarkEnd w:id="138"/>
      <w:bookmarkEnd w:id="139"/>
      <w:r>
        <w:rPr>
          <w:rtl w:val="true"/>
        </w:rPr>
        <w:t>[</w:t>
      </w:r>
      <w:r>
        <w:rPr>
          <w:rtl w:val="true"/>
        </w:rPr>
        <w:t>وجوب مساعدة الفقهاء كفاية في إجراء السياسات و غيرها من الحسبيّات و عدم جواز التولّي للحدود و القضاء و غيرها من قبل الجائر</w:t>
      </w:r>
      <w:r>
        <w:rPr>
          <w:rtl w:val="true"/>
        </w:rPr>
        <w:t>]</w:t>
      </w:r>
      <w:bookmarkEnd w:id="1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الناس كفاية مساعدة الفقهاء في إجراء السياسات و غيرها من الحسبيّات التي من مختصّاتهم في عصر الغيبة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عدمه فبمقدار الميسور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التولّي للحدود و القضاء و غيرها من قبل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إجراء السياسات غير الشرعيّة، فلو تولّى من قبله مع الاختيار فأوقع ما يوجب الضمان ضمن، و كان فعله معصية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وجوب مساعدة الفقهاء هو مقتضى ثبوت الولاية الشرعية للفقيه؛ فإنّ إعطاء الولاية إليه و نصبه حاكماً و والياً على الناس يقتضي وجوب طاعته و لزوم مساعدته فيما يصدر منه في مقام الحكومة و الولاية، و إلّا لا معنى لإعطاء الولاية إليه و جعله لهذا المنصب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ثبوت هذا المنصب للإمام المعصوم يقتضي ذلك فكذلك فيمن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أدلة وجوب تكفل الفقيه و تصديه لإجراء أحكام اللّه و إقامة حدوده بنفسها تقتضي مساعدة سائر المكلّفين 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ما دلّ من نصوص الكتاب و السنة على تحريم التحاكم إلى الطواغيت و الركون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ذكر هذه النصوص في أوائل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مدلول هذه النصوص كون جميع تصرفاته في الأموال و النفوس حينئذٍ معصية و عدوانية، فيضمن كل ما أتلفه و ما جعل عليه اليد،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دلّ على كون ما أُصيب من الظلمة و الطواغيت و أعوانهم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عمار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السحت أنواع كثيرة، منها</w:t>
      </w:r>
      <w:r>
        <w:rPr>
          <w:rFonts w:eastAsia="Amiri" w:cs="Amiri" w:ascii="Amiri" w:hAnsi="Amiri"/>
          <w:color w:val="111111"/>
          <w:sz w:val="28"/>
          <w:szCs w:val="28"/>
          <w:rtl w:val="true"/>
          <w:lang w:bidi="ar-SA"/>
        </w:rPr>
        <w:t>:</w:t>
      </w:r>
      <w:bookmarkStart w:id="141" w:name="pg937_10854"/>
    </w:p>
    <w:p>
      <w:pPr>
        <w:pStyle w:val="Heading3"/>
        <w:numPr>
          <w:ilvl w:val="2"/>
          <w:numId w:val="1"/>
        </w:numPr>
        <w:rPr/>
      </w:pPr>
      <w:bookmarkStart w:id="142" w:name="__RefHeading___Toc733393_373438147"/>
      <w:bookmarkStart w:id="143" w:name="_Toc53"/>
      <w:bookmarkEnd w:id="141"/>
      <w:bookmarkEnd w:id="142"/>
      <w:r>
        <w:rPr>
          <w:rtl w:val="true"/>
        </w:rPr>
        <w:t>[</w:t>
      </w:r>
      <w:r>
        <w:rPr>
          <w:rtl w:val="true"/>
        </w:rPr>
        <w:t>حكم من أكرهه الجائر على تولّي أمر من الأُمور</w:t>
      </w:r>
      <w:r>
        <w:rPr>
          <w:rtl w:val="true"/>
        </w:rPr>
        <w:t>]</w:t>
      </w:r>
      <w:bookmarkEnd w:id="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الجائر على تولّي أمر من الأُمور جاز إلّا القتل و كان الجائر ضامناً </w:t>
      </w:r>
      <w:r>
        <w:rPr>
          <w:rStyle w:val="FootnoteAnchor"/>
          <w:rtl w:val="true"/>
        </w:rPr>
        <w:footnoteReference w:id="238"/>
      </w:r>
      <w:r>
        <w:rPr>
          <w:rFonts w:ascii="Amiri" w:hAnsi="Amiri" w:eastAsia="Amiri" w:cs="Amiri"/>
          <w:color w:val="111111"/>
          <w:sz w:val="28"/>
          <w:sz w:val="28"/>
          <w:szCs w:val="28"/>
          <w:rtl w:val="true"/>
          <w:lang w:bidi="ar-SA"/>
        </w:rPr>
        <w:t>، و في إلحاق الجرح بالقتل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به بعض المهمّات،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أُصيب من أعمال الولاة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p>
    <w:p>
      <w:pPr>
        <w:pStyle w:val="BookText"/>
        <w:rPr/>
      </w:pP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كونه معصية كبيرة؛ لأنّه مما أوعد اللّه عليه النار في صريح الكتاب، كقوله تعالى وَ لا تَرْكَنُوا إِلَى الَّذِينَ ظَلَمُوا فَتَمَسَّكُمُ النّارُ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ما دلّ من النصوص على رفع العقاب عمّا استكره عليه و مقتضاه ارتفاع الحرمة و جواز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تشمل هذه النصوص القتل و الجرح و سائر مهمات الشريعة التي يقطع بأهميتها في نظر الشارع و عدم رضائه بوقوعها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استفيد من الأدلّة من الأهمية و عظم خطرها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ذلك السيد الماتن في بعض المسائل السابقة من الأمر بالمعروف و النهي عن المنكر و قد بحثنا عنه هناك، فراجع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موارد الجواز كلّما هو موجب للضمان، من تصرفاته، يكون ضمانه على الجائر الذي أكرهه على ذلك لا عليه نظراً إلى رفعه بالإكراه</w:t>
      </w:r>
      <w:r>
        <w:rPr>
          <w:rFonts w:eastAsia="Amiri" w:cs="Amiri" w:ascii="Amiri" w:hAnsi="Amiri"/>
          <w:color w:val="111111"/>
          <w:sz w:val="28"/>
          <w:szCs w:val="28"/>
          <w:rtl w:val="true"/>
          <w:lang w:bidi="ar-SA"/>
        </w:rPr>
        <w:t>.</w:t>
      </w:r>
      <w:bookmarkStart w:id="144" w:name="pg937_10857"/>
    </w:p>
    <w:p>
      <w:pPr>
        <w:pStyle w:val="Heading3"/>
        <w:numPr>
          <w:ilvl w:val="2"/>
          <w:numId w:val="1"/>
        </w:numPr>
        <w:rPr/>
      </w:pPr>
      <w:bookmarkStart w:id="145" w:name="__RefHeading___Toc733395_373438147"/>
      <w:bookmarkStart w:id="146" w:name="_Toc54"/>
      <w:bookmarkEnd w:id="144"/>
      <w:bookmarkEnd w:id="145"/>
      <w:r>
        <w:rPr>
          <w:rtl w:val="true"/>
        </w:rPr>
        <w:t>[</w:t>
      </w:r>
      <w:r>
        <w:rPr>
          <w:rtl w:val="true"/>
        </w:rPr>
        <w:t>حكم تولّى الفقيه الجامع للشرائط أمراً من قبل والي الجور من السياسات و القضاء و نحوها لمصلحة</w:t>
      </w:r>
      <w:r>
        <w:rPr>
          <w:rtl w:val="true"/>
        </w:rPr>
        <w:t>]</w:t>
      </w:r>
      <w:bookmarkEnd w:id="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تولّى الفقيه الجامع للشرائط أمراً من قبل والي الجور من السياسات و القضاء و نحوها لمصلحة،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عليه إجراء الحدود الشرعيّة، و القضاء على الموازين الشرعيّة، و تصدّى الحسبيات، و ليس له التعدّي عن حدود اللّه تعالى</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33397_373438147"/>
      <w:bookmarkStart w:id="148" w:name="_Toc55"/>
      <w:bookmarkEnd w:id="147"/>
      <w:r>
        <w:rPr>
          <w:rtl w:val="true"/>
        </w:rPr>
        <w:t>[</w:t>
      </w:r>
      <w:r>
        <w:rPr>
          <w:rtl w:val="true"/>
        </w:rPr>
        <w:t>لو رأى الفقيه أن تصدّيه من قبل الجائر موجب لإجراء الحدود الشرعيّة و السياسات الإلهيّة</w:t>
      </w:r>
      <w:r>
        <w:rPr>
          <w:rtl w:val="true"/>
        </w:rPr>
        <w:t>]</w:t>
      </w:r>
      <w:bookmarkEnd w:id="1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الفقيه أن تصدّيه من قبل الجائر موجب لإجراء الحدود الشرعيّة و السياسات الإلهيّة يجب عليه التصدّي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تصدّيه أعظم مفسدة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33399_373438147"/>
      <w:bookmarkStart w:id="150" w:name="_Toc56"/>
      <w:bookmarkEnd w:id="149"/>
      <w:r>
        <w:rPr>
          <w:rtl w:val="true"/>
        </w:rPr>
        <w:t>[</w:t>
      </w:r>
      <w:r>
        <w:rPr>
          <w:rtl w:val="true"/>
        </w:rPr>
        <w:t>المتجزّي حاله حال العامّي في الأُمور المتقدّمة</w:t>
      </w:r>
      <w:r>
        <w:rPr>
          <w:rtl w:val="true"/>
        </w:rPr>
        <w:t>]</w:t>
      </w:r>
      <w:bookmarkEnd w:id="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للمتجزّي شيء من الأُمور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فحاله حال العامّي في ذلك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فقد الفقيه و المجتهد المطلق، لا يبعد جواز تصدّيه للقضاء إذا كان مجتهداً في بابه، و كذا هو مقدّم على سائر العدول في تصدّي الأُمور الحسبيّة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لعمومات وجوب القيام بإجراء حدود اللّه و أحكامه و إقامة القسط و العدل و الحكم بالحق، كما سبق ذكرها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 ذلك من قبل الجائر إذا توقف عليه القيام بهذه المهمات التي لا يرضى الشارع بتركها و تعطيلها و كان لأجل مصلحة، كحفظ معالم الدين و آثار الشريعة عن الاندراس، يجوز لأجل ما له من المصلحة المهمة، بل يجب في فرض التوقف، كما يأتي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وجه ذلك ممّا بينّاه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كونه عارفاً بالأحكام و فقيهاً في الدين و ناظراً في الحلال و الحرام على الإطلاق، كما هو ظاهر قوله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في حلالنا و حرامنا و عرف</w:t>
      </w:r>
    </w:p>
    <w:p>
      <w:pPr>
        <w:pStyle w:val="BookText"/>
        <w:rPr/>
      </w:pPr>
      <w:r>
        <w:rPr>
          <w:rFonts w:ascii="Amiri" w:hAnsi="Amiri" w:eastAsia="Amiri" w:cs="Amiri"/>
          <w:color w:val="111111"/>
          <w:sz w:val="28"/>
          <w:sz w:val="28"/>
          <w:szCs w:val="28"/>
          <w:rtl w:val="true"/>
          <w:lang w:bidi="ar-SA"/>
        </w:rPr>
        <w:t>أحكامنا في مقبولة عمر بن حنظلة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قد عرف حلالنا و حرامنا في معتبرة أبي خديجة</w:t>
      </w:r>
      <w:r>
        <w:rPr>
          <w:rStyle w:val="FootnoteAnchor"/>
          <w:rtl w:val="true"/>
        </w:rPr>
        <w:footnoteReference w:id="242"/>
      </w:r>
      <w:r>
        <w:rPr>
          <w:rFonts w:ascii="Amiri" w:hAnsi="Amiri" w:eastAsia="Amiri" w:cs="Amiri"/>
          <w:color w:val="111111"/>
          <w:sz w:val="28"/>
          <w:sz w:val="28"/>
          <w:szCs w:val="28"/>
          <w:rtl w:val="true"/>
          <w:lang w:bidi="ar-SA"/>
        </w:rPr>
        <w:t>فإنّ إطلاق هذه النصوص بل عمومها تقتضي اعتبار الاجتهاد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اقتضاء سائر الأدلّة من النصوص و غيرها ثبوت الولاية للفقيه العالم بجميع أحكام الشريعة، و هو ليس إلّا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بعض النصوص كفاية العلم بالأحكام المرتبطة بشئون الإمارة و الحكومة في ثبوت الولاية، كقول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 الناس بهذا الأمر أقواهم عليه و أعلمهم بأمر اللّه فيه</w:t>
      </w:r>
      <w:r>
        <w:rPr>
          <w:rStyle w:val="FootnoteAnchor"/>
          <w:rtl w:val="true"/>
        </w:rPr>
        <w:footnoteReference w:id="243"/>
      </w:r>
      <w:r>
        <w:rPr>
          <w:rFonts w:ascii="Amiri" w:hAnsi="Amiri" w:eastAsia="Amiri" w:cs="Amiri"/>
          <w:color w:val="111111"/>
          <w:sz w:val="28"/>
          <w:sz w:val="28"/>
          <w:szCs w:val="28"/>
          <w:rtl w:val="true"/>
          <w:lang w:bidi="ar-SA"/>
        </w:rPr>
        <w:t xml:space="preserve">، بناءً على إرادة أمر الحكومة و الإمارة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وجه الاستظهار من هذه الرواية سابقاً في خلال الاستدلال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يكفي الاجتهاد في الأحكام المرتبطة بشئون الحكومة و الإمارة، بل يعتبر الأعلمية فيها، دون الأحكام الفردية التي لا مساس له بذلك كأكثر أحكام العبادات، بل كثير من أحكام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الكلام في باب القضاء، كما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انظروا إلى رجل منكم يعلم شيئاً من قضائنا فاجعلوه بينكم، فإنّي قد جعلته قاضياً، فتحاكموا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1" w:name="pg937_10863"/>
    </w:p>
    <w:p>
      <w:pPr>
        <w:pStyle w:val="Heading3"/>
        <w:numPr>
          <w:ilvl w:val="2"/>
          <w:numId w:val="1"/>
        </w:numPr>
        <w:rPr/>
      </w:pPr>
      <w:bookmarkStart w:id="152" w:name="__RefHeading___Toc733401_373438147"/>
      <w:bookmarkStart w:id="153" w:name="_Toc57"/>
      <w:bookmarkEnd w:id="151"/>
      <w:bookmarkEnd w:id="152"/>
      <w:r>
        <w:rPr>
          <w:rtl w:val="true"/>
        </w:rPr>
        <w:t>[</w:t>
      </w:r>
      <w:r>
        <w:rPr>
          <w:rtl w:val="true"/>
        </w:rPr>
        <w:t>عدم جواز الرجوع في الخصومات إلى حكّام الجور و قضاته</w:t>
      </w:r>
      <w:r>
        <w:rPr>
          <w:rtl w:val="true"/>
        </w:rPr>
        <w:t>]</w:t>
      </w:r>
      <w:bookmarkEnd w:id="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 الخصومات إلى حكّام الجور و قضاته، بل يجب على المتخاصمين الرجوع إلى الفقيه الجامع للشرائط </w:t>
      </w:r>
      <w:r>
        <w:rPr>
          <w:rStyle w:val="FootnoteAnchor"/>
          <w:rtl w:val="true"/>
        </w:rPr>
        <w:footnoteReference w:id="244"/>
      </w:r>
      <w:r>
        <w:rPr>
          <w:rFonts w:ascii="Amiri" w:hAnsi="Amiri" w:eastAsia="Amiri" w:cs="Amiri"/>
          <w:color w:val="111111"/>
          <w:sz w:val="28"/>
          <w:sz w:val="28"/>
          <w:szCs w:val="28"/>
          <w:rtl w:val="true"/>
          <w:lang w:bidi="ar-SA"/>
        </w:rPr>
        <w:t>، و مع إمكان ذلك لو رجع إلى غيره، كان ما أخذه بحكمه سحتاً على 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في معتبرة أبي خديجة رواها المشايخ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بيان وجه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رجع إلى غير الفقيه الجامع مع إمكان التحاكم إليه، فلو كان ذلك الغير من حكّام الجور و الظلمة و الطواغيت يكون ما أخذه بحكمه حراماً و سحتاً، كما ورد ذلك في النصوص، و سبق ذكرها آنفاً، و إلّا فلو كان عادلاً و مجتهداً متجزئاً في أحكام القضاء و ما يرتبط به من المسائل القضاوة، يشكل الحكم بكون ما أخذه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تفصيل السيد الماتن إشارة إلى ذلك و اللّه العالم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لم يمكن الرجوع إلى الفقيه الجامع و لا المتجزي في القضاء و لا المقلّد المنصوب من قبل الفقيه الجامع و توقف استنقاذ حقه على الرجوع إلى حكّام الجور جاز الرجوع و حلّ ما أخذه بل يجوز دفع الرشوة إليه لذلك كما هو ظاهر الأصحاب، كما قال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توقف تحصيل الحق على بذله لقضاة حكّام الجور جاز للراشي، و حرم على المرتشي كما صرح به غير واحد، بل لا أجد فيه خلافاً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لا فرق في ذلك بين إمكان الرجوع إلى قضاة العدل و عدمه في صورة توقف الاستنقاذ على الرجوع إلى 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البحث عن ذلك مفصّلاً في مبحث الرشوة في هذا الكتاب إن شاء اللّه و عليه فلا بدّ من حمل المقبولة على غير هذه الصورة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المقال في شرح نبذة من مسائل تحرير الوسيلة للسيد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الفقيه و ما 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صلواته على محمّدٍ و آله سرمداً</w:t>
      </w:r>
      <w:r>
        <w:rPr>
          <w:rFonts w:eastAsia="Amiri" w:cs="Amiri" w:ascii="Amiri" w:hAnsi="Amiri"/>
          <w:color w:val="111111"/>
          <w:sz w:val="28"/>
          <w:szCs w:val="28"/>
          <w:rtl w:val="true"/>
          <w:lang w:bidi="ar-SA"/>
        </w:rPr>
        <w:t>.</w:t>
      </w:r>
      <w:bookmarkStart w:id="154" w:name="pg937_10869"/>
    </w:p>
    <w:p>
      <w:pPr>
        <w:pStyle w:val="Heading2"/>
        <w:numPr>
          <w:ilvl w:val="1"/>
          <w:numId w:val="1"/>
        </w:numPr>
        <w:rPr/>
      </w:pPr>
      <w:bookmarkStart w:id="155" w:name="__RefHeading___Toc733403_373438147"/>
      <w:bookmarkStart w:id="156" w:name="_Toc58"/>
      <w:bookmarkEnd w:id="154"/>
      <w:bookmarkEnd w:id="155"/>
      <w:r>
        <w:rPr>
          <w:rtl w:val="true"/>
        </w:rPr>
        <w:t>هل للمرأة الولاية على الحكومة و القضاء و الإفتاء؟</w:t>
      </w:r>
      <w:bookmarkEnd w:id="1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733405_373438147"/>
      <w:bookmarkStart w:id="158" w:name="_Toc59"/>
      <w:bookmarkEnd w:id="157"/>
      <w:r>
        <w:rPr>
          <w:rtl w:val="true"/>
        </w:rPr>
        <w:t>اشارة</w:t>
      </w:r>
      <w:bookmarkStart w:id="159" w:name="pg937_10875"/>
      <w:bookmarkEnd w:id="158"/>
    </w:p>
    <w:p>
      <w:pPr>
        <w:pStyle w:val="Heading3"/>
        <w:numPr>
          <w:ilvl w:val="2"/>
          <w:numId w:val="1"/>
        </w:numPr>
        <w:rPr/>
      </w:pPr>
      <w:bookmarkStart w:id="160" w:name="__RefHeading___Toc733407_373438147"/>
      <w:bookmarkStart w:id="161" w:name="_Toc60"/>
      <w:bookmarkEnd w:id="159"/>
      <w:bookmarkEnd w:id="160"/>
      <w:r>
        <w:rPr>
          <w:rtl w:val="true"/>
        </w:rPr>
        <w:t>القول في منصب القضاء و الحكومة و الإفتاء للمرأة</w:t>
      </w:r>
      <w:bookmarkEnd w:id="161"/>
    </w:p>
    <w:p>
      <w:pPr>
        <w:pStyle w:val="Heading4"/>
        <w:numPr>
          <w:ilvl w:val="3"/>
          <w:numId w:val="1"/>
        </w:numPr>
        <w:rPr/>
      </w:pPr>
      <w:bookmarkStart w:id="162" w:name="__RefHeading___Toc733409_373438147"/>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القاضي البلوغ و العقل و الإيمان و العدالة و الاجتهاد المطلق و الذكورة </w:t>
      </w:r>
      <w:r>
        <w:rPr>
          <w:rStyle w:val="FootnoteAnchor"/>
          <w:rtl w:val="true"/>
        </w:rPr>
        <w:footnoteReference w:id="2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يجوز القضاء و الحكومة للمرأة؟ تنقيح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أنّه هل يشترط الذكورة في الولاية على القضاء و في الحكومة و الإمارة على الأُمّة أم لا؟ و كذا وقع الكلام في اشتراطها في المرجعية و الإفتاء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أنّه هل يجوز في نظر الشارع الأقدس أن تتصدّى المرأة لهذه المناصب أم لا يجوز لها تصدي شيء منها، و إن بلغت المراتب العالية من العلم و الفقاهة و توفّرت فيها سائر الشرائط؟</w:t>
      </w:r>
      <w:bookmarkStart w:id="164" w:name="pg937_10878"/>
    </w:p>
    <w:p>
      <w:pPr>
        <w:pStyle w:val="Heading4"/>
        <w:numPr>
          <w:ilvl w:val="3"/>
          <w:numId w:val="1"/>
        </w:numPr>
        <w:rPr/>
      </w:pPr>
      <w:bookmarkStart w:id="165" w:name="__RefHeading___Toc733411_373438147"/>
      <w:bookmarkStart w:id="166" w:name="_Toc62"/>
      <w:bookmarkEnd w:id="164"/>
      <w:bookmarkEnd w:id="165"/>
      <w:r>
        <w:rPr>
          <w:rtl w:val="true"/>
        </w:rPr>
        <w:t>آراء الفقهاء</w:t>
      </w:r>
      <w:bookmarkEnd w:id="166"/>
    </w:p>
    <w:p>
      <w:pPr>
        <w:pStyle w:val="BookText"/>
        <w:rPr/>
      </w:pPr>
      <w:r>
        <w:rPr>
          <w:rFonts w:ascii="Amiri" w:hAnsi="Amiri" w:eastAsia="Amiri" w:cs="Amiri"/>
          <w:color w:val="111111"/>
          <w:sz w:val="28"/>
          <w:sz w:val="28"/>
          <w:szCs w:val="28"/>
          <w:rtl w:val="true"/>
          <w:lang w:bidi="ar-SA"/>
        </w:rPr>
        <w:t>و نقدّم الكلام هنا في ولايتها على منصب القضاء و الحكومة،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اشتراط الذكورة في جواز القضاء، بل ادّعى كثيرٌ من الفقهاء الإجماع عليه، كما عن الرياض و الكفاية و المسالك و المفاتيح و نهج الحق و مفتاح الكرامة و الجواهر و العروة</w:t>
      </w:r>
      <w:r>
        <w:rPr>
          <w:rStyle w:val="FootnoteAnchor"/>
          <w:rtl w:val="true"/>
        </w:rPr>
        <w:footnoteReference w:id="247"/>
      </w:r>
      <w:r>
        <w:rPr>
          <w:rFonts w:ascii="Amiri" w:hAnsi="Amiri" w:eastAsia="Amiri" w:cs="Amiri"/>
          <w:color w:val="111111"/>
          <w:sz w:val="28"/>
          <w:sz w:val="28"/>
          <w:szCs w:val="28"/>
          <w:rtl w:val="true"/>
          <w:lang w:bidi="ar-SA"/>
        </w:rPr>
        <w:t>و غير ذلك من الكتب و الجوامع الفقهية يجدها المتتبّع، و لم يعرف من بين فقهائنا الإمامية حتى مخالف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أنكر المقدس الأردبيلي الدليل إن لم يكن إجماع في المقام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ذكر الذكورة من شرائط القاضي في كلمات بعض الفقهاء فهو من باب الإيكال إلى الوضوح؛ اتكالاً على السيرة و ارتكاز المتشرعة؛ نظراً إلى كون عدم صلاحية المرأة للقضاء أمراً ثابتاً في سيرتهم بحيث صار مرتكزاً في أذهانهم كسائر مسلّمات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على ذلك بأنّه فلم ذكروا العقل من أحد الشروط المعتبرة في القاضي مع كون العقل أوضح اعتباراً في القاضي من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ذلك؛ بأنّه لم يذكر أحدٌ العقل من شرائط القاضي بدون ذكر الذكورة، و إن ذكره بعضهم مع الذكورة، و لكن من لم يذكر الذكورة لم يذكر العقل أيضاً، و إن ذكر الكمال في عداد الشروط بدون الذكورة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الذكورة مفروضة في كلماتهم من الشروط؛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القضاء لأحد من الرجال، إلّا من كان له الإيمان و الكمال و العدالة و العلم و كذا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الخلاف إلى بعض العامّة، كأبي حنيفة و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 في المسألة السادسة من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تكون المرأة قاضية في شيء من الأحكام، و به قال الشافعي،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فيما يجوز أن تكون شاهدة فيه و هو جميع الأحكام إلّا الحدود 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 كل ما يجوز أن يكون الرجل قاضياً فيه؛ لأنّها تعدّ من أهل الاجتهاد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الفقه الإسلامي للدكتور الزحيلي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الذكورة فهي شرط أيضاً عند المالكية و الشافعية و الحنابلة فلا تتولّى امرأة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المرأة في الأموال، أي المنازعات المدنية؛ لأنّه تجوز شهادتها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ابن جرير الطبري قضاء المرأة في كل شيء؛ لجواز إفتائها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لا يعبأ بمخالفتهم بعد تسالم فقهائنا على اشتراط الذكورة في قضاء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مخالفتهم من المؤيّدات؛ لأنّ الرشد في خلافهم؛ كما ورد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الإجماع لا ينبغي أن يعدّ دليلاً مستقلا في المقام، بعد استناد الفقهاء إلى بعض النصوص الخاصّة؛ لكونه محتمل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 تسالم جميع الفقهاء قديماً و حديثاً على ذلك يكشف عن قطعية الحكم بينهم؛ فإنّه رصيدٌ وثيق لما استدل به في المقام، من القواعد و الآيات و الأحاديث و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67" w:name="pg937_10883"/>
    </w:p>
    <w:p>
      <w:pPr>
        <w:pStyle w:val="Heading4"/>
        <w:numPr>
          <w:ilvl w:val="3"/>
          <w:numId w:val="1"/>
        </w:numPr>
        <w:rPr/>
      </w:pPr>
      <w:bookmarkStart w:id="168" w:name="__RefHeading___Toc733413_373438147"/>
      <w:bookmarkStart w:id="169" w:name="_Toc63"/>
      <w:bookmarkEnd w:id="167"/>
      <w:bookmarkEnd w:id="168"/>
      <w:r>
        <w:rPr>
          <w:rtl w:val="true"/>
        </w:rPr>
        <w:t>أدلّة عدم جواز القضاء و الحكومة للمرأة</w:t>
      </w:r>
      <w:bookmarkEnd w:id="169"/>
    </w:p>
    <w:p>
      <w:pPr>
        <w:pStyle w:val="Heading5"/>
        <w:numPr>
          <w:ilvl w:val="4"/>
          <w:numId w:val="1"/>
        </w:numPr>
        <w:rPr/>
      </w:pPr>
      <w:bookmarkStart w:id="170" w:name="__RefHeading___Toc733415_373438147"/>
      <w:bookmarkStart w:id="171" w:name="_Toc64"/>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قبل الورود في الاستدلال على اشتراط الذكورة في القضاء ينبغي بيان مقتضى الأصل لإعطاء الضابطة في المقام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33417_373438147"/>
      <w:bookmarkStart w:id="173" w:name="_Toc65"/>
      <w:bookmarkEnd w:id="172"/>
      <w:r>
        <w:rPr>
          <w:rtl w:val="true"/>
        </w:rPr>
        <w:t>مقتضى الأصل</w:t>
      </w:r>
      <w:bookmarkEnd w:id="173"/>
    </w:p>
    <w:p>
      <w:pPr>
        <w:pStyle w:val="BookText"/>
        <w:rPr/>
      </w:pPr>
      <w:r>
        <w:rPr>
          <w:rFonts w:ascii="Amiri" w:hAnsi="Amiri" w:eastAsia="Amiri" w:cs="Amiri"/>
          <w:color w:val="111111"/>
          <w:sz w:val="28"/>
          <w:sz w:val="28"/>
          <w:szCs w:val="28"/>
          <w:rtl w:val="true"/>
          <w:lang w:bidi="ar-SA"/>
        </w:rPr>
        <w:t>يمكن تقريب الأصل في المقام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مطاوي كلمات صاحب الجواهر و غيره من أنّ مقتضى الأصل عدم الجواز في مثل المقام ما لم تقم حجّة شرعية على الحكم؛ و ذلك لأنّ القضاء و الحكومة منصب لا بدّ له من الجعل، فما دام لم يدلّ دليل معتبر شرعي على جعل منصب القضاء لأحد لا يكون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الأصل عدم جواز القضاء للمرأة إلّا أن يثبت الجواز بالدليل المعتبر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الأصل ليس من الأُصول العملية، بل قاعدة مسلّمة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جماعة، من تقريب الأصل بنحو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يستقلّ بولاية اللّه على عباده لأنّه خالقهم و منعمهم، فيحكم العقل بلزوم طاعته؛ شكراً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لغيره تعالى ولاية و سلطة على الناس إلّا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هذه القاعدة العقلية عدم ثبوت الولاية للمرأة على الحكومة و القضاء، إلّا إذا أُحرز جعل الولاية لها من قبل اللّه أو الرسول أو الإمام المعصوم بدليل معتبر شرعي و قد بيّنا تقريب هذا الأصل مفصّلاً في أوّل هذا الكتاب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الشيخ في الخلاف؛ حيث علّل لاشتراط الذكورة</w:t>
      </w:r>
    </w:p>
    <w:p>
      <w:pPr>
        <w:pStyle w:val="BookText"/>
        <w:rPr/>
      </w:pPr>
      <w:r>
        <w:rPr>
          <w:rFonts w:ascii="Amiri" w:hAnsi="Amiri" w:eastAsia="Amiri" w:cs="Amiri"/>
          <w:color w:val="111111"/>
          <w:sz w:val="28"/>
          <w:sz w:val="28"/>
          <w:szCs w:val="28"/>
          <w:rtl w:val="true"/>
          <w:lang w:bidi="ar-SA"/>
        </w:rPr>
        <w:t>في القاضي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تكون المرأة قاضيةً في شيء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ذلك يحتاج إلى دليل؛ لأنّ القضاء حكم شرعي، فمن يصلح له يحتاج إلى دليل شرعي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قد ينسبق إلى الذهن في البداية من ظاهر تعبيره بالحكم الشرعي، أنّ مقصوده منه هو الجواز التكليفي بالمعنى الأعم، بتقريب أنّه حكم شرعي توقيفي يتوقف إثباته على دليل معتبر من الشارع، و أنّ الحكم هنا ليس من قبيل الحكم الإنشائي الذي يصدر بإنشاء القاضي؛ لكي يرجع هذا التقريب إلى الأصل بالتقريب الذي استفدناه من كلام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الجواز المذكور في كلام الشيخ لو كان تكليفياً يمكن إثباته بأصالة البراءة من حرمة القضاء للمرأة عند الشك فيه، بل المقصود منه بحسب تناسب الحكم و الموضوع هو الجواز الوضعي، بمعنى نفوذ الحكم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أيضاً حكم شرعي يحتاج إثباته إلى إنفاذ الشارع و إمضائه، فما دام لم يقم دليل على مشروعية القضاء و نفوذه للمرأة لا ينفذ قضاؤها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لبّ مراد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غير كون القضاء منصباً محتاجاً إلى جعل من الشارع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يستشكل على هذا الأصل تمسكاً بعموم قوله تعالى يا أَيُّهَا الَّذِينَ آمَنُوا كُونُوا قَوّامِينَ بِالْقِسْطِ</w:t>
      </w:r>
      <w:r>
        <w:rPr>
          <w:rStyle w:val="FootnoteAnchor"/>
          <w:rtl w:val="true"/>
        </w:rPr>
        <w:footnoteReference w:id="252"/>
      </w:r>
      <w:r>
        <w:rPr>
          <w:rFonts w:ascii="Amiri" w:hAnsi="Amiri" w:eastAsia="Amiri" w:cs="Amiri"/>
          <w:color w:val="111111"/>
          <w:sz w:val="28"/>
          <w:sz w:val="28"/>
          <w:szCs w:val="28"/>
          <w:rtl w:val="true"/>
          <w:lang w:bidi="ar-SA"/>
        </w:rPr>
        <w:t>و كذا الآيات الآمرة بإجراء الحدود و القصاص و الديات؛ فإنّ ظاهر هذه الآيات جواز القضاء، بل وجوب القيام بالقسط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إجراء الأحكام الجزائية لكلّ من يتمكّن من ذلك، بلا فرق بين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إطلاق هذه الآيات، بل عمومها تأسيس أصل جواز القضاء لكلّ من يتمكّن من القيام به، إلّا أن يثبت عدم الجواز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الإشكال بأدنى تأمّل؛ لوضوح كون هذه الآيات بصدد بيان أصل تكليف المؤمنين بالقيام بالقسط و إجراء الأحكام، من دون نظر لها إلى بيان شرائط من يصلح للقيام بذلك، و لا إلى جعل منصب القضاء و بيان شرائط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لزوم تخصيص الأكثر المستهجن من ثبوت الإطلاق المزبور لها بهذا العرض العريض؛ نظراً إلى عدم صلاحية أكثر الناس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الثمرة الفقهية المترتبة على تأسيس أصل عدم الجواز في المقام فهي تظهر في الحاجة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إنّ الذي يحتاج إلى الدليل الشرعي المعتبر هو جواز القضاء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أصل جواز القضاء فالمحتاج إلى الدليل هو إثبات عدم جواز القضاء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أثبتنا أصل عدم جواز القضاء للمرأة بالتقاريب الثلاثة المزبورة، و بالتقاريب السابقة في أوّل هذا الكتاب، فلذا نكون في غنى عن التمسك بالدليل لإثبات عدم جواز القضاء للمرأة، بل مجرد عدم قيام الدليل المعتبر على جواز القضاء للمرأة يكفي لإثبات عدم جواز القضاء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الأصل ليس من قبيل الأصل العملي؛ لكي يقال بعدم وصول النوبة إليه قبل البحث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القاعدة العقلية أو العقلائية المقتضية لتوقف نفوذ قضاء المرأة على قيام الدليل الشرعي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لإثبات جواز القضاء و الحكومة للمرأة من إقامة دليل معتبر شرعي، و إلّا تكفي القاعدة المزبورة لإثبات عدم مشروعية القضاء و الحكومة للمرأة، من دون حاجة إلى دليل لإثبات عدم الجواز</w:t>
      </w:r>
      <w:r>
        <w:rPr>
          <w:rFonts w:eastAsia="Amiri" w:cs="Amiri" w:ascii="Amiri" w:hAnsi="Amiri"/>
          <w:color w:val="111111"/>
          <w:sz w:val="28"/>
          <w:szCs w:val="28"/>
          <w:rtl w:val="true"/>
          <w:lang w:bidi="ar-SA"/>
        </w:rPr>
        <w:t>.</w:t>
      </w:r>
      <w:bookmarkStart w:id="174" w:name="pg937_10892"/>
    </w:p>
    <w:p>
      <w:pPr>
        <w:pStyle w:val="BookText"/>
        <w:rPr/>
      </w:pPr>
      <w:bookmarkEnd w:id="174"/>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عدم مشروعية القضاء و الحكومة للنساء، ما لم يقم دليل معتبر شرعي على مشروعيتهما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ختام البحث عدم صلاحية ما توهم دليليته لإثبات هذين المنصبين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مضافاً إلى القاعدة المزبورة يمكن الاستدلال على عدم صلاحية المرأة للقضاء و الحكومة في نظر الشارع الأقدس بأدلة من الكتاب و السنة و السيرة، تكشف بمجموعها عن عدم رضى الشارع بتولّي المرأة للقضاء و الحكم</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33419_373438147"/>
      <w:bookmarkStart w:id="176" w:name="_Toc66"/>
      <w:bookmarkEnd w:id="175"/>
      <w:r>
        <w:rPr>
          <w:rtl w:val="true"/>
        </w:rPr>
        <w:t>الاستدلال بالكتاب</w:t>
      </w:r>
      <w:bookmarkEnd w:id="176"/>
    </w:p>
    <w:p>
      <w:pPr>
        <w:pStyle w:val="BookText"/>
        <w:rPr/>
      </w:pPr>
      <w:r>
        <w:rPr>
          <w:rFonts w:ascii="Amiri" w:hAnsi="Amiri" w:eastAsia="Amiri" w:cs="Amiri"/>
          <w:color w:val="111111"/>
          <w:sz w:val="28"/>
          <w:sz w:val="28"/>
          <w:szCs w:val="28"/>
          <w:rtl w:val="true"/>
          <w:lang w:bidi="ar-SA"/>
        </w:rPr>
        <w:t>قد استدل في المقام بآيات من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اَلرِّجالُ قَوّامُونَ عَلَى النِّساءِ بِما فَضَّلَ اللّهُ بَعْضَهُمْ عَلى بَعْضٍ وَ بِما أَنْفَقُوا مِنْ أَمْوالِهِمْ‌</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المبالغة كالقيّم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الرجال قيّمون على النساء و مسلّطون عليهن في التدبير و التأديب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التعدي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لو تعدّى بحرف الباء فيفيد التصدي للعمل و الإقدام بالفعل؛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قام بذلك، أي تصدّى للإتيان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في الآية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فضّل الرجال على النساء في العقل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الرجال ينفقون على النساء في أُمور المعاش و يعطونهنّ المهور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المعنى اَلرِّجالُ قَوّامُونَ عَلَى النِّساءِ بالتأديب و التدبير لما فضّل اللّه الرجال على النساء في العقل و الرأي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البيان اَلرِّجالُ قَوّامُونَ عَلَى النِّساءِ ؛ أي قيّمون على النساء مسلّطون عليهنّ في التدبير و التأديب و الرياضة و التعليم بِما فَضَّلَ اللّهُ بَعْضَهُمْ عَلى بَعْضٍ هذا بيان سبب تولية الرجال عليهنّ أي إنّما ولاّهم اللّه أمرهنّ لما لهم من زيادة الفضل عليهنّ بالعلم و العقل و حسن الرأي و العزم وَ بِما أَنْفَقُوا مِنْ أَمْوالِهِمْ عليهنّ من المهر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بيان علّة تقويمهم عليهنّ و توليتهم أمرهنّ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عليهنّ قيام الولاء و السياسة و علّل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موهبي من اللّه تعالى و هو أنّ اللّه فضّل الرجال عليهنّ بأُمور كثيرة من كمال العقل و حسن التدبير و تزايد القوّة في الأعمال و الطاعات و لذلك خصّوا بالنبوّة و الإمامة و الولاية و إقامة الشعائر و الجهاد و قبول شهادتهم في كل الأُمور و مزيد النصيب في الإرث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و هو أنّهم ينفقون عليهنّ و يعطونهنّ المهور، مع أنّ فائدة النكاح مشتركة بينهما، و الباء في قوله بِما أَنْفَقُوا للسببية و ما 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تفضيل اللّه و بسبب إنفاقهم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فقه القرآن، لقطب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يقومون بأمرهنّ و بتأديبهنّ فدلّت الآية على أنّه يجب على الرجل أن يدبّر أمر المرأة و أن ينفق عليها؛ لأنّ فضله و إنفاقه معاً علّة لكونه قائماً عليها مستحقّاً لطاعتها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الجواد الكاظمي في مسالك الأفهام اَلرِّجالُ قَوّامُونَ عَلَى النِّساءِ ، قيّمون على النساء في التدبير كقيام الولاة على رعيتهم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فَضَّلَ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تفضيله بعضهم على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على النساء و ذلك بالعلم و العقل و حسن الرأي و التدبير و العزم و مزيد القوة في الأعمال و الطاعات و الفروسية و الرمي و أنّ منهم الأنبياء و الأئمّة و العلماء و فيهم الإمامة الكبرى و هي الخلافة و الصغرى، و هي الاقتداء بهم في الصلاة و أنّهم أهل الجهاد و الأذان و الخطبة إلى غير ذلك ممّا أوجب الفضل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على أنّ الولاية إنّما يستحق بالفضل لا بالتغليب و الاستطالة و القهر</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أقوال المفسرين و غيرهم و الظاهر اتفاقهم على تفسير الآية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دلالة هذه الآية على قيمومة الرجال على أزواجهم لأنّه المتيقن من مدلولها بقرينة التعليل بإنفاقهم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دلالتها على جعل الولاية و حق القيمومة لقبيل الرجال و جنسهم على النساء فيمكن استفادتها من النصوص المفسّرة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 بعضها في خلال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باب تنقيح الملاك كما يأتي بيانه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قال بذلك العلّامة الطباطبائي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هذه العلّة يعطي أنّ الحكم المبنيّ عليها، أعني قوله اَلرِّجالُ قَوّامُونَ عَلَى النِّساءِ غير مقصور على الأزواج بأن يختصّ القوّامية بالرجل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مجعول لقبيل الرجال على قبيل النساء في الجهات العامة التي ترتبط بها حياة القبيلين جميعاً و الجهات العامّة التي ترتبط بفضل الرجال كجهتي الحكومة و القضاء مثلاً، اللّتين يتوقّف عليهما حياة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يقومان بالتعقّل الذي هو في الرجال بالطبع أزيد منه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الدفاع الحربي الذي يرتبط بالشدة و قوّة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به الرجال على النساء و على هذا فقوله اَلرِّجالُ قَوّامُونَ عَلَى النِّساءِ ذو إطلاق تامّ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بعض الأعاظم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شأن النزول و كذا السياق شاهدان على كون المراد قيمومة الرجال بالنسبة إلى أزواجهم، إذ لا يمكن الالتزام بأنّ كلّ رجل بمقتضى عقله الذاتي و بمقتضى إنفاقه على خصوص زوجه له قيمومة على جميع النساء حتى الأجنبيات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الشك أيضاً فصِرف الاحتمال يكفي في عدم صحة الاستدلال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تأييد هذا الإشكال بأنّ المقصود من الرجال لا بدّ أن يكون مرجع الضمير الفاعلي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رجوعه إلى الرجال المتزوجين، و إنّ المراد إنفاقهم على أزواجهم المهر و النفقة، كما اتّفق عليه المفسّرون و نطقت به النصوص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الواضح أنّ غيرهم لا يعطون نفقةً إلى النساء الأجنبيات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قرينة واضحة على أنّه ليس المقصود جميع الرجال أو جنسهم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قوله اَلرِّجالُ قَوّامُونَ عَلَى النِّساءِ جمع محلّى بالألف و اللام فيدل على الشمول بالعموم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غير مقصود، إذ لا معنى لولاية جميع الرجال على جميع النساء فكذلك الإطلاق؛ إذ بعد عدم معقولية إرادة العموم الذي هو بالوضع لا ينقذ إطلاق بالفحوى لابتنائه على مقدّمات الحكمة التي منها عدم قرينة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شأن النزول فلا يصلح لتخصيص مفاد الآية على فرض دلالتها على الشمول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اتضح بطلان توهّم كون المقصود إنفاق مطلق الرجال على مطلق النساء، و لو الأجنبيات باعتبار إنفاق الحاكم و الأمير من بيت المال على جميع الأُمّة و منها النساء، نظراً إلى مخالفة تفسير الإنفاق بهذا المعنى لسياق الآية، كما قلنا، مضافاً إلى كونه خلاف ظاهر لفظ الإنفاق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إشكال في عدم الإطلاق أو العموم اللفظي للآية لتدلّ على سلطة الرجال بالنسبة إلى غير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الاستدلال بهذه الآية بفحوى الخطاب و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تقريب الفحوى المزبور في الآية و افتراقه عن القياس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فحوى الخطاب عبارة عن الدلالة الالتزامية للدليل اللفظي على الحكم المورد للاستدلال بنحو الأولوية القطعية مثل قوله تعالى فَلا تَقُلْ لَهُما أُفٍّ‌</w:t>
      </w:r>
      <w:r>
        <w:rPr>
          <w:rStyle w:val="FootnoteAnchor"/>
          <w:rtl w:val="true"/>
        </w:rPr>
        <w:footnoteReference w:id="261"/>
      </w:r>
      <w:r>
        <w:rPr>
          <w:rFonts w:ascii="Amiri" w:hAnsi="Amiri" w:eastAsia="Amiri" w:cs="Amiri"/>
          <w:color w:val="111111"/>
          <w:sz w:val="28"/>
          <w:sz w:val="28"/>
          <w:szCs w:val="28"/>
          <w:rtl w:val="true"/>
          <w:lang w:bidi="ar-SA"/>
        </w:rPr>
        <w:t>فإنّه ظاهر بالدلالة المطابقية في حرمة التأفيف، و بالدلالة الالتزامية في حرمة الشتم و الضرب على أساس الأولوية القطعية و هي تبتني على استظهار العرف من الخطاب و فهم أهل العرف من الدليل اللفظي؛ فإنّ أهل العرف يستظهرون من حرمة التأفيف حرمة الضرب و الشتم بالأولوية القطعية و يرون ذلك مدلولاً التزامياً للخطاب؛ حيث يرون موضوع الحرمة إهانة الوالدين و هتكهما، و يرون الشتم و الضرب من أبرز مصاديق و أظهر أفراد طبيعي الإهانة، فهما أشدّ منعاً و أغلظ تحريماً بالقياس إلى التأفيف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المقام؛ فإنّ الآية تدلّ بالصراحة على جعل القيمومة للرجل على المرأة و نصبه بعنوان وليّ المرأة و قيّمها في محيط الأُسرة، و تدلّ بالدلالة القطعية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 المرأة تحت ولاية الرجل و قيمومته في خارج فضاء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الآية إذا دلّت صريحاً على جعل الولاية للرجل على المرأة و نفي ولاية المرأة في محيط الأُسرة و البيت، يفهم عرفاً نفي ولايتها على مجتمع المؤمنين بالأولوية القطعية، و العرف يستظهر ذلك من الآية؛ حيث يرى الولاية على الناس و مجتمع المؤمنين من أبرز مصاديق الولاية و أظهر أفرادها، بل لا يراها قابلاً للقياس مع الولاية على الأُسرة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يراها أحوج إلى لياقة التدبير و قدرة العقل و الإدارة من الولاية على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من القياس؛ حيث إنّه لا يبتني على فهم أهل العرف من الخطاب و ليس من شئون الدلالة اللفظية، بل إنّما يسري الحكم من موضوع الخطاب إلى موضوع آخر باستنباط العقل مع احتماله وجود خصوصية في موضوع الخطاب و هذا هو الفرق الأساسي بين القياس و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بحثنا عن ذلك مفصّلاً في كتابنا مقياس الرواية، فراجع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دلّت بمنطوقها على عدم ولاية المرأة في بيتها على زوجها، و بالفحوى على عدم ولايتها على عموم الناس؛ لوضوح أنّه إذا لم يرض الشارع بولايتها على زوجها في بيتها فكيف يرضى بولايتها و حكومتها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يمكن الاستدلال بهذه الآية بتنقيح الملاك؛ حيث علّل فيها قيمومة الرجال على النساء بتفضيل الرجال على النساء في العقل و الرأي و التدبير و قوّة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لا يكون من قبيل العلّة المنصوصة المأخوذة موضوعاً للحكم، إلّا أنّه لا يحتمل دخل خصوصية غيره في ثبوت الولاية و القيمومة للرجال المتزوجين على أزواجهم، و لمّا كان هذا الملاك التام موجوداً في قبيل الرجال بالنسبة إلى قبيل النساء، فلذا يثبت لهم الولاية و القيمومة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اختصاص هذا الملاك بالرجال بالنسبة إلى خصوص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التعليل بالإنفاق عليهنّ و إن يختصّ بالأزواج، و لكن المعلوم بالتأمل أنّ كون أمر الإنفاق على الزوجة بيد الزوج إنّما هو باعتبار ما للرجل من الفضيلة على المرأة في العقل و الرأي و التدبير، كما قال تعالى وَ لا تُؤْتُوا السُّفَهاءَ أَمْوالَكُمُ </w:t>
      </w:r>
      <w:r>
        <w:rPr>
          <w:rStyle w:val="FootnoteAnchor"/>
          <w:rtl w:val="true"/>
        </w:rPr>
        <w:footnoteReference w:id="262"/>
      </w:r>
      <w:r>
        <w:rPr>
          <w:rFonts w:ascii="Amiri" w:hAnsi="Amiri" w:eastAsia="Amiri" w:cs="Amiri"/>
          <w:color w:val="111111"/>
          <w:sz w:val="28"/>
          <w:sz w:val="28"/>
          <w:szCs w:val="28"/>
          <w:rtl w:val="true"/>
          <w:lang w:bidi="ar-SA"/>
        </w:rPr>
        <w:t>و قد فسّر السفهاء في النصوص المعتبرة</w:t>
      </w:r>
      <w:r>
        <w:rPr>
          <w:rStyle w:val="FootnoteAnchor"/>
          <w:rtl w:val="true"/>
        </w:rPr>
        <w:footnoteReference w:id="263"/>
      </w:r>
      <w:r>
        <w:rPr>
          <w:rFonts w:ascii="Amiri" w:hAnsi="Amiri" w:eastAsia="Amiri" w:cs="Amiri"/>
          <w:color w:val="111111"/>
          <w:sz w:val="28"/>
          <w:sz w:val="28"/>
          <w:szCs w:val="28"/>
          <w:rtl w:val="true"/>
          <w:lang w:bidi="ar-SA"/>
        </w:rPr>
        <w:t>بالنساء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قيمومة النساء للنساء فينفيه ظاهر قيمومة الرجال على النساء، إذ ظاهرها حصر القيمومة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نفي قيمومة النساء مطلقاً، سواءٌ كان على الرجال أو على النساء، و لا سيّما بلحاظ تعليل ذلك بتفضيل الرجال عليهنّ في العقل و الرأي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الآية تنادي بأنّ ملاك القيمومة و تولّي الأُمور لمّا كان مرتبةً من العقل و الرأي و كان الرجال واجدين لتلك المرتبة، دون النساء؛ فلذلك جعل هذا المنصب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نفي صلاحية النساء لتولّي الأُمور و القيمومة على غيرهنّ مطلقاً، حتى على النساء؛ نظراً إلى فقدانهنّ شرط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هذا الملاك لا يختصّ بالرجال بالنسبة إلى خصوص أزواجهم، بل يوجد في جنس الرجال بالقياس إلى جنس النساء،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تصلح للاستدلال بها على عدم صلاحية النساء للقضاء و الحكومة و الإمارة، بل المرجعية و الإفتاء بتنقيح الملاك من مورد الآية إلى المقام، أو بالفحوى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تفضيل الرجال على النساء و الإنفاق ليسا علّة للحكم، بل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 الحكمة؛ لعدم دخل لذلك في موضوع الحكم الذي هو الرجولية، كما قرّرنا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الفرق بين الحكمة و بين العلة، من عدم أخذ الحكمة في موضوع الحكم بخلاف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يمكن أن يستنتج من هذا التعليل جواز القضاء و الحكومة للنساء اللاتي يكنّ ذوات عقل و فضل و علم،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تدلّ على المطلوب بالدلالة الالتزامية لا المطابقية أو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لِلرِّجالِ عَلَيْهِنَّ دَرَجَةٌ‌</w:t>
      </w:r>
      <w:r>
        <w:rPr>
          <w:rStyle w:val="FootnoteAnchor"/>
          <w:rtl w:val="true"/>
        </w:rPr>
        <w:footnoteReference w:id="264"/>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فإنّ اختصاص الرجال بعلوّ الدرجة على النساء لا يكون إلّا بلحاظ ما لهم من الحظّ الأوفر في العقل و الرأي و التدبير بالنسبة إلى النساء، فلذا صار أمر تأديب الزوجة و طلاقها بيد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تؤكّد مضمون الآية السابقة؛ حيث دلّت على كون الرجال واجدين للمرتبة العليا من العقل و الكمال المعتبرة في تولّى القضاء و الحكومة،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أَ وَ مَنْ يُنَشَّؤُا فِي الْحِلْيَةِ وَ هُوَ فِي الْخِصامِ غَيْرُ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إمّا عطفت على قوله تعالى وَ جَعَلُوا لَهُ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أجعلوا له من عباده من ينشّأ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عطفت على قوله تعالى أَمِ اتَّخَذَ مِمّا يَخْلُقُ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 مما يخلق من ينشّأ في الحلية و هذا الاحتمال الثاني هو الأظهر، و إن رجّح الأوّل في مجمع البيان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فالمقصود ممّن ينشّأ في الحلية هو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الخصام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باب المخاصمة كالنزاع و المنازعة أي مقابلة الخصم لأخذ الحقّ منه بالمحاجّة و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غَيْرُ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إقامة البرهان على الوجه التام و لا إظهار المطلوب و إثباته بالاستدلال،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للّه أو اتخذ اللّه مما يخلق النساء اللاتي يتزيّنّ بالزينة و الحلية مع عجزهنّ عن الاستدلال و إحقاق الحق و غير قادرات على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الآية على ضعف النساء في الرأي و العقل و عجزهنّ عن الاستدلال و إقامة البرهان و عدم قدرتهنّ على إثبات الحق و إحقاقه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الخصوصية من أهمّ ما يتوقف عليه القضاء و الحكومة و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تدلّ على عدم صلاحية النساء لتولّي هذه المناصب المحتاجة إلى عقل و رأي و تدبير فوق سائر الناس و إلى قوة و تمكّن في الاستدلال و إقامة البرهان لإحقاق حقوق المظلومين و أخذها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فَإِنْ لَمْ يَكُونا رَجُلَيْنِ فَرَجُلٌ وَ امْرَأَتانِ مِمَّنْ تَرْضَوْنَ مِنَ الشُّهَداءِ أَنْ تَضِلَّ إِحْداهُما فَتُذَكِّرَ إِحْداهُمَا الْأُخْرى‌</w:t>
      </w:r>
      <w:r>
        <w:rPr>
          <w:rStyle w:val="FootnoteAnchor"/>
          <w:rtl w:val="true"/>
        </w:rPr>
        <w:footnoteReference w:id="266"/>
      </w:r>
      <w:r>
        <w:rPr>
          <w:rFonts w:ascii="Amiri" w:hAnsi="Amiri" w:eastAsia="Amiri" w:cs="Amiri"/>
          <w:color w:val="111111"/>
          <w:sz w:val="28"/>
          <w:sz w:val="28"/>
          <w:szCs w:val="28"/>
          <w:rtl w:val="true"/>
          <w:lang w:bidi="ar-SA"/>
        </w:rPr>
        <w:t>فدلّت هذه الآية و مثلها من الآيات على نقصان شهادة النساء في الاعتبار عن شهادة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تقبل شهادة المرأة وحدها في قانون القضاء فكيف ينفذ حكمها؟ مع أنّ الحكم و القضاء أحوج من الشهادة إلى دليل الاعتبار؛ لأنّه أعظم خطراً من الشهادة قطعاً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فدلّت هذه الآية و نظائرها على عدم صلاحية المرأة للقضاء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هذه الآية بالخصوص على المطلوب بلحاظ ما لها من تعليل عدم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شهادة المرأة الواحدة و وجوب ضمّ شهادة المرأة الأُخرى إليها بضلالة إحدى المرأتين و انحرافها و تذكير الأُخرى إيّاها في مورد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ليس المقصود من الضلالة هنا النسيان، كما قد يتوهم، لكونه خلاف ظاهر مادة الضلالة؛ فإنّ كل لفظ من فعل و اسم ظاهرٌ في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العقلائي في قانون المحاورة هو الأخذ بظاهر اللفظ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التذكير فلا يصلح للقرينة على إرادة النسيان؛ نظراً إلى استعماله غالباً في القرآن بمعنى التنبيه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التذكير من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فَذَكِّرْ إِنَّما أَنْتَ مُذَكِّرٌ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ضلال المرأة في الشهادة بلحاظ غلبة العواطف و الإحساسات عليها، و عدم قدم راسخ لها قبال مطامع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تورث ذلك زلّتها و ضلالتها و عدولها عن الحق فتميل إلى الشهادة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قرّر الشارع انضمام مرأة أُخرى إليها لتذكّرها و تمنعها عن الميل إلى الباطل في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من يضلّ في مقام الشهادة يضلّ في مقام القضاء و الحكم بالفحوى؛ نظراً إلى احتياج القضاء إلى استقامة في العدل و تركيز في الذهن و دقة في النظر على وجه أكمل و أتمّ من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دلّت بالخصوص أيضاً بهذا التقريب الثاني على عدم صلاحية النساء للقضاء و الحكومة، بل المرجعية و الإفتاء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قَرْنَ فِي بُيُوتِكُنَّ‌</w:t>
      </w:r>
      <w:r>
        <w:rPr>
          <w:rStyle w:val="FootnoteAnchor"/>
          <w:rtl w:val="true"/>
        </w:rPr>
        <w:footnoteReference w:id="268"/>
      </w:r>
      <w:r>
        <w:rPr>
          <w:rFonts w:ascii="Amiri" w:hAnsi="Amiri" w:eastAsia="Amiri" w:cs="Amiri"/>
          <w:color w:val="111111"/>
          <w:sz w:val="28"/>
          <w:sz w:val="28"/>
          <w:szCs w:val="28"/>
          <w:rtl w:val="true"/>
          <w:lang w:bidi="ar-SA"/>
        </w:rPr>
        <w:t>بتقريب أنّ تولّى المرأة للقضاء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تصدّيها للحكومة و الإمارة يستدعي الخروج من البيت و اختلاطها مع الرجال و إسماع صوتها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عيّر الأصحاب عائشة بهذه الآية في مورد خروجها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نساء النبي و سائر النساء؛ فإنّ القرار في البيت و عدم الاختلاط مع الرجال و منع إسماع الصوت لا يختصّ بنساء النبي، بل دلّت النصوص المتواترة على وجوب تحصين المرأة بالبيت و منع اختلاطها و مكالمتها مع الرجال الأجانب، و قد ذكرنا كثيراً من هذه النصوص في كتاب الستر و النظر من دليل تحرير الوسيلة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اللاّتِي تَخافُونَ نُشُوزَهُنَّ فَعِظُوهُنَّ وَ اهْجُرُوهُنَّ فِي الْمَضاجِعِ وَ اضْرِبُوهُنَّ فَإِنْ أَطَعْنَكُمْ فَلا تَبْغُوا عَلَيْهِنَّ سَبِيلاً</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كون تأديب المرأة بيد الرجل، بل جوّز له ضربها عند خوف النشوز؛ و هو المعصية و الطغيان عن طاعة الرجل، كما دلّت عليه النصوص الواردة في تفسير هذه الآية، و اتّفق عليه المفسّرون، بل الآية نفسها ظاهرة في ذلك بلا حاجة إلى تفسير و لا دليل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بقرينة المقابلة بين النشوز و بين الإطاعة بقوله فَإِنْ أَطَعْنَكُمْ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موارد النشوز خروجها عن بيت الزوج بغير إذنه و الورود في مجالس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ينافي جعل الولاية على القضاء و الحكومة للنساء و استقلالهنّ في ذلك، كما هو واضح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الاستشهاد لذلك أيضاً بالآيات الأُخرى الدالّة على وجوب الستر و الحجاب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بحثنا عن هذه الآيات في كتاب الستر و النظر من دليل تحرير الوسيلة،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77" w:name="pg937_10924"/>
    </w:p>
    <w:p>
      <w:pPr>
        <w:pStyle w:val="Heading5"/>
        <w:numPr>
          <w:ilvl w:val="4"/>
          <w:numId w:val="1"/>
        </w:numPr>
        <w:rPr/>
      </w:pPr>
      <w:bookmarkStart w:id="178" w:name="__RefHeading___Toc733421_373438147"/>
      <w:bookmarkStart w:id="179" w:name="_Toc67"/>
      <w:bookmarkEnd w:id="177"/>
      <w:bookmarkEnd w:id="178"/>
      <w:r>
        <w:rPr>
          <w:rtl w:val="true"/>
        </w:rPr>
        <w:t>الاستدلال بالسنّة</w:t>
      </w:r>
      <w:bookmarkEnd w:id="179"/>
    </w:p>
    <w:p>
      <w:pPr>
        <w:pStyle w:val="BookText"/>
        <w:rPr/>
      </w:pPr>
      <w:r>
        <w:rPr>
          <w:rFonts w:ascii="Amiri" w:hAnsi="Amiri" w:eastAsia="Amiri" w:cs="Amiri"/>
          <w:color w:val="111111"/>
          <w:sz w:val="28"/>
          <w:sz w:val="28"/>
          <w:szCs w:val="28"/>
          <w:rtl w:val="true"/>
          <w:lang w:bidi="ar-SA"/>
        </w:rPr>
        <w:t>و قد دلّت على عدم صلاحية المرأة للحكومة و القضاء طوائف من النصوص المتظافرة المعتبرة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و إن كان كثيرٌ منها ضعيفاً في السند، إلّا أن تظافر ما دلّ منها على المطلوب كاف للاطمئنان بصدورها و لإثبات تمامية حجيتها على المطلوب مع أنّ بينها ما هو تام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اختصاص منصب القضاء بالإمام العادل أو وصي النبي، كما في صحيح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نبيٍّ‌</w:t>
      </w:r>
      <w:r>
        <w:rPr>
          <w:rStyle w:val="FootnoteAnchor"/>
          <w:rtl w:val="true"/>
        </w:rPr>
        <w:footnoteReference w:id="270"/>
      </w:r>
      <w:r>
        <w:rPr>
          <w:rFonts w:ascii="Amiri" w:hAnsi="Amiri" w:eastAsia="Amiri" w:cs="Amiri"/>
          <w:color w:val="111111"/>
          <w:sz w:val="28"/>
          <w:sz w:val="28"/>
          <w:szCs w:val="28"/>
          <w:rtl w:val="true"/>
          <w:lang w:bidi="ar-SA"/>
        </w:rPr>
        <w:t>لظهور الحصر في عدم صلاحية غير النبي و وصيّه الإمام العادل لإحراز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هذه الرواية صحيحة بطريق الصدوق لصحة طريقه إلى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 يجلسه إلّا نبيٌّ أو وصي نبي أو شقي</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الطائفة من النصوص تنادي بسياقها أنّ هذا المنصب فوق شأن النساء، كما هو واضحٌ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جعل منصب القضاء و الحكم للرواة العارفين بالحلال و الحرام و أحكام القضاء؛ حيث يظهر منها اختصاص هذا المنصب</w:t>
      </w:r>
    </w:p>
    <w:p>
      <w:pPr>
        <w:pStyle w:val="BookText"/>
        <w:rPr/>
      </w:pPr>
      <w:r>
        <w:rPr>
          <w:rFonts w:ascii="Amiri" w:hAnsi="Amiri" w:eastAsia="Amiri" w:cs="Amiri"/>
          <w:color w:val="111111"/>
          <w:sz w:val="28"/>
          <w:sz w:val="28"/>
          <w:szCs w:val="28"/>
          <w:rtl w:val="true"/>
          <w:lang w:bidi="ar-SA"/>
        </w:rPr>
        <w:t xml:space="preserve">بالرجال، مثل معتبرة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بينكم رجلاً قد عرف حلالنا و حرامنا، فإنّي قد جعلته عليكم قاضياً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انظروا إلى رجلٍ منكم يعلم شيئاً من قضايانا فاجعلوه بينكم فإنّي قد جعلته قاضياً فتحاكموا إليه</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هاتين المعتبرتين إشعارٌ بصلاحية خصوص الرجل لمنصب القضاء كما قال في الجواهر و إن كان لا مفهوم لهما؛ لكي تنفى به صلاحية المرأة؛ حيث لا مفهوم للقب و الوصف و أمّا الحمل على الغالب فخلاف الظاهر، بل الوجدان؛ حيث لم يعهد تصدي مرأة للقضاء بين الناس و لو في موارد قليلة معدودة، حتى يكون هو غير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لا ينعقد الإطلاق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w:t>
      </w:r>
      <w:r>
        <w:rPr>
          <w:rStyle w:val="FootnoteAnchor"/>
          <w:rtl w:val="true"/>
        </w:rPr>
        <w:footnoteReference w:id="274"/>
      </w:r>
      <w:r>
        <w:rPr>
          <w:rFonts w:ascii="Amiri" w:hAnsi="Amiri" w:eastAsia="Amiri" w:cs="Amiri"/>
          <w:color w:val="111111"/>
          <w:sz w:val="28"/>
          <w:sz w:val="28"/>
          <w:szCs w:val="28"/>
          <w:rtl w:val="true"/>
          <w:lang w:bidi="ar-SA"/>
        </w:rPr>
        <w:t xml:space="preserve">في مقبولة عمر بن حنظلة، كما قد يتوهم؛ نظراً إلى عدم ذكر الرجل و أعمّية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ابتناء الإطلاق على مقدّمات الحكمة التي منها عدم وجود قرينة صالحة للاتكال عليها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مجموع الآيات و الأخبار الآمرة بقرار النساء في البيوت و تحصينهنّ بها و الناهية عن اختلاطهن مع الرجال و مكالمتهن معهم و عدم خروجهنّ عن البيوت بغير إذن أزواجهنّ و غير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أنّ ارتكاز المتشرعة الناشئ من استقرار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جعل أحد من النساء الفقيهات قاضياً، و كذا من بعدهما من الأئمّة المتأخّرة، قرينة صالحة للاتكال عليها في عدم إرادة النساء من إطلاق المقبولة، مع تأكّد هذه القرينة بالتصريح بالرجل في المعتبرتين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ما دلّ من النصوص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قيامه يبعث من الرجال قضاةً إلى أقطار العالم، مثل ما رواه النعماني في كتاب الغيبة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في أقاليم الأرض، في كلِّ إقليم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فإذا ورد عليك ما لا تفهمه و لا تعرف القضاء فيه فانظُر إلى كفِّك و اعمل بما فيها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تولّي المرأة للقضاء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الكليني و الصدوق بأسانيدهم المختلفة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ابنه الحسن</w:t>
      </w:r>
    </w:p>
    <w:p>
      <w:pPr>
        <w:pStyle w:val="BookText"/>
        <w:rPr/>
      </w:pPr>
      <w:r>
        <w:rPr>
          <w:rFonts w:ascii="Amiri" w:hAnsi="Amiri" w:eastAsia="Amiri" w:cs="Amiri"/>
          <w:color w:val="111111"/>
          <w:sz w:val="28"/>
          <w:sz w:val="28"/>
          <w:szCs w:val="28"/>
          <w:rtl w:val="true"/>
          <w:lang w:bidi="ar-SA"/>
        </w:rPr>
        <w:t xml:space="preserve">لا تُمَلِّكِ المَرأة من الأمر ما يجاوز نفسها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المرأة ريحانة و ليست بقهرمانة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اختصاص مدلوله بأُمور البيت خلاف ظاهر إطلاق النهي؛ حيث لا قرينة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المطلوب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سنده و إن كان ضعيفاً، إلّا أنّ تعدّد طرقها و اختلاف رواتها يقوّي جانب 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الصدوق في الخصال بسنده عن جابر بن يزيد الجعفي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تتولّى المرأة القضاء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كلام في دلالتها، و أمّا سندها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في البحار</w:t>
      </w:r>
      <w:r>
        <w:rPr>
          <w:rStyle w:val="FootnoteAnchor"/>
          <w:rtl w:val="true"/>
        </w:rPr>
        <w:footnoteReference w:id="278"/>
      </w:r>
      <w:r>
        <w:rPr>
          <w:rFonts w:ascii="Amiri" w:hAnsi="Amiri" w:eastAsia="Amiri" w:cs="Amiri"/>
          <w:color w:val="111111"/>
          <w:sz w:val="28"/>
          <w:sz w:val="28"/>
          <w:szCs w:val="28"/>
          <w:rtl w:val="true"/>
          <w:lang w:bidi="ar-SA"/>
        </w:rPr>
        <w:t>بطريق آخر عن الصدوق عن القطّان عن العسكري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الجوهري هو محمّد بن زكريا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الصدوق في طريقه إلى شعيب بن واقد و غيره باسم الجوهري الغلابي البصري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الصدوق بإسناده عن حماد بن عمرو و أنس بن محمد عن أبيه عن جعفر بن محمّد عن آبائه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المرأة جمعة إلى أن قال و لا تولّى القضاء</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الرواية على المطلوب واضحة، و لكن طريق الصدوق إلى حماد و أنس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تولّى القضاء على وزان قوله</w:t>
      </w:r>
    </w:p>
    <w:p>
      <w:pPr>
        <w:pStyle w:val="BookText"/>
        <w:rPr/>
      </w:pPr>
      <w:r>
        <w:rPr>
          <w:rFonts w:ascii="Amiri" w:hAnsi="Amiri" w:eastAsia="Amiri" w:cs="Amiri"/>
          <w:color w:val="111111"/>
          <w:sz w:val="28"/>
          <w:sz w:val="28"/>
          <w:szCs w:val="28"/>
          <w:rtl w:val="true"/>
          <w:lang w:bidi="ar-SA"/>
        </w:rPr>
        <w:t>ليس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نفي الوجوب، يدفعه تناسب الحكم و الموضوع؛ حيث إنّه يقتضي كون المقصود في القضاء نفي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الحسن بن علي بن شعبة في تحف العقول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أُمراؤكم شراركم و أغنياؤكم بُخلاءكم، و أُموركم إلى نسائكم، فبطن الأرض خيرٌ لكم من ظهرها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العامة بأسانيدهم و طرقهم المختلفة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يُفلح قوم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ولوا أمرهم امرأةً‌</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من أصحابنا الحسن بن علي بن شعبة في تحف العقول مرسلاً عن النبي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الديلمي في إعلام الدين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يُظرَّف فيه الفاجر و يقرّب فيه الماجن و يُضعَّف فيه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متى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الأمانة مغنماً و الزكاة مغرماً و العبادة استطالة و الصلة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و تسلّطن الإماء و أمّر الصبيان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علي بن إبراهيم في تفسيره بسنده عن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p>
    <w:p>
      <w:pPr>
        <w:pStyle w:val="BookText"/>
        <w:rPr/>
      </w:pPr>
      <w:r>
        <w:rPr>
          <w:rFonts w:ascii="Amiri" w:hAnsi="Amiri" w:eastAsia="Amiri" w:cs="Amiri"/>
          <w:color w:val="111111"/>
          <w:sz w:val="28"/>
          <w:sz w:val="28"/>
          <w:szCs w:val="28"/>
          <w:rtl w:val="true"/>
          <w:lang w:bidi="ar-SA"/>
        </w:rPr>
        <w:t>إنّ من أشراط القيامة إضاعة الصلاة إلى أن قال فعندها إمارة النساء و مشاورة الإماء و قعود الصبيان على المنابر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أقوى النصوص الدالّة على عدم صلاحية النساء للأمارة و الحكومة و القضاء، بل مطلق السلطنة، صحيح حمران؛ فإنّها من أتمها سنداً و 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يعقوب عن علي بن إبراهيم عن أبيه عن ابن أبي عمير عن محمد بن أبي حمزة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رأيت الحق قد مات و ذهب أهله و رأيت الجور قد شمل البلاد و رأيت القرآن قد خُلِقَ و أحدث فيه ما ليس فيه و وُجّه على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النساءَ و قد غَلَبْنَ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و غلبن على كل أمرٍ، لا يؤتى إلّا ما لهنّ فيه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 على حَذَرٍ و اطلب إلى اللّه عزّ و جلّ النجاة و اعلم أنّ الناس في سخط اللّه عزّ و جلّ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دلالة هذه الصحيحة على المطلوب، بلا حاجة إلى تقريب و بيان؛ فإنّه على فرض ظهور لفظ</w:t>
      </w:r>
    </w:p>
    <w:p>
      <w:pPr>
        <w:pStyle w:val="BookText"/>
        <w:rPr/>
      </w:pPr>
      <w:r>
        <w:rPr>
          <w:rFonts w:ascii="Amiri" w:hAnsi="Amiri" w:eastAsia="Amiri" w:cs="Amiri"/>
          <w:color w:val="111111"/>
          <w:sz w:val="28"/>
          <w:sz w:val="28"/>
          <w:szCs w:val="28"/>
          <w:rtl w:val="true"/>
          <w:lang w:bidi="ar-SA"/>
        </w:rPr>
        <w:t>الملك في السلطنة و الإمارة و الحكومة و عدم شموله للقضاء وضعاً، يشمله بالفحوى؛ حيث إنّه يشمل السلطة على كل أمر اجتماعي أو سياسي أو نظامي و نحو ذلك مما هو دون القضاء في الأهمية،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القضاء من شئون الحكومة و الملك، و لا سيّما أنّ الكلام في الأعمّ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غلبتهنّ على جميع الأُمور بمجموعها مخالفٌ لظهور</w:t>
      </w:r>
    </w:p>
    <w:p>
      <w:pPr>
        <w:pStyle w:val="BookText"/>
        <w:rPr/>
      </w:pPr>
      <w:r>
        <w:rPr>
          <w:rFonts w:ascii="Amiri" w:hAnsi="Amiri" w:eastAsia="Amiri" w:cs="Amiri"/>
          <w:color w:val="111111"/>
          <w:sz w:val="28"/>
          <w:sz w:val="28"/>
          <w:szCs w:val="28"/>
          <w:rtl w:val="true"/>
          <w:lang w:bidi="ar-SA"/>
        </w:rPr>
        <w:t>كل أمرٍ في الاستغراق الظاهر في كل واحد من الأُمور بآحادها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طاعة النساء و الترغيب في مخالفتهن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في المعروف، قبل أن يأمُرْنكم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تعوّذوا باللّه من شرارهنّ و كونوا من خيارهنّ على حذر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مرفوعة مطلّب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تعوّذوا باللّه من طالحات نسائكم، و كونوا من خيارهنّ على حذر و لا تطيعوهنّ في المعروف فيأمُرْنكم بالمنكر</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أحاديث أُخرى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مرفوعة يعقوب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تدبِّره امرأةٌ فهو ملعون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خلاف النساء البركة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الشيخ في الأمالي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اليهودي</w:t>
      </w:r>
    </w:p>
    <w:p>
      <w:pPr>
        <w:pStyle w:val="BookText"/>
        <w:rPr/>
      </w:pPr>
      <w:r>
        <w:rPr>
          <w:rFonts w:ascii="Amiri" w:hAnsi="Amiri" w:eastAsia="Amiri" w:cs="Amiri"/>
          <w:color w:val="111111"/>
          <w:sz w:val="28"/>
          <w:sz w:val="28"/>
          <w:szCs w:val="28"/>
          <w:rtl w:val="true"/>
          <w:lang w:bidi="ar-SA"/>
        </w:rPr>
        <w:t>أوّل من أطاع النساءَ، آدمُ فأنزله اللّه من الجنة، و قد بيّن فضل الرجال على النساء في الدنيا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إلى غير ذلك من النصوص المتظافرة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هذه الطائفة من النصوص على عدم ولاية المرأة على زوجها في أُمور البيت و غيرها، فكيف بالولاية على أُمور الناس و أعراضهم و نفوسهم؟ فإذا لم يرضَ الشارع بتدبير المرأة و ولايتها على أُمور البيت، فكيف يرضى بإعطاء الولاية لها على الحكم و الإمارة بين الناس؟ بل ظاهر صحيحة ابن سنان و مرفوعتي يعقوب بن يزيد المنع عن طاعة مطلق النساء و قبيلهنّ في مطلق الأُمور،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فضل الرجال على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روي في تفسير الإمام الحسن العسكري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رجل رديءٍ، إلّا و المرأة الردية أردى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امرأة صالحة؛ إلّا و الرجل الصالح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ساوَى اللّهُ قطُّ امرأة برجلٍ، إلّا ما كان من تسوية اللّه فاطمة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إلحاقها به و هي امرأة بأفضل رجال العالمين</w:t>
      </w:r>
      <w:r>
        <w:rPr>
          <w:rStyle w:val="FootnoteAnchor"/>
          <w:rtl w:val="true"/>
        </w:rPr>
        <w:footnoteReference w:id="29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البحار</w:t>
      </w:r>
      <w:r>
        <w:rPr>
          <w:rStyle w:val="FootnoteAnchor"/>
          <w:rtl w:val="true"/>
        </w:rPr>
        <w:footnoteReference w:id="2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في العلل و الأمالي بسنده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فكان فيما سأله، أخبرني ما فضل الرجال على النساء؟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السماء على الأرض، أو كفضل الماء على الأرض فبالماء تحيي الأرض و بالرجال تحيي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الرجال ما خلق النساء لقول اللّه عزّ و جلّ اَلرِّجالُ قَوّامُونَ عَلَى النِّساءِ بِما فَضَّلَ اللّهُ بَعْضَهُمْ عَلى بَعْضٍ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مشاورة النساء؛ و مخالفتهنّ على فرض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خبر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إيّاكم و مشاورة النساء فإنّ فيهنّ الضعف و الوهن و العجز</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في نهج البلاغة في وصية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مشاورة النساء؛ فإنّ رأيهنّ إلى الأفن و عزمهنّ إلى الوهن</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 هو ضعف الرأي و نقصه، و كذا الوهن أي الضعف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خبر عمرو بن عثمان عن أبي عبد اللّه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لا يشاوَرْن في النجوى و لا يُطعن في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أسنّت ذهب خيرُ شَطْريها و بقي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يعقم رحمها و يسوءُ خُلقها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يحتدّ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إذا أسَنّ ذهب شرُّ شطريه و بقي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يَئوب عقله و يستحكم رأيه و يحسن خلقُه</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أيضاً بسنده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بسنده عن جابر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ليس على النساء أذان إلى أن قال و لا تولّى المرأة القضاء و لا تلي الإمارة و لا تستشار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المجلسي عن كتاب الإمامة و التبصرة بسنده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شاوروا النساء و خالفوهنّ، فإنّ خلافهن بركة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دلّت هذه النصوص بالفحوى على عدم رضى الشارع بتولّي المرأة للقضاء و تصدّيها للأمارة و الحكومة بين الناس؛ لوضوح كونه أعظم خطراً عن المشاورة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ضعف رأي النساء، بل عدم صلاحيتهنّ للرأي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معتبرة عامر بن عبد اللّه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ما للنساء 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الكشي في ضمن أحوال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تقول بقول زرارة و محمد بن مسلم في الاستطاعة و ترى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للنساء و الرأي؟ و القول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بشيء في ولاية أي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لهما ولاية على تشريع شيء من الأحكام، أو أنّهما ليسا ممّن تتمّ ولايتنا بمتابعة رأيهما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عدم صلاحية من لا اعتبار برأيه في الأحكام الشرعية للقضاء و الحكومة و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الدلالة أمّا سنداً فالأقوى اعتبار سند هذه الرواية؛ إذ لا كلام في رجالها إلّا في عامر بن عبد اللّه 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 إن ورد فيه ما يتضمّن ذمّه، إلّا أنّ النصوص الدالّة على ذلك ضعيفة، إمّا بالإرسال أو عدم وثاقة رواتها، كما أنّ ما تضمّن من النصوص مدحه أيضاً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اعتبار رواياته، أنّه من المعاريف؛ حيث كان صاحب الكتاب و الأصل و ترحّم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المعتبرة، و قد وقع في أسناد كامل الزيارات مع عدم ورود ذمّ في حقه في 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عيسى بن عبيد الواقع في طريقه، فالتحقيق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حرّرنا حاله في بعض مجلدات دليل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سيف بن عميرة النخعي، فإنّه ثقة قاله العلّامة و الشيخ و ابن شهرآشوب، و نقل ابن داود توثيقه عن النجاشي و اختار توثيقه الشيخ الحر العاملي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هذه التوثيقات الصريحة من فحول الرجاليين لا يعبأ بنقل الشهيد تضعيفه عن بعض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اعتبار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مسعدة بن زياد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سفيه أسفه بعد النساء من شارب الخمر</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خبر 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عبد اللّه بن أبي بكر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من نقض طلحة و الزبير بيعتهما و خروجهما بعائشة ما قد بلغكم، و هو ضعف النساء و ضعف رأيهنّ، و قد قال اللّه عزّ و جلّ اَلرِّجالُ قَوّامُونَ عَلَى النِّساءِ‌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p>
    <w:p>
      <w:pPr>
        <w:pStyle w:val="BookText"/>
        <w:rPr/>
      </w:pPr>
      <w:r>
        <w:rPr>
          <w:rFonts w:ascii="Amiri" w:hAnsi="Amiri" w:eastAsia="Amiri" w:cs="Amiri"/>
          <w:color w:val="111111"/>
          <w:sz w:val="28"/>
          <w:sz w:val="28"/>
          <w:szCs w:val="28"/>
          <w:rtl w:val="true"/>
          <w:lang w:bidi="ar-SA"/>
        </w:rPr>
        <w:t>و قد نقض طلحة و الزبير و خرجا بعائشة و هي من النساء و ضعف رأيهنّ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مشاورة النساء فإنّ رأيهنّ إلى الأفن و عزمهنّ إلى الوهن و قد سبق ذكره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يوصى إليها لأنّ اللّه عزّ و جلّ يقول وَ لا تُؤْتُوا السُّفَهاءَ أَمْوالَكُمُ‌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الكلام في تحقيق الاستدلال بالسنة أنّه لا ريب و لا إشكال في تمامية الاستدلال بها على عدم جواز القضاء و الحكومة، بل الإفتاء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صحيح حمران و معتبرة عامر بن جذاعة و صحيح مسعدة بن زياد و صحيح عبد اللّه بن سنان، فإنّ هذه النصوص تامة سنداً و دلالةً على المطلوب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النصوص الواردة في المقام، و مع كثرة الدالّة منها على المطلوب و تظافرها لا يبقى أيّ شك في صدورها بهذا المضمون في الجملة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0" w:name="pg937_10946"/>
    </w:p>
    <w:p>
      <w:pPr>
        <w:pStyle w:val="BookText"/>
        <w:rPr/>
      </w:pPr>
      <w:bookmarkEnd w:id="180"/>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النقاش في السند و لا نسلّمه ينجبر ضعفها بالشهرة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يناقش في إحراز استناد الأصحاب إلى هذه النصوص؛ نظراً إلى احتمال استنادهم إلى بعض ما حرّرناه من الأُصول في المقام، كما استظهرنا من كلام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فالأمر سهل بعد دلالة النصوص الصحاح على المطلوب و وجود ما هو قطعي الدلالة من بين النصوص المتظافرة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733423_373438147"/>
      <w:bookmarkStart w:id="182" w:name="_Toc68"/>
      <w:bookmarkEnd w:id="181"/>
      <w:r>
        <w:rPr>
          <w:rtl w:val="true"/>
        </w:rPr>
        <w:t>الاستدلال بالسيرة</w:t>
      </w:r>
      <w:bookmarkEnd w:id="1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يمكن أن يستدلّ به على عدم جواز القضاء للمرأة استقرار سيرة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حكومتهما على عدم تولية القضاء و الإمارة إلى المرأة؛ حيث لم يسمع حتى في رواية واحدة أن ينصبا امرأة للقضاء في طول زمان حكومتهما على المسلمين، بل و لم يسمع ذلك في الأديان السالفة أيضاً</w:t>
      </w:r>
      <w:r>
        <w:rPr>
          <w:rFonts w:eastAsia="Amiri" w:cs="Amiri" w:ascii="Amiri" w:hAnsi="Amiri"/>
          <w:color w:val="111111"/>
          <w:sz w:val="28"/>
          <w:szCs w:val="28"/>
          <w:rtl w:val="true"/>
          <w:lang w:bidi="ar-SA"/>
        </w:rPr>
        <w:t>.</w:t>
      </w:r>
      <w:bookmarkStart w:id="183" w:name="pg937_10948"/>
    </w:p>
    <w:p>
      <w:pPr>
        <w:pStyle w:val="Heading4"/>
        <w:numPr>
          <w:ilvl w:val="3"/>
          <w:numId w:val="1"/>
        </w:numPr>
        <w:rPr/>
      </w:pPr>
      <w:bookmarkStart w:id="184" w:name="__RefHeading___Toc733425_373438147"/>
      <w:bookmarkStart w:id="185" w:name="_Toc69"/>
      <w:bookmarkEnd w:id="183"/>
      <w:bookmarkEnd w:id="184"/>
      <w:r>
        <w:rPr>
          <w:rtl w:val="true"/>
        </w:rPr>
        <w:t>أدلّة جواز القضاء و الحكومة للمرأة</w:t>
      </w:r>
      <w:bookmarkEnd w:id="185"/>
    </w:p>
    <w:p>
      <w:pPr>
        <w:pStyle w:val="Heading5"/>
        <w:numPr>
          <w:ilvl w:val="4"/>
          <w:numId w:val="1"/>
        </w:numPr>
        <w:rPr/>
      </w:pPr>
      <w:bookmarkStart w:id="186" w:name="__RefHeading___Toc733427_373438147"/>
      <w:bookmarkStart w:id="187" w:name="_Toc7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قد يستدل لإثبات جواز القضاء و الحكومة للمرأة بأُمور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33429_373438147"/>
      <w:bookmarkStart w:id="189" w:name="_Toc71"/>
      <w:bookmarkEnd w:id="188"/>
      <w:r>
        <w:rPr>
          <w:rtl w:val="true"/>
        </w:rPr>
        <w:t>الاستدلال بالعقل</w:t>
      </w:r>
      <w:bookmarkEnd w:id="189"/>
    </w:p>
    <w:p>
      <w:pPr>
        <w:pStyle w:val="BookText"/>
        <w:rPr/>
      </w:pPr>
      <w:r>
        <w:rPr>
          <w:rFonts w:ascii="Amiri" w:hAnsi="Amiri" w:eastAsia="Amiri" w:cs="Amiri"/>
          <w:color w:val="111111"/>
          <w:sz w:val="28"/>
          <w:sz w:val="28"/>
          <w:szCs w:val="28"/>
          <w:rtl w:val="true"/>
          <w:lang w:bidi="ar-SA"/>
        </w:rPr>
        <w:t>و ممّا استدل به على جواز القضاء و الحكومة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بقابلية من هو أحسن تدبيراً و علماً للحكومة و القضاء بين الناس، و إن كان الغالب بل الأغلب فضيلة الرجال على النساء في العقل و التدبير، و لكن يمكن أحياناً أن يكون بعض النساء أليق من الرجال الموجودين لتصدي منصب القضاء و الحكومة في العلم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موضوع حكم العقل بإمكان ذلك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فيحكم العقل بأنّه كلّما إذا وجدت امرأة فضلى من الرجال الموجودين في زمان أو مكان خاص لا بدّ من تقديمها على الرجال في الحكومة و القضاء؛ لحكمه بقابلية الأحسن و الأعلم و الأقوى و الأفضل و بتقديم الأليق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مع حكمه باختصاص الولاية على الناس باللّه تعالى بما أنّه خالق الناس و منعمهم و عدم ولاية غيره تعالى على أحد من الناس بمجرد الأفضلية و الأعلمية و الأحسنية، فلذا لا يرى لغير اللّه تعالى حقاً في تعيين شرائط القابلية و الاستحقاق لإحراز منصب القضاء و الحكومة و إعطاء الولاية على ذلك، بل إنّما يرى ذلك في شأن اللّه تعالى و من فوّض إليه ذلك من جانبه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الحاكم بالأصالة و إنّ الولاية على القضاء و الحكومة ثابتة له بالذات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تعالى فالولاية إنّما هي ثابتة له</w:t>
      </w:r>
      <w:bookmarkStart w:id="190" w:name="pg937_10950"/>
    </w:p>
    <w:p>
      <w:pPr>
        <w:pStyle w:val="BookText"/>
        <w:rPr/>
      </w:pPr>
      <w:bookmarkEnd w:id="190"/>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يرى العقل حق تعيين شرائط التولية على القضاء و الحكومة و لا اختيار ذلك، إلّا للّه تعالى حيث يحكم بلزوم تفويض الولاية من جانب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حكم به العقل حكم به الشرع، و إنّ الشارع جعل العقل حجة على العباد، كما ورد في النصوص</w:t>
      </w:r>
    </w:p>
    <w:p>
      <w:pPr>
        <w:pStyle w:val="BookText"/>
        <w:rPr/>
      </w:pPr>
      <w:r>
        <w:rPr>
          <w:rFonts w:ascii="Amiri" w:hAnsi="Amiri" w:eastAsia="Amiri" w:cs="Amiri"/>
          <w:color w:val="111111"/>
          <w:sz w:val="28"/>
          <w:sz w:val="28"/>
          <w:szCs w:val="28"/>
          <w:rtl w:val="true"/>
          <w:lang w:bidi="ar-SA"/>
        </w:rPr>
        <w:t>العقل حجّة باطنة و</w:t>
      </w:r>
    </w:p>
    <w:p>
      <w:pPr>
        <w:pStyle w:val="BookText"/>
        <w:rPr/>
      </w:pPr>
      <w:r>
        <w:rPr>
          <w:rFonts w:ascii="Amiri" w:hAnsi="Amiri" w:eastAsia="Amiri" w:cs="Amiri"/>
          <w:color w:val="111111"/>
          <w:sz w:val="28"/>
          <w:sz w:val="28"/>
          <w:szCs w:val="28"/>
          <w:rtl w:val="true"/>
          <w:lang w:bidi="ar-SA"/>
        </w:rPr>
        <w:t>قاصد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بقابلية الأحسن و الأليق حكم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الولاية على القضاء و الحكومة ولاية شرعية في نظر العقل؛ نظراً إلى حكمه بلزوم كونها من جانب الشارع فقط، فلذا لا بدّ في خصوص هذا المورد من دليل شرعي تعبدي مولوي من جانب الشارع؛ لكي تثبت به الولاية الشرعية على القضاء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ما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من أنّ جواز القضاء و نفوذه حكم شرعي و لا يثبت إلّا بدليل شرعي</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33431_373438147"/>
      <w:bookmarkStart w:id="192" w:name="_Toc72"/>
      <w:bookmarkEnd w:id="191"/>
      <w:r>
        <w:rPr>
          <w:rtl w:val="true"/>
        </w:rPr>
        <w:t>الاستدلال بقاعدة الاشتراك</w:t>
      </w:r>
      <w:bookmarkEnd w:id="192"/>
    </w:p>
    <w:p>
      <w:pPr>
        <w:pStyle w:val="BookText"/>
        <w:rPr/>
      </w:pPr>
      <w:r>
        <w:rPr>
          <w:rFonts w:ascii="Amiri" w:hAnsi="Amiri" w:eastAsia="Amiri" w:cs="Amiri"/>
          <w:color w:val="111111"/>
          <w:sz w:val="28"/>
          <w:sz w:val="28"/>
          <w:szCs w:val="28"/>
          <w:rtl w:val="true"/>
          <w:lang w:bidi="ar-SA"/>
        </w:rPr>
        <w:t>و ممّا استدل به على جواز القضاء و الحكومة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اشتراك التكليف بين جميع المكلفين، بلا فرق بين الرجال و النساء؛ فإنّ هذه القاعدة تثبت أنّ كلّ مورد ثبت فيه الحكم على نحو القضية الحقيقية لواحد من المكلفين يثبت في حق غيره، من دون فرق بين الرجال و النساء و لا سائر أصناف المكلّفين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دليل هذه القاعدة هي دعوى اتفاق الفقهاء و ارتكاز المتشرعة، و لكنّها خلاف الوجدان؛ نظراً إلى قيام الضرورة و الاتفاق على اختلاف الرجال و النساء في كثير من الأحكام التكليفية كما في أبواب الصلاة و الحج و النذر و الجهاد و الستر و النظر و الأحكام الوضعية كالإرث و غيره، مع أنّ جميع هذه</w:t>
      </w:r>
    </w:p>
    <w:p>
      <w:pPr>
        <w:pStyle w:val="BookText"/>
        <w:rPr/>
      </w:pPr>
      <w:r>
        <w:rPr>
          <w:rFonts w:ascii="Amiri" w:hAnsi="Amiri" w:eastAsia="Amiri" w:cs="Amiri"/>
          <w:color w:val="111111"/>
          <w:sz w:val="28"/>
          <w:sz w:val="28"/>
          <w:szCs w:val="28"/>
          <w:rtl w:val="true"/>
          <w:lang w:bidi="ar-SA"/>
        </w:rPr>
        <w:t>الأحكام وضعت على نحو القضايا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تمسّك لهذه القاعدة بمثل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محمد حلال إلى يوم القيامة و حرامه حرام إلى يوم القيامة</w:t>
      </w:r>
      <w:r>
        <w:rPr>
          <w:rStyle w:val="FootnoteAnchor"/>
          <w:rtl w:val="true"/>
        </w:rPr>
        <w:footnoteReference w:id="307"/>
      </w:r>
      <w:r>
        <w:rPr>
          <w:rFonts w:ascii="Amiri" w:hAnsi="Amiri" w:eastAsia="Amiri" w:cs="Amiri"/>
          <w:color w:val="111111"/>
          <w:sz w:val="28"/>
          <w:sz w:val="28"/>
          <w:szCs w:val="28"/>
          <w:rtl w:val="true"/>
          <w:lang w:bidi="ar-SA"/>
        </w:rPr>
        <w:t xml:space="preserve">و 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حكمي على الواحد حكمي على الجماعة</w:t>
      </w:r>
      <w:r>
        <w:rPr>
          <w:rStyle w:val="FootnoteAnchor"/>
          <w:rtl w:val="true"/>
        </w:rPr>
        <w:footnoteReference w:id="308"/>
      </w:r>
      <w:r>
        <w:rPr>
          <w:rFonts w:ascii="Amiri" w:hAnsi="Amiri" w:eastAsia="Amiri" w:cs="Amiri"/>
          <w:color w:val="111111"/>
          <w:sz w:val="28"/>
          <w:sz w:val="28"/>
          <w:szCs w:val="28"/>
          <w:rtl w:val="true"/>
          <w:lang w:bidi="ar-SA"/>
        </w:rPr>
        <w:t>، و غير ذلك ممّا ربط له بالمقام؛ فإنّ مثل الأوّل ناظرٌ إلى دوام أحكام الشريعة إلى يوم القيامة و عدم اختصاصه بزمان خاص، و قبيل الثاني ناظر إلى عدم وضع الأحكام على نحو القضية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اقتضاء جعل الأحكام الشرعية على نحو القضايا الحقيقية اشتراك الأحكام بين جميع المكلفين واضح البطلان؛ نظراً إلى وضوح دخل موضوع الحكم و قيوده و شرائطه في ثبوت التكليف، كما بحثنا عن ذلك مفصّلاً في مبادئ الأُصول؛ حيث إنّ الشارع ربما يجعل الحكم لصنف خاص من المكلفين كالنساء و السادات و الذين لا يرجون نكاحاً و الرجال الأجانب و المحارم و الخنثى و غير ذلك من أصناف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يبيّن بعد جعل أصل الحكم شرائط و قيود لذلك الموضوع و ثبوت الحكم له بأدلّة منفصلة عن دليل جعل أصل الحكم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معنى لاشتراك ذلك الحكم المجعول بين جميع المكلفين، بل يختص بذلك الموضوع الحاصل فيه تلك القيود و الشرائط، مثل صلاة المريض و القاعد و المضطجع و في المحمل و صلاة العاري و الغريق، و تطهير المتنجّس بالبول بغسلة مرّتين، و الجهاد على الرجل دون النساء، و كون إرث الذكر مثل إرث الأُنثيين، و إلى غير ذلك، و كم له من نظير في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93" w:name="pg937_10954"/>
    </w:p>
    <w:p>
      <w:pPr>
        <w:pStyle w:val="BookText"/>
        <w:rPr/>
      </w:pPr>
      <w:bookmarkEnd w:id="193"/>
      <w:r>
        <w:rPr>
          <w:rFonts w:ascii="Amiri" w:hAnsi="Amiri" w:eastAsia="Amiri" w:cs="Amiri"/>
          <w:color w:val="111111"/>
          <w:sz w:val="28"/>
          <w:sz w:val="28"/>
          <w:szCs w:val="28"/>
          <w:rtl w:val="true"/>
          <w:lang w:bidi="ar-SA"/>
        </w:rPr>
        <w:t>و إنّ ثبوت جواز القضاء و الحكومة للنساء أيضاً هو محلّ البحث في المقام 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إقامة الدليل على إلغاء شرط الذكورة و تعميم موضوع جواز القضاء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تنفع قاعدة الاشتراك في دائرة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أثبتنا اختصاص موضوع جواز القضاء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اشتراكه بين الرجال عدم اختصاصه ببعض الرجال الواجد لشرائط القضاء دون البعض الآخر أو بزمان دون زمان، و أنّه لا يمكن التبعيض في ثبوت الحكم بحسب أصناف الرجال</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33433_373438147"/>
      <w:bookmarkStart w:id="195" w:name="_Toc73"/>
      <w:bookmarkEnd w:id="194"/>
      <w:r>
        <w:rPr>
          <w:rtl w:val="true"/>
        </w:rPr>
        <w:t>الاستدلال بالآيات</w:t>
      </w:r>
      <w:bookmarkEnd w:id="1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 يا أَيُّهَا الَّذِينَ آمَنُوا كُونُوا قَوّامِينَ بِالْقِسْطِ</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مصاديق القسط و لو توقّف القيام به على القضاء و الحكومة؛ لوضوح كون ذلك من مصاديق القيام بالقسط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فالأصل الأوّلي اللفظي المستفاد من عموم هذه الآية و إطلاقها مشروعية القيام بالقسط لجميع المكلّفين، بل وجوبه عليهم كفائياً، بلا فرق بين الرجال و النساء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الأمر بالقيام بالقسط و إيجابه على عموم الناس في المحاورات العرفية هو غير تصدي الحكومة و القضاء، بل المتبادر منه هو أصل إيجاب إقامة القسط على المؤمنين حسب تمكّنهم من ذلك و قدرتهم، لا جعل منصب الحكومة و القضاء لكل أحد لأجل إقامة القسط، فضلاً عن شرائط القاضي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يشمل القيام الفردي و الاجتماعي،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لِيَقُومَ النّاسُ بِالْقِسْطِ</w:t>
      </w:r>
      <w:r>
        <w:rPr>
          <w:rStyle w:val="FootnoteAnchor"/>
          <w:rtl w:val="true"/>
        </w:rPr>
        <w:footnoteReference w:id="310"/>
      </w:r>
      <w:r>
        <w:rPr>
          <w:rFonts w:ascii="Amiri" w:hAnsi="Amiri" w:eastAsia="Amiri" w:cs="Amiri"/>
          <w:color w:val="111111"/>
          <w:sz w:val="28"/>
          <w:sz w:val="28"/>
          <w:szCs w:val="28"/>
          <w:rtl w:val="true"/>
          <w:lang w:bidi="ar-SA"/>
        </w:rPr>
        <w:t>و أَنْ تَقُومُوا لِلّهِ مَثْنى وَ فُرادى‌</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تكون الآية بصدد بيانه هو الحكم التكليفي، و لا نظر لها إلى جعل الحكم الوضعي بتولية منصب الحكومة و القضاوة، فضلاً عن بيان شرائط الحاكم و القاضي، و إنّ انعقاد الإطلاق للخطاب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 يتوهم دلالتها على جواز القضاء و الحكومة للمرأة ما دلّ من الآيات على تعيين الحدود و الديات و القصاص و وجوب إجرائها على المكلفين؛ فإنّ هذه الآيات عامة لجميع المكلفين؛ حيث لا تخاطب صنفاً خاصاً منهم، فتشمل بعمومها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فكلّ امرأة توفّرت فيه شرائط القضاء كالعلم بالأحكام و العدالة يجب عليها إجراء الحدود و الأحكام، من دون فرق بينها و بين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بصدد أصل إيجاب الحدود و تعيين مقدارها، من دون نظر لها إلى إعطاء الولاية على القضاء إلى أحد و جعله لمنصب القضاء، فضلاً عن بيان شرائطه، كما قلنا في الجواب عن الاستدلال بقوله تعالى كُونُوا قَوّامِينَ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التي استدل بها على تأسيس أصل جواز القضاء للمرأة قوله تعالى وَ إِذا حَكَمْتُمْ بَيْنَ النّاسِ أَنْ تَحْكُمُوا بِالْعَدْلِ‌</w:t>
      </w:r>
      <w:r>
        <w:rPr>
          <w:rStyle w:val="FootnoteAnchor"/>
          <w:rtl w:val="true"/>
        </w:rPr>
        <w:footnoteReference w:id="312"/>
      </w:r>
      <w:r>
        <w:rPr>
          <w:rFonts w:ascii="Amiri" w:hAnsi="Amiri" w:eastAsia="Amiri" w:cs="Amiri"/>
          <w:color w:val="111111"/>
          <w:sz w:val="28"/>
          <w:sz w:val="28"/>
          <w:szCs w:val="28"/>
          <w:rtl w:val="true"/>
          <w:lang w:bidi="ar-SA"/>
        </w:rPr>
        <w:t>بدعوى دلالته على جواز الحكم بالعدل و مشروعيته مطلقاً، بلا فرق بين الرجال و النساء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تدلّ على وجوب كون الحكم بالعدل على فرض تصدّي منصب القضاء و الحكومة؛ فإنّ معنى قوله وَ إِذا 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تصدّيتم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منصب الحكومة و القضاء فاحكموا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نظر لها إلى بيان من يصلح لتصدّي القضاء و الحكومة و ما هو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الآمرة بالحكم بالحق مثل قوله تعالى يا داوُدُ إِنّا جَعَلْناكَ خَلِيفَةً فِي الْأَرْضِ فَاحْكُمْ بَيْنَ النّاسِ بِالْحَقِّ‌</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إِنّا أَنْزَلْنا إِلَيْكَ الْكِتابَ بِالْحَقِّ لِتَحْكُمَ بَيْنَ النّاسِ بِما أَراكَ اللّهُ‌</w:t>
      </w:r>
      <w:r>
        <w:rPr>
          <w:rStyle w:val="FootnoteAnchor"/>
          <w:rtl w:val="true"/>
        </w:rPr>
        <w:footnoteReference w:id="314"/>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إطلاق لها؛ إذ الأُولى خطاب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خطاب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بهذا البيان عدم صحة تأسيس أصل جواز القضاء و الحكم اتكالاً على إطلاقات الحكم بالحق أو العدل، مضافاً إلى تقييدها على فرض ثبوتها بما دلّ من النصوص على عدم جواز القضاء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لذلك بالآيات النازلة في بلقيس ملكة قوم سبأ؛ حيث إنّه نقل فيها عن قول الهدهد بقوله تعالى إِنِّي وَجَدْتُ امْرَأَةً تَمْلِكُهُمْ وَ أُوتِيَتْ مِنْ كُلِّ شَيْ‌ءٍ وَ لَها عَرْشٌ عَظِيمٌ‌</w:t>
      </w:r>
      <w:r>
        <w:rPr>
          <w:rStyle w:val="FootnoteAnchor"/>
          <w:rtl w:val="true"/>
        </w:rPr>
        <w:footnoteReference w:id="316"/>
      </w:r>
      <w:r>
        <w:rPr>
          <w:rFonts w:ascii="Amiri" w:hAnsi="Amiri" w:eastAsia="Amiri" w:cs="Amiri"/>
          <w:color w:val="111111"/>
          <w:sz w:val="28"/>
          <w:sz w:val="28"/>
          <w:szCs w:val="28"/>
          <w:rtl w:val="true"/>
          <w:lang w:bidi="ar-SA"/>
        </w:rPr>
        <w:t>و عن قول بلقيس قالَتْ يا أَيُّهَا الْمَلَأُ أَفْتُونِي فِي أَمْرِي ما كُنْتُ قاطِعَةً أَمْراً حَتّى تَشْهَدُونِ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بتقريب أنّه يستفاد من هذه الآيات تمجيد بلقيس و تصديق تدبيرها في أمر الحكومة فيستكشف منها رضى الشارع بحكومة النساء و جواز حكمهنّ بين الناس إذا كنّ من أهل التدبير و الدراية و القوة، و نفي اشتراط الذكورة عن الواجدات منهنّ لسائر الشرائط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لا ربط لها بتأييد حكومة بلقيس و لا مدحها، بل يستفاد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96" w:name="pg937_10960"/>
    </w:p>
    <w:p>
      <w:pPr>
        <w:pStyle w:val="BookText"/>
        <w:rPr/>
      </w:pPr>
      <w:bookmarkEnd w:id="196"/>
      <w:r>
        <w:rPr>
          <w:rFonts w:ascii="Amiri" w:hAnsi="Amiri" w:eastAsia="Amiri" w:cs="Amiri"/>
          <w:color w:val="111111"/>
          <w:sz w:val="28"/>
          <w:sz w:val="28"/>
          <w:szCs w:val="28"/>
          <w:rtl w:val="true"/>
          <w:lang w:bidi="ar-SA"/>
        </w:rPr>
        <w:t>من بعض فقرأتها ذمّها و عدم تأييد حكومتها و كونها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وَجَدْتُها وَ قَوْمَها يَسْجُدُونَ لِلشَّمْسِ مِنْ دُونِ اللّهِ وَ زَيَّنَ لَهُمُ الشَّيْطانُ أَعْمالَهُمْ فَصَدَّهُمْ عَنِ السَّبِيلِ فَهُمْ لا يَهْتَدُونَ‌</w:t>
      </w:r>
      <w:r>
        <w:rPr>
          <w:rStyle w:val="FootnoteAnchor"/>
          <w:rtl w:val="true"/>
        </w:rPr>
        <w:footnoteReference w:id="317"/>
      </w:r>
      <w:r>
        <w:rPr>
          <w:rFonts w:ascii="Amiri" w:hAnsi="Amiri" w:eastAsia="Amiri" w:cs="Amiri"/>
          <w:color w:val="111111"/>
          <w:sz w:val="28"/>
          <w:sz w:val="28"/>
          <w:szCs w:val="28"/>
          <w:rtl w:val="true"/>
          <w:lang w:bidi="ar-SA"/>
        </w:rPr>
        <w:t>؛ حيث دلّ على كون سلوك بلقيس و قومها و مشيهم في جميع شئونهم من تزيين الشيطان و عدولاً عن الحق و اعوجاجاً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تعالى نقلاً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 صاغِرُونَ‌</w:t>
      </w:r>
      <w:r>
        <w:rPr>
          <w:rStyle w:val="FootnoteAnchor"/>
          <w:rtl w:val="true"/>
        </w:rPr>
        <w:footnoteReference w:id="318"/>
      </w:r>
      <w:r>
        <w:rPr>
          <w:rFonts w:ascii="Amiri" w:hAnsi="Amiri" w:eastAsia="Amiri" w:cs="Amiri"/>
          <w:color w:val="111111"/>
          <w:sz w:val="28"/>
          <w:sz w:val="28"/>
          <w:szCs w:val="28"/>
          <w:rtl w:val="true"/>
          <w:lang w:bidi="ar-SA"/>
        </w:rPr>
        <w:t>؛ حيث دلّ على كون سليمان بصدد الإطاحة بحكومة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حكومتها مرضيةً عند اللّه تعالى فلم كان سليمان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إرجاعها إلى الحكومة مجدّداً، فلا يستفاد 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التواريخ الناطقة بذلك فلا سند معتبر لها ليتّكل عليها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دلّ من النصوص من ذمّ قوم سبأ من جهة حكومة بلقيس عليهم كما نقل السيد في اللهوف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لَتَقْتُلني الفئة الباغية و لَيلبسنّهم اللّه ذُلاّ شاملاً و سيفاً قاطعاً و ليُسلّطنّ عليهم من يُذلّهم، حتى يكونوا أذلّ من قوم سبأ إذ مَلَكتهم امرأةٌ منهم فحكَمَتْ في أموالهم و دمائهم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733435_373438147"/>
      <w:bookmarkStart w:id="198" w:name="_Toc74"/>
      <w:bookmarkEnd w:id="197"/>
      <w:r>
        <w:rPr>
          <w:rtl w:val="true"/>
        </w:rPr>
        <w:t>الاستدلال بالسنة</w:t>
      </w:r>
      <w:bookmarkEnd w:id="198"/>
    </w:p>
    <w:p>
      <w:pPr>
        <w:pStyle w:val="BookText"/>
        <w:rPr/>
      </w:pPr>
      <w:r>
        <w:rPr>
          <w:rFonts w:ascii="Amiri" w:hAnsi="Amiri" w:eastAsia="Amiri" w:cs="Amiri"/>
          <w:color w:val="111111"/>
          <w:sz w:val="28"/>
          <w:sz w:val="28"/>
          <w:szCs w:val="28"/>
          <w:rtl w:val="true"/>
          <w:lang w:bidi="ar-SA"/>
        </w:rPr>
        <w:t>و قد يستدلّ لجواز تولّي القضاء و الحكم للنساء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مشاورة النساء إلّا من جرّبت بكمال</w:t>
      </w:r>
    </w:p>
    <w:p>
      <w:pPr>
        <w:pStyle w:val="BookText"/>
        <w:rPr/>
      </w:pPr>
      <w:r>
        <w:rPr>
          <w:rFonts w:ascii="IRNazanin" w:hAnsi="IRNazanin" w:eastAsia="IRNazanin"/>
          <w:color w:val="111111"/>
          <w:sz w:val="28"/>
          <w:sz w:val="28"/>
          <w:szCs w:val="28"/>
          <w:rtl w:val="true"/>
          <w:lang w:bidi="fa-IR"/>
        </w:rPr>
        <w:t>عقله</w:t>
      </w:r>
      <w:r>
        <w:rPr>
          <w:rStyle w:val="FootnoteAnchor"/>
          <w:rtl w:val="true"/>
        </w:rPr>
        <w:footnoteReference w:id="320"/>
      </w:r>
      <w:r>
        <w:rPr>
          <w:rFonts w:ascii="Amiri" w:hAnsi="Amiri" w:eastAsia="Amiri" w:cs="Amiri"/>
          <w:color w:val="111111"/>
          <w:sz w:val="28"/>
          <w:sz w:val="28"/>
          <w:szCs w:val="28"/>
          <w:rtl w:val="true"/>
          <w:lang w:bidi="ar-SA"/>
        </w:rPr>
        <w:t>حيث دلّ بالاستثناء على أنّ في النساء أيضاً يوجد من هو كمل عقله و صلح للمشاورة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تشمل النصوص الناهية عن المشاورة و الدالّة على ضعف رأيهنّ لمثل هذه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تولّيهنّ للقضاء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الرواية أنّه قلّما يتفق وجود المجرّبة بكمال العقل من بين النساء لشهادة ذيلها،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هذا الاستثناء في سائر النصوص المتظافرة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في جعل القانون يلاحظ الأغلب فلا مانع من عدم جواز تولّي النساء للقضاء مطلقاً بمقتضى طبعهنّ الغالب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إشكال آخر على الاستدلال بهذه الرواية،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يصلح للمشاورة لا يصلح للقضاء و الحكم، بالفحوى؛ لكونه أعظم خطراً، و لا عكس؛ لوضوح عدم صلاحية كل من يصلح للمشاورة للقضاء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لا دافع منه، و إن كانت الملازمة في طرف الأصل ثابتةً، فإنّ من لا يصلح للمشاورة لضعف عقله و فساد رأيه، لا يصلح لإحراز منصب القضاء و الحكومة،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 الناس بهذا الأمر أقواهم عليه و أعلمهم بأمر اللّه فيه</w:t>
      </w:r>
      <w:r>
        <w:rPr>
          <w:rStyle w:val="FootnoteAnchor"/>
          <w:rtl w:val="true"/>
        </w:rPr>
        <w:footnoteReference w:id="321"/>
      </w:r>
      <w:r>
        <w:rPr>
          <w:rFonts w:ascii="Amiri" w:hAnsi="Amiri" w:eastAsia="Amiri" w:cs="Amiri"/>
          <w:color w:val="111111"/>
          <w:sz w:val="28"/>
          <w:sz w:val="28"/>
          <w:szCs w:val="28"/>
          <w:rtl w:val="true"/>
          <w:lang w:bidi="ar-SA"/>
        </w:rPr>
        <w:t>حيث إنّه قد يتفق كون المرأة أقوى و أعلم من الرجال بحكم اللّه في أمر الحكومة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في سنده من الإشكال، أنّ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إلى تقديم الأقوى و الأعلم من غيره مع قطع النظر عن سائر الشرائط المعتبرة المرتكزة في أذهان المسلمين المتسالم عليها؛ لأنّ الذي كان مورد النزاع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بين طالبي الرئاسة و الحكومة في ذلك الزمان هو الأقوائية في تدبير الحكومة و الأعلمية بأحكام الشريعة كما ابتليت الأُمّة بالمصيبة العظمى من هذه الجهة بعد النبي، فانحرفوا في انتخاب الأعلم بحكم اللّه و أقوى الناس بالحكومة، فقدّموا المفضول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استدلّ به على جواز القضاء للمرأة ما رواه النعماني في كتابه الغيبة عن أحمد بن هوذة عن النهاوندي عن عبد اللّه بن حمّاد الأنصاري عن ابن بكير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ascii="Amiri" w:hAnsi="Amiri" w:eastAsia="Amiri" w:cs="Amiri"/>
          <w:color w:val="111111"/>
          <w:sz w:val="28"/>
          <w:sz w:val="28"/>
          <w:szCs w:val="28"/>
          <w:rtl w:val="true"/>
          <w:lang w:bidi="ar-SA"/>
        </w:rPr>
        <w:t xml:space="preserve">كأنّني بدينكم هذا لا يزال مولّياً يفحص بدمه ثمّ لا يردُّه عليكم، إلّا رجلٌ منّا أهلُ البيت فيُعطيكم في السَّنة عطاءين و يرزقكم في الشهر رزقين و تؤتون الحكمة في زمانه، حتّى أنّ المرأة لتقضي في بيتها بكتاب اللّه تعالى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لو لم يكن قضاء المرأة مشروعاً جائزاً لم يجز قضاؤها حتى في بيتها، بلا فرق في ذلك بين آخر الزمان و غيره من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ضعيفة سنداً حيث وقع في طريقها أحمد بن هوذة و هو أحمد بن النضر المكنّى بابن أبي هراسة، يلقّب أبوه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وقع في طريقها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بل لا أثر لذكره في الجوامع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دلالة فهي قاصرة عن إثبات المدّعى؛ نظراً إلى اختصاص مدلولها بزمان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تؤتون الحكمة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يثبت جواز القضاء للمرأة و مشروعيته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يحتمل كون المراد من قضاء المرأة في بيتها تدبيرها في أُمور أولادها و حكمها بينهم في أُمور المعاش و التربية و التأديب في محيط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لا تصلح لإثبات مشروعية القضاء للمرأة بأيّ وجه، لا سنداً و 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الشرائط المعتبرة في القاضي ليست من الأحكام الأوّلية غير القابلة للتغيير، بل من شئون ولاية الإمام المعصوم، فلا ينافي عدم جواز القضاء للمرأة قبل زمان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لقصور أدلة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تحجّ المرأة عن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فقيهة مسلمة و كانت قد حجّت، رب امرأة خيرٌ من رجل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يقتضي عدم قصور كثير من النساء في الصلاحية عن الرجال من جميع الجهات، حتى في الرأي و التدبير و ما يرتبط بالقضاء، بل أصلح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ضعيفةٌ سنداً بوقوع مصادف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المرأة فقيهة و كون ربّ امرأة خيراً من رجل في الإتيان بمناسك الحج، لا ربط له بالقضاء و الحكومة المحتاجة إلى الرأي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الكلام في اشتراط العلم و الفقاهة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من خلال النصوص التي بينّاها عدم صلاحية المرأة لتصدّي القضاء و تولّي الحكومة العامة على المسلمين، و لا أثر لما يدلّ على صلاحيتها لذلك في شيء من الجوامع الروائية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9" w:name="pg937_10967"/>
    </w:p>
    <w:p>
      <w:pPr>
        <w:pStyle w:val="Heading5"/>
        <w:numPr>
          <w:ilvl w:val="4"/>
          <w:numId w:val="1"/>
        </w:numPr>
        <w:rPr/>
      </w:pPr>
      <w:bookmarkStart w:id="200" w:name="__RefHeading___Toc733437_373438147"/>
      <w:bookmarkStart w:id="201" w:name="_Toc75"/>
      <w:bookmarkEnd w:id="199"/>
      <w:bookmarkEnd w:id="200"/>
      <w:r>
        <w:rPr>
          <w:rtl w:val="true"/>
        </w:rPr>
        <w:t>اشتراط الرجولية في جواز التقليد</w:t>
      </w:r>
      <w:bookmarkEnd w:id="201"/>
    </w:p>
    <w:p>
      <w:pPr>
        <w:pStyle w:val="BookText"/>
        <w:rPr/>
      </w:pPr>
      <w:r>
        <w:rPr>
          <w:rFonts w:ascii="Amiri" w:hAnsi="Amiri" w:eastAsia="Amiri" w:cs="Amiri"/>
          <w:color w:val="111111"/>
          <w:sz w:val="28"/>
          <w:sz w:val="28"/>
          <w:szCs w:val="28"/>
          <w:rtl w:val="true"/>
          <w:lang w:bidi="ar-SA"/>
        </w:rPr>
        <w:t>وقع الكلام بين الفقهاء المعاصرين في اشتراط الرجولية في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يعقد هذا البحث في كلمات القدماء، بل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الشهيد الثاني في صفات القاضي من كتاب القضاء اشتراط الذكورة في الصلاحية للإفتاء؛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الغيبة ينفذ قضاء الفقيه الجامع لشرائط الإفتاء و هي البلوغ و العقل و 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الاستظهار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مراده مطلق الإفتاء، كما هو ظاهر لفظ الإفتاء؛ فإنّه إخبار عن حكم اللّه بخلاف القضاء الذي هو إنشاء الحكم لقطع المنازعة و 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إرادة القضاء من لفظ الإفتاء، كما احتمله صاحب الفصول في مبحث الاجتهاد و التقليد من كتاب الفصول، فغير وجيه؛ لكونه خلاف ظاهر لفظ الإفتاء، بل صاحب الفصول؛ حيث رجّح كون المقصود هو مطلق الإفتاء، و جعله ظاهر اللفظ؛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أن يريد بالإفتاء القضاء، و أن يريد به مطلق الفتوى، كما هو الظاهر</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لفظ الإفتاء و قرينة المقابلة مع القضاء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على اشتراط الذكورة و إن صرّح به الشهيد في كلامه المزبور، إلّا أنّ تحصيله في كلمات الفقهاء مشكل؛ حيث لم يتعرضوا لذلك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تعرضهم لذلك فلعلّه لأجل وضوح اشتراط الرجولية في جواز التقليد عندهم؛ نظراً إلى تصريحهم بذلك في صفات القاضي، مع وضوح كون التقليد أهمّ و أعظم خطراً من القضاء لسريانه في جميع الأحكام العبادية و الوضعية من النكاح و الطلاق و أنواع المعاملات، بل إنّ مرجعية التقليد نوع قيادة للأُمّة و زعامة عامة للشيعة، و لا يقصر قطعاً عن القضاء في الأهمية و الحاجة إلى التدبير و قوّة الرأي، بل إنّما تبتني مشروعية القضاء على أساس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صرّحوا بعدم جواز تولّي القضاء لغير الجامع لشرائط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لمّا كان اشتراط الرجولية في مرجعية التقليد واضحاً بالفحوى، لم يتعرضوا له، إيكالاً إلى الوضوح أو لعدم طرح مبحث الاجتهاد و التقليد في الفقه بعنوان كتاب مستقل في زمنهم بل عمدة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يكون عدم تعرض الفقهاء لاشتراط الرجولية في منصب الإفتاء و مرجعية التقليد من جهة عدم قبولهم لاعتبار هذا الشرط؛ فإنّ نسبة ذلك إليهم استناداً إلى عدم التعرض مشكل جدّاً، بل خلافه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ذهاب أبناء العامة إلى عدم اشتراط الرجولية في الإفتاء كما نسب إليهم فعلى فرض ثبوته لا يصح للاستدلال به؛ نظراً إلى ما ورد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الحثّ و الترغيب على مخالفتهم و الأخذ بما خالفوه؛ معلّلاً بأنّ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كون المسألة بينهم اختلافيةً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عمدة ما يمكن أن يتّكل عليه النافون في الاستدلال على عدم اشتراط الرجولية في الإفتاء و مرجعية التقليد، بناء العقلاء؛ حيث إنّه لا فرق في بنائهم على الرجوع إلى أهل الخبرة في العلوم و الفنون بين النساء و الرجال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 عليه أنّ حجية بناء العقلاء فيما لا يكون مصبّ البناء بعينه، بل</w:t>
      </w:r>
    </w:p>
    <w:p>
      <w:pPr>
        <w:pStyle w:val="BookText"/>
        <w:rPr/>
      </w:pPr>
      <w:r>
        <w:rPr>
          <w:rFonts w:ascii="Amiri" w:hAnsi="Amiri" w:eastAsia="Amiri" w:cs="Amiri"/>
          <w:color w:val="111111"/>
          <w:sz w:val="28"/>
          <w:sz w:val="28"/>
          <w:szCs w:val="28"/>
          <w:rtl w:val="true"/>
          <w:lang w:bidi="ar-SA"/>
        </w:rPr>
        <w:t>جرت في نظائره كالتقليد المعهود الشرعي في العمل بالتكليف و الأحكام الشرعية التوقيفية تتوقف على إحراز إمضاء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القدر المتيقن من إمضاء الشارع لبناء العقلاء في المقام إنّما هو في الرجال؛ حيث إنّه ورد من الشارع نصوص دلّت على مشروعية التقليد من الفقهاء العدول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كان من الفقهاء صائناً لنفسه، حافظاً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 ما ورد في النصوص المتظافرة من إرجاع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و أصحابهم إلى الفقهاء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المتيقن من مدلول هذه النصوص جواز تقليد الفقهاء الرجال، بل هو الظاهر من مجموع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تقليد المرأة فلا يستفاد من هذه النصوص؛ نظراً إلى انصراف عنوان الفقهاء بحسب الارتكاز و اللغة إلى الرجال الفقهاء دون النساء الفقيهات، و كذا نصوص الإرجاع فإنّه لا إطلاق و لا عموم لها لتدلّ على جواز تقليد مطلق الثقة؛ لأنّه من الواضح عدم كفاية مجرّد الوثاقة و الأمن من الكذب في الصلاحية للإفتاء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يستفاد من هذه النصوص، من تعليق الإرجاع على الوثاقة و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بإحراز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فرض المفروغية عن حصول سائر الشروط من العلم و الاعتقاد الصحيح و الرجولية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شيوع جعل الأحاديث و الاعتماد على الأقيسة و الاستحسانات في تلك الأزمان و لمّا كان عمدة ما يمنع عن ذلك هي الوثاقة، فلذا اهتمّ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لم يوجد في شيء من نصوص الإرجاع حتى مورد واحد إرجاعٌ إلى المرأة الفقيهة، مع عدم قلّة النساء المؤمنات الفقيهات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يستشم من هذه النصوص عدم صلاحية النساء للإفتاء و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لا حجية له في جواز تقليد المرأة؛ نظراً إلى احتياجه في الحجية إلى إمضاء الشارع في ما لا يكون بعينه مصبّ بناءهم 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احتمال خصوصية لأمر التقليد غير موجودة في سائر موارد الرجوع إلى أهل الخبرة، فمن المحتمل عدم جواز تقليد النساء لأجل تلك الخصوصية، كما يكشف ارتكاز المتشرعة من لدن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صلاحية النساء للشهادة في موارد كثيرة عن عدم صلاحيتهنّ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ما دلّ من النصوص على لزوم قرارهنّ و تحصينهنّ بالبيت و التستّر و عدم الاختلاط و المكالمة مع رجال الأجانب و عدم إرجاع أحد من الأصحاب إليهنّ في الاستفتاء و الإرجاع إلى الرجال الفقهاء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مجموع هذه القرائن يكفي لردع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الشارع اتكل عليها في الردع؛ نظراً إلى كفايتها و صلاحيتها للرادعية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استقرار سيرة المتشرعة على عدم تقليد النساء الفقيهات من لدن عصر الأئمّة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أصلح شيء لردع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لهذه السيرة ما يستشم من أحاديث الإرجاع كما أشرنا إليه آنفاً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كون عدة من الصحابيات فقيهات، مثل عائشة و أُم سلمة و حفصة و أُم حبيبة و جويرة أُمهات المؤمنين و أسماء بنت أبي بكر و أُم أيمن و أُم كلثوم بنت أبي بكر و عائشة بنت طلحة و غيرهنّ من الصحابيات و التابعيات، فعلى فرض كونهنّ فقيهات فلا دليل على تحقّق إفتائهنّ و التقليد منهنّ بأيّ وجه لعدم ملازمة بينهما، مع أنّ كونهنّ فقيهات بالحمل الشائع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الاستشهاد برأيهنّ في نصوص أهل البيت، بل لم يسمع ما يدلّ على اعتناء أصحابنا الشيعة بنقلهنّ مما روين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يعرف بين نصوص أهل البيت المروية في جوامعنا الروائية ما يقعن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ذلك ما ورد من النصوص في ذم عائشة لخروجها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تنقيص طلحة و الزبير في تبعيتهما لها، معلّلاً بضعف رأيها؛ لكونها من النساء، مع كونها من رأس هذه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يستفاد من عدة من النصوص الواردة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النساء لإحراز منصب الإفتاء و المرجعية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النصوص صالحة باستقلالها لردع بناء العقلاء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سلب حق الرأي للنساء في أمر التقليد و الإفتاء بالصراحة مثل معتبرة عامر بن عبد اللّه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تقول بقول زرارة و محمد بن مسلم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للنساء و الرأي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هو الرأي في مقام الإفتاء؛ و ذلك بقرينة ظهور كلام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تقول بقول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موضوع السؤال هو رأي امرأته في المسائل الشرعية لا عملها، فلذا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بقول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ضعف رأيهنّ مطلقاً، و قد سبق ذكر هذه النصوص في الاستدلال على عدم صلاحية النساء للقضاء، و كذا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منع مشاورتهنّ و مخالفة رأيهنّ على فرض المشورة، و العمومات الناهية عن طاعة النساء في ما لا يقاس من جهة الأهمية بمثل الإفتاء و المرجعية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هُوَ فِي الْخِصامِ غَيْرُ مُبِينٍ‌</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عجز النساء</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إقامة البرهان و عيّهنّ عن الفرق و التمييز بين الحق و الباطل في مقام المحاجّة 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شامل للاستدلال في مقام الاجتهاد و الاستنباط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المتواترة على وجوب تسترهنّ و قرارهنّ في البيوت، و الآمرة منها بتحصين النساء في البيوت؛ معلّلاً بأنهنّ عيّ و عورة، إلى غير ذلك من النصوص الموجبة للقطع بعدم رضى الشارع بتصدي النساء لمناصب اجتماعية مستلزم لاختلاطهنّ و حشرهنّ 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مرجعية الإفتاء و التقليد نوع قيادة للأُمّة و زعامة عامة للمؤمنين، و لا ينفكّ هذا المنصب العظيم عن مخالطة الرجال و المكالمة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 المرأة عن الرجل؟ قال</w:t>
      </w:r>
    </w:p>
    <w:p>
      <w:pPr>
        <w:pStyle w:val="BookText"/>
        <w:rPr/>
      </w:pPr>
      <w:r>
        <w:rPr>
          <w:rFonts w:ascii="Amiri" w:hAnsi="Amiri" w:eastAsia="Amiri" w:cs="Amiri"/>
          <w:color w:val="111111"/>
          <w:sz w:val="28"/>
          <w:sz w:val="28"/>
          <w:szCs w:val="28"/>
          <w:rtl w:val="true"/>
          <w:lang w:bidi="ar-SA"/>
        </w:rPr>
        <w:t>نعم، إذا كانت فقيهة مسلمة و كانت قد حجّت، ربّ امرأة خير من رجل</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بوقوع المصادف في طريقه فغاية مدلوله صلاحية المرأة الفقيهة للنيابة عن حجّ الرجل و أنّه ربّ امرأة خيرٌ من رجل في الإتيان بمناسك الحجّ صحيحةً، و لا ربط له بمسألة الإفتاء و الصلاحية لمرجعية التقليد، كما هو واضح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يستدل لجواز تقليد النساء بما رواه الصدوق في كمال الدين و الشيخ في كتاب الغيبة بإسنادهما عن أحمد بن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خديجة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الغيبة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فكلّمتها من وراء حجاب و سألتها عن دينها فسمّت لي من تأتمّ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جعلني اللّه فداكِ، معاينةً أو خبراً؟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كتب به إلى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 كان ما يخرج عن علي بن الحسين من عِلم ينسب إلى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على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 هو في الحياة؟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صحيحة لوثاقة محمد بن جعفر الأسدي و قد عدّه الشيخ في كتاب الغيبة</w:t>
      </w:r>
      <w:r>
        <w:rPr>
          <w:rStyle w:val="FootnoteAnchor"/>
          <w:rtl w:val="true"/>
        </w:rPr>
        <w:footnoteReference w:id="332"/>
      </w:r>
      <w:r>
        <w:rPr>
          <w:rFonts w:ascii="Amiri" w:hAnsi="Amiri" w:eastAsia="Amiri" w:cs="Amiri"/>
          <w:color w:val="111111"/>
          <w:sz w:val="28"/>
          <w:sz w:val="28"/>
          <w:szCs w:val="28"/>
          <w:rtl w:val="true"/>
          <w:lang w:bidi="ar-SA"/>
        </w:rPr>
        <w:t>من الثقات التي كانت ترد عليهم التوقيعات و نقل توقيعاً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إبراهيم هذا هو أبو بشر، بقرينة رواية التلعكبري عنه، كما روى عنه هذه الرواية بطريق آخر في كتاب الغيبة، و هو لا إشكال في وثاقته، كما قال الشيخ و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به أنّ من تفزع الشيعة إليه في غياب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يصلح للرجوع إليه في التكاليف الدينية و ليس المرجعية للتقليد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الاستفادة من الرواية مناف لضرورة المذهب من حصر نواب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الصغرى في الأربعة الخاصة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الجدّة مفزع الشيعة؛ لضرورة صيانة الإمام الحجة، كما في زينب و البحث في غير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غاية مدلولها إنّ جدّه صاحب الأمر و هي أُم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تتشرف عند صاحب الأمر و تروي عنه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ممنوع في زمان الغيبة الصغرى، و ليس من قبيل النيابة و الوكالة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نيابة النواب الخاصة الذين أرجع إليهم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أُمورهم و استفتاء مسائلهم الشرعية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مجرد نقل الأخبار و الروايات ليس معيار الصلاحية للإفتاء و مرجعية التقليد، و كم من امرأة راوية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بعض النصوص ما يدلّ على ذلك، مثل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وظائف الصبيان في الحج</w:t>
      </w:r>
    </w:p>
    <w:p>
      <w:pPr>
        <w:pStyle w:val="BookText"/>
        <w:rPr/>
      </w:pPr>
      <w:r>
        <w:rPr>
          <w:rFonts w:ascii="Amiri" w:hAnsi="Amiri" w:eastAsia="Amiri" w:cs="Amiri"/>
          <w:color w:val="111111"/>
          <w:sz w:val="28"/>
          <w:sz w:val="28"/>
          <w:szCs w:val="28"/>
          <w:rtl w:val="true"/>
          <w:lang w:bidi="ar-SA"/>
        </w:rPr>
        <w:t>مُرْ امّه تلقى حميدة فتسألها كيف تصنع بصبيانها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عن حكيمة عمّة الإمام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لأراه صباحاً و مساءً و إنّه لينبّئني عمّا تسألوني عنه فاُخبركم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لا تدلّ على أكثر من حجية رواية النساء المؤمنات العادلات كالرجال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الإفتاء و الاستفتاء و التقليد و أخذ الأحكام الشرعية و معالم الدين و العمل برأيهنّ، ممّا يناسب شئون مرجعية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حكم قضاء المرأة و حكومتها و تقليدها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 على محمد و آله الميامين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02" w:name="pg937_10985"/>
    </w:p>
    <w:p>
      <w:pPr>
        <w:pStyle w:val="Heading2"/>
        <w:numPr>
          <w:ilvl w:val="1"/>
          <w:numId w:val="1"/>
        </w:numPr>
        <w:rPr/>
      </w:pPr>
      <w:bookmarkStart w:id="203" w:name="__RefHeading___Toc733439_373438147"/>
      <w:bookmarkStart w:id="204" w:name="_Toc76"/>
      <w:bookmarkEnd w:id="202"/>
      <w:bookmarkEnd w:id="203"/>
      <w:r>
        <w:rPr>
          <w:rtl w:val="true"/>
        </w:rPr>
        <w:t>ثبوت الهلال بحكم الحاكم</w:t>
      </w:r>
      <w:bookmarkEnd w:id="2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733441_373438147"/>
      <w:bookmarkStart w:id="206" w:name="_Toc77"/>
      <w:bookmarkEnd w:id="205"/>
      <w:r>
        <w:rPr>
          <w:rtl w:val="true"/>
        </w:rPr>
        <w:t>اشارة</w:t>
      </w:r>
      <w:bookmarkStart w:id="207" w:name="pg937_10989"/>
      <w:bookmarkEnd w:id="206"/>
    </w:p>
    <w:p>
      <w:pPr>
        <w:pStyle w:val="Heading3"/>
        <w:numPr>
          <w:ilvl w:val="2"/>
          <w:numId w:val="1"/>
        </w:numPr>
        <w:rPr/>
      </w:pPr>
      <w:bookmarkStart w:id="208" w:name="__RefHeading___Toc733443_373438147"/>
      <w:bookmarkStart w:id="209" w:name="_Toc78"/>
      <w:bookmarkEnd w:id="207"/>
      <w:bookmarkEnd w:id="208"/>
      <w:r>
        <w:rPr>
          <w:rtl w:val="true"/>
        </w:rPr>
        <w:t>القول في ثبوت الهلال بحكم الحاكم</w:t>
      </w:r>
      <w:bookmarkEnd w:id="209"/>
    </w:p>
    <w:p>
      <w:pPr>
        <w:pStyle w:val="BookText"/>
        <w:rPr/>
      </w:pPr>
      <w:r>
        <w:rPr>
          <w:rFonts w:ascii="Amiri" w:hAnsi="Amiri" w:eastAsia="Amiri" w:cs="Amiri"/>
          <w:color w:val="111111"/>
          <w:sz w:val="28"/>
          <w:sz w:val="28"/>
          <w:szCs w:val="28"/>
          <w:rtl w:val="true"/>
          <w:lang w:bidi="ar-SA"/>
        </w:rPr>
        <w:t xml:space="preserve">يثبت الهلال بالرؤية، و إن تفرّد به الرائي، و التواتر و الشياع المفيدين للعلم و مُضيّ ثلاثين يوماً من الشهر السابق و بالبينة الشرعية و هي شهادة عدلين و حكم الحاكم إذا لم يعلم خطأه و لا خطأ مستنده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نفوذ حكم الحاكم بثبوت الهلال و دخول شهر رمضان أو الشوال، بأنّه لو شهد رجلان عدلان عند الحاكم بثبوت الهلال أو علم به الحاكم نفسه فحكم بوجوب الصوم أو الإفطار، فهل ينفذ حكمه و يجب العمل به و يجزي كسائر الطرق الشرعية أم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حكم الحاكم بثبوت الهلال أمارة شرعية على ذلك أم لا؟ فقد نسب في الحدائق</w:t>
      </w:r>
      <w:r>
        <w:rPr>
          <w:rStyle w:val="FootnoteAnchor"/>
          <w:rtl w:val="true"/>
        </w:rPr>
        <w:footnoteReference w:id="336"/>
      </w:r>
      <w:r>
        <w:rPr>
          <w:rFonts w:ascii="Amiri" w:hAnsi="Amiri" w:eastAsia="Amiri" w:cs="Amiri"/>
          <w:color w:val="111111"/>
          <w:sz w:val="28"/>
          <w:sz w:val="28"/>
          <w:szCs w:val="28"/>
          <w:rtl w:val="true"/>
          <w:lang w:bidi="ar-SA"/>
        </w:rPr>
        <w:t>إلى الشهيد في الدروس و إلى السيد في المدارك و الفاضل الخراساني في الذخيرة نفوذ حكم الحاكم في المقام و 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نسبه في الحدائق إلى ظاهر الأصحاب؛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الإشكال في أنّه هل يجب على المكلّف العمل بحكم الحاكم الشرعي متى تثبت ذلك عنده و حكم به أم لا بدّ من سماعه بنفسه من الشاهدين؟ ظاهر الأصحاب الأول</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ذهب إلى ذلك كاشف الغطاء؛ حيث قال في بيان ما يثبت به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الفقيه المجتهد المأمون بالنسبة إلى مقلّديه سواء حكم برؤية أو بيّنة أو غيرهما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 إلى ذلك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ثبوته أي الهلال بحكم الحاكم المستند إلى علمه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بيان الاستدلال و ردّ المخالفين، بل ادّعى إمكان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صاحب العروة و السيد الحكيم</w:t>
      </w:r>
      <w:r>
        <w:rPr>
          <w:rStyle w:val="FootnoteAnchor"/>
          <w:rtl w:val="true"/>
        </w:rPr>
        <w:footnoteReference w:id="340"/>
      </w:r>
      <w:r>
        <w:rPr>
          <w:rFonts w:ascii="Amiri" w:hAnsi="Amiri" w:eastAsia="Amiri" w:cs="Amiri"/>
          <w:color w:val="111111"/>
          <w:sz w:val="28"/>
          <w:sz w:val="28"/>
          <w:szCs w:val="28"/>
          <w:rtl w:val="true"/>
          <w:lang w:bidi="ar-SA"/>
        </w:rPr>
        <w:t>و غيرهم من الفقهاء المتقدمين و المتأخرين و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جمعٌ من الفقهاء المتقدمين و المتأخرين و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ثبوت الهلال بحكم الحاكم و نفوذ حكمه و وجوب اتباعه بالصيام عند حكمه بدخول شهر رمضان و بالإفطار إذا حكم بدخول شهر شوال بأُمور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إثبات الولاية العامّة للفقيه الجامع كما استدل به في الحدائق</w:t>
      </w:r>
      <w:r>
        <w:rPr>
          <w:rStyle w:val="FootnoteAnchor"/>
          <w:rtl w:val="true"/>
        </w:rPr>
        <w:footnoteReference w:id="341"/>
      </w:r>
      <w:r>
        <w:rPr>
          <w:rFonts w:ascii="IRNazanin" w:hAnsi="IRNazanin" w:eastAsia="IRNazanin"/>
          <w:color w:val="111111"/>
          <w:sz w:val="28"/>
          <w:sz w:val="28"/>
          <w:szCs w:val="28"/>
          <w:rtl w:val="true"/>
          <w:lang w:bidi="fa-IR"/>
        </w:rPr>
        <w:t>و الجواهر</w:t>
      </w:r>
      <w:r>
        <w:rPr>
          <w:rStyle w:val="FootnoteAnchor"/>
          <w:rtl w:val="true"/>
        </w:rPr>
        <w:footnoteReference w:id="342"/>
      </w:r>
      <w:r>
        <w:rPr>
          <w:rFonts w:ascii="Amiri" w:hAnsi="Amiri" w:eastAsia="Amiri" w:cs="Amiri"/>
          <w:color w:val="111111"/>
          <w:sz w:val="28"/>
          <w:sz w:val="28"/>
          <w:szCs w:val="28"/>
          <w:rtl w:val="true"/>
          <w:lang w:bidi="ar-SA"/>
        </w:rPr>
        <w:t>و المستمسك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الاستدلال على ثبوت الولاية العامة للفقيه الجامع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الضرورة على ذلك و هي عمدة ما اتكل عليه الإمام الراحل</w:t>
      </w:r>
      <w:r>
        <w:rPr>
          <w:rStyle w:val="FootnoteAnchor"/>
          <w:rtl w:val="true"/>
        </w:rPr>
        <w:footnoteReference w:id="344"/>
      </w:r>
      <w:r>
        <w:rPr>
          <w:rFonts w:ascii="Amiri" w:hAnsi="Amiri" w:eastAsia="Amiri" w:cs="Amiri"/>
          <w:color w:val="111111"/>
          <w:sz w:val="28"/>
          <w:sz w:val="28"/>
          <w:szCs w:val="28"/>
          <w:rtl w:val="true"/>
          <w:lang w:bidi="ar-SA"/>
        </w:rPr>
        <w:t>لإثبات الولاية المطلقة للفقيه العادل الجامع لشرائط الإفتاء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بالضرورة عدم إهمال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ممّا يحتاج إليه الأُمّة حتّى آداب النوم و الطعام، و غيرها من الحدود و الأحكام الإلهية، كما في 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إلّا و فيه كتاب أو سنّة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محمد بن مسلم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عاصم بن حميد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 اللّه ما من شيء يقرّبكم من الجنة و يباعدكم من النار إلّا و قد أمرتكم به، و ما من شيء يقرّبكم من النار و يباعدكم من الجنة إلّا و قد نهيتكم عنه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عمر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 يدع شيئاً يحتاج إليه الأُمّة إلّا أنزله في كتابه و بيّنه لرسوله و جعل لكلّ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حدّا و جعل عليه دليلاً يدلّ عليه و جعل على من تعدّى ذلك الحدّ حدّا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فكيف يهمل الشارع الأقدس أمر قيادة الأُمّة و الحكومة و الولاية عليهم، و الحال أنّ أمر الولاية أهمّ من جميع الأحكام، بل لم يناد بشيء كما نودي بالولاية؛ لأنّ الولاية بمثابة مفتاح الشريعة و أساس أحكامها، كما صرّح بذلك في عدّة نصوص صحاح و معتبرة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الأحكام الإلهية بنطاقها الواسع الشامل للسياسيات و الجزائيات و الماليات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بعصر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الضروري تحكيمها في جميع الأعصار، كما في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الحلال و الحرام؟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 لا يكون غيره و لا يجيء غيره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اختصاص لقوله تعالى إِنّا أَنْزَلْنا إِلَيْكَ الْكِتابَ بِالْحَقِّ لِتَحْكُمَ بَيْنَ النّاسِ بِما أَراكَ اللّهُ‌</w:t>
      </w:r>
      <w:r>
        <w:rPr>
          <w:rStyle w:val="FootnoteAnchor"/>
          <w:rtl w:val="true"/>
        </w:rPr>
        <w:footnoteReference w:id="351"/>
      </w:r>
      <w:r>
        <w:rPr>
          <w:rFonts w:ascii="Amiri" w:hAnsi="Amiri" w:eastAsia="Amiri" w:cs="Amiri"/>
          <w:color w:val="111111"/>
          <w:sz w:val="28"/>
          <w:sz w:val="28"/>
          <w:szCs w:val="28"/>
          <w:rtl w:val="true"/>
          <w:lang w:bidi="ar-SA"/>
        </w:rPr>
        <w:t>بعصر النبي، و لا سيّما بملاحظة ما دلّ على النهي عن الرجوع و التحاكم إلى الطاغوت، كما صرّح بذلك في قوله تعالى وَ لَقَدْ بَعَثْنا فِي كُلِّ أُمَّةٍ رَسُولاً أَنِ اعْبُدُوا اللّهَ وَ اجْتَنِبُوا الطّاغُوتَ‌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أَ لَمْ تَرَ إِلَى الَّذِينَ يَزْعُمُونَ أَنَّهُمْ آمَنُوا بِما أُنْزِلَ إِلَيْكَ وَ ما أُنْزِلَ مِنْ قَبْلِكَ يُرِيدُونَ أَنْ يَتَحاكَمُوا إِلَى الطّاغُوتِ وَ قَدْ أُمِرُوا أَنْ يَكْفُرُوا بِهِ‌</w:t>
      </w:r>
      <w:r>
        <w:rPr>
          <w:rStyle w:val="FootnoteAnchor"/>
          <w:rtl w:val="true"/>
        </w:rPr>
        <w:footnoteReference w:id="353"/>
      </w:r>
      <w:r>
        <w:rPr>
          <w:rFonts w:ascii="Amiri" w:hAnsi="Amiri" w:eastAsia="Amiri" w:cs="Amiri"/>
          <w:color w:val="111111"/>
          <w:sz w:val="28"/>
          <w:sz w:val="28"/>
          <w:szCs w:val="28"/>
          <w:rtl w:val="true"/>
          <w:lang w:bidi="ar-SA"/>
        </w:rPr>
        <w:t xml:space="preserve">، فإنّ تشكيل الحكومة الإسلامية، التي بيّن في الآية الأُولى هدفاً لإنزال القرآن، و كذا حرمة المراجعة و التحاكم إلى الطاغوت المصرّح بها في الآيتين الأخيرتين، لا يختص بعصر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تترك الأُمّة سدى بلا قائد أمين و لا وليّ حاكم عادل فقيه في طول زمان الغيبة، التي هي أكثر من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الواضح أنّه لا يتحقق هذا الغرض الأساسي و لا يمكن العمل بهذا الحكم، إلّا بتشكيل الحكومة بقيادة الفقيه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الفقاهة فلأجل لزوم علم الحاكم بالأحكام و ضرورة معرفته بالحلال و الحرام ليتيسر له قيادة الأُمّة و الحكومة بين المسلمين على أساس القرآن و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العدالة فلأن يتعدى عن حدود اللّه و لا يظلم الناس فإنّها من أهمّ ما يعتبر وجوده في الوالي، كما هو واضح و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الفقيه في الحقيقة هي من شئون إمامة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 الإمامة هي نظاماً للأُمّة و لمّاً لفرقتهم و ضامناً لإجراء أحكام الشريعة و حدود اللّه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نظاماً للأُمّة</w:t>
      </w:r>
      <w:r>
        <w:rPr>
          <w:rStyle w:val="FootnoteAnchor"/>
          <w:rtl w:val="true"/>
        </w:rPr>
        <w:footnoteReference w:id="354"/>
      </w:r>
      <w:r>
        <w:rPr>
          <w:rFonts w:ascii="Amiri" w:hAnsi="Amiri" w:eastAsia="Amiri" w:cs="Amiri"/>
          <w:color w:val="111111"/>
          <w:sz w:val="28"/>
          <w:sz w:val="28"/>
          <w:szCs w:val="28"/>
          <w:rtl w:val="true"/>
          <w:lang w:bidi="ar-SA"/>
        </w:rPr>
        <w:t xml:space="preserve">نقل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غلط و الأصح الإمامة، كما في مصادر نهج البلاغة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خطبة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اللّه الإيمان تطهيراً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نظاماً للملّة و الإمامة لَمّاً من الفرقة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خبر الفضل بن شاذان بل معتبرته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جعل اولي الأمر و أُمِر بطاعتهم؟ قيل؛ لعِلَلٍ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على حدٍّ محدود و أُمروا أن لا يتعدّوا ذلك الحدّ؛ لما فيه من فسادهم، لم يكن يثبت ذلك و لا يقوم إلّا بأن يُجعل عليهم فيه أميناً يمنعهم من التعدي و الدخول فيما حظر عليهم؛ لأنّه لو لم يكن 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فرقةً من الفِرَق و لا مِلّةً من الملل بَقوا و عاشوا، إلّا بقيِّم و رئيس؛ لما لا بدّ لهم منه في أمر الدين و الدنيا، فلم يجز في حكمة الحكيم أن يترك الخلق مما يعلم أنّه لا بدّ لهم منه و لا قوام لهم إلّا به فيقاتلون به عدوَّهم و يقسّمون به فيئهم و يقيم لهم جُمعتهم و جماعتهم و يمنع ظالمهم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الملّة و ذهب الدين و غُيِّرَت السُّنَّة و الأحكام و لزاد فيه المبتدعون و نقص منه الملحدون و شَبَّهوا ذلك على المسلمين؛ لأنا قد وجدنا الخَلق منقوصين محتاجين غير كاملين، مع اختلافهم و اختلاف أهوائهم و تشتّت أنحائهم، فلو لم يجعل لهم 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لفسدوا على نحو ما بيّنّاه و غُيِّرت الشرائع و السنن و الأحكام و الإيمان، و كان في ذلك فساد الخلق أجمعين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w:t>
      </w:r>
      <w:r>
        <w:rPr>
          <w:rStyle w:val="FootnoteAnchor"/>
          <w:rtl w:val="true"/>
        </w:rPr>
        <w:footnoteReference w:id="358"/>
      </w:r>
      <w:r>
        <w:rPr>
          <w:rFonts w:ascii="Amiri" w:hAnsi="Amiri" w:eastAsia="Amiri" w:cs="Amiri"/>
          <w:color w:val="111111"/>
          <w:sz w:val="28"/>
          <w:sz w:val="28"/>
          <w:szCs w:val="28"/>
          <w:rtl w:val="true"/>
          <w:lang w:bidi="ar-SA"/>
        </w:rPr>
        <w:t xml:space="preserve">بناءً على إرادة الإمارة و الحكومة من الأمر، كما هو الظاهر؛ لوضوح ضرورة النظم في أُمور المعاش اليومية الجزئية، مع عدم تناسبه لشأن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الوصية بأهمّ ما يجب على الأُمّة من الأحكام، كرعاية التقوى و 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إرادة مطلق الأمر يشمل المقام بالإطلاق، فإنّ إدارة أُمور المسلمين و تدبيرهم و سياستهم من أهم أُمورهم و أحوجها إلى النظم و لا سيّما بلحاظ كونها عويصة كانت الأُمّة مبتلاةً بها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هذا المهمّ، إلّا بقيّم لهم و رئيس ينتظم بينهم بسياسة و تدبير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 ما يستدل به على لزوم الإمامة للأُمّة، يمكن الاستدلال به على ولاية الفقيه و لزوم قيادته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بلحاظ طول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التقريب تكون ولاية الفقيه من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 الدليل على ولاية الفقيه في أُمور الحسبة</w:t>
      </w:r>
      <w:r>
        <w:rPr>
          <w:rStyle w:val="FootnoteAnchor"/>
          <w:rtl w:val="true"/>
        </w:rPr>
        <w:footnoteReference w:id="359"/>
      </w:r>
      <w:r>
        <w:rPr>
          <w:rFonts w:ascii="Amiri" w:hAnsi="Amiri" w:eastAsia="Amiri" w:cs="Amiri"/>
          <w:color w:val="111111"/>
          <w:sz w:val="28"/>
          <w:sz w:val="28"/>
          <w:szCs w:val="28"/>
          <w:rtl w:val="true"/>
          <w:lang w:bidi="ar-SA"/>
        </w:rPr>
        <w:t>مثل أُمور الغيّب و القصّر و الصغار و من لا وارث له و من لا وصيّ له و كلّ ما يقطع بعدم رضى الشارع بتركه و تعطيله مما يحتاج إلى التصدي و التكفّل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الضروري أنّ من أهم أُمور الحسبة هو أمر الحكومة و الإمارة و الولاية و قيادة الأُمّة، كما ورد في خبر الفضل المتقدم آنفاً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نقطع بعدم رضى الشارع بترك هذا الأمر المهم، فكذلك نقطع بعدم رضاه بأن يتصدى لذلك و يتكفّل به من لا يليق به من الطواغيت و الفسقة أو الجهّال الذينر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يعرفون حلال الشريعة و حرامها و لا قضائها و حدودها و قصاصها و 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فنقطع بالضرورة أنّ الشارع لا يرضى بترك تشكيل الحكومة على أساس الأحكام الإلهية و لا بتشكيلها بقيادة غير الفقيه العادل الجامع لشرائط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نصوص استدل بها لخصوص المقام مثل معتبرة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فإنّي قد جعلته قاضياً فتحاكموا إليه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مقبولة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 فإذا حكم بحكمنا فلم يُقبل منه فإنّما استخف بحكم اللّه و علينا رَدّ و الرادّ علينا الرادّ على اللّه و هو في حد الشرك باللّه تعالى</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الاستدلال بهما يتوقف على عمومية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جعلته قاضياً في الاُولى و</w:t>
      </w:r>
    </w:p>
    <w:p>
      <w:pPr>
        <w:pStyle w:val="BookText"/>
        <w:rPr/>
      </w:pPr>
      <w:r>
        <w:rPr>
          <w:rFonts w:ascii="Amiri" w:hAnsi="Amiri" w:eastAsia="Amiri" w:cs="Amiri"/>
          <w:color w:val="111111"/>
          <w:sz w:val="28"/>
          <w:sz w:val="28"/>
          <w:szCs w:val="28"/>
          <w:rtl w:val="true"/>
          <w:lang w:bidi="ar-SA"/>
        </w:rPr>
        <w:t>فإنّي قد جعلته عليكم حاكماً في الثانية كما هو الظاهر لغير مقام القضاء و شموله للولاية على الحكومة بما لها من الشئون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ورد في توقيع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w:t>
      </w:r>
      <w:r>
        <w:rPr>
          <w:rStyle w:val="FootnoteAnchor"/>
          <w:rtl w:val="true"/>
        </w:rPr>
        <w:footnoteReference w:id="362"/>
      </w:r>
      <w:r>
        <w:rPr>
          <w:rFonts w:ascii="IRNazanin" w:hAnsi="IRNazanin" w:eastAsia="IRNazanin"/>
          <w:color w:val="111111"/>
          <w:sz w:val="28"/>
          <w:sz w:val="28"/>
          <w:szCs w:val="28"/>
          <w:rtl w:val="true"/>
          <w:lang w:bidi="fa-IR"/>
        </w:rPr>
        <w:t>نظراً إلى عموم لفظ</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الحوادث لجميع الأُمور من العباديات و المعاملات و السياسيات و الجزائيات و غيرها؛ لكونه جمعاً محلّى بالألف و اللام و هو من أداة العموم، و إن لا يبعد دعوى انصرافها إلى بيان الأحكام الشرعية بقرينة لفظ</w:t>
      </w:r>
    </w:p>
    <w:p>
      <w:pPr>
        <w:pStyle w:val="BookText"/>
        <w:rPr/>
      </w:pPr>
      <w:r>
        <w:rPr>
          <w:rFonts w:ascii="Amiri" w:hAnsi="Amiri" w:eastAsia="Amiri" w:cs="Amiri"/>
          <w:color w:val="111111"/>
          <w:sz w:val="28"/>
          <w:sz w:val="28"/>
          <w:szCs w:val="28"/>
          <w:rtl w:val="true"/>
          <w:lang w:bidi="ar-SA"/>
        </w:rPr>
        <w:t>رواة حديثنا؛ نظراً إلى عدم تناسبه بأمر الحكومة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تعليله في الذيل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العباد و من أهمّها أمر القيادة و الولاية على الأُمّة، و ما يرتبط بشئون الإمارة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حصون الإسلام كحصن سور المدينة لها</w:t>
      </w:r>
      <w:r>
        <w:rPr>
          <w:rStyle w:val="FootnoteAnchor"/>
          <w:rtl w:val="true"/>
        </w:rPr>
        <w:footnoteReference w:id="363"/>
      </w:r>
      <w:r>
        <w:rPr>
          <w:rFonts w:ascii="Amiri" w:hAnsi="Amiri" w:eastAsia="Amiri" w:cs="Amiri"/>
          <w:color w:val="111111"/>
          <w:sz w:val="28"/>
          <w:sz w:val="28"/>
          <w:szCs w:val="28"/>
          <w:rtl w:val="true"/>
          <w:lang w:bidi="ar-SA"/>
        </w:rPr>
        <w:t>، حيث من الواضح أنّ من أهم خواصّ حصن البلد حفظ أهله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فيدل هذا الخبر على أنّ شأن الفقهاء و منصبهم حفظ كيان الإسلام و نواميس المسلمين و دفع أعدائهم، فلا إشكال في دلالته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موثقة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أُمناء الرسل ما لم يدخلوا في الدنيا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من أهمّ الأمانات التي أودعها اللّه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 شريعته و إنّ من أهم وظائف الأمين 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حفظ الدين بمجرد التعليم و التعلّم و الإفتاء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يتيسّر بإجراء أحكامه و تنفيذ قوانينه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ذلك إلّا بتأسيس الحكومة الإسلامية بقيادة الفقيه العادل الجامع لشرائط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حكّام على الناس</w:t>
      </w:r>
      <w:r>
        <w:rPr>
          <w:rStyle w:val="FootnoteAnchor"/>
          <w:rtl w:val="true"/>
        </w:rPr>
        <w:footnoteReference w:id="365"/>
      </w:r>
      <w:r>
        <w:rPr>
          <w:rFonts w:ascii="IRNazanin" w:hAnsi="IRNazanin" w:eastAsia="IRNazanin"/>
          <w:color w:val="111111"/>
          <w:sz w:val="28"/>
          <w:sz w:val="28"/>
          <w:szCs w:val="28"/>
          <w:rtl w:val="true"/>
          <w:lang w:bidi="fa-IR"/>
        </w:rPr>
        <w:t>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مجاري الأُمور و الأحكام على أيدي العلماء باللّه الاُمناء على حلاله و حرامه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النصوص الدالّة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ضعف أسناد بعضها بعد تمامية سند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كثرة هذه النصوص و تظافرها تمنع عن التوقف و الترديد في صدور مضمونها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في الوجه الأوّل غنى و كفاية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الكلام و خلاصته في المقام و سبق البحث عن مسألة ولاية الفقيه مفصّلاً في أوّل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لاحظت من الأدلّة القاطعة على ثبوت الولاية العامة للفقيه الجامع على الحكومة و قيادة الأُمّة تثبت ولايته و نفوذ حكمه في أمر الهلال، بالفحوى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للشارع طرقاً أُخرى لإثبات الهلال لا يحتاج إلى حكم الحاكم،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مضيّ ثلاثين من الشهر السابق علامة قطعية لا يحكم الحاكم بخلافه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لمن رأى الهلال بعينه و قطع به فلا معنى لحجية حكم الحاكم في حقّه، إذا حكم بخلاف مقطوعة، و إن لا يجوز له المخالفة بتبليغ ذلك و إعلان ردّ حكم الحاكم، بل يجب عليه متابعته في الظاهر، و إلّا ليدخل في حكم الراد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معتبرة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يرجع إلى حكم الحاكم إذا لم يمض الثلاثون فعند ذلك لو لم يحكم به الحاكم ليقع الاختلاف بين المؤمنين، بل الهرج و المرج، كما صرح به بعض المحققين</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قد يقال باستقرار سيرة المتشرعة على الرجوع إلى الحاكم في إثبات الهلال</w:t>
      </w:r>
      <w:r>
        <w:rPr>
          <w:rStyle w:val="FootnoteAnchor"/>
          <w:rtl w:val="true"/>
        </w:rPr>
        <w:footnoteReference w:id="368"/>
      </w:r>
      <w:r>
        <w:rPr>
          <w:rFonts w:ascii="Amiri" w:hAnsi="Amiri" w:eastAsia="Amiri" w:cs="Amiri"/>
          <w:color w:val="111111"/>
          <w:sz w:val="28"/>
          <w:sz w:val="28"/>
          <w:szCs w:val="28"/>
          <w:rtl w:val="true"/>
          <w:lang w:bidi="ar-SA"/>
        </w:rPr>
        <w:t>، و لا اختصاص لهذه السيرة برجوع أبناء العامة إلى قضاتهم و حكّامهم في إثبات أمر الهلال، كما توهّم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كبرى ولاية الفقيه،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صغراها بأنّه هل يرتبط ثبوت الهلال موضوعاً بالحاكم بمعنى أنّه من شئون الإمارة و الحكومة أم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نفوذ حكم الفقيه و حجيته في ثبوت الهلال بأدلّة ولاية الفقيه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كبروياً فيبحث عن تماميتها و عمومها بالنسبة إلى جميع الموضوعات العامة المحتاجة إلى الفتق و الرتق و الفصل و الحسم، سواءٌ كان من المرافعات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البحث عن ذلك مفصّلاً في أوّل الكتاب، و أشرنا إليه آنفاً و أثبتنا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البحث صغروياً بأنّه هل يكون ثبوت الهلال من قبيل الموضوعات العامة المحتاجة إلى الحسم أم لا؟ فإذا أثبتنا هذه الصغرى و ضممناها إلى الكبرى المزبورة يثبت بذلك المطلوب، و هو اعتبار حكم الحاكم و نفوذه في ثبوت الهلال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الحجية ما إذا كان مستنده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يظهر من صاحب الجواهر و المستمسك و غيرها المفروغية عن نفوذ حكم الحاكم إذا كان باستناد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لتمامية أدلة ولاية الفقيه عندهم كبروياً و صغروياً في المقام، و لضرورة جواز الحكم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عقدوا البحث في نفوذ حكمه بثبوت الهلال إذا كان مستنده علمه؛ نظراً إلى ما وقع من الخلاف في جواز حكم الحاكم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فالبحث هاهنا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ولاية الفقيه كبروياً و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نفوذ حكم الحاكم بثبوت الهلال باستناد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البحث عنه كبروياً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صغروياً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كون ثبوت الهلال من الأُمور</w:t>
      </w:r>
    </w:p>
    <w:p>
      <w:pPr>
        <w:pStyle w:val="BookText"/>
        <w:rPr/>
      </w:pPr>
      <w:r>
        <w:rPr>
          <w:rFonts w:ascii="Amiri" w:hAnsi="Amiri" w:eastAsia="Amiri" w:cs="Amiri"/>
          <w:color w:val="111111"/>
          <w:sz w:val="28"/>
          <w:sz w:val="28"/>
          <w:szCs w:val="28"/>
          <w:rtl w:val="true"/>
          <w:lang w:bidi="ar-SA"/>
        </w:rPr>
        <w:t>العامة الحسبة المتوقف حسمها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حكم الحاكم بثبوت الهلال ربّما يقع الاختلاف و الهرج و المرج بين المؤمنين حتى في البلدين المتقاربين، بل في بلد واحد، و لا سيّما بلحاظ تأثير ذلك في عيد الفطر و إقامة صلاته الموكول إلى الإمام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يستفاد منها أنّ الحكم بثبوت الهلال من شئون الحكومة و 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النصوص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بإفطار ذلك اليوم إذا كانا شهدا قبل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شهدا بعد زوال الشمس أمر الإمام بإفطار ذلك اليوم و أخّر الصلاة إلى الغد فصلّى بهم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على المطلوب واضحة؛ لأنّه لو لم يكن الحكم بثبوت الهلال و الأمر بالإفطار من شئون الحاكم لم يجز إيكال 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الإشكال بأنّ المقصود منه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يضرّ بما نحن بصدده، بعد إثبات أنّ ما كان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العامة ثابتٌ في حق الفقيه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 يمين صاحب الدين، و لم يُجِز في الهلال إلّا شاهدي عدلٍ‌</w:t>
      </w:r>
      <w:r>
        <w:rPr>
          <w:rStyle w:val="FootnoteAnchor"/>
          <w:rtl w:val="true"/>
        </w:rPr>
        <w:footnoteReference w:id="371"/>
      </w:r>
      <w:r>
        <w:rPr>
          <w:rFonts w:ascii="Amiri" w:hAnsi="Amiri" w:eastAsia="Amiri" w:cs="Amiri"/>
          <w:color w:val="111111"/>
          <w:sz w:val="28"/>
          <w:sz w:val="28"/>
          <w:szCs w:val="28"/>
          <w:rtl w:val="true"/>
          <w:lang w:bidi="ar-SA"/>
        </w:rPr>
        <w:t>، أي لم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الآخر عن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الأمر إلينا أجزنا شهادة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الواحد إذا علم منه خيرٌ مع يمين الخصم 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 حقوق اللّه عزّ و جلّ أو رؤية الهلال فلا</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أجزْنا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أنفذنا، فإنّه من الإجازة بمعنى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الهلال، إلّا شهادة رجلين عدلين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شعيب بن يعقوب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الطلاق و لا في الهلال إلّا رجلين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أحمد بن محمد بن عيسى عن أبيه قال</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الواحد و اليمين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الهلال فلا، إلّا بشاهدي عدل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و 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الإجازة و الإنفاذ، و هو ظاهر في الحكم الإنشائي،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الجواز بمعنى الحكم التكليفي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الاُولى؛ نظراً إلى ظهوره في استمرار صدور الحكم بثبوت الهلال من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الإشكال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مشرّعاً للأحكام فإجازته بمعنى التشريع، فلا يعبأ به بعد ورود هذا التعبير في كلام أمير المؤمنين و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قول أبي جعفر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الأمر إلينا أجزنا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الإمارة و الحكومة، أي لو كنّا مبسوطي الأيدي في أمر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في بعض نصوص المقام فلا يصلح للقرينية على إرادة الجواز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 و يجيز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واحد من اللفظين يدلّ على معناه الخاص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في المقام نصوص اخرى لا تخلو من 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ثمانية و عشرين يوماً شهر رمضان، فرأوا الهلال، فأمر منادياً ينادي</w:t>
      </w:r>
    </w:p>
    <w:p>
      <w:pPr>
        <w:pStyle w:val="BookText"/>
        <w:rPr/>
      </w:pPr>
      <w:r>
        <w:rPr>
          <w:rFonts w:ascii="Amiri" w:hAnsi="Amiri" w:eastAsia="Amiri" w:cs="Amiri"/>
          <w:color w:val="111111"/>
          <w:sz w:val="28"/>
          <w:sz w:val="28"/>
          <w:szCs w:val="28"/>
          <w:rtl w:val="true"/>
          <w:lang w:bidi="ar-SA"/>
        </w:rPr>
        <w:t>اقضوا يوماً فإنّ الشهر تسعة و عشرون يوماً</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منادياً و كلّفه بالنداء بين مجتمع المؤمنين، فلا يخلو من إشعار بأنّ ذلك كان من شئون الإمارة و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بطريق العامّة</w:t>
      </w:r>
    </w:p>
    <w:p>
      <w:pPr>
        <w:pStyle w:val="BookText"/>
        <w:rPr/>
      </w:pPr>
      <w:r>
        <w:rPr>
          <w:rFonts w:ascii="Amiri" w:hAnsi="Amiri" w:eastAsia="Amiri" w:cs="Amiri"/>
          <w:color w:val="111111"/>
          <w:sz w:val="28"/>
          <w:sz w:val="28"/>
          <w:szCs w:val="28"/>
          <w:rtl w:val="true"/>
          <w:lang w:bidi="ar-SA"/>
        </w:rPr>
        <w:t xml:space="preserve">أنّ ليلة الشك أصبح الناس فجاءَ أعرابي إليه، فشهد برؤية الهلال،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من لم يأكل فليصم و من أكل فليُمسك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الأنسب في خبر عبد اللّه بن سنان كون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الإعلان بوجوب القضاء؛ لفرض أنّ الناس رأوا الهلال من دون إناطة ثبوته بحكم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وردت في موضع التقية، و لكنّها تدلّ على أنّ الأمر بالإفطار و الصيام كان بيد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هذه النصوص استقرار سيرة المسلمين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مرسلة رفاعة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الصيام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أفطرت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 أنا أعلم و اللّه أنّه من شهر رمضان، فكان إفطاري يوماً و قضاؤه أيسر عليّ من أن يُضرب عنقي و لا يُعبد اللّه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الوسائل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w:t>
      </w:r>
      <w:r>
        <w:rPr>
          <w:rStyle w:val="FootnoteAnchor"/>
          <w:rtl w:val="true"/>
        </w:rPr>
        <w:footnoteReference w:id="380"/>
      </w:r>
      <w:r>
        <w:rPr>
          <w:rFonts w:ascii="Amiri" w:hAnsi="Amiri" w:eastAsia="Amiri" w:cs="Amiri"/>
          <w:color w:val="111111"/>
          <w:sz w:val="28"/>
          <w:sz w:val="28"/>
          <w:szCs w:val="28"/>
          <w:rtl w:val="true"/>
          <w:lang w:bidi="ar-SA"/>
        </w:rPr>
        <w:t>، و لكن الصحيح</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دلالتها على المطلوب،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موضع التقية، إلّا أنّ تقيته كان في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الموكول إليه أمر ثبوت الهلال على أبي العباس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صمت صمنا و إن أفطرت أفطرنا، لا في أصل بيان الكبرى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إلى الإمام فكان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التقية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إلى الإمام فغير وجيه؛ حيث لا حاجة إلى التقية فيه بعد تحقّقها بتطبيق هذه الكبرى على أبي العباس بقوله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صمت 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الحكم بالباطل من غير ضرورة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ضرورة للتقية في بيان أصل هذه الكبرى فتتمّ حجيتها على المطلوب، و هو كون الأمر بالإفطار و الصيام في يوم الشك باختيار إمام المسلمين، بما له من 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الإمارة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منه عدم كونها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عيسى بن أبي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أ صام السلطان أم لا؟ فذهب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بالغداء فتغدَّينا معه</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لا تقية في إفطار الإمام عند عيسى بن أبي منصور لكونه من خيار أصحابه، بل كان العيد ثابتاً عنده فأمر بالفحص عن حال السلطان لئلّا يبتلي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مخالفة السلطان كان أمراً مستنكراً في ارتكاز المسلمين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استقرار سيرتهم على رجوعهم في ذلك إلى 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مرسل داود بن الحصين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هو بالحيرة في زمان أبي العباس</w:t>
      </w:r>
    </w:p>
    <w:p>
      <w:pPr>
        <w:pStyle w:val="BookText"/>
        <w:rPr/>
      </w:pPr>
      <w:r>
        <w:rPr>
          <w:rFonts w:ascii="Amiri" w:hAnsi="Amiri" w:eastAsia="Amiri" w:cs="Amiri"/>
          <w:color w:val="111111"/>
          <w:sz w:val="28"/>
          <w:sz w:val="28"/>
          <w:szCs w:val="28"/>
          <w:rtl w:val="true"/>
          <w:lang w:bidi="ar-SA"/>
        </w:rPr>
        <w:t>إنّي دخلت عليه و قد شكّ الناس في الصوم، و هو و اللّه من شهر رمضان،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صُمت اليوم؟ فقلت</w:t>
      </w:r>
    </w:p>
    <w:p>
      <w:pPr>
        <w:pStyle w:val="BookText"/>
        <w:rPr/>
      </w:pPr>
      <w:r>
        <w:rPr>
          <w:rFonts w:ascii="Amiri" w:hAnsi="Amiri" w:eastAsia="Amiri" w:cs="Amiri"/>
          <w:color w:val="111111"/>
          <w:sz w:val="28"/>
          <w:sz w:val="28"/>
          <w:szCs w:val="28"/>
          <w:rtl w:val="true"/>
          <w:lang w:bidi="ar-SA"/>
        </w:rPr>
        <w:t>لا، و المائدة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p>
    <w:p>
      <w:pPr>
        <w:pStyle w:val="BookText"/>
        <w:rPr/>
      </w:pPr>
      <w:r>
        <w:rPr>
          <w:rFonts w:ascii="Amiri" w:hAnsi="Amiri" w:eastAsia="Amiri" w:cs="Amiri"/>
          <w:color w:val="111111"/>
          <w:sz w:val="28"/>
          <w:sz w:val="28"/>
          <w:szCs w:val="28"/>
          <w:rtl w:val="true"/>
          <w:lang w:bidi="ar-SA"/>
        </w:rPr>
        <w:t xml:space="preserve">الصوم معك و الفطر معك، فقال الرجل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p>
    <w:p>
      <w:pPr>
        <w:pStyle w:val="BookText"/>
        <w:rPr/>
      </w:pPr>
      <w:r>
        <w:rPr>
          <w:rFonts w:ascii="Amiri" w:hAnsi="Amiri" w:eastAsia="Amiri" w:cs="Amiri"/>
          <w:color w:val="111111"/>
          <w:sz w:val="28"/>
          <w:sz w:val="28"/>
          <w:szCs w:val="28"/>
          <w:rtl w:val="true"/>
          <w:lang w:bidi="ar-SA"/>
        </w:rPr>
        <w:t>أي و اللّه أفطر يوماً من شهر رمضان أحبّ إليّ من أن يُضرب عنقي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هذه الطائفة من الروايات تكشف عن استقرار سيرة المسلمين في عهد الأئمّة على رجوعهم إلى إمام المسلمين و أميرهم و حاكمهم في الحكم بثبوت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سيرتهم هذه كانت ناشئة من سيرة المسلمين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بعد دلالة الصحاح المزبورة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10" w:name="pg937_11021"/>
    </w:p>
    <w:p>
      <w:pPr>
        <w:pStyle w:val="BookText"/>
        <w:rPr/>
      </w:pPr>
      <w:bookmarkEnd w:id="210"/>
      <w:r>
        <w:rPr>
          <w:rFonts w:ascii="Amiri" w:hAnsi="Amiri" w:eastAsia="Amiri" w:cs="Amiri"/>
          <w:color w:val="111111"/>
          <w:sz w:val="28"/>
          <w:sz w:val="28"/>
          <w:szCs w:val="28"/>
          <w:rtl w:val="true"/>
          <w:lang w:bidi="ar-SA"/>
        </w:rPr>
        <w:t xml:space="preserve">على ذلك لا يبقى شكّ في اتصال هذه السيرة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ناشئة من بدعة خلفاء بني أُميّة و بني العباس، كما تفوّه به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دلّ بالخصوص على كون الحكم بثبوت الهلال بيد الإمام، صحيح محمد بن قيس</w:t>
      </w:r>
      <w:r>
        <w:rPr>
          <w:rStyle w:val="FootnoteAnchor"/>
          <w:rtl w:val="true"/>
        </w:rPr>
        <w:footnoteReference w:id="383"/>
      </w:r>
      <w:r>
        <w:rPr>
          <w:rFonts w:ascii="Amiri" w:hAnsi="Amiri" w:eastAsia="Amiri" w:cs="Amiri"/>
          <w:color w:val="111111"/>
          <w:sz w:val="28"/>
          <w:sz w:val="28"/>
          <w:szCs w:val="28"/>
          <w:rtl w:val="true"/>
          <w:lang w:bidi="ar-SA"/>
        </w:rPr>
        <w:t>، و دلالته على المطلوب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كون المقصود خصوص إمام الحق المعصوم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المقصود لا يضرّ بالمطلوب بعد تمامية أدلّة النيابة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33445_373438147"/>
      <w:bookmarkStart w:id="212" w:name="_Toc79"/>
      <w:bookmarkEnd w:id="211"/>
      <w:r>
        <w:rPr>
          <w:rtl w:val="true"/>
        </w:rPr>
        <w:t>جواز حكم الحاكم بعلمه</w:t>
      </w:r>
      <w:bookmarkEnd w:id="212"/>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أنّه هل يجوز للقاضي أن يحكم بعلمه من دون بيّنة و لا يمين أم لا؟ و لا يخفى أنّ محلّ الكلام في المقام هو الشبهات الموضوعية، التي تثبت شرعاً بالبيّنات و الايمان؛ إذ لا إشكال و لا خلاف في جواز حكم القاضي بعلمه في الشبهات الحكمية؛ حيث إنّه لا شيء أقرب إلى الواقع عنده من علمه فإنّ حجيته ذاتية، بل منع العمل به موجب للتناقض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الوجوه التي استدلّوا بها لإثبات الهلال بحكم الحاكم بعلمه و 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نفوذ حكم الحاكم بعلمه من حكمه باستناد البينة؛ إذ لا نزاع في جواز حكمه بشهادة عدلين مع كون البيّنة أمارة ظنّية و حجّيتها مجعولة بدليل الاعتبار، بخلاف العلم؛ فإنّ حجيته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ريب في أنّ علم الحاكم نفسه أقوى اعتباراً و سنداً من شهادة البينة التي ربما لا يورث له أزيد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ريب في حجية حكم الحاكم في المقام و نفوذه و وجوب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بهذا الوجه صاحب المدارك على ما نسب إليه في الحدائق</w:t>
      </w:r>
      <w:r>
        <w:rPr>
          <w:rStyle w:val="FootnoteAnchor"/>
          <w:rtl w:val="true"/>
        </w:rPr>
        <w:footnoteReference w:id="384"/>
      </w:r>
      <w:r>
        <w:rPr>
          <w:rFonts w:ascii="Amiri" w:hAnsi="Amiri" w:eastAsia="Amiri" w:cs="Amiri"/>
          <w:color w:val="111111"/>
          <w:sz w:val="28"/>
          <w:sz w:val="28"/>
          <w:szCs w:val="28"/>
          <w:rtl w:val="true"/>
          <w:lang w:bidi="ar-SA"/>
        </w:rPr>
        <w:t>و استدلّ به أيضاً صاحب الجواهر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صاحب الجواهر</w:t>
      </w:r>
      <w:r>
        <w:rPr>
          <w:rStyle w:val="FootnoteAnchor"/>
          <w:rtl w:val="true"/>
        </w:rPr>
        <w:footnoteReference w:id="386"/>
      </w:r>
      <w:r>
        <w:rPr>
          <w:rFonts w:ascii="Amiri" w:hAnsi="Amiri" w:eastAsia="Amiri" w:cs="Amiri"/>
          <w:color w:val="111111"/>
          <w:sz w:val="28"/>
          <w:sz w:val="28"/>
          <w:szCs w:val="28"/>
          <w:rtl w:val="true"/>
          <w:lang w:bidi="ar-SA"/>
        </w:rPr>
        <w:t>، من أنّ نفوذ حكم الحاكم في حقّ سائر المكلفين باستناد شهادة العدلين أمر ثابت في الشرع، مع عدم حصول شهود للحاكم نفسه وجداناً بشهادتهما و عدم كون شهادتهما في محضره شهادة عند غيره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أنّ اعتبار حكم الحاكم بأيّ مستند كان حجّةً عنده، و إن لم تثبت حجيته لغيره و من دون خصوصية لشهادة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الوجوه التي يمكن الاستدلال بها على جواز حكم الحاكم بعلمه الآيات و الأخبار الدالّة على وجوب الحكم بالحق، مثل قوله تعالى يا داوُدُ إِنّا جَعَلْناكَ خَلِيفَةً فِي الْأَرْضِ فَاحْكُمْ بَيْنَ النّاسِ بِالْحَقِّ‌</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أَنْ تَحْكُمُوا بِالْعَدْلِ‌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إذا علم الحاكم بالحق و العدل و قطع بهما بعلمه الوجداني، يجب عليه أن يحكم على طبقه بمقتضى هذه الآيات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الأخبار الآمرة بالحدود و الديات و القصاص فإنّها تخاطب الحاكم و تأمره بإقامتها على 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و أحرز تحقق موضوعها في الخارج يجب عليه إقامتها بمقتضى هذه الآيات، و إلّا يرتكب العصيان بمخالفة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التفصيل بين أنواع الموضوعات العامة في جواز حكم الحاكم بعلمه خلاف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اتضح عدم صحة حصر الحرمة في الحكم بخلاف علمه، كما عن صاحب الجواهر</w:t>
      </w:r>
      <w:r>
        <w:rPr>
          <w:rStyle w:val="FootnoteAnchor"/>
          <w:rtl w:val="true"/>
        </w:rPr>
        <w:footnoteReference w:id="389"/>
      </w:r>
      <w:r>
        <w:rPr>
          <w:rFonts w:ascii="Amiri" w:hAnsi="Amiri" w:eastAsia="Amiri" w:cs="Amiri"/>
          <w:color w:val="111111"/>
          <w:sz w:val="28"/>
          <w:sz w:val="28"/>
          <w:szCs w:val="28"/>
          <w:rtl w:val="true"/>
          <w:lang w:bidi="ar-SA"/>
        </w:rPr>
        <w:t>بل يحرم ترك الحكم بالحق أيضاً، كما دلّ عليه قوله تعالى وَ مَنْ لَمْ يَحْكُمْ بِما أَنْزَلَ اللّهُ فَأُولئِكَ هُمُ الْفاسِقُونَ‌</w:t>
      </w:r>
      <w:r>
        <w:rPr>
          <w:rStyle w:val="FootnoteAnchor"/>
          <w:rtl w:val="true"/>
        </w:rPr>
        <w:footnoteReference w:id="390"/>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255:10</w:t>
      </w:r>
      <w:r>
        <w:rPr>
          <w:rFonts w:ascii="Amiri" w:hAnsi="Amiri" w:eastAsia="Amiri" w:cs="Amiri"/>
          <w:color w:val="111111"/>
          <w:sz w:val="28"/>
          <w:sz w:val="28"/>
          <w:szCs w:val="28"/>
          <w:rtl w:val="true"/>
          <w:lang w:bidi="ar-SA"/>
        </w:rPr>
        <w:t xml:space="preserve">، كتاب الصوم، أبواب أحكام شهر رمضان،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الحسين بن خالد؛ حيث علّل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حكم الإمام بعلمه في حقوق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الحكم بالإفطار أو الصيام عند ثبوت الهلال من 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تحقق الشهرة العظيمة بين فقهائنا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حكم الحاكم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الإجماع عليه مستفيضاً، كما في الجواهر</w:t>
      </w:r>
      <w:r>
        <w:rPr>
          <w:rStyle w:val="FootnoteAnchor"/>
          <w:rtl w:val="true"/>
        </w:rPr>
        <w:footnoteReference w:id="393"/>
      </w:r>
      <w:r>
        <w:rPr>
          <w:rFonts w:ascii="Amiri" w:hAnsi="Amiri" w:eastAsia="Amiri" w:cs="Amiri"/>
          <w:color w:val="111111"/>
          <w:sz w:val="28"/>
          <w:sz w:val="28"/>
          <w:szCs w:val="28"/>
          <w:rtl w:val="true"/>
          <w:lang w:bidi="ar-SA"/>
        </w:rPr>
        <w:t>عن الانتصار و الغنية و محكي الخلاف و نهج الحق و ظاهر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المخالفون فاستدلّوا على عدم اعتبار حكم الحاكم بثبوت الهلال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الحاصرة مثل صحيح الفضل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أهل القبلة إلّا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يكون بمضمونه و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عدلين</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دلّ بمفهوم الحصر على عدم ثبوت الهلال بغير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المطلق مقطوع العدم؛ لضرورة وجود طرق قطعية و أمارات شرعية متعددة أُخرى لإثبات الهلال، مثل مضيّ ثلاثين يوماً من الشهر السابق و التواتر و الشياع المفيدين للعلم، و منها الرؤية و 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صحيحة الحلبي بإضافة شهادة الفاسق، كما أجاب به في الجواهر</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أُجيز في رؤية الهلال، إلّا شهادة رجلين عدلين، لا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الجواب عن الحصر الوارد في الرؤية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صحيح الحلبي بأنّ المقصود حصر الأمارة التعبدية في شهادة عدلين قبال من يرى حجيّة شهادة رجل واحد كأبناء العامة، من دون نظر إلى العلم الوجداني، كما أنّ المناسب لشأن الشارع جعل حجية الأمارة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الحصر بوجوه اخرى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موضوع ثبوت الهلال و لا الحكم بالإفطار أو الصيام من شئون الحكومة نظراً إلى وجود طرق اخرى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جواب هذا الإشكال مفصّلاً في تقريب صغرى أدلّة ولاية الفقيه في المقام،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الناهية عن الأخذ بالشك و الظن في أمر ثبوت الهلال،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شهر رمضان فريضة من فرائض اللّه فلا تؤدّوا بالتظنّي في صحيح الخزّاز</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الشك و الظن، فإن خفي عليكم فأتِمّوا الشهر الأوّل ثلاثين في موثق إسحاق بن عمّار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بالرأي و لا بالتظنّي و لكن بالرؤية في صحيح محمد بن مسلم</w:t>
      </w:r>
      <w:r>
        <w:rPr>
          <w:rStyle w:val="FootnoteAnchor"/>
          <w:rtl w:val="true"/>
        </w:rPr>
        <w:footnoteReference w:id="398"/>
      </w:r>
      <w:r>
        <w:rPr>
          <w:rFonts w:ascii="Amiri" w:hAnsi="Amiri" w:eastAsia="Amiri" w:cs="Amiri"/>
          <w:color w:val="111111"/>
          <w:sz w:val="28"/>
          <w:sz w:val="28"/>
          <w:szCs w:val="28"/>
          <w:rtl w:val="true"/>
          <w:lang w:bidi="ar-SA"/>
        </w:rPr>
        <w:t>، و غيره من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حكم الحاكم لا يفيد أكثر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بقرينة المقابلة بالرؤية و مضيّ ثلاثين يوماً؛ لظهورها في الحصر و نفي الاعتبار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ثبوت الهلال بحكم الحاكم هو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الدليل المعتبر و الحجّة الشرعية على اعتبار حكم الحاكم بثبوت الهلال و نفوذه، و إلّا فالبيّنة أيضاً لا تفيد أكثر من الظن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الايمان</w:t>
      </w:r>
      <w:r>
        <w:rPr>
          <w:rStyle w:val="FootnoteAnchor"/>
          <w:rtl w:val="true"/>
        </w:rPr>
        <w:footnoteReference w:id="399"/>
      </w:r>
      <w:r>
        <w:rPr>
          <w:rFonts w:ascii="Amiri" w:hAnsi="Amiri" w:eastAsia="Amiri" w:cs="Amiri"/>
          <w:color w:val="111111"/>
          <w:sz w:val="28"/>
          <w:sz w:val="28"/>
          <w:szCs w:val="28"/>
          <w:rtl w:val="true"/>
          <w:lang w:bidi="ar-SA"/>
        </w:rPr>
        <w:t>نظراً إلى دلالته على حصر مدرك القضاء في البينة و اليمين، فدلّ بمفهومه على عدم جواز القضاء بغيرهما حتى العلم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نفي مدركية غير البينة و اليمين للقضاء ممّا لا يفيد العلم و يحتاج في اعتباره إلى جعل الحجية من قبل الشارع، كالأقيسة و الاستحسانات و الظنون، دون ما يكون حجيته ذاتية؛ فإنّه لا يتطرّق إليه الجعل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ما قلنا ما ورد من النصوص الناهية عن العمل بالأقيسة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الظنون في القضاء، كما عقد بهذا العنوان باباً في الوسائل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ما قلنا ما دلّ من النصوص على حكم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بأنّ</w:t>
      </w:r>
    </w:p>
    <w:p>
      <w:pPr>
        <w:pStyle w:val="BookText"/>
        <w:rPr/>
      </w:pPr>
      <w:r>
        <w:rPr>
          <w:rFonts w:ascii="Amiri" w:hAnsi="Amiri" w:eastAsia="Amiri" w:cs="Amiri"/>
          <w:color w:val="111111"/>
          <w:sz w:val="28"/>
          <w:sz w:val="28"/>
          <w:szCs w:val="28"/>
          <w:rtl w:val="true"/>
          <w:lang w:bidi="ar-SA"/>
        </w:rPr>
        <w:t>هذا حكم اللّه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صحيح هشام المزبور رواه في الكافي</w:t>
      </w:r>
      <w:r>
        <w:rPr>
          <w:rStyle w:val="FootnoteAnchor"/>
          <w:rtl w:val="true"/>
        </w:rPr>
        <w:footnoteReference w:id="402"/>
      </w:r>
      <w:r>
        <w:rPr>
          <w:rFonts w:ascii="Amiri" w:hAnsi="Amiri" w:eastAsia="Amiri" w:cs="Amiri"/>
          <w:color w:val="111111"/>
          <w:sz w:val="28"/>
          <w:sz w:val="28"/>
          <w:szCs w:val="28"/>
          <w:rtl w:val="true"/>
          <w:lang w:bidi="ar-SA"/>
        </w:rPr>
        <w:t>عن سعد بن هشام بن الحكم، و لكنه غير صحيح؛ لعدم ذكر لهذا الاسم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بعض نسخ الكافي عن سعد و هشام بن الحكم 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سهل بعد صحة طريق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ممّا بيّنّاه في إثبات صغرى ولاية الفقيه في المقام أنّ أمر ثبوت الهلال و إعلان عيد الفطر من شئون الفقيه المتولّي للأمارة و الحكومة بين المؤمنين، كما يفهم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الأمر إلينا لأجزنا في صحيح محمد بن مسلم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 بإفطار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لا يجيزان في الهلال، إلّا شهادة رجلين عدلين، و ما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بذلك،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إلى الإمام في مرسل رفاعة، و غير ذلك مما دلّ على أنّ الحكم بثبوت الهلال من شئون الإمامة و إمارة المسلمين و مما يرتبط بالقاضي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كون أمر ثبوت الهلال و إعلان العيد من الأُمور العامة التي في معرض الاختلاف المحتاجة إلى الحسم المتوقف على حكم من بيده زمام الإمارة 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الأمر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تعليق جواز الحكم بثبوت الهلال بشاهدين عدلين على كون الإمارة و الحكومة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فمن الواضح عدم إناطة جواز الحكم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بتصدّيهم للأمارة و الحكومة، و هذا من الواضح، بل من ضروري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المشهور بين الفقهاء جواز الحكم للفقيه الجامع في عصر الغيبة بشاهد عدل و يمين في حقوق الناس و الديون، فلا بدّ أن يكون كذلك الحكم بثبوت الهلال؛ نظراً إلى مجيئهما في فقرة واحدة في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فليس المقصود تعليق أصل جواز الحكم بتصدي الإمارة و الحكومة، بل المقصود أنّه لو كان أمر الحكومة و الإمارة على المسلمين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بأيدي الخلفاء لم يحكموا بين عامّة المسلمين بثبوت الهلال إلّا بشاهدين عدلين، لا بشاهد واحد، كما كان دأب خلفاء بني العباس و سلاطينهم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للصحيح المزبور على عدم جواز الحكم بثبوت الهلال لغير متصدّي الإمارة و الحكومة من الفقهاء بوجه،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نوع حكومة خفيّة على المقلّدين في جميع شئونهم الفردية و الاجتماعية؛ حيث إنّ المقلّد لا يأخذ وظيفته إلّا من مرجع تقليده، بل المرجعية بمعناه المصطلح كانت ثابتةً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بسط أيديهم، بل كانت ثابتةً أيضاً حتى لبعض الفقهاء من أصحابهم، مثل زرارة و محمد بن مسلم و أبي بصير و هشام بن الحكم و عمار الساباطي و يونس بن عبد الرحمن و الفضل بن شاذان و غيرهم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يبعد دعوى شمول النصوص المزبورة للفقهاء و المراجع أيضاً؛</w:t>
      </w:r>
    </w:p>
    <w:p>
      <w:pPr>
        <w:pStyle w:val="BookText"/>
        <w:rPr/>
      </w:pPr>
      <w:r>
        <w:rPr>
          <w:rFonts w:ascii="Amiri" w:hAnsi="Amiri" w:eastAsia="Amiri" w:cs="Amiri"/>
          <w:color w:val="111111"/>
          <w:sz w:val="28"/>
          <w:sz w:val="28"/>
          <w:szCs w:val="28"/>
          <w:rtl w:val="true"/>
          <w:lang w:bidi="ar-SA"/>
        </w:rPr>
        <w:t>لأنّ المرجعية منصب كالإمارة و الحكومة، فإنّها نوع رئاسة دينية و دنيوية بين الناس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المرجعية بمعناه المصطلح الآن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البعيد جدّاً ظهور لفظ الإمام و السلطان و الإمارة و القضاء فيها، بل هذه العناوين و ما شابهها منصرفة عن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الشمول فإنّ أظهر أفرادها من بيده الإمارة و الحكومة من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الوجه في كون الحكم بثبوت الهلال من شئون الفقيه المتولّي للأمارة و الحكومة مضافاً إلى ظهور التعابير الواردة في النصوص في ذلك أنّ هذا الموضوع من الأُمور العامة الواقعة في معرض الاختلاف و الفرقة بين الأُمّة، و يتوقف حسم ذلك على حكم من بيده زمام الإمارة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 تعيّن الرجوع إليه في أمر ثبوت الهلال وقوع الاختلاف غالباً بين الأُمّة في البلاد المتقاربة، بل في بلد واحد و هو موجب لوهن الدين و الفرقة و النزاع بين المسلمين و لا مناص لحسم مادّة الاختلاف و الوهن إلّا من الرجوع إلى من بيده زمام الإمارة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العامّة تصير فعليتها بتصدّي الإمارة و الحكومة و الغلبة أو أكثرية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الولاية تكون شأنية لمن كان من الفقهاء واجداً لشرائطها العلمي و العدالة و لكن تصير فعليتها بذلك، كما سبق بيان وجه ذلك مفصّلاً في أوّل هذا الكتاب</w:t>
      </w:r>
      <w:r>
        <w:rPr>
          <w:rFonts w:eastAsia="Amiri" w:cs="Amiri" w:ascii="Amiri" w:hAnsi="Amiri"/>
          <w:color w:val="111111"/>
          <w:sz w:val="28"/>
          <w:szCs w:val="28"/>
          <w:rtl w:val="true"/>
          <w:lang w:bidi="ar-SA"/>
        </w:rPr>
        <w:t>.</w:t>
      </w:r>
      <w:bookmarkStart w:id="213" w:name="pg937_11037"/>
    </w:p>
    <w:p>
      <w:pPr>
        <w:pStyle w:val="Heading3"/>
        <w:numPr>
          <w:ilvl w:val="2"/>
          <w:numId w:val="1"/>
        </w:numPr>
        <w:rPr/>
      </w:pPr>
      <w:bookmarkStart w:id="214" w:name="__RefHeading___Toc733447_373438147"/>
      <w:bookmarkStart w:id="215" w:name="_Toc80"/>
      <w:bookmarkEnd w:id="213"/>
      <w:bookmarkEnd w:id="214"/>
      <w:r>
        <w:rPr>
          <w:rtl w:val="true"/>
        </w:rPr>
        <w:t>نفوذ حكم الحاكم بالنسبة إلى غير مقلّديه، حتى الحاكم الآخر</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حجية حكم الحاكم بمقلّديه، بل حجة حتى على الحاكم الآخر </w:t>
      </w:r>
      <w:r>
        <w:rPr>
          <w:rStyle w:val="FootnoteAnchor"/>
          <w:rtl w:val="true"/>
        </w:rPr>
        <w:footnoteReference w:id="403"/>
      </w:r>
      <w:r>
        <w:rPr>
          <w:rFonts w:ascii="Amiri" w:hAnsi="Amiri" w:eastAsia="Amiri" w:cs="Amiri"/>
          <w:color w:val="111111"/>
          <w:sz w:val="28"/>
          <w:sz w:val="28"/>
          <w:szCs w:val="28"/>
          <w:rtl w:val="true"/>
          <w:lang w:bidi="ar-SA"/>
        </w:rPr>
        <w:t xml:space="preserve">لو لم يثبت خطوة أو خطأ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ثبوت الولاية العامة للفقيه كان يبتني على أساس غرض حسم مادة الخلاف و الهرج و المرج، و إقامة حدود اللّه و إجراء أحكام الشريعة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تحقق هذا الغرض يتوقف على حجية حكم الحاكم في حق جميع المؤمنين الذي هو يعيش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حكمه حجة في حق غير مقلّديه، بل حتى الحاكم الآخر لينقض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يتمّ في بلد واحد أو بلدين متقاربين، لا يحتمل انفكاكهما من حيث ثبوت الهلال، و إلّا فلا ينفذ حكم الحاكم في حق من يعيش في البلاد المتباعدة الممكن انفكاكها عن بلد الحاكم من جهة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حرمة ردّ حكم الحاكم، مثل مقبولة الحنظلة و توقيع الحجّة، فإنّها لا تختص في الشمول بمقلّدي الحاكم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واضح؛ نظراً إلى عدم كون حكم الحاكم مغيّراً للحكم الواقعي، بل هو أمارة شرعية مجعولة في ظرف الجهل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العلم الوجداني ينتفي موضوعه، و لا يجوز مخالفة العلم، لكون حجيته ذاتية، فيجب العمل به، و لكن على</w:t>
      </w:r>
    </w:p>
    <w:p>
      <w:pPr>
        <w:pStyle w:val="BookText"/>
        <w:rPr/>
      </w:pPr>
      <w:r>
        <w:rPr>
          <w:rFonts w:ascii="Amiri" w:hAnsi="Amiri" w:eastAsia="Amiri" w:cs="Amiri"/>
          <w:color w:val="111111"/>
          <w:sz w:val="28"/>
          <w:sz w:val="28"/>
          <w:szCs w:val="28"/>
          <w:rtl w:val="true"/>
          <w:lang w:bidi="ar-SA"/>
        </w:rPr>
        <w:t>نحو لا يخالف الحاكم بتبليغ الخلاف لأنّ علمه حجّةٌ له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يجوز له إعلان ذلك، و إلّا يدخل عمله في عمومات تحريم ردّ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كاشف الغطاء فخصّص اعتبار حكم الحاكم بمقلّديه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عبارته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العمل بالمقبولة و عدم الوقوع في مخالفة حكم الحاكم و نقضه فيما إذا صدر الحكم من عدّة من الفقهاء متخالفاً؛ بزعم أنّه لا مناص من القول بذلك في عدم الردّ و النقض، و لكن اتضح جوابه في خلال ما بينّاه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 على رسوله و آله الميامين المعصومين</w:t>
      </w:r>
      <w:r>
        <w:rPr>
          <w:rFonts w:eastAsia="Amiri" w:cs="Amiri" w:ascii="Amiri" w:hAnsi="Amiri"/>
          <w:color w:val="111111"/>
          <w:sz w:val="28"/>
          <w:szCs w:val="28"/>
          <w:rtl w:val="true"/>
          <w:lang w:bidi="ar-SA"/>
        </w:rPr>
        <w:t>.</w:t>
      </w:r>
      <w:bookmarkStart w:id="216" w:name="pg937_11040"/>
    </w:p>
    <w:p>
      <w:pPr>
        <w:pStyle w:val="Heading2"/>
        <w:numPr>
          <w:ilvl w:val="1"/>
          <w:numId w:val="1"/>
        </w:numPr>
        <w:rPr/>
      </w:pPr>
      <w:bookmarkStart w:id="217" w:name="__RefHeading___Toc733449_373438147"/>
      <w:bookmarkStart w:id="218" w:name="_Toc81"/>
      <w:bookmarkEnd w:id="216"/>
      <w:bookmarkEnd w:id="217"/>
      <w:r>
        <w:rPr>
          <w:rtl w:val="true"/>
        </w:rPr>
        <w:t>أولياء الصغار</w:t>
      </w:r>
      <w:bookmarkEnd w:id="2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733451_373438147"/>
      <w:bookmarkStart w:id="220" w:name="_Toc82"/>
      <w:bookmarkEnd w:id="219"/>
      <w:r>
        <w:rPr>
          <w:rtl w:val="true"/>
        </w:rPr>
        <w:t>اشارة</w:t>
      </w:r>
      <w:bookmarkStart w:id="221" w:name="pg937_11044"/>
      <w:bookmarkEnd w:id="220"/>
    </w:p>
    <w:p>
      <w:pPr>
        <w:pStyle w:val="BookText"/>
        <w:rPr/>
      </w:pPr>
      <w:bookmarkEnd w:id="221"/>
      <w:r>
        <w:rPr>
          <w:rFonts w:ascii="Amiri" w:hAnsi="Amiri" w:eastAsia="Amiri" w:cs="Amiri"/>
          <w:color w:val="111111"/>
          <w:sz w:val="28"/>
          <w:sz w:val="28"/>
          <w:szCs w:val="28"/>
          <w:rtl w:val="true"/>
          <w:lang w:bidi="ar-SA"/>
        </w:rPr>
        <w:t>أولياء الصغار</w:t>
      </w:r>
    </w:p>
    <w:p>
      <w:pPr>
        <w:pStyle w:val="Heading3"/>
        <w:numPr>
          <w:ilvl w:val="2"/>
          <w:numId w:val="1"/>
        </w:numPr>
        <w:rPr/>
      </w:pPr>
      <w:bookmarkStart w:id="222" w:name="__RefHeading___Toc733453_373438147"/>
      <w:bookmarkStart w:id="223" w:name="_Toc83"/>
      <w:bookmarkEnd w:id="222"/>
      <w:r>
        <w:rPr>
          <w:rtl w:val="true"/>
        </w:rPr>
        <w:t>ولاية الأب و الجدّ</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مال الطفل و النظر في مصالحه و شئونه لأبيه و جدّه لأبيه</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ولاية الأب و الجدّ للأب على الصغير، بلا فرق بين الذكر و الأُنثى، كما صرّح بعدم الخلاف في المسالك و الكفاية</w:t>
      </w:r>
      <w:r>
        <w:rPr>
          <w:rStyle w:val="FootnoteAnchor"/>
          <w:rtl w:val="true"/>
        </w:rPr>
        <w:footnoteReference w:id="405"/>
      </w:r>
      <w:r>
        <w:rPr>
          <w:rFonts w:ascii="Amiri" w:hAnsi="Amiri" w:eastAsia="Amiri" w:cs="Amiri"/>
          <w:color w:val="111111"/>
          <w:sz w:val="28"/>
          <w:sz w:val="28"/>
          <w:szCs w:val="28"/>
          <w:rtl w:val="true"/>
          <w:lang w:bidi="ar-SA"/>
        </w:rPr>
        <w:t>، بل في التذكرة الإجماع</w:t>
      </w:r>
      <w:r>
        <w:rPr>
          <w:rStyle w:val="FootnoteAnchor"/>
          <w:rtl w:val="true"/>
        </w:rPr>
        <w:footnoteReference w:id="406"/>
      </w:r>
      <w:r>
        <w:rPr>
          <w:rFonts w:ascii="Amiri" w:hAnsi="Amiri" w:eastAsia="Amiri" w:cs="Amiri"/>
          <w:color w:val="111111"/>
          <w:sz w:val="28"/>
          <w:sz w:val="28"/>
          <w:szCs w:val="28"/>
          <w:rtl w:val="true"/>
          <w:lang w:bidi="ar-SA"/>
        </w:rPr>
        <w:t>، و في مجمع البرهان، إجماع الأُمّة</w:t>
      </w:r>
      <w:r>
        <w:rPr>
          <w:rStyle w:val="FootnoteAnchor"/>
          <w:rtl w:val="true"/>
        </w:rPr>
        <w:footnoteReference w:id="407"/>
      </w:r>
      <w:r>
        <w:rPr>
          <w:rFonts w:ascii="Amiri" w:hAnsi="Amiri" w:eastAsia="Amiri" w:cs="Amiri"/>
          <w:color w:val="111111"/>
          <w:sz w:val="28"/>
          <w:sz w:val="28"/>
          <w:szCs w:val="28"/>
          <w:rtl w:val="true"/>
          <w:lang w:bidi="ar-SA"/>
        </w:rPr>
        <w:t>، و في الجواهر الإجماع بقسميه عليه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دلّت النصوص المستفيضة بل قيل المتواترة على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العمدة في الاستدلال؛ حيث لا مناص من احتمال استناد المجمعين في المقام إلى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النصوص في أولياء عقد النكاح و أموال اليتامى و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هنا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صحة الوصية بالولاية على الأطفال للأب مطلقاً، مثل معتبرة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أوصى إلى رجل بولده و بمال لهم و أذن له عند الوصية أن يعمل بالمال و أن يكون الربح بينه و بينهم،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من أجل أنّ أباه قد أذن له في ذلك، و هو حيّ‌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و إن وردت في المضاربة بمال الصغير، إلّا أنّ مقتضى عموم التعليل عدم اختصاص الحكم بالمضاربة، كما يدلّ بالفحوى على ثبوت الولاية للجدّ ما سيأتي من النصوص الدالّة على أقوائية ولاية الجدّ على ولاية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تصرف الأب في مال ولده صغيراً كان أو كبيراً بغير إذنه معلّلاً بأنّ الولد و ماله لأبيه، مثل صحاح محمد بن مسلم و عبد اللّه بن سنان و سعيد بن يسار و ابن أبي يعفور</w:t>
      </w:r>
      <w:r>
        <w:rPr>
          <w:rStyle w:val="FootnoteAnchor"/>
          <w:rtl w:val="true"/>
        </w:rPr>
        <w:footnoteReference w:id="410"/>
      </w:r>
      <w:r>
        <w:rPr>
          <w:rFonts w:ascii="Amiri" w:hAnsi="Amiri" w:eastAsia="Amiri" w:cs="Amiri"/>
          <w:color w:val="111111"/>
          <w:sz w:val="28"/>
          <w:sz w:val="28"/>
          <w:szCs w:val="28"/>
          <w:rtl w:val="true"/>
          <w:lang w:bidi="ar-SA"/>
        </w:rPr>
        <w:t>و غيره من النصوص البالغة حدّ الاستفاضة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تحمل إطلاقات هذه النصوص على صورة احتياج الأب إلى مال الولد و اضطراره إليه في قوته، بل هو ظاهر نصوص متعدّدة من هذه الطائفة، مثل صحيح عبد اللّه بن سنان</w:t>
      </w:r>
      <w:r>
        <w:rPr>
          <w:rStyle w:val="FootnoteAnchor"/>
          <w:rtl w:val="true"/>
        </w:rPr>
        <w:footnoteReference w:id="411"/>
      </w:r>
      <w:r>
        <w:rPr>
          <w:rFonts w:ascii="Amiri" w:hAnsi="Amiri" w:eastAsia="Amiri" w:cs="Amiri"/>
          <w:color w:val="111111"/>
          <w:sz w:val="28"/>
          <w:sz w:val="28"/>
          <w:szCs w:val="28"/>
          <w:rtl w:val="true"/>
          <w:lang w:bidi="ar-SA"/>
        </w:rPr>
        <w:t>، و خبر علي بن جعفر</w:t>
      </w:r>
      <w:r>
        <w:rPr>
          <w:rStyle w:val="FootnoteAnchor"/>
          <w:rtl w:val="true"/>
        </w:rPr>
        <w:footnoteReference w:id="412"/>
      </w:r>
      <w:r>
        <w:rPr>
          <w:rFonts w:ascii="Amiri" w:hAnsi="Amiri" w:eastAsia="Amiri" w:cs="Amiri"/>
          <w:color w:val="111111"/>
          <w:sz w:val="28"/>
          <w:sz w:val="28"/>
          <w:szCs w:val="28"/>
          <w:rtl w:val="true"/>
          <w:lang w:bidi="ar-SA"/>
        </w:rPr>
        <w:t>، و لا سيّما بقرينة صحيحة الحسين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العلاء</w:t>
      </w:r>
      <w:r>
        <w:rPr>
          <w:rStyle w:val="FootnoteAnchor"/>
          <w:rtl w:val="true"/>
        </w:rPr>
        <w:footnoteReference w:id="413"/>
      </w:r>
      <w:r>
        <w:rPr>
          <w:rFonts w:ascii="Amiri" w:hAnsi="Amiri" w:eastAsia="Amiri" w:cs="Amiri"/>
          <w:color w:val="111111"/>
          <w:sz w:val="28"/>
          <w:sz w:val="28"/>
          <w:szCs w:val="28"/>
          <w:rtl w:val="true"/>
          <w:lang w:bidi="ar-SA"/>
        </w:rPr>
        <w:t>فإنّها حاكمة على إطلاقات هذه النصوص و ناظرةٌ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بطريق الصدوق في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ولاية الأب على عقد نكاح الصغير مطلقاً، بلا فرق بين الذكر و الأُنثى، مثل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يتزوّج الصبية يتوارثان؟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أبواهما اللذان زوّجاهما فنعم</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المقصود من الأبوين في هذه الصحيحة هو أب الصبي و أب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فتثنية الأب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الصبية يزوّجها أبوها، ثمّ يموت و هي صغيرة، فتكبر قبل أن يدخل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عليها التزويج أو الأمر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عليها تزويج أبيها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لا تنكح ذوات الآباء من الأبكار، إلّا بإذن آبائهنّ‌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هذه الطائفة ما دلّ على أولوية عقد الجدّ على عقد الأب، بعد ثبوت الولاية لهما، مثل صحيح محمد بن مسلم عن أحدهما،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 الرجل ابنة ابنه فهو جائز على ابنه، و لابنه أيضاً أن يزوّجها،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 جدّها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أولى بنكاحها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يزوّجها من رجل و يريد جدّها أن يزوّجها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أولى بذلك ما لم يكن مضارّاً إن لم يكن الأب زوّجها قبله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هشام بن سالم و 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إذا زوّج الأب و الجدّ كان التزويج للأوّل فإن كانا جميعاً في حال واحدة فالجدّ أولى‌</w:t>
      </w:r>
      <w:r>
        <w:rPr>
          <w:rStyle w:val="FootnoteAnchor"/>
          <w:rtl w:val="true"/>
        </w:rPr>
        <w:footnoteReference w:id="419"/>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هو الجد للأب، فلا يشمل الجدّ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p>
    <w:p>
      <w:pPr>
        <w:pStyle w:val="BookText"/>
        <w:rPr/>
      </w:pPr>
      <w:r>
        <w:rPr>
          <w:rFonts w:ascii="Amiri" w:hAnsi="Amiri" w:eastAsia="Amiri" w:cs="Amiri"/>
          <w:color w:val="111111"/>
          <w:sz w:val="28"/>
          <w:sz w:val="28"/>
          <w:szCs w:val="28"/>
          <w:rtl w:val="true"/>
          <w:lang w:bidi="ar-SA"/>
        </w:rPr>
        <w:t>إذا زوّج الرجل ابنة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المراد بالجد هو الجدّ للأب، لوضوح أنّه الذي تكون الصغيرة ابنة ابنه دون الجدّ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ثبوت الولاية للأب و الجدّ للأب على الصغير في أمر التزويج و التصرف في أمواله و غير ذلك ممّا يرتبط بشئونه، بلا فرق بين كون الولد ذكراً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اختصاص الولاية بهما دون غيرهما من الاُمّ و الجدّ للاُمّ و الأخ و العمّ، فلعدم دليل على ثبوت الولاية لغيرهما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 بعض النصوص في عقد النكاح على ثبوت الولاية لبعضهم، إلّا أنّه معارض بما هو أكثر عدداً و أقوى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اتفاق الفقهاء و إجماع الأصحاب على الاختصاص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البحث عن ذلك في شرح ذيل كلام السيد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24" w:name="pg937_11052"/>
    </w:p>
    <w:p>
      <w:pPr>
        <w:pStyle w:val="Heading3"/>
        <w:numPr>
          <w:ilvl w:val="2"/>
          <w:numId w:val="1"/>
        </w:numPr>
        <w:rPr/>
      </w:pPr>
      <w:bookmarkStart w:id="225" w:name="__RefHeading___Toc733455_373438147"/>
      <w:bookmarkStart w:id="226" w:name="_Toc84"/>
      <w:bookmarkEnd w:id="224"/>
      <w:bookmarkEnd w:id="225"/>
      <w:r>
        <w:rPr>
          <w:rtl w:val="true"/>
        </w:rPr>
        <w:t>ولاية الوصي و القيّم</w:t>
      </w:r>
      <w:bookmarkEnd w:id="226"/>
    </w:p>
    <w:p>
      <w:pPr>
        <w:pStyle w:val="BookText"/>
        <w:rPr/>
      </w:pPr>
      <w:r>
        <w:rPr>
          <w:rFonts w:ascii="Amiri" w:hAnsi="Amiri" w:eastAsia="Amiri" w:cs="Amiri"/>
          <w:color w:val="111111"/>
          <w:sz w:val="28"/>
          <w:sz w:val="28"/>
          <w:szCs w:val="28"/>
          <w:rtl w:val="true"/>
          <w:lang w:bidi="ar-SA"/>
        </w:rPr>
        <w:t xml:space="preserve">و مع فقدهما للقيّم من أحدهما، و هو الذي أوصى أحدهما بأن يكون ناظراً في أمره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ولاية الوصي و القيّم المنصوب من ناحية الولي الميّت أبا كان أو جدّاً للأب على الصغير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النوبة مع وجودهما إلى القاضي و الحاكم، كما صرّح بذلك في 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النصوص المستفيضة، بل يمكن استفادته من النصوص المتواترة بأنحاء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هنا بذكر بعض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اليتيمة متى يدفع إليها مالها؟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أنّها لا تفسد و 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قد تزوّجت؟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تزوّجت فقد انقطع ملك الوصي عنها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ثبوت الملك و الولاية للوصي على اليتيمة قبل البلوغ و التزوّج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 بينه قرابة مات و ترك أولاداً صغاراً و ترك مماليك له غلماناً و جواري و لم يوصِ، فما ترى فيمن يشتري منهم الجارية فيتَّخذها أُمّ ولد، و ما ترى في</w:t>
      </w:r>
    </w:p>
    <w:p>
      <w:pPr>
        <w:pStyle w:val="BookText"/>
        <w:rPr/>
      </w:pPr>
      <w:r>
        <w:rPr>
          <w:rFonts w:ascii="Amiri" w:hAnsi="Amiri" w:eastAsia="Amiri" w:cs="Amiri"/>
          <w:color w:val="111111"/>
          <w:sz w:val="28"/>
          <w:sz w:val="28"/>
          <w:szCs w:val="28"/>
          <w:rtl w:val="true"/>
          <w:lang w:bidi="ar-SA"/>
        </w:rPr>
        <w:t xml:space="preserve">بيعهم؟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لهم وليّ يقوم بأمرهم باع عليهم و نظر لهم،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يشتري منهم الجارية فيتخذها أُمّ ولد؟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إذا باع عليهم القيّم لهم الناظر فيما يُصلحهم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ثبوت الولاية على الصغار اليتامى للقيّم بالمطابقة، و على ثبوت الولاية للوصي بالدلالة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تمامية دلالته على ثبوت ولاية الوصي و القيّم على اليتامى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إلى رجل بولد و بمال لهم، و أذن له عند الوصية أن يعمل بالمال و أن يكون الربح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من أجل أنّ أباه قد أذن له في ذلك، و هو حيّ‌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دلالتها على ثبوت الولاية على الصغار للوصي معلّلاً بإذن الأب له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تشمل القيّم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سنداً فالتحقيق اعتباره؛ حيث لا كلام في رجال سندها، إلّا حسن بن علي بن يوسف بن بقاح، و التحقيق اعتبار رواياته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الدلالة خبر خالد بن بكير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 اعمل به و خُذ نصف الربح و أعطهم النصف، و ليس عليك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فقدّمتني أُمّ ولد أبي بعد وفاة أبي إلى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فاقتصَصْتُ عليه ما أمرني 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أمرك بالباطل لم أُجْزه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عليّ ابن أبي ليلى إن أنا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حرّكته فأنا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ابن أبي ليلى فلا استطيع ردَّه و أمّا فيما بينك و بين اللّه عزّ و جلّ فليس عليك ضمان</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ولاية الوصي و القيم على أموال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شئونهم، مثل أمر التزويج و النكاح، فلا ولاية لهما عليه ما دام لم يصرح الموصي في وصيته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صرّح بذلك فالأقوى ثبوت الولاية لهما على ذلك، و إن نسب خلافه في المسالك إلى الأشهر</w:t>
      </w:r>
      <w:r>
        <w:rPr>
          <w:rStyle w:val="FootnoteAnchor"/>
          <w:rtl w:val="true"/>
        </w:rPr>
        <w:footnoteReference w:id="425"/>
      </w:r>
      <w:r>
        <w:rPr>
          <w:rFonts w:ascii="Amiri" w:hAnsi="Amiri" w:eastAsia="Amiri" w:cs="Amiri"/>
          <w:color w:val="111111"/>
          <w:sz w:val="28"/>
          <w:sz w:val="28"/>
          <w:szCs w:val="28"/>
          <w:rtl w:val="true"/>
          <w:lang w:bidi="ar-SA"/>
        </w:rPr>
        <w:t>و في الجواهر إلى المشهور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نفوذ الوصية كقوله تعالى 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تعالى 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بإطلاقه على نفوذ الوصية و وجوب العمل بها في غير ما كان فيها جنفٌ أو إثم أو ضرر على الوارث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باختصاص الآية المباركة بالوصية المالية، مدفوع بأنّ صدر الآية الكريمة و إن كان في مورد الوصية بالمال، و لكن خصوصية المورد لا توجب ضيقاً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مدلول الخطاب بعد إطلاقه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من النصوص على نفوذ الوصاية على الأطفال و الصغار، و قد سبق ذكر هذه النصوص آنفاً، و لكن دلالتها مبنيّةٌ على شمولها للنكاح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النصوص الواردة في تفسير من بيده عقدة النكاح؛ نظراً إلى اشتمال كثير من هذه النصوص على الوصي، مثل صحيح ابن مسلم و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بيده عقدة النكاح،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الأب و الأخ و الرجل يوصى إليه</w:t>
      </w:r>
      <w:r>
        <w:rPr>
          <w:rStyle w:val="FootnoteAnchor"/>
          <w:rtl w:val="true"/>
        </w:rPr>
        <w:footnoteReference w:id="428"/>
      </w:r>
      <w:r>
        <w:rPr>
          <w:rFonts w:ascii="Amiri" w:hAnsi="Amiri" w:eastAsia="Amiri" w:cs="Amiri"/>
          <w:color w:val="111111"/>
          <w:sz w:val="28"/>
          <w:sz w:val="28"/>
          <w:szCs w:val="28"/>
          <w:rtl w:val="true"/>
          <w:lang w:bidi="ar-SA"/>
        </w:rPr>
        <w:t xml:space="preserve">، و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بيده عقدة النكاح،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الأب و الأخ و الرجل يوصى إليه</w:t>
      </w:r>
      <w:r>
        <w:rPr>
          <w:rStyle w:val="FootnoteAnchor"/>
          <w:rtl w:val="true"/>
        </w:rPr>
        <w:footnoteReference w:id="429"/>
      </w:r>
      <w:r>
        <w:rPr>
          <w:rFonts w:ascii="Amiri" w:hAnsi="Amiri" w:eastAsia="Amiri" w:cs="Amiri"/>
          <w:color w:val="111111"/>
          <w:sz w:val="28"/>
          <w:sz w:val="28"/>
          <w:szCs w:val="28"/>
          <w:rtl w:val="true"/>
          <w:lang w:bidi="ar-SA"/>
        </w:rPr>
        <w:t>و اشتمالهما على ذكر الأخ لا يسقطهما عن الحجية في سائر الفقرات كما قال في الجواهر</w:t>
      </w:r>
      <w:r>
        <w:rPr>
          <w:rStyle w:val="FootnoteAnchor"/>
          <w:rtl w:val="true"/>
        </w:rPr>
        <w:footnoteReference w:id="430"/>
      </w:r>
      <w:r>
        <w:rPr>
          <w:rFonts w:ascii="Amiri" w:hAnsi="Amiri" w:eastAsia="Amiri" w:cs="Amiri"/>
          <w:color w:val="111111"/>
          <w:sz w:val="28"/>
          <w:sz w:val="28"/>
          <w:szCs w:val="28"/>
          <w:rtl w:val="true"/>
          <w:lang w:bidi="ar-SA"/>
        </w:rPr>
        <w:t>، مع إمكان حمله على كون الأخ وكيلاً لها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كون عطف الوصي عليه من عطف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المراد بالوصي في هذه النصوص بقرينة مناسبة الحكم و الموضوع هو من اوصي إليه بأمر النكاح دون الوصي في تصدّي الأُمور المالية، بل و لا شئونه العامّة على النحو المطلق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نصّ الموصي أو قرينة قطعية على إرادة نكاح الأولاد الصغار، فيشكل الالتزام بثبوت ولاية الوصي على ذلك، نظراً إلى عدم ظهور الوصية في أمر النكاح، بل ظاهرها هو الأُمور العامة الراجعة إلى الشئون المالية، و لعدم دليل يثبت ولاية الوصي بعنوان أنّه وصى مطلق على أمر النكاح و الزواج، بل يستفاد من بعض</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خلاف ذلك، مثل صحيح ابن بزيع</w:t>
      </w:r>
      <w:r>
        <w:rPr>
          <w:rStyle w:val="FootnoteAnchor"/>
          <w:rtl w:val="true"/>
        </w:rPr>
        <w:footnoteReference w:id="431"/>
      </w:r>
      <w:r>
        <w:rPr>
          <w:rFonts w:ascii="IRNazanin" w:hAnsi="IRNazanin" w:eastAsia="IRNazanin"/>
          <w:color w:val="111111"/>
          <w:sz w:val="28"/>
          <w:sz w:val="28"/>
          <w:szCs w:val="28"/>
          <w:rtl w:val="true"/>
          <w:lang w:bidi="fa-IR"/>
        </w:rPr>
        <w:t>و محمد بن مسلم</w:t>
      </w:r>
      <w:r>
        <w:rPr>
          <w:rStyle w:val="FootnoteAnchor"/>
          <w:rtl w:val="true"/>
        </w:rPr>
        <w:footnoteReference w:id="432"/>
      </w:r>
      <w:r>
        <w:rPr>
          <w:rFonts w:ascii="Amiri" w:hAnsi="Amiri" w:eastAsia="Amiri" w:cs="Amiri"/>
          <w:color w:val="111111"/>
          <w:sz w:val="28"/>
          <w:sz w:val="28"/>
          <w:szCs w:val="28"/>
          <w:rtl w:val="true"/>
          <w:lang w:bidi="ar-SA"/>
        </w:rPr>
        <w:t>فإنّ الأوّل كالصريح في عدم ولاية الوصي المطلق على أمر الزواج و النكاح، و الثاني دلّ على ذلك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نكتة، و هي أنّه وقع الكلام في اشتراط حياة الأب في ولاية الجدّ، فعن الصدوق و الشيخ و بني الجنيد و البراج و زهرة و أبي الصلاح اشتراطه؛ خلافاً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للاشتراط برواية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إنّ الجدّ إذا زوّج ابنة ابنه و كان أبوها حياً و كان الجدّ مرضياً جاز</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حكم في الشرائع بضعفها و في الجواهر بكونها موثقة</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في الجواهر 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توهم ضعفها ناش من جعفر بن سماعة الواقع في طريقها بزعم كونه عمّ الحسن بن محمد بن سماعة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توهّمٌ غير وجيه؛ نظراً إلى إطلاق هذا الاسم كثيراً ما على جعفر بن محمد بن سماعة أخي الحسن و هو معروف، صاحب أصل رواه الحسن، بخلاف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دار الاسم المشترك بين معروف و غيره ينصرف إلى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أنّها موثقة، كما 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فاستدل بمفهوم الحال أو الوصف في قوله</w:t>
      </w:r>
    </w:p>
    <w:p>
      <w:pPr>
        <w:pStyle w:val="BookText"/>
        <w:rPr/>
      </w:pPr>
      <w:r>
        <w:rPr>
          <w:rFonts w:ascii="Amiri" w:hAnsi="Amiri" w:eastAsia="Amiri" w:cs="Amiri"/>
          <w:color w:val="111111"/>
          <w:sz w:val="28"/>
          <w:sz w:val="28"/>
          <w:szCs w:val="28"/>
          <w:rtl w:val="true"/>
          <w:lang w:bidi="ar-SA"/>
        </w:rPr>
        <w:t>و كان أبوها حياً، كما أنّ المفهوم ثابت بهذا المنوال في قوله</w:t>
      </w:r>
    </w:p>
    <w:p>
      <w:pPr>
        <w:pStyle w:val="BookText"/>
        <w:rPr/>
      </w:pPr>
      <w:r>
        <w:rPr>
          <w:rFonts w:ascii="Amiri" w:hAnsi="Amiri" w:eastAsia="Amiri" w:cs="Amiri"/>
          <w:color w:val="111111"/>
          <w:sz w:val="28"/>
          <w:sz w:val="28"/>
          <w:szCs w:val="28"/>
          <w:rtl w:val="true"/>
          <w:lang w:bidi="ar-SA"/>
        </w:rPr>
        <w:t>و كان الجدّ مرضياً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مخدوش؛ لأنّ فرض حياة الأب من قبيل تمهيد الموضوع لبيان حكم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7" w:name="pg937_11062"/>
    </w:p>
    <w:p>
      <w:pPr>
        <w:pStyle w:val="BookText"/>
        <w:rPr/>
      </w:pPr>
      <w:bookmarkEnd w:id="227"/>
      <w:r>
        <w:rPr>
          <w:rFonts w:ascii="Amiri" w:hAnsi="Amiri" w:eastAsia="Amiri" w:cs="Amiri"/>
          <w:color w:val="111111"/>
          <w:sz w:val="28"/>
          <w:sz w:val="28"/>
          <w:szCs w:val="28"/>
          <w:rtl w:val="true"/>
          <w:lang w:bidi="ar-SA"/>
        </w:rPr>
        <w:t xml:space="preserve">و مع فقده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صورة تخالف إرادة الجدّ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ولاية الجد إذا كانت ثابتة مع وجود المعارض و هو حياة الأب فعند عدم المعارض ثابتةٌ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لا تتم دلالتها على المطلوب في نفسها، فضلاً عن كونها أظهر من إطلاقات النصوص الواردة في ثبوت الولاية للجد، حتى مع فرض حياة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لتقيد إطلاقات المقام قطعاً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33457_373438147"/>
      <w:bookmarkStart w:id="229" w:name="_Toc85"/>
      <w:bookmarkEnd w:id="228"/>
      <w:r>
        <w:rPr>
          <w:rtl w:val="true"/>
        </w:rPr>
        <w:t>ولاية الحاكم الشرعي</w:t>
      </w:r>
      <w:bookmarkEnd w:id="229"/>
    </w:p>
    <w:p>
      <w:pPr>
        <w:pStyle w:val="BookText"/>
        <w:rPr/>
      </w:pPr>
      <w:r>
        <w:rPr>
          <w:rStyle w:val="FootnoteAnchor"/>
          <w:rtl w:val="true"/>
        </w:rPr>
        <w:footnoteReference w:id="435"/>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الحاكم على نكاح اليتامى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شئونهم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فقدان الوصي،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فقدانه، فالظاهر ثبوت الولاية للحاكم حينئذٍ، و لو من باب الحسبة؛ لأنّه القدر المتيقن ممن يجوز له التصدي لشئون اليتيم حينئذٍ</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بعدم كون المقام من الحسبة، فمدفوع بعدم انحصار مصلحة النكاح في الوطء؛ لكي تنتفي الحاجة إلى النكاح بدونه، كما أجاب بذلك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مفتاح الكرامة عدم الخلاف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إنّهما إن فُقِدا فالولاية للوصي لأحدهما فإن فقد الوصي فالحاكم، فلا خلاف في ذلك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ترتيباً و لا في كون المراد بالحاكم حيث يُطلَق من يَعُمّ الفقيه المأمون الجامع لشرائط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بعض الأخبار ثبوت الولاية للحاكم مع فقد الوصي و للمؤمنين مع فقده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مقصوده من الأخبار ما ورد في باب الوصية من الأخبار الدالّة على ذلك، و قد ذكرناها في كتاب الوصية من 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دلّ على ثبوت الولاية العامّة للفقيه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بثبوت الولاية للحاكم مع فقد الوصي هو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فعمدة الكلام في صورة وجود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فالمشهور عدم ثبوت الولاية للحاكم على نكاح الصغار مطلقاً، كما في الروضة</w:t>
      </w:r>
      <w:r>
        <w:rPr>
          <w:rStyle w:val="FootnoteAnchor"/>
          <w:rtl w:val="true"/>
        </w:rPr>
        <w:footnoteReference w:id="437"/>
      </w:r>
      <w:r>
        <w:rPr>
          <w:rFonts w:ascii="IRNazanin" w:hAnsi="IRNazanin" w:eastAsia="IRNazanin"/>
          <w:color w:val="111111"/>
          <w:sz w:val="28"/>
          <w:sz w:val="28"/>
          <w:szCs w:val="28"/>
          <w:rtl w:val="true"/>
          <w:lang w:bidi="fa-IR"/>
        </w:rPr>
        <w:t>و الجواهر</w:t>
      </w:r>
      <w:r>
        <w:rPr>
          <w:rStyle w:val="FootnoteAnchor"/>
          <w:rtl w:val="true"/>
        </w:rPr>
        <w:footnoteReference w:id="438"/>
      </w:r>
      <w:r>
        <w:rPr>
          <w:rFonts w:ascii="Amiri" w:hAnsi="Amiri" w:eastAsia="Amiri" w:cs="Amiri"/>
          <w:color w:val="111111"/>
          <w:sz w:val="28"/>
          <w:sz w:val="28"/>
          <w:szCs w:val="28"/>
          <w:rtl w:val="true"/>
          <w:lang w:bidi="ar-SA"/>
        </w:rPr>
        <w:t>، و نسبه في الحدائق</w:t>
      </w:r>
      <w:r>
        <w:rPr>
          <w:rStyle w:val="FootnoteAnchor"/>
          <w:rtl w:val="true"/>
        </w:rPr>
        <w:footnoteReference w:id="439"/>
      </w:r>
      <w:r>
        <w:rPr>
          <w:rFonts w:ascii="Amiri" w:hAnsi="Amiri" w:eastAsia="Amiri" w:cs="Amiri"/>
          <w:color w:val="111111"/>
          <w:sz w:val="28"/>
          <w:sz w:val="28"/>
          <w:szCs w:val="28"/>
          <w:rtl w:val="true"/>
          <w:lang w:bidi="ar-SA"/>
        </w:rPr>
        <w:t>إلى الأصحاب و كذا في المستمسك</w:t>
      </w:r>
      <w:r>
        <w:rPr>
          <w:rStyle w:val="FootnoteAnchor"/>
          <w:rtl w:val="true"/>
        </w:rPr>
        <w:footnoteReference w:id="440"/>
      </w:r>
      <w:r>
        <w:rPr>
          <w:rFonts w:ascii="Amiri" w:hAnsi="Amiri" w:eastAsia="Amiri" w:cs="Amiri"/>
          <w:color w:val="111111"/>
          <w:sz w:val="28"/>
          <w:sz w:val="28"/>
          <w:szCs w:val="28"/>
          <w:rtl w:val="true"/>
          <w:lang w:bidi="ar-SA"/>
        </w:rPr>
        <w:t>، بل نقل فيه عن رسالة الشيخ الأنصاري أنّه لا يبعد 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لا إجماع في المقام؛ نظراً إلى وجود المخالف في المسألة، مع أنّهم استندوا في ذلك إلى وجوه تخرج الإجماع عن كونه كاشفاً تعبدياً، فهو ساقط عن الحجية في مثل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للمشهور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عدم ثبوت الولاية لأحد ما دام لم يدلّ عليه دليل قطعي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لا دليل على ولاية الحاكم على نكاح اليتامى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ولاية الحاكم إنّما هي ثابتة من باب الحسبة، و هي في أُمور لا بدّ من القيام بها للحاجة إليها، بحيث لا يرضى الشارع بتركها و تعطيلها، و لا حاجة إلى تزويج الصغار؛ لأنّ مصلحة النكاح هي الوطء و الجماع و الاستمتاع الجنسي، و الفرض عدم قابلية الصغير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مقطوع بعمومات ولاية الحاكم، كالنبوي المروي عن العامة</w:t>
      </w:r>
    </w:p>
    <w:p>
      <w:pPr>
        <w:pStyle w:val="BookText"/>
        <w:rPr/>
      </w:pPr>
      <w:r>
        <w:rPr>
          <w:rFonts w:ascii="Amiri" w:hAnsi="Amiri" w:eastAsia="Amiri" w:cs="Amiri"/>
          <w:color w:val="111111"/>
          <w:sz w:val="28"/>
          <w:sz w:val="28"/>
          <w:szCs w:val="28"/>
          <w:rtl w:val="true"/>
          <w:lang w:bidi="ar-SA"/>
        </w:rPr>
        <w:t>السلطان وليٌّ من لا وليَّ له</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معتبرة أبي خديجة</w:t>
      </w:r>
    </w:p>
    <w:p>
      <w:pPr>
        <w:pStyle w:val="BookText"/>
        <w:rPr/>
      </w:pPr>
      <w:r>
        <w:rPr>
          <w:rFonts w:ascii="Amiri" w:hAnsi="Amiri" w:eastAsia="Amiri" w:cs="Amiri"/>
          <w:color w:val="111111"/>
          <w:sz w:val="28"/>
          <w:sz w:val="28"/>
          <w:szCs w:val="28"/>
          <w:rtl w:val="true"/>
          <w:lang w:bidi="ar-SA"/>
        </w:rPr>
        <w:t>فإنّي قد جعلته عليكم قاضياً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النبوي لا اعتبار له سنداً، و المعتبرة موردٌ للنقاش دلالة؛ لأنّ كون أمر نكاح الصغار من شئون القضاء أوّل الكلام، بل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النبوي معمولاً به عند مشهور القدماء من البعيد؛ لعدم تعرّضهم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الصحيح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المزبور مقطوع بالأدلّة القطعية على ثبوت الولاية للفقيه الجامع لشرائط الفتوى، من الضرورة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بيان ذلك مفصّلاً في البحث عن أدلّة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قطع الأصل النافي بالدليل لا تصل النوبة إلى التوسّل بدليل الحسبة لإثبات ولاية الحاكم، بل المحكّم هو مفاد نفس ذلك الدليل القاطع للأصل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النكاح لا تنحصر في الوطء كما قال في الجواهر</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تكون في أمر آخر، كقرابة المصاهرة و سائر الاستمتاعات من غير الوطء، نعم يستفاد نفي ترتّب بعض الآثار على نكاح غير الأب و الجدّ، كما دلّ على ذلك بعض النصوص، مثل صحيحتي محمد بن مسلم</w:t>
      </w:r>
      <w:r>
        <w:rPr>
          <w:rStyle w:val="FootnoteAnchor"/>
          <w:rtl w:val="true"/>
        </w:rPr>
        <w:footnoteReference w:id="444"/>
      </w:r>
      <w:r>
        <w:rPr>
          <w:rFonts w:ascii="Amiri" w:hAnsi="Amiri" w:eastAsia="Amiri" w:cs="Amiri"/>
          <w:color w:val="111111"/>
          <w:sz w:val="28"/>
          <w:sz w:val="28"/>
          <w:szCs w:val="28"/>
          <w:rtl w:val="true"/>
          <w:lang w:bidi="ar-SA"/>
        </w:rPr>
        <w:t>و الحذّاء</w:t>
      </w:r>
      <w:r>
        <w:rPr>
          <w:rStyle w:val="FootnoteAnchor"/>
          <w:rtl w:val="true"/>
        </w:rPr>
        <w:footnoteReference w:id="445"/>
      </w:r>
      <w:r>
        <w:rPr>
          <w:rFonts w:ascii="Amiri" w:hAnsi="Amiri" w:eastAsia="Amiri" w:cs="Amiri"/>
          <w:color w:val="111111"/>
          <w:sz w:val="28"/>
          <w:sz w:val="28"/>
          <w:szCs w:val="28"/>
          <w:rtl w:val="true"/>
          <w:lang w:bidi="ar-SA"/>
        </w:rPr>
        <w:t>حيث دلّتا على نفي التوارث عن نكاح غير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ولاية الحاكم على الصغار في غير أمر النكاح و لو من باب الحسبة، فلا خلاف فيه في صورة فقدان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وجوده فلا ولاية له ما دام الوصي واجداً للشرائط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لدلالة النصوص المعتبرة على ولاية الوصي على الصغار، كما سبق ذكرها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ذلك بين فقهائنا، كما سبق آنفاً عن مفتاح الكرامة، فإنّ مقصوده ظاهراً في غير أمر النكاح، و إلّا فهو مذعنٌ بذهاب الأصحاب إلى عدم ولاية الحاكم على نكاح الصغير مطلقاً، و كذا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ولاية الفقيه و الحاكم الشرعي إنّما تثبت مع عدم وجود الأب و الوصي، كما ادعى في المفتاح الإجماع على هذا الترتيب، و لا أقل من كونه ظاهر عبارات كثير من الأصحاب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وجود الأب بل الوصي، لا 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دلّ من النصوص على ثبوت الولاية لهما بعنوانهما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صارا فاقدين للصلاحية تصل النوبة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0" w:name="pg937_11070"/>
    </w:p>
    <w:p>
      <w:pPr>
        <w:pStyle w:val="Heading3"/>
        <w:numPr>
          <w:ilvl w:val="2"/>
          <w:numId w:val="1"/>
        </w:numPr>
        <w:rPr/>
      </w:pPr>
      <w:bookmarkStart w:id="231" w:name="__RefHeading___Toc733459_373438147"/>
      <w:bookmarkStart w:id="232" w:name="_Toc86"/>
      <w:bookmarkEnd w:id="230"/>
      <w:bookmarkEnd w:id="231"/>
      <w:r>
        <w:rPr>
          <w:rtl w:val="true"/>
        </w:rPr>
        <w:t>عدم الولاية للاُمّ و الجدّ للاُمّ و الأخ و العمّ و الخال</w:t>
      </w:r>
      <w:bookmarkEnd w:id="232"/>
    </w:p>
    <w:p>
      <w:pPr>
        <w:pStyle w:val="BookText"/>
        <w:rPr/>
      </w:pPr>
      <w:r>
        <w:rPr>
          <w:rFonts w:ascii="Amiri" w:hAnsi="Amiri" w:eastAsia="Amiri" w:cs="Amiri"/>
          <w:color w:val="111111"/>
          <w:sz w:val="28"/>
          <w:sz w:val="28"/>
          <w:szCs w:val="28"/>
          <w:rtl w:val="true"/>
          <w:lang w:bidi="ar-SA"/>
        </w:rPr>
        <w:t xml:space="preserve">و أمّا الاُمّ و الجدّ للاُمّ و الأخ فضلاً عن سائر الأقارب فلا ولاية لهم عليه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وقع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الأُمّ،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للاُمّ،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 و رابعة في العمّ و الخال و أولادهما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 فالمعروف بين فقهائنا عدم ثبوت الولاية لها على الصغار، بل حكي الإجماع على ذلك في كلمات غير واحد، كما عن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البرهان</w:t>
      </w:r>
      <w:r>
        <w:rPr>
          <w:rStyle w:val="FootnoteAnchor"/>
          <w:rtl w:val="true"/>
        </w:rPr>
        <w:footnoteReference w:id="447"/>
      </w:r>
      <w:r>
        <w:rPr>
          <w:rFonts w:ascii="Amiri" w:hAnsi="Amiri" w:eastAsia="Amiri" w:cs="Amiri"/>
          <w:color w:val="111111"/>
          <w:sz w:val="28"/>
          <w:sz w:val="28"/>
          <w:szCs w:val="28"/>
          <w:rtl w:val="true"/>
          <w:lang w:bidi="ar-SA"/>
        </w:rPr>
        <w:t>و في مفتاح الكرامة أنّه لا خلاف في ذلك</w:t>
      </w:r>
      <w:r>
        <w:rPr>
          <w:rStyle w:val="FootnoteAnchor"/>
          <w:rtl w:val="true"/>
        </w:rPr>
        <w:footnoteReference w:id="448"/>
      </w:r>
      <w:r>
        <w:rPr>
          <w:rFonts w:ascii="Amiri" w:hAnsi="Amiri" w:eastAsia="Amiri" w:cs="Amiri"/>
          <w:color w:val="111111"/>
          <w:sz w:val="28"/>
          <w:sz w:val="28"/>
          <w:szCs w:val="28"/>
          <w:rtl w:val="true"/>
          <w:lang w:bidi="ar-SA"/>
        </w:rPr>
        <w:t>، و كذا في الجواهر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ينسب الخلاف إلّا إلى ابن الجنيد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 الإجماع على خلافه</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اعتبار بالإجماع في مثل المقام؛ لاستناد الفقهاء في المقام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الولاية لأحد إلّا بدليل من الشارع، و لم يرد منه دليل يدلّ على ولاية الأُمّ، بل الدليل على خلاف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النصوص على حصر الولاية في الأب، كما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يتزوّج الصبية يتوارثان؟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أبواهما اللذان زوّجاهما فنعم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مفهوم هذه الصحيحة عدم ثبوت الولاية لغير الأب و لا يخرج عن عموم هذا المفهوم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دليلٌ يخرجنا عن تحته، إلّا في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تثنية الأب فقد سبق أنّه بلحاظ أب الصبي و أب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لا تنكح ذوات الآباء من الأبكار إلّا بإذن آبائهنّ‌</w:t>
      </w:r>
      <w:r>
        <w:rPr>
          <w:rStyle w:val="FootnoteAnchor"/>
          <w:rtl w:val="true"/>
        </w:rPr>
        <w:footnoteReference w:id="452"/>
      </w:r>
      <w:r>
        <w:rPr>
          <w:rFonts w:ascii="Amiri" w:hAnsi="Amiri" w:eastAsia="Amiri" w:cs="Amiri"/>
          <w:color w:val="111111"/>
          <w:sz w:val="28"/>
          <w:sz w:val="28"/>
          <w:szCs w:val="28"/>
          <w:rtl w:val="true"/>
          <w:lang w:bidi="ar-SA"/>
        </w:rPr>
        <w:t>، فإنّ مدلول هذه الصحيحة و إن يختص بزمان حياة الأب، إلّا أنّ محلّ الكلام و هو ثبوت الولاية للاُم يشمل حال حياة الأب، كما يظهر من استدلال المخالف برواية إبراهيم بن ميمون، 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للمخالف برواية إبراهيم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فإنّ إبراهيم بن ميمون لم يرد فيه أيّ توثيق، بل و 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لها على استقلال الأُمّ في الولاية، بل غاية مدلولها ثبوت الولاية لها منضمّة إلى الأب و لم يقل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هذه الرواية للدليلية بوجه، فضلاً عن معارضتها للنصوص الحاصرة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الجدّ للاُمّ فلا دليل على ولايته، و لم يقل بثبوت الولاية له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الترديد في ثبوت الولاية لجدّ أُمّ الأب من العلّامة في التذكرة، و لذا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منه السيد الحكيم؛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الغريب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جدّ أُمّ الأب لا ولاية له مع جدّ أب الأب و مع انفراده نظر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لذلك بإطلاق لفظ الجدّ عليه فيدخل في نطاق ما دلّ على ولاية الجدّ؛ حيث إنّ الوارد في نصوص المقام هو لفظ الجدّ من غير تقييد بكونه للأب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أولى بذلك في موثق عبيد بن زرارة</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أولى بنكاحها في صحيح ابن مسلم</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 هشام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 الرجل ابنة ابنه فهو جائز في صدر صحيح ابن مسلم قرينة قطعية على كون المراد من الجدّ في ذيله هو الجد للأب؛ لأنّه الذي تكون الصغيرة المزوّجة ابنة ابنه، دون الجدّ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الخبر الآخر لعبيد بن زرارة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لفظ الجدّ عند الإطلاق هو الجدّ للأب، دون الجدّ للاُمّ، فلا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 و العمّ و الخال و أولادهما فلا خلاف في عدم ثبوت الولاية لهم على الصغار، و لم يدلّ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بعض النصوص ثبوت الولاية للأخ، مثل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الأب و الأخ</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يوصى إليه</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 ابن مسلم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هذه النصوص مرسل الحسن بن علي عن بعض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ascii="Amiri" w:hAnsi="Amiri" w:eastAsia="Amiri" w:cs="Amiri"/>
          <w:color w:val="111111"/>
          <w:sz w:val="28"/>
          <w:sz w:val="28"/>
          <w:szCs w:val="28"/>
          <w:rtl w:val="true"/>
          <w:lang w:bidi="ar-SA"/>
        </w:rPr>
        <w:t>الأخ الأكبر بمنزلة الأب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النصوص حملت على التقية، كما عن الشيخ الطوسي</w:t>
      </w:r>
      <w:r>
        <w:rPr>
          <w:rStyle w:val="FootnoteAnchor"/>
          <w:rtl w:val="true"/>
        </w:rPr>
        <w:footnoteReference w:id="462"/>
      </w:r>
      <w:r>
        <w:rPr>
          <w:rFonts w:ascii="IRNazanin" w:hAnsi="IRNazanin" w:eastAsia="IRNazanin"/>
          <w:color w:val="111111"/>
          <w:sz w:val="28"/>
          <w:sz w:val="28"/>
          <w:szCs w:val="28"/>
          <w:rtl w:val="true"/>
          <w:lang w:bidi="fa-IR"/>
        </w:rPr>
        <w:t>و صاحب الجواهر</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الأخ وكيلاً لها أو استحباب وكالتها، كما عن صاحب الوسائل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في الجواهر أيضاً على الولاية العرفية بمعنى أنّ هؤلاء و أشباههم لا ينبغي مخالفتهم في ذلك ما لم يضارّوا بالصغار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دلالة بعض النصوص على عدم ثبوت الولاية للأخ،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يريد أن يزوّج أُخته،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يؤامرها، فإن سكتت فهو إقرارها و إن أبت لا يزوّجها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يريد أن يزوّج أُخته،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يؤامرها فإن سكتت فهو إقرارها، و إن أبت لم يزوّجها، و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زوّجها ممّن ترضى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3" w:name="pg937_11079"/>
    </w:p>
    <w:p>
      <w:pPr>
        <w:pStyle w:val="BookText"/>
        <w:rPr/>
      </w:pPr>
      <w:bookmarkEnd w:id="233"/>
      <w:r>
        <w:rPr>
          <w:rFonts w:ascii="Amiri" w:hAnsi="Amiri" w:eastAsia="Amiri" w:cs="Amiri"/>
          <w:color w:val="111111"/>
          <w:sz w:val="28"/>
          <w:sz w:val="28"/>
          <w:szCs w:val="28"/>
          <w:rtl w:val="true"/>
          <w:lang w:bidi="ar-SA"/>
        </w:rPr>
        <w:t xml:space="preserve">نعم الظاهر ثبوتها مع فقد الحاكم للمؤمنين مع وصف العدالة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وقوع المعارضة بين هاتين الطائفتين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بعد سقوطهما هو عموم النصوص الحاصرة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 فلا خلاف أيضاً في عدم ولاية له على صغار أولاد أخيه، مع أنّه مقتضى الأصل المستفاد من مفهوم 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رواية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بني عمّي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صبية زوّجها عمّها فلمّا كبرت أبت التزويج؟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لا تكره على ذلك و الأمر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الخال و أولاد العمّ و الخال فلم تدلّ أيّة رواية على ولايتهم على الصغار و لم يذهب إليه أحد</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733461_373438147"/>
      <w:bookmarkStart w:id="235" w:name="_Toc87"/>
      <w:bookmarkEnd w:id="234"/>
      <w:r>
        <w:rPr>
          <w:rtl w:val="true"/>
        </w:rPr>
        <w:t>ولاية عدول المؤمنين</w:t>
      </w:r>
      <w:bookmarkEnd w:id="2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r>
        <w:rPr>
          <w:rFonts w:ascii="Amiri" w:hAnsi="Amiri" w:eastAsia="Amiri" w:cs="Amiri"/>
          <w:color w:val="111111"/>
          <w:sz w:val="28"/>
          <w:sz w:val="28"/>
          <w:szCs w:val="28"/>
          <w:rtl w:val="true"/>
          <w:lang w:bidi="ar-SA"/>
        </w:rPr>
        <w:t>يظهر من عبائر عدّة من الفقهاء عدم الولاية لأحد على أموال الصغار و شئونهم حينئذٍ، حتى الأخ و العمّ و الخال و الأُمّ فضلاً عن سائر المؤمنين، كما عن صريح محكي ابن إدريس و التذكرة و مجمع البرهان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Style w:val="FootnoteAnchor"/>
          <w:rtl w:val="true"/>
        </w:rPr>
        <w:footnoteReference w:id="468"/>
      </w:r>
      <w:r>
        <w:rPr>
          <w:rFonts w:ascii="Amiri" w:hAnsi="Amiri" w:eastAsia="Amiri" w:cs="Amiri"/>
          <w:color w:val="111111"/>
          <w:sz w:val="28"/>
          <w:sz w:val="28"/>
          <w:szCs w:val="28"/>
          <w:rtl w:val="true"/>
          <w:lang w:bidi="ar-SA"/>
        </w:rPr>
        <w:t>أنّ الذي صرّح به الشيخ و تبعه الأكثر ثبوت الولاية لعدول المؤمنين مع فقد الحاكم</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السلطان الذي يتولّى ذلك أو يأمر به جاز لبعض المؤمنين أن ينظر في ذلك من قبل نفسه و يستعمل فيه الأمانة و يؤدّيها من غير إضرارٍ بالورثة و يكون ما يفعله صحيحاً ماضياً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 في السرائر، بعد نقل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ذكره شيخنا أبو جعفر في نهايته، و الذي يقتضيه المذهب أنّه إذا لم يكن سلطان يتولّى ذلك فالأمر فيه إلى فقهاء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الرأي و الصلاح،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ولَّوهم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لمن ليس بفقيه تولّي ذلك بحال، فإنّ تولّاه فإنّه لا يمضي شيء مما يفعله؛ لأنّه ليس له ذلك بحالٍ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رجّح في المسالك قول الشيخ نافياً للبأس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موضع آخر من الحدائق أنّ هذا القول هو المشهور</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رجّحه بعد ذكر الأخبار الدالّة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الظاهر من هذه الأخبار باعتبار ضمّ بعضها إلى بعضٍ و حمل مطلقها على مقيّدها و مجملها على مفصّلها، هو ما صرّح به الأكثر؛ فإنّه هو الأقرب منها و الأظهر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ذهب إلى ذلك صاحب الجواهر، فإنّه بعد الاستشهاد لذلك بقاعدة الإحسان و دفع الضرر و حكاية فعل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به حينئذٍ لا يخلو من قوّة؛ وفاقاً لصريح بعض الأصحاب، بل نسب إلى مشهورهم،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نسب ذلك إليهم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الأصل عدم الولاية لأحد إلّا بالدليل لأنّ الشك في أصل مشروعية التصرّف؛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قرّرناه في محله من عدم ولاية أحد على غيره، إلّا بدليل وارد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تصرف أحد في مال غيره، إلّا بإذنه أو بإذن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أصل مشروعيته باحتمال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حفظ أموال الميت من الضياع و القيام بإيصالها إلى مستحقيه مما لا بدّ منه، و يتعذّر الوصول إلى الحاكم و دار الأمر بين عدول المؤمنين و غيرهم يكون المتيقن من رضى الشارع ولاية العدول دون غيرهم بل هو الأقوى؛ نظراً إلى أنّه مقتضى الإطلاقات، مثل قوله تعالى لا يَنالُ عَهْدِي الظّالِمِينَ‌</w:t>
      </w:r>
      <w:r>
        <w:rPr>
          <w:rStyle w:val="FootnoteAnchor"/>
          <w:rtl w:val="true"/>
        </w:rPr>
        <w:footnoteReference w:id="474"/>
      </w:r>
      <w:r>
        <w:rPr>
          <w:rFonts w:ascii="Amiri" w:hAnsi="Amiri" w:eastAsia="Amiri" w:cs="Amiri"/>
          <w:color w:val="111111"/>
          <w:sz w:val="28"/>
          <w:sz w:val="28"/>
          <w:szCs w:val="28"/>
          <w:rtl w:val="true"/>
          <w:lang w:bidi="ar-SA"/>
        </w:rPr>
        <w:t>و قوله وَ لا تَرْكَنُوا إِلَى الَّذِينَ ظَلَمُوا فَتَمَسَّكُمُ النّارُ</w:t>
      </w:r>
      <w:r>
        <w:rPr>
          <w:rStyle w:val="FootnoteAnchor"/>
          <w:rtl w:val="true"/>
        </w:rPr>
        <w:footnoteReference w:id="475"/>
      </w:r>
      <w:r>
        <w:rPr>
          <w:rFonts w:ascii="Amiri" w:hAnsi="Amiri" w:eastAsia="Amiri" w:cs="Amiri"/>
          <w:color w:val="111111"/>
          <w:sz w:val="28"/>
          <w:sz w:val="28"/>
          <w:szCs w:val="28"/>
          <w:rtl w:val="true"/>
          <w:lang w:bidi="ar-SA"/>
        </w:rPr>
        <w:t>فإنّ تولية الأُمور من شئون الولاية المفسّر بها العهد في الآية الأُولى، كما أنّه نوع من الركون المنهي عنه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استدلّ لولايتهم بقاعدة الإحسان و نفي الضرر و حكاية فعل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يصلح شيء من ذلك للدليلية على ثبوت الولاية لعدول المؤمنين على الأيتام و الصغار عند فقد الولي و الحاكم، نعم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العمدة في الاستدلال لذلك هي النصوص، و قد دلّ على ذلك عدة نصوص معتبرة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بزيع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 لا يوصي إلى أحد و يخلّف جواري فيقيم القاضي رجلاً منّا ليبيعهنّ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 فما ترى في ذلك؟ قال</w:t>
      </w:r>
    </w:p>
    <w:p>
      <w:pPr>
        <w:pStyle w:val="BookText"/>
        <w:rPr/>
      </w:pPr>
      <w:r>
        <w:rPr>
          <w:rFonts w:ascii="Amiri" w:hAnsi="Amiri" w:eastAsia="Amiri" w:cs="Amiri"/>
          <w:color w:val="111111"/>
          <w:sz w:val="28"/>
          <w:sz w:val="28"/>
          <w:szCs w:val="28"/>
          <w:rtl w:val="true"/>
          <w:lang w:bidi="ar-SA"/>
        </w:rPr>
        <w:t>إذا كان القيّم مثلك و مثل عبد الحميد فلا بأس</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 قاضي الكوفة لم يكن شيعياً إمامياً عادلاً، و لم تكن له ولاية، بل كان في 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انتفاء ما هو مانع من ثبوت الولاية، من الخصوصيات و الصفات التي كانت في قاضي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الصفات هي كون الرجل مخالفاً فاسقاً، و لمّا كان مثل عبد الحميد إمامياً عدلاً ينتفي المانع من ثبوت الولاية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لذلك النصوص الناهية عن الرجوع إلى 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البأس إثبات ولاية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احتمل الشيخ الأعظم</w:t>
      </w:r>
      <w:r>
        <w:rPr>
          <w:rStyle w:val="FootnoteAnchor"/>
          <w:rtl w:val="true"/>
        </w:rPr>
        <w:footnoteReference w:id="477"/>
      </w:r>
      <w:r>
        <w:rPr>
          <w:rFonts w:ascii="Amiri" w:hAnsi="Amiri" w:eastAsia="Amiri" w:cs="Amiri"/>
          <w:color w:val="111111"/>
          <w:sz w:val="28"/>
          <w:sz w:val="28"/>
          <w:szCs w:val="28"/>
          <w:rtl w:val="true"/>
          <w:lang w:bidi="ar-SA"/>
        </w:rPr>
        <w:t>في المراد من المماثلة أربع احتمالات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التشيّع أو في الوثاقة و ملاحظة مصلحة اليتيم، أو في الفقاهة، أو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دفع الاحتمال الثالث بعدم كون إطلاق مفهومه قابلاً للالتزام و هو عدم ثبوت الولاية لأحد في صورة تعذر الوصول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السيد الخوئي</w:t>
      </w:r>
      <w:r>
        <w:rPr>
          <w:rStyle w:val="FootnoteAnchor"/>
          <w:rtl w:val="true"/>
        </w:rPr>
        <w:footnoteReference w:id="478"/>
      </w:r>
      <w:r>
        <w:rPr>
          <w:rFonts w:ascii="Amiri" w:hAnsi="Amiri" w:eastAsia="Amiri" w:cs="Amiri"/>
          <w:color w:val="111111"/>
          <w:sz w:val="28"/>
          <w:sz w:val="28"/>
          <w:szCs w:val="28"/>
          <w:rtl w:val="true"/>
          <w:lang w:bidi="ar-SA"/>
        </w:rPr>
        <w:t>نقضاً بورود هذا الإشكال في الاحتمال الرابع أيضاً؛ إذ عدم جواز التصرف لأحد في صورة عدم وجود عدول المؤمنين غير قابل للالتزام؛ لعدم رضى الشارع بتعطيل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حلاّ بأنّ أصالة الإطلاق شأنها كسائر الأُصول اللفظية إنّما تحكّم عند الشك في أصل مراد المتكلم و في المقام لا شك في إرادة وصول النوبة إلى العدول عند فقد الحاكم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مقتضى التحقيق أنّ ظاهر هذه الرواية بقرينة سياق الكلام 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 و الرابع؛ أي التشيّع و العدالة؛ لما بيّنّاه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 العلم بالأحكام الشرعية و الفقاهة لا يقصر عن العدالة في إناطة جواز التصرف به؛ لأنّ الجاهل لا يدري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عبد الحميد كان صاحب أصل روائي، فمن القريب جدّاً إرادة المماثلة من جهة الفقاهة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إرادة مطلق المماثلة حتى التشيع؛ نظراً إلى عدم اعتبار حكم قاضي الكوفة؛ لعدم تشيّعه بل إنّه بحكم الطاغوت، كما في مقبولة ابن حنظلة و معتبرة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أنّه إذا كان القيّم مثلك و مثل عبد الحميد إمامياً عدلاً و عالماً بالأحكام الشرعية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هذه الصحيحة ولاية عدول المؤمنين ما لم يكونوا عالمين بالأحكام الشرعية، و لو عن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قام رجل ثقة قاسمهم ذلك كلّه فلا بأس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صحيح إسماعيل بن سعد القمي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الأكابر من ولده معه في البيع، فلا بأس به إذا رضي الورثة بالبيع و قام عدل في ذلك</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ولاية عدول المؤمنين على تصدّي أمر اليتامى على وجه الاسترضاء و المصالحة بين الورثة، لا على وجه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رئاب</w:t>
      </w:r>
    </w:p>
    <w:p>
      <w:pPr>
        <w:pStyle w:val="BookText"/>
        <w:rPr/>
      </w:pPr>
      <w:r>
        <w:rPr>
          <w:rFonts w:ascii="Amiri" w:hAnsi="Amiri" w:eastAsia="Amiri" w:cs="Amiri"/>
          <w:color w:val="111111"/>
          <w:sz w:val="28"/>
          <w:sz w:val="28"/>
          <w:szCs w:val="28"/>
          <w:rtl w:val="true"/>
          <w:lang w:bidi="ar-SA"/>
        </w:rPr>
        <w:t>إن كان لهم وليّ يقوم بأمرهم، باع عليهم و نظر لهم، كان مأجوراً و قوله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بذلك إذا باع عليهم القيّم لهم الناظر فيما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يصلحهم، و ليس لهم أن يرجعوا عمّا صنع القيّم لهم و الناظر لهم فيما يصلحهم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الحمل إطلاق لفظ</w:t>
      </w:r>
    </w:p>
    <w:p>
      <w:pPr>
        <w:pStyle w:val="BookText"/>
        <w:rPr/>
      </w:pPr>
      <w:r>
        <w:rPr>
          <w:rFonts w:ascii="Amiri" w:hAnsi="Amiri" w:eastAsia="Amiri" w:cs="Amiri"/>
          <w:color w:val="111111"/>
          <w:sz w:val="28"/>
          <w:sz w:val="28"/>
          <w:szCs w:val="28"/>
          <w:rtl w:val="true"/>
          <w:lang w:bidi="ar-SA"/>
        </w:rPr>
        <w:t>القيّم الناظر المنصرف عن الحاكم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عدل في ذلك، يدلّ على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الصحيحتان كافيتان لإثبات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احتاط فيه السيد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هو الأقوى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فرض عدم وجود العدل يجب على كل مكلّف متمكّن من ذلك تولّي أُمور الصغار و القصّر؛ نظراً إلى القطع بعدم رضى الشارع بتركها و تعطيلها بأيّ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6" w:name="pg937_11092"/>
    </w:p>
    <w:p>
      <w:pPr>
        <w:pStyle w:val="Heading2"/>
        <w:numPr>
          <w:ilvl w:val="1"/>
          <w:numId w:val="1"/>
        </w:numPr>
        <w:rPr/>
      </w:pPr>
      <w:bookmarkStart w:id="237" w:name="__RefHeading___Toc733463_373438147"/>
      <w:bookmarkStart w:id="238" w:name="_Toc88"/>
      <w:bookmarkEnd w:id="236"/>
      <w:bookmarkEnd w:id="237"/>
      <w:r>
        <w:rPr>
          <w:rtl w:val="true"/>
        </w:rPr>
        <w:t>الرشوة إلى الولاة و العمّال و القضاة</w:t>
      </w:r>
      <w:bookmarkEnd w:id="23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733465_373438147"/>
      <w:bookmarkStart w:id="240" w:name="_Toc89"/>
      <w:bookmarkEnd w:id="239"/>
      <w:r>
        <w:rPr>
          <w:rtl w:val="true"/>
        </w:rPr>
        <w:t>اشارة</w:t>
      </w:r>
      <w:bookmarkStart w:id="241" w:name="pg937_11096"/>
      <w:bookmarkEnd w:id="240"/>
    </w:p>
    <w:p>
      <w:pPr>
        <w:pStyle w:val="BookText"/>
        <w:rPr/>
      </w:pPr>
      <w:bookmarkEnd w:id="241"/>
      <w:r>
        <w:rPr>
          <w:rFonts w:ascii="Amiri" w:hAnsi="Amiri" w:eastAsia="Amiri" w:cs="Amiri"/>
          <w:color w:val="111111"/>
          <w:sz w:val="28"/>
          <w:sz w:val="28"/>
          <w:szCs w:val="28"/>
          <w:rtl w:val="true"/>
          <w:lang w:bidi="ar-SA"/>
        </w:rPr>
        <w:t>الرشوة إلى الولاة و العمّال و القضاة</w:t>
      </w:r>
    </w:p>
    <w:p>
      <w:pPr>
        <w:pStyle w:val="Heading3"/>
        <w:numPr>
          <w:ilvl w:val="2"/>
          <w:numId w:val="1"/>
        </w:numPr>
        <w:rPr/>
      </w:pPr>
      <w:bookmarkStart w:id="242" w:name="__RefHeading___Toc733467_373438147"/>
      <w:bookmarkStart w:id="243" w:name="_Toc90"/>
      <w:bookmarkEnd w:id="242"/>
      <w:r>
        <w:rPr>
          <w:rtl w:val="true"/>
        </w:rPr>
        <w:t>[</w:t>
      </w:r>
      <w:r>
        <w:rPr>
          <w:rtl w:val="true"/>
        </w:rPr>
        <w:t>حكم أخذ الرشوة و إعطاؤها</w:t>
      </w:r>
      <w:r>
        <w:rPr>
          <w:rtl w:val="true"/>
        </w:rPr>
        <w:t>]</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الرشوة و إعطاؤها حرام إن توصّل بها إلى الحكم له بالباطل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المهمة التي تبتلي بها عموم الناس، و لا سيّما عمّال الحكومة و موظفّوها و قضاتها، هي الرشوة، التي تنشأ في الحقيقة من سوء استفادة ذوي الثروة و القدرة و المقام و المنزلة الاجتماعية من الضعفاء و المحرومين في مقام رفع مشاكلهم و 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من وظائفهم العقلية و الشرعية، و لكنهم بسبب عدم تعرّفهم إلى الوظيفة و طمعهم يطالبون الرشوة بإزاء قضاء حوائج إخوانهم المؤمنين و حلّ مشاكل الذين يراجعونهم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العويصة من أكبر عوامل فرقة الناس و ابتعادهم عن الرؤساء و عمال الحكومة و سوء الظن بهم، مع ما ورد في النصوص المستفيضة أنّ الرشوة هي الكفر باللّه العظيم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يكون للبحث عن ماهية الرشوة و حدودها و أحكامها الشرعية أهمية خاصة</w:t>
      </w:r>
      <w:r>
        <w:rPr>
          <w:rFonts w:eastAsia="Amiri" w:cs="Amiri" w:ascii="Amiri" w:hAnsi="Amiri"/>
          <w:color w:val="111111"/>
          <w:sz w:val="28"/>
          <w:szCs w:val="28"/>
          <w:rtl w:val="true"/>
          <w:lang w:bidi="ar-SA"/>
        </w:rPr>
        <w:t>.</w:t>
      </w:r>
      <w:bookmarkStart w:id="244" w:name="pg937_11098"/>
    </w:p>
    <w:p>
      <w:pPr>
        <w:pStyle w:val="BookText"/>
        <w:rPr/>
      </w:pPr>
      <w:bookmarkEnd w:id="244"/>
      <w:r>
        <w:rPr>
          <w:rFonts w:ascii="Amiri" w:hAnsi="Amiri" w:eastAsia="Amiri" w:cs="Amiri"/>
          <w:color w:val="111111"/>
          <w:sz w:val="28"/>
          <w:sz w:val="28"/>
          <w:szCs w:val="28"/>
          <w:rtl w:val="true"/>
          <w:lang w:bidi="ar-SA"/>
        </w:rPr>
        <w:t>ثمّ إنّ البحث عن الرشوة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موضوعها و ماهيتها من جهة اللغة و اصطلاح الفقهاء و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33469_373438147"/>
      <w:bookmarkStart w:id="246" w:name="_Toc91"/>
      <w:bookmarkEnd w:id="245"/>
      <w:r>
        <w:rPr>
          <w:rtl w:val="true"/>
        </w:rPr>
        <w:t>ماهية الرشوة و تعريفها</w:t>
      </w:r>
      <w:bookmarkEnd w:id="246"/>
    </w:p>
    <w:p>
      <w:pPr>
        <w:pStyle w:val="BookText"/>
        <w:rPr/>
      </w:pPr>
      <w:r>
        <w:rPr>
          <w:rFonts w:ascii="Amiri" w:hAnsi="Amiri" w:eastAsia="Amiri" w:cs="Amiri"/>
          <w:color w:val="111111"/>
          <w:sz w:val="28"/>
          <w:sz w:val="28"/>
          <w:szCs w:val="28"/>
          <w:rtl w:val="true"/>
          <w:lang w:bidi="ar-SA"/>
        </w:rPr>
        <w:t>إنّ في معرفة ماهية الرشوة ينبغي الالتفات إلى حدّها الشرعي لأنّه الموضوع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النظر في أنّ الرشوة هل هي من الموضوعات الصرفة العرفية أو من الموضوعات المستنبطة التي حدّدها الشارع بقيود و خصوصيات خاصة خارجة عمّا هو المرتكز في أذهان العرف؟ و يتبين ذلك بالفحص عن كلمات الفقهاء و موارد استعمال مادّة الرشوة بصيغها المختلفة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تحرير نكات في البحث عن موضوع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الرشوة أن تدفع للتوصل إلى خصوص حكم الحاكم، أو لا يعتبر ذلك؟ بل أعمّ من ذلك و من كل مال مدفوع لأجل التوصل به إلى دفع شرّ و مفسدة أو جلب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ماهية الرشوة أن يكون دفعها في جهة الباطل، بأن كان للتوصل بها إلى إحقاق باطل أو إبطال حق، كما يظهر من بعض أهل اللغة و الفقهاء؟ أو لا يعتبر ذلك، بل يعمّه و ما كان دفعه للتوصل إلى إنقاذ حق و الحكم بالعدل، كما يستفاد ذلك من جماعة من أهل اللغة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في باب القضاء هل يعتبر فيها أن تكون مالاً مدفوعاً لأجل التوصل إلى الحكم؟ أو لا يعتبر ذلك، بل يعمّ كلّ ما يتوصل به إلى الحكم، و لو كان غير المال من عمل أو كلام أو توقير و تعظيم، كما يظهر من صاحب الجواهر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فالكلام في موضوع الرشوة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اللغة و المتبادر</w:t>
      </w:r>
      <w:bookmarkStart w:id="247" w:name="pg937_11100"/>
    </w:p>
    <w:p>
      <w:pPr>
        <w:pStyle w:val="BookText"/>
        <w:rPr/>
      </w:pPr>
      <w:bookmarkEnd w:id="247"/>
      <w:r>
        <w:rPr>
          <w:rFonts w:ascii="Amiri" w:hAnsi="Amiri" w:eastAsia="Amiri" w:cs="Amiri"/>
          <w:color w:val="111111"/>
          <w:sz w:val="28"/>
          <w:sz w:val="28"/>
          <w:szCs w:val="28"/>
          <w:rtl w:val="true"/>
          <w:lang w:bidi="ar-SA"/>
        </w:rPr>
        <w:t>منها إلى الذهن عند الإطلاق،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آراء الفقهاء،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مدلول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33471_373438147"/>
      <w:bookmarkStart w:id="249" w:name="_Toc92"/>
      <w:bookmarkEnd w:id="248"/>
      <w:r>
        <w:rPr>
          <w:rtl w:val="true"/>
        </w:rPr>
        <w:t>كلمات أهل اللغة</w:t>
      </w:r>
      <w:bookmarkEnd w:id="249"/>
    </w:p>
    <w:p>
      <w:pPr>
        <w:pStyle w:val="BookText"/>
        <w:rPr/>
      </w:pPr>
      <w:r>
        <w:rPr>
          <w:rFonts w:ascii="Amiri" w:hAnsi="Amiri" w:eastAsia="Amiri" w:cs="Amiri"/>
          <w:color w:val="111111"/>
          <w:sz w:val="28"/>
          <w:sz w:val="28"/>
          <w:szCs w:val="28"/>
          <w:rtl w:val="true"/>
          <w:lang w:bidi="ar-SA"/>
        </w:rPr>
        <w:t>إنّ في تحقيق كلمات أهل اللغة لا بدّ من تحرير النكات الثلاثة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مجموع كلماتهم أنّه يعتبر في الرشوة أن تكون مالاً قابلاً للدفع و الإعطاء؛ نظراً إلى عدم استعمالها في غير المال، و إن قد يستعمل الإعطاء في تفويض المقام و المنصب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أيضاً أنّ الرشوة لا تختصّ بما يتوصل إلى الحكم، بل تعمّه و ما يتوصل إلى غيره، كما ستعرف من خلال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كون دفعها لخصوص جهة الباطل أو عدمه و شمولها لمطلق ما يتوصل به إلى المراد، فاختلف كلماتهم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الرشوة بكسر الراء و ضمّها الوصلة إلى الحاجة 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فالراشي من يعطي الذي يعينه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يعطى توصّلاً إلى أخذ حقّ أو دفع ظلم فغير داخل فيه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الرشوة بالكسر ما يعطيه الشخص الحاكم و غيره ليحكم له أو يحمله على ما يريد إلى أن قال و الرشوة قلّما تستعمل إلّا فيما يتوصّل به إلى إبطال حق أو تمشية باطل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يفهم التعميم من كلمات أكثر أهل اللغة، كما يظهر من كلام ابن فارس</w:t>
      </w:r>
      <w:bookmarkStart w:id="250" w:name="pg937_11102"/>
    </w:p>
    <w:p>
      <w:pPr>
        <w:pStyle w:val="BookText"/>
        <w:rPr/>
      </w:pPr>
      <w:bookmarkEnd w:id="250"/>
      <w:r>
        <w:rPr>
          <w:rFonts w:ascii="Amiri" w:hAnsi="Amiri" w:eastAsia="Amiri" w:cs="Amiri"/>
          <w:color w:val="111111"/>
          <w:sz w:val="28"/>
          <w:sz w:val="28"/>
          <w:szCs w:val="28"/>
          <w:rtl w:val="true"/>
          <w:lang w:bidi="ar-SA"/>
        </w:rPr>
        <w:t>في المقاييس</w:t>
      </w:r>
      <w:r>
        <w:rPr>
          <w:rStyle w:val="FootnoteAnchor"/>
          <w:rtl w:val="true"/>
        </w:rPr>
        <w:footnoteReference w:id="485"/>
      </w:r>
      <w:r>
        <w:rPr>
          <w:rFonts w:ascii="Amiri" w:hAnsi="Amiri" w:eastAsia="Amiri" w:cs="Amiri"/>
          <w:color w:val="111111"/>
          <w:sz w:val="28"/>
          <w:sz w:val="28"/>
          <w:szCs w:val="28"/>
          <w:rtl w:val="true"/>
          <w:lang w:bidi="ar-SA"/>
        </w:rPr>
        <w:t>و الزمخشري في أساس البلاغة</w:t>
      </w:r>
      <w:r>
        <w:rPr>
          <w:rStyle w:val="FootnoteAnchor"/>
          <w:rtl w:val="true"/>
        </w:rPr>
        <w:footnoteReference w:id="486"/>
      </w:r>
      <w:r>
        <w:rPr>
          <w:rFonts w:ascii="Amiri" w:hAnsi="Amiri" w:eastAsia="Amiri" w:cs="Amiri"/>
          <w:color w:val="111111"/>
          <w:sz w:val="28"/>
          <w:sz w:val="28"/>
          <w:szCs w:val="28"/>
          <w:rtl w:val="true"/>
          <w:lang w:bidi="ar-SA"/>
        </w:rPr>
        <w:t>أنّ الرشوة مطلق ما يدفع للملاينة و المصانعة مع الحاكم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يعطيه الشخص للحاكم و غيره ليحكم أو يحمله على ما يريد</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غيرهم من أهل اللغة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33473_373438147"/>
      <w:bookmarkStart w:id="252" w:name="_Toc93"/>
      <w:bookmarkEnd w:id="251"/>
      <w:r>
        <w:rPr>
          <w:rtl w:val="true"/>
        </w:rPr>
        <w:t>كلمات الفقهاء</w:t>
      </w:r>
      <w:bookmarkEnd w:id="252"/>
    </w:p>
    <w:p>
      <w:pPr>
        <w:pStyle w:val="BookText"/>
        <w:rPr/>
      </w:pPr>
      <w:r>
        <w:rPr>
          <w:rFonts w:ascii="Amiri" w:hAnsi="Amiri" w:eastAsia="Amiri" w:cs="Amiri"/>
          <w:color w:val="111111"/>
          <w:sz w:val="28"/>
          <w:sz w:val="28"/>
          <w:szCs w:val="28"/>
          <w:rtl w:val="true"/>
          <w:lang w:bidi="ar-SA"/>
        </w:rPr>
        <w:t>و أمّا في كلمات الفقهاء فقد عرّفه المحقق النراقي بأنّه مطلق مال يعطي للتوصل إلى فعل يجلب به نفع أو يدفع به شرّ، بل إلى مجرد الكفّ عن الإيذاء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 أنّ الرشوة للقاضي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من أحد الخصمين أو منهما أو من غيرهما للحكم على الآخر، و إهدائه و إرشاده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الحكم أو الإرشاد المأخوذين في مهيّته، هل هو مطلق شامل للحقّ و الباطل، أو يختصّ بالحكم بالباطل؟ مقتضى إطلاق الأكثر و تصريح والدي العلّامة في معتمد الشيعة و المتفاهم في العرف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هو الظاهر من القاموس و الكنز و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استعمالها فيما اعطي للحقّ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على أن يتحوّل من منزله فيسكنه، قال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الأصل في الاستعمال إذا لم يعلم الاستعمال في غيره الحقيقة، كما حقّق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النهاية الأثيرية ما ربّما يشعر بالتخصيص ككلام بعض الفقهاء، و هو لمعارضة ما ذكر غير صالح؛ مع أنّ الظاهر أنّ مراد بعض الفقهاء تخصيص الحرمة دون الحقيقة ثمّ قال بعد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كلّ مال مبذول لشخص للتوصل به إلى فعل صادر منه و لو مجرّد الكف عن شرّه لساناً أو يداً أو نحوهما فهو رشوة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ما نسبه إلى مجمع البحرين لا يلائم ذيل كلامه؛ لدلالته على غلبة استعمال لفظ الرشوة فيما يتوصل به إلى الباطل، فإنّ إبطال الحق باطلٌ،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في الاستعمال كونه حقيقياً ما لم يعلم الاستعمال في غيره، و إن كان صحيحاً في نفسه، إلّا أنّ في المقام قد استعمل لفظ الرشوة في كل ما يتوصل به إلى الحق و ما يتوصل به إلى الباطل و ما يتوصّل به إلى مطلق الحكم، بل و في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مناص إلّا الرجوع إلى ما هو المتبادر إلى الذهن من دون قرينة أو إلى غلبة الاستعمال بحيث يوجب الوضع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ذيل كلامه عدم اختصاص الرشوة بما يتوصل به إلى الحكم، بل تعمّ كل مال مبذول يتوصل به إلى دفع ضرر و شرّ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وافقه المحقق الأردبيلي في خصوص الرشوة للقاضي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المراد بها هنا ما يعطى للحكم حقاً أو باطلاً؛ لأنّه المفهوم الموافق للّغة و الخبر، فهو حرام على الراشي مطلقاً، فتخصيص البعض بأنّها التي يشترط بإزائها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بغير الحق و الامتناع من الحكم بالحق، غير جيّد</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المراد بها هنا أي في باب القضاء، فهو بصدد تعريف الرشوة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لم يتفقوا على ما ذهب إليه، لما عرفت من التخصيص بالباطل في كلام ابن الأثير في النهاية و الطريحي في مجمع البحرين، نعم يوافق كلامه لمدلول الروايات بل أعم منه،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 الشيخ في المبسوط أنّ الرشوة أعم من المال المتوصل به إلى حكم الحاكم و ما يتوصل به إلى عمل العامل و من كون دفعها لجهة باطل أو حقّ، نعم لا تحرم على المرتشي إذا كان دفعها لاستنقاذ ماله، و لكنه لا يخصّص موضوع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القاضي بين المسلمين و العامل عليهم يحرم على كلّ واحد منهم الرشوة،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 اللّه الراشي و المرتشي في الحكم، و هو حرام على المرتشي بكل حال و أمّا الراشي فإن كان قد رشاه على تغيير حكم أو إيقافه فهو حرام، و إن كان لإجرائه على واجبه لم يحرم عليه أن يرشوه كذلك؛ لأنّه يستنقذ ماله فيحلّ ذلك له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 ابن إدريس في السرائر</w:t>
      </w:r>
      <w:r>
        <w:rPr>
          <w:rStyle w:val="FootnoteAnchor"/>
          <w:rtl w:val="true"/>
        </w:rPr>
        <w:footnoteReference w:id="492"/>
      </w:r>
      <w:r>
        <w:rPr>
          <w:rFonts w:ascii="Amiri" w:hAnsi="Amiri" w:eastAsia="Amiri" w:cs="Amiri"/>
          <w:color w:val="111111"/>
          <w:sz w:val="28"/>
          <w:sz w:val="28"/>
          <w:szCs w:val="28"/>
          <w:rtl w:val="true"/>
          <w:lang w:bidi="ar-SA"/>
        </w:rPr>
        <w:t>و يظهر من المحدث البحراني أنّ الرشوة للقاضي ما يؤخذ من المتحاكمين على الحكم لصاحب الرشوة فتكون الرشوة في مقابلة الحكم له</w:t>
      </w:r>
      <w:r>
        <w:rPr>
          <w:rStyle w:val="FootnoteAnchor"/>
          <w:rtl w:val="true"/>
        </w:rPr>
        <w:footnoteReference w:id="493"/>
      </w:r>
      <w:r>
        <w:rPr>
          <w:rFonts w:ascii="Amiri" w:hAnsi="Amiri" w:eastAsia="Amiri" w:cs="Amiri"/>
          <w:color w:val="111111"/>
          <w:sz w:val="28"/>
          <w:sz w:val="28"/>
          <w:szCs w:val="28"/>
          <w:rtl w:val="true"/>
          <w:lang w:bidi="ar-SA"/>
        </w:rPr>
        <w:t>و بذلك فرّق بينها و بين الهدية و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موضع آخر أطلق الرشوة على الأعم ممّا يتوصل به الحكم و ما يتوصل به إلى أيّ نفع أو دفع ضرر في المعاملات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الشيخ عدم كون المقصود من الرشوة المحرّمة في الروايات، الرشوة في غير الحكم، بل هي ظاهرة في تحريم خصوص الرشوة في الحكم و لكنه توقف في أصل صدق الرشوة في غير الحكم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 القاضي ابن البراج، الرشوة على ما يأخذه الشاهد لأجل شهادته على الحق</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 العلّامة في جميع كتبه، الرشوة على ما يتوصل به من المال إلى استنقاذ حق أو دفع ضرر تبعاً للنصوص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بجواز أخذها على المرتشي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في باب القضاء بين ما يتوصل به إلى الحكم بالباطل و بينما يتوصل به إلى الحكم بالحق في إطلاق عنوان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إلى مظان البحث عن الرشوة في كتبه و عمدتها هي باب المتاجر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الشهيد في شرح اللمعة الرشوة في باب القضاء بمال يؤخذ من أحد المتخاصمين أو منهما أو من غيرهما على الحكم أو الهداية إلى شيء من وجوهه، سواء حكم لباذلها بحقّ أو باطل</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في مقام تعريف الرشوة للقضاء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صاحب العروة موافقة صاحب الجواهر في تعريف الرشوة حيث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عمّمها إلى غير الحكم و ما يتوصل به إلى إحقاق حق أو أمر مباح و عمّم الرشوة في الحكم إلى العمل و القول و إن تردّد في ذيل كلامه في صدق الرشوة على العمل و القول و حرّمهما إلحاقاً بالرشوة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قد تكون مالاً من عين أو منفعة، و قد تكون عملاً للقاضي كخياطة ثوبه أو تعمير داره أو نحوهما، و قد تكون قولاً كمدحه و الثناء عليه لإمالة قلبه إلى نفسه ليحكم له، و قد تكون فعلاً من الأفعال كالسعي في حوائجه و إظهار تعظيمه و تبجيله و نحو ذلك، فكلّ ذلك محرم، إمّا لصدق الرشوة عليها أو للإلحاق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 الرشوة بما يبذل للقاضي ليحكم له، بل تجري في غير الحكم أيضاً، كما إذا بذل شيئاً لحاكم العرف أو لظالم أو رئيس ليعينه على ظلم أو غيره من المعاصي، و نحو ذلك فتكون حراماً و لا تختص بالمحرم، بل قد لا تكون حراماً كما إذا بذل شيئاً ليعينه على إحقاق حق أو دفع ظلم أو أمر مباح</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تعميم الرشوة إلى العمل و القول لم أر في غير كلام صاحب الجواهر و صاحب العروة، من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خلاف ظاهر كلمات اللغويين و غير المتبادر من لفظ الرشوة عن الإطلاق،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 الشهيد أنّ دفع المال إلى القاضي إن كان لغرض التوسل إلى القضاء أو العمل، بأن يحكم أو يعمل المبذول له لباذلها على التعيين بحق أو باطل، لا لجلب محبّته و مجرد عطف نظره، فهو رشوة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الجواهر عن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أي الرشوة عند الأصحاب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يعطى للحكم حقاً 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أُستاذه كاشف الغطاء في شرحه على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ليست مطلق الجعل كما في القاموس بل بينه و بين الأجر و الجعل عموم من وجه و لا البذل على خصوص الباطل كما في النهاية و المجمع، و لا مطلق البذل و لو على خصوص الحق، بل هو البذل على الباطل أو على الحكم له حقاً أو باطلاً مع التسمية 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أيضاً أنّه قال في مسألة الأُجرة على القضاء و الجعل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يعصي الدافع في دفعه إلى القاضي في أحد الوجهين، إلّا إذا توقف تحصيل الحق عليه فيجوز، بخلاف الرشوة فإنّها لا تجوز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كلامه الأخير ما لا يخفى؛ ضرورة إنّه إن أراد إخراجها عن الموضوع في صورة التوقف كان مخالفاً للعرف في ذلك، و إن أراد أنّها لا تجوز بهذا العنوان، حتى لو توقف الحق عليها، كان مخالفاً لما قدمناه سابقاً، بل لم أعرف له موافقاً عليه بعد تنزيل الإطلاق في النص و الفتوى على الاختيار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دفع إشكاله بما سبق عن الشهيد في المسالك أنّ الرشوة ما يتوصل به إلى أصل الحكم و فصل الخصومة، و لو لتوقف استنقاذ الحق عليه في نظر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ينبغي في المقام تحريره أمران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خاصّةٌ في الأموال، و في بذلها على جهة الرشوة أو أنّها تعمّها و تعمّ الأعمال بل و الأقوال، كمدح القاضي و الثناء عليه و المبادرة إلى حوائجه و إظهار تبجيله و تعظيمه و نحو ذلك، و تعمّ البذل و عقد المحاباة و العارية و الوقف و نحو ذلك، و بالجملة كل ما قصد به التوصل إلى حكم الحاكم، قد يقوى في النظر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إن شكّ في بعض الأفراد في الدخول في الاسم أو جزم بعدمه فلا يبعد الدخول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الرشا في خصوص الحكم أو يعمّه و غيره، و على الأوّل فهو خصوص الحكم الشرعي أو يعمّه و العرفي من حكام العرف، بل و غيرهم من الآمرين بالمعروف، و هل هو خاص بالحكم في الخصومة الخاصة أو يعمّه و ما يبذل توطئة لاحتمال وقوعها و نحوه، لم أجد تحرير الشيء من ذلك في كلام 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سمعت كلام الأُستاد و المصباح و غيرهما في الرشوة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عرفت من كلامه أنّ الرشوة هي كلّ ما قصد به التوصل إلى حكم الحاكم بلا فرق بين الأموال و الأعمال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 لفظ الرشوة على الأعمال و الأقوال المتوصل بها إلى الحكم خلاف ما هو المتبادر في الذهن و مغاير لما صرّح به أهل اللغة و الفقهاء؛ فإنّ المتبادر منها هو المال المدفوع لأجل إحقاق باطل أو إبطال حق و في جهة الملاينة و المصانعة لهذا الغرض، و لنعم ما قال في مجمع البحرين من غلبة استعمال الرشوة في ذلك و قلّة استعمالها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استعمالها أحياناً في إحقاق الحق كما ورد في الخبر لا يعيّن معناها الحقيقي بعد ما كان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الرشا المحرّم فسيأتي في 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المسلّم أنّ لفظ الرشوة في النصوص استعمل غالباً فيما يتوصّل به إلى الباطل، كما ستعرف إن شاء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شك في صدق عنوان الرشوة فالأصل عدمها و مقتضى ذلك عدم ترتب حكم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هل يجوز التصرف في المبذول حينئذ فقد صرّح المحقق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53" w:name="pg937_11115"/>
    </w:p>
    <w:p>
      <w:pPr>
        <w:pStyle w:val="BookText"/>
        <w:rPr/>
      </w:pPr>
      <w:bookmarkEnd w:id="253"/>
      <w:r>
        <w:rPr>
          <w:rFonts w:ascii="Amiri" w:hAnsi="Amiri" w:eastAsia="Amiri" w:cs="Amiri"/>
          <w:color w:val="111111"/>
          <w:sz w:val="28"/>
          <w:sz w:val="28"/>
          <w:szCs w:val="28"/>
          <w:rtl w:val="true"/>
          <w:lang w:bidi="ar-SA"/>
        </w:rPr>
        <w:t>النراقي في المستند، بأنّ مقتضى الأصل الحلية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يظهر من صاحب الجواهر</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أنّه إذا لم يصدق عنوان الرشوة يخرج المشكوك عن عمومات تحريمها و المفروض حصول طيب النفس من الباذل فيدخل في عقد المستثنى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طيبة نفسه</w:t>
      </w:r>
      <w:r>
        <w:rPr>
          <w:rStyle w:val="FootnoteAnchor"/>
          <w:rtl w:val="true"/>
        </w:rPr>
        <w:footnoteReference w:id="503"/>
      </w:r>
      <w:r>
        <w:rPr>
          <w:rFonts w:ascii="Amiri" w:hAnsi="Amiri" w:eastAsia="Amiri" w:cs="Amiri"/>
          <w:color w:val="111111"/>
          <w:sz w:val="28"/>
          <w:sz w:val="28"/>
          <w:szCs w:val="28"/>
          <w:rtl w:val="true"/>
          <w:lang w:bidi="ar-SA"/>
        </w:rPr>
        <w:t>و يخرج عن عقد المستثنى منه و هو</w:t>
      </w:r>
    </w:p>
    <w:p>
      <w:pPr>
        <w:pStyle w:val="BookText"/>
        <w:rPr/>
      </w:pPr>
      <w:r>
        <w:rPr>
          <w:rFonts w:ascii="Amiri" w:hAnsi="Amiri" w:eastAsia="Amiri" w:cs="Amiri"/>
          <w:color w:val="111111"/>
          <w:sz w:val="28"/>
          <w:sz w:val="28"/>
          <w:szCs w:val="28"/>
          <w:rtl w:val="true"/>
          <w:lang w:bidi="ar-SA"/>
        </w:rPr>
        <w:t>لا يحل مال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المرتشي، و أمّا الراشي فالأمر أوضح؛ لأنّ له أن يتصرف في ماله كيف شاء، فمقتضى قاعدة السلطنة جواز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ذلك مفصلاً و عن الشك في الحكم أيضاً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733475_373438147"/>
      <w:bookmarkStart w:id="255" w:name="_Toc94"/>
      <w:bookmarkEnd w:id="254"/>
      <w:r>
        <w:rPr>
          <w:rtl w:val="true"/>
        </w:rPr>
        <w:t>موارد استعمال الرشوة في النصوص</w:t>
      </w:r>
      <w:bookmarkEnd w:id="255"/>
    </w:p>
    <w:p>
      <w:pPr>
        <w:pStyle w:val="BookText"/>
        <w:rPr/>
      </w:pPr>
      <w:r>
        <w:rPr>
          <w:rFonts w:ascii="Amiri" w:hAnsi="Amiri" w:eastAsia="Amiri" w:cs="Amiri"/>
          <w:color w:val="111111"/>
          <w:sz w:val="28"/>
          <w:sz w:val="28"/>
          <w:szCs w:val="28"/>
          <w:rtl w:val="true"/>
          <w:lang w:bidi="ar-SA"/>
        </w:rPr>
        <w:t xml:space="preserve">قد استعمل لفظ الرشوة و سائر صيغه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من الغير لجهة إيصال نفع يحتاج ذلك الغير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من الأموال إلى قضاء الحاجة و تحصيل منفعة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على ذلك ما رواه الكليني بسنده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يحتاج الناس إلى نفعه فسألهم الرشوة</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الوسائل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بإسناده عن محمد بن على بن محبوب عن محمّد بن عيسى بن عبيد عن أحمد بن إبراهيم الكرماني عن عبد الرحمن عن يوسف بن جابر، و لكن في نسخة الوسائل</w:t>
      </w:r>
    </w:p>
    <w:p>
      <w:pPr>
        <w:pStyle w:val="BookText"/>
        <w:rPr/>
      </w:pPr>
      <w:r>
        <w:rPr>
          <w:rFonts w:ascii="Amiri" w:hAnsi="Amiri" w:eastAsia="Amiri" w:cs="Amiri"/>
          <w:color w:val="111111"/>
          <w:sz w:val="28"/>
          <w:sz w:val="28"/>
          <w:szCs w:val="28"/>
          <w:rtl w:val="true"/>
          <w:lang w:bidi="ar-SA"/>
        </w:rPr>
        <w:t>رجلاً احتاج الناس إليه لتفقهه</w:t>
      </w:r>
      <w:r>
        <w:rPr>
          <w:rStyle w:val="FootnoteAnchor"/>
          <w:rtl w:val="true"/>
        </w:rPr>
        <w:footnoteReference w:id="506"/>
      </w:r>
      <w:r>
        <w:rPr>
          <w:rFonts w:ascii="Amiri" w:hAnsi="Amiri" w:eastAsia="Amiri" w:cs="Amiri"/>
          <w:color w:val="111111"/>
          <w:sz w:val="28"/>
          <w:sz w:val="28"/>
          <w:szCs w:val="28"/>
          <w:rtl w:val="true"/>
          <w:lang w:bidi="ar-SA"/>
        </w:rPr>
        <w:t xml:space="preserve">، و في نسخة التهذيب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لفقهه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الأوّل أعني</w:t>
      </w:r>
    </w:p>
    <w:p>
      <w:pPr>
        <w:pStyle w:val="BookText"/>
        <w:rPr/>
      </w:pPr>
      <w:r>
        <w:rPr>
          <w:rFonts w:ascii="Amiri" w:hAnsi="Amiri" w:eastAsia="Amiri" w:cs="Amiri"/>
          <w:color w:val="111111"/>
          <w:sz w:val="28"/>
          <w:sz w:val="28"/>
          <w:szCs w:val="28"/>
          <w:rtl w:val="true"/>
          <w:lang w:bidi="ar-SA"/>
        </w:rPr>
        <w:t>إلى نفعه أضبط لوجوده في نسخ الكافي، كما أنّه أنسب بالسياق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كونهما روايتين مستقلتين؛ نظراً إلى عدم اتحاد رواتهما، فإنّ رواة طريق الشيخ غير رواة طريق الكليني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متناً و إن تتحدان في غير الكلمة المذبورة، كما صدرتا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صدورهما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مجلسين مختلفين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التعدد لا إشكال في الاستشهاد بما رواه الكليني مع غض النظر عن إرساله نظراً إلى انتفاء معارضة النسختين المختصّة بصورة اتحاد المرويين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نقل الشيخ لا تفيد الرواية أكثر من استعمال الرشوة في ما يتوصّل به إلى الفتوى و القضاء، كما قال الشيخ الأعظم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الصدوق في عقاب الأعمال بسنده 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احتجب من حوائج الناس احتجب اللّه عنه يوم القيامة و عن حوائجه و إن أخذ هديّة كان غلولاً و إن أخذ الرشوة فهو مشرك</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يفهم منه بقرينة السياق أنّ أخذه الهدية و الرشوة إنّما هو في قبال قضاء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الفرق بين الهدية و الرشوة فسيأتي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التخصيص بالمال فهو التبادر و الارتكاز من لفظ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فسألهم الرشوة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الرشوة، فإنّ العمل و الكلام غير قابلين للأخذ و السؤال إلّا العمل الذي كان له جهة مالية كخياطة ثوب أو نجارة باب و نحو ذلك، فيصح التعبير بالسؤال عنه، إلّا أنّ إطلاق لفظ الرشوة عليه غير معلوم و يشكل إحراز تبادره من إطلاق لفظ الرشوة، بلا قرينة، هذا مضافاً إلى أنّ من يحتاج الناس إلى نفعه أو فقهه أو حكمه غني عن السؤال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 من الأموال لغرض التوصل به إلى استنقاذ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يرشو الرجل من غضب بيته ليرفع يده عن بيته و يخلّي سبيله ليسكنه أو يرشو الموجر المستأجر الذي لا يتحوّل من الدار المستأجرة لأن يتحوّل من داره فيسكنها الموجر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صحيح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يرشو الرجل الرشوة على أن يتحوّل من منزله فيسكنه،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في الوسائل على المنزل المشترك بين المسلمين، كالأرض المفتوحة عنوة أو الموقوفة على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شاهد لهذا الحمل، و لا مقيّد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 إلى وكيل المشتري في المعاملة لئلاّ يأخذ أكثر من حقه أو يأخذ أقلّ من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 على ذلك ما رواه الشيخ بإسناده عن الحسن بن محمد بن سماعة عن إسماعيل بن أبي 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 حكيم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يشترون منّا القِرب و الأداوي فيوكّلون الوكيل حتى يستوفيه منا فنرشوه حتى لا يظلمنا،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تصلح به مالك ثمّ سكت ساعة، ثمّ قال</w:t>
      </w:r>
    </w:p>
    <w:p>
      <w:pPr>
        <w:pStyle w:val="BookText"/>
        <w:rPr/>
      </w:pPr>
      <w:r>
        <w:rPr>
          <w:rFonts w:ascii="Amiri" w:hAnsi="Amiri" w:eastAsia="Amiri" w:cs="Amiri"/>
          <w:color w:val="111111"/>
          <w:sz w:val="28"/>
          <w:sz w:val="28"/>
          <w:szCs w:val="28"/>
          <w:rtl w:val="true"/>
          <w:lang w:bidi="ar-SA"/>
        </w:rPr>
        <w:t xml:space="preserve">إذا أنت رشوته يأخذ أقل من الشرط؟ قلت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 رشوتك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موثقة لأنّ الحسن و إسماعيل من الواقفة، و لكن ورد التوثيق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إطلاق الرشوة على المال المدفوع إلى وكيل المشتري لئلّا يأخذ أكثر من حقه من ثمن المتاع حتى يدفع إلى البائع مبلغاً قليلاً و ثمنا بخساً أدنى من ثمنه الواقعي فيفسد بذلك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بيعه بأقل من قيمته إفساد فيه و إذا أخذ وكيل المشتري من ثمنه الذي دفعه السلطان لأجل الشراء أكثر من حقه يقلّ من قيمة المتاع بنسبة ما أخذه الوكيل زائداً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دلّت على إطلاق الرشوة على ما يدفع إليه ليأخذ أقل من حقه ليرتفع بذلك قيمة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المقصود الأخذ من المبيع و عليه فالمعنى في الصورة الاُولى أن يدفع إليه الرشوة لئلا يأخذ من المبيع أكثر من حقّه الذي بإزاء الثمن المدفوع ليجحف بذلك على البائع و في الصورة الثانية ليأخذ أقل من ذلك فيكون المبيع أقل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الأظهر الأقرب إلى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دلّت هذه الرواية على كون الرشوة أعمّ من الصورتين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البخس من الرشوة في ما رواه الكليني بسنده الصحيح عن يزيد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البخس؟ فقال</w:t>
      </w:r>
    </w:p>
    <w:p>
      <w:pPr>
        <w:pStyle w:val="BookText"/>
        <w:rPr/>
      </w:pPr>
      <w:r>
        <w:rPr>
          <w:rFonts w:ascii="Amiri" w:hAnsi="Amiri" w:eastAsia="Amiri" w:cs="Amiri"/>
          <w:color w:val="111111"/>
          <w:sz w:val="28"/>
          <w:sz w:val="28"/>
          <w:szCs w:val="28"/>
          <w:rtl w:val="true"/>
          <w:lang w:bidi="ar-SA"/>
        </w:rPr>
        <w:t>هو الرشا في الحكم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خلاف المعنى الموضوع له لفظ الرشوة؛ لأنّ البخس هو النقص في العوض أو النقص عن الظلم و التأويل بأنّ الرشوة أيضاً، بخس بلحاظ أنّ أخذها يوجب النقص في مال المشتري عن ظلم 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وقوع الخطأ في الاستنساخ و كان الصحيح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ما رواه الشيخ بعين الإسناد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السحت؟ فقال</w:t>
      </w:r>
    </w:p>
    <w:p>
      <w:pPr>
        <w:pStyle w:val="BookText"/>
        <w:rPr/>
      </w:pPr>
      <w:r>
        <w:rPr>
          <w:rFonts w:ascii="Amiri" w:hAnsi="Amiri" w:eastAsia="Amiri" w:cs="Amiri"/>
          <w:color w:val="111111"/>
          <w:sz w:val="28"/>
          <w:sz w:val="28"/>
          <w:szCs w:val="28"/>
          <w:rtl w:val="true"/>
          <w:lang w:bidi="ar-SA"/>
        </w:rPr>
        <w:t>الرشا في الحكم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روى صاحب الوسائل عن الكليني هذا الخبر بعينه سنداً و متناً،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السحت</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رواه العياشي في تفسيره عن جراح المدايني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من أكل السحت الرشوة في الحكم</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صدر خبر دعائم، و سيأتي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في مجمع البيان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السحت هو الرشوة في الحكم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56" w:name="pg937_11124"/>
    </w:p>
    <w:p>
      <w:pPr>
        <w:pStyle w:val="BookText"/>
        <w:rPr/>
      </w:pPr>
      <w:bookmarkEnd w:id="256"/>
      <w:r>
        <w:rPr>
          <w:rFonts w:ascii="Amiri" w:hAnsi="Amiri" w:eastAsia="Amiri" w:cs="Amiri"/>
          <w:color w:val="111111"/>
          <w:sz w:val="28"/>
          <w:sz w:val="28"/>
          <w:szCs w:val="28"/>
          <w:rtl w:val="true"/>
          <w:lang w:bidi="ar-SA"/>
        </w:rPr>
        <w:t xml:space="preserve">و مثله ما رواه الصدوق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يظهر من المقابلة بين السحت و الرشوة في النصوص</w:t>
      </w:r>
      <w:r>
        <w:rPr>
          <w:rStyle w:val="FootnoteAnchor"/>
          <w:rtl w:val="true"/>
        </w:rPr>
        <w:footnoteReference w:id="519"/>
      </w:r>
      <w:r>
        <w:rPr>
          <w:rFonts w:ascii="Amiri" w:hAnsi="Amiri" w:eastAsia="Amiri" w:cs="Amiri"/>
          <w:color w:val="111111"/>
          <w:sz w:val="28"/>
          <w:sz w:val="28"/>
          <w:szCs w:val="28"/>
          <w:rtl w:val="true"/>
          <w:lang w:bidi="ar-SA"/>
        </w:rPr>
        <w:t xml:space="preserve">فيمكن الجمع بأنّ السحت أعم من الرشوة فيصدق بعض مصاديقه على الرشوة و لكنّهما متغايران مفهوماً، كما هو الظاهر من خبر العياشي و دعائم الإسلام و موثقة السكوني و ما رواه الصدوق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من المال إلى الحكم مطلقاً سواءٌ كان الحكم بالحق أو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على ذلك ما ورد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السحت الرشوة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إن حكم بالحق؟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حكم بالحق</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إطلاقات تحريم الرشا في الحكم و هي فوق حد الاستفاضة؛ حيث لم يقيد الحكم فيها بالحكم الباطل، فتشمل مطلق الحكم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33477_373438147"/>
      <w:bookmarkStart w:id="258" w:name="_Toc95"/>
      <w:bookmarkEnd w:id="257"/>
      <w:r>
        <w:rPr>
          <w:rtl w:val="true"/>
        </w:rPr>
        <w:t>مقتضى التحقيق</w:t>
      </w:r>
      <w:bookmarkEnd w:id="2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التحقيق في ماهية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الواردة في الرشوة أنّها أعم من المال المدفوع للتوصل به إلى الحكم و من المدفوع للتوصل إلى قضاء أيّة حاجة، كما دلّت عليه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شاملة لما يدفع من الأموال لدفع الظلم و استنقاذ الحق، و لو بغير الحكم، بل في المعاملات اليومية، كما دلّت على ذلك الطائفة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شاملة لما يدفع من الأموال لغرض التوصل إلى مطلق الحكم سواء كان بالحق أو بالباطل كما دلّت عليه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يدلّ شيء من النصوص على دخول كل ما يتوصل به إلى الحكم و لو بالعمل و القول في معنى الرشوة، كما يظهر من صاحب الجواهر و لعلّه ناظر إلى المعنى اللغوي و لكنّه بعيد عن الارتكاز و إن يمكن استفادة التعميم إلى ذلك من كلمات بعضهم ممن فسر الرشوة بمطلق الوصلة إلى المصانعة و الملاينة، و لكن مقصوده أيضاً المال المدفوع لذلك كما يظهر من ذيل كلام ابن أثير بعد تفسير الرشوة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فالعمدة في المقام هي ما يستفاد من النصوص لأنّه الدخيل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مما بينّا ما هو المقصود من لفظ الرشوة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المرجع في تعيين ما هو المحرّم من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ذلك مفصّلاً في حكم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في تنقيح موضوع الرشوة فقد عرفت من كلام الشيخ في المبسوط و ابن إدريس في السرائر أنّ الرشوة تعمّ ما يتوصل به إلى الحكم و العمل، سواء كان دفعها لجهة حقّ أو باطل، و كذا من كلام الشهيد و العلّامة في كتبه و المحقق الأردبيلي و غيرهم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أخذ في تعريف الرشوة التوصل بها إلى حكم الحاكم حقاً أو باطلاً فهو بصدد تعريف الرشوة للحاكم و القاضي في باب القضاء، فلا نظر له إلى تعريف ماهية مطلق الرشوة</w:t>
      </w:r>
      <w:r>
        <w:rPr>
          <w:rFonts w:eastAsia="Amiri" w:cs="Amiri" w:ascii="Amiri" w:hAnsi="Amiri"/>
          <w:color w:val="111111"/>
          <w:sz w:val="28"/>
          <w:szCs w:val="28"/>
          <w:rtl w:val="true"/>
          <w:lang w:bidi="ar-SA"/>
        </w:rPr>
        <w:t>.</w:t>
      </w:r>
      <w:bookmarkStart w:id="259" w:name="pg937_11128"/>
    </w:p>
    <w:p>
      <w:pPr>
        <w:pStyle w:val="BookText"/>
        <w:rPr/>
      </w:pPr>
      <w:bookmarkEnd w:id="259"/>
      <w:r>
        <w:rPr>
          <w:rFonts w:ascii="Amiri" w:hAnsi="Amiri" w:eastAsia="Amiri" w:cs="Amiri"/>
          <w:color w:val="111111"/>
          <w:sz w:val="28"/>
          <w:sz w:val="28"/>
          <w:szCs w:val="28"/>
          <w:rtl w:val="true"/>
          <w:lang w:bidi="ar-SA"/>
        </w:rPr>
        <w:t>فالتحقيق أنّ الرشوة هي كل مال مبذول يتوصل به إلى قضاء حاجة، من جلب نفع أو دفع مفسدة، كان من وظيفة المبذول له قضاء حاجة الباذل لو لا بذل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بهذا القيد الأخير كل مال مبذول بإزاء حق أو مال أو عمل في معاملة أو عقد يوجب على المبذول له أن يدفع ما بإزاء المبذول من المال أو يأتي بإزائه من العمل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يفترق العوض و الأُجرة عن الرشوة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33479_373438147"/>
      <w:bookmarkStart w:id="261" w:name="_Toc96"/>
      <w:bookmarkEnd w:id="260"/>
      <w:r>
        <w:rPr>
          <w:rtl w:val="true"/>
        </w:rPr>
        <w:t>الفرق بين الرشوة و الهدية و الجُعل</w:t>
      </w:r>
      <w:bookmarkEnd w:id="261"/>
    </w:p>
    <w:p>
      <w:pPr>
        <w:pStyle w:val="BookText"/>
        <w:rPr/>
      </w:pPr>
      <w:r>
        <w:rPr>
          <w:rFonts w:ascii="Amiri" w:hAnsi="Amiri" w:eastAsia="Amiri" w:cs="Amiri"/>
          <w:color w:val="111111"/>
          <w:sz w:val="28"/>
          <w:sz w:val="28"/>
          <w:szCs w:val="28"/>
          <w:rtl w:val="true"/>
          <w:lang w:bidi="ar-SA"/>
        </w:rPr>
        <w:t>نقل في المسالك عن بعض الفقهاء أنّه فرّق بين الهدية و الرشوة بأنّ الرشوة هي التي يشترط فيها باذلها الحكم بغير الحق أو الامتناع من الحكم بالحق و الهدية هي العطيّة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الفرق يناسب ما أطلقه المصنف من اختصاص تحريمها بطلب التوصل إلى الحكم بالباطل دون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جماعة تحريمها على التقديرين، خصوصاً في جانب المرتشي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أنّها محرّمة على المرتشي مطلقاً و على الراشي كذلك، إلّا أن يكون محقّاً و لا يمكن وصوله إلى حقّه بدونها، فلا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يحتاج إلى فرق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المال إلى القاضي و نحوه من العمّال إن كان الغرض منه التودّد أو التوسّل لحاجة من العلم و نحوه فهو هديّة، و إن كان التوسّل إلى القضاء و العمل فهو الرشوة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الفرق بين الرشوة و الهدية و بين الجعل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بينهما و بين أخذ الجعل من المتحاكمين أو أحدهما كما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بجوازه 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الرشوة أن يحكم لباذلها على التعيين بحقّ أو باطل، و في الجعل أن يشترط عليهما أو على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واضح، لأنّه حينئذٍ في مقابلة عمله معهما و فصل الحكومة بينهما، من غير اعتبار الحكم لأحدهما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شرط على المحكوم له فالفرق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يتعلّق الغرض فيه بأحدهما بخصوصه، بل من اتّفق الحكم له منهما على الوجه المعتبر يكون عليه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فيه تهمة و لا ظهور غرض، بخلاف الرشوة المبذولة ابتداءً من شخص معيّن ليكون الحكم له بخصوصه كيف كان، فإنّ هذا ظاهر في فساد المقصد، و صريح في تطرّق التهمة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فالفرق بين الرشوة و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كما عرفت هي المال المبذول للتوصّل به إلى الحكم ابتداءً أو 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العطيّة المطلقة، أو لغرض آخر نحو التودّد أو التقرّب إليه أو إلى اللّه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مبذول لا لغرض يفعله المبذول له، بل لمجرّد التودّد أو التقرّب إلى اللّه أو إليه أو لصفة محمودة أو كمال فيه، فهو هدية، و إن كان الغرض من التودّد و التقرّب إليه الاحتفاظ من شرّ شخص آخر أو التوصّل إلى فعل شخص آخر يوجبه التقرّب و التودّد إليه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الرشوة و الهدية أنّ الغرض من الرشوة جلب قلبه ليحكم له، و من الهدية الصحيحة القربة أو إيراث المودّة لا لداع،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عليها حبّه له لوجود صفة كمال فيه من علم أو ورع أو نحوهما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التحقيق في الفرق بين الرشوة و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الهدية هي مال يبذل لغرض الإحسان أو إيراث المودة أو لأجل التكريم و التعظيم من غير اختصاص بالمال و لا بعمل له المالية كقراءة الفاتحة و الصلاة التي يهدي ثوابها إلى المقروء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الرشوة هي خصوص المال المبذول للتوصل به إلى قضاء حاجة كان من وظيفة المبذول له قضاها بغير بذل، كما سبق آنفاً فليست الرشوة إحساناً و لا عملاً أو قولاً بخلاف الهدية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الأُجرة ما يبذل بإزاء العمل المقابل بالمال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كان له المالية و هذا بخلاف الرشوة حيث تبذل بإزاء ما لا مالية له من الأعمال، بل كان من الوظائف الشرعية و حقوق الأخ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62" w:name="pg937_11134"/>
    </w:p>
    <w:p>
      <w:pPr>
        <w:pStyle w:val="Heading3"/>
        <w:numPr>
          <w:ilvl w:val="2"/>
          <w:numId w:val="1"/>
        </w:numPr>
        <w:rPr/>
      </w:pPr>
      <w:bookmarkStart w:id="263" w:name="__RefHeading___Toc733481_373438147"/>
      <w:bookmarkStart w:id="264" w:name="_Toc97"/>
      <w:bookmarkEnd w:id="262"/>
      <w:bookmarkEnd w:id="263"/>
      <w:r>
        <w:rPr>
          <w:rtl w:val="true"/>
        </w:rPr>
        <w:t>حكم الرشوة</w:t>
      </w:r>
      <w:bookmarkEnd w:id="264"/>
    </w:p>
    <w:p>
      <w:pPr>
        <w:pStyle w:val="BookText"/>
        <w:rPr/>
      </w:pPr>
      <w:r>
        <w:rPr>
          <w:rFonts w:ascii="Amiri" w:hAnsi="Amiri" w:eastAsia="Amiri" w:cs="Amiri"/>
          <w:color w:val="111111"/>
          <w:sz w:val="28"/>
          <w:sz w:val="28"/>
          <w:szCs w:val="28"/>
          <w:rtl w:val="true"/>
          <w:lang w:bidi="ar-SA"/>
        </w:rPr>
        <w:t>لا إشكال و لا خلاف في حرمة الرشوة في الحكم في الجملة، بل هي من ضروريات الدين كما صرّح به السيد في ملحقات العروة</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لدلالة قوله تعالى وَ لا تَأْكُلُوا أَمْوالَكُمْ بَيْنَكُمْ بِالْباطِلِ وَ تُدْلُوا بِها إِلَى الْحُكّامِ لِتَأْكُلُوا فَرِيقاً مِنْ أَمْوالِ النّاسِ بِالْإِثْمِ وَ أَنْتُمْ تَعْلَمُونَ‌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اختلف في تفسيره و لم يفسّر قوله تعالى وَ تُدْلُوا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بالرشوة في رواية، و لم يستشهد بهذه الآية على تحريم الرشوة في شيء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يفسّرها بذلك المفسرون، نعم فسّرها الجوهري في الصحاح بالرشوة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في كلام غيره، بل فسّروه بالتوصل و التقرّب إلى الحكّام بأكل أموال المتحاكمين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الرشوة من مصاديق ذلك، فيصح الاستدلال بهذه الآية على حرمة الرشوة في الحكم بالباطل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الدليل على ذلك دلالة النصوص المتواترة من الفريقين على حرمتها و أنّها كفرٌ باللّه العظيم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إجماع أهل الإسلام على حرمتها، كما قال في جامع المقاصد</w:t>
      </w:r>
      <w:r>
        <w:rPr>
          <w:rStyle w:val="FootnoteAnchor"/>
          <w:rtl w:val="true"/>
        </w:rPr>
        <w:footnoteReference w:id="527"/>
      </w:r>
      <w:r>
        <w:rPr>
          <w:rFonts w:ascii="Amiri" w:hAnsi="Amiri" w:eastAsia="Amiri" w:cs="Amiri"/>
          <w:color w:val="111111"/>
          <w:sz w:val="28"/>
          <w:sz w:val="28"/>
          <w:szCs w:val="28"/>
          <w:rtl w:val="true"/>
          <w:lang w:bidi="ar-SA"/>
        </w:rPr>
        <w:t>و المسالك</w:t>
      </w:r>
      <w:r>
        <w:rPr>
          <w:rStyle w:val="FootnoteAnchor"/>
          <w:rtl w:val="true"/>
        </w:rPr>
        <w:footnoteReference w:id="528"/>
      </w:r>
      <w:r>
        <w:rPr>
          <w:rFonts w:ascii="IRNazanin" w:hAnsi="IRNazanin" w:eastAsia="IRNazanin"/>
          <w:color w:val="111111"/>
          <w:sz w:val="28"/>
          <w:sz w:val="28"/>
          <w:szCs w:val="28"/>
          <w:rtl w:val="true"/>
          <w:lang w:bidi="fa-IR"/>
        </w:rPr>
        <w:t>و المستند</w:t>
      </w:r>
      <w:r>
        <w:rPr>
          <w:rStyle w:val="FootnoteAnchor"/>
          <w:rtl w:val="true"/>
        </w:rPr>
        <w:footnoteReference w:id="529"/>
      </w:r>
      <w:r>
        <w:rPr>
          <w:rFonts w:ascii="Amiri" w:hAnsi="Amiri" w:eastAsia="Amiri" w:cs="Amiri"/>
          <w:color w:val="111111"/>
          <w:sz w:val="28"/>
          <w:sz w:val="28"/>
          <w:szCs w:val="28"/>
          <w:rtl w:val="true"/>
          <w:lang w:bidi="ar-SA"/>
        </w:rPr>
        <w:t>و مجمع الفائدة</w:t>
      </w:r>
      <w:r>
        <w:rPr>
          <w:rStyle w:val="FootnoteAnchor"/>
          <w:rtl w:val="true"/>
        </w:rPr>
        <w:footnoteReference w:id="530"/>
      </w:r>
      <w:r>
        <w:rPr>
          <w:rFonts w:ascii="Amiri" w:hAnsi="Amiri" w:eastAsia="Amiri" w:cs="Amiri"/>
          <w:color w:val="111111"/>
          <w:sz w:val="28"/>
          <w:sz w:val="28"/>
          <w:szCs w:val="28"/>
          <w:rtl w:val="true"/>
          <w:lang w:bidi="ar-SA"/>
        </w:rPr>
        <w:t>و غير ذلك من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أصل حرمة الرشوة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حرمة الرشوة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المحرّم الرشا في خصوص الحكم أو يعمّه و غيره، و على الأوّل فهو خصوص الحكم الشرعي أو يعمّه و العرفي من حكام العرف، بل و غيرهم من الآمرين بالمعروف، و هل هو خاص بالحكم في الخصومة الخاصة أو يعمّه و ما يبذل توطئة لاحتمال وقوعها و نحوه، لم أجد تحرير الشيء من ذلك في كلام أحد من الأصحاب</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المستند في تحرير تخصيص حرمة الرشوة في الحكم ببعض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 الأخبار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يخصّ الجواز للمرتشي إذا كان يحكم بالحق، و إن لم يرتش و هو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يخصّ الجواز للراشي إذا كان محقاً و لا يمكن وصوله إلى حقّه بدونها، ذكره جمع كثير، منهم الوالد الماجد إلى أن قال و قد يخصّ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بالحرمة بما إذا أرشى و ارتشى للحكم بالباطل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من كلام هذين العلمين و كلمات سائر الفقهاء الأعلام أنّ في المقام وقع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الرشوة هل تختص بالرشوة في الحكم أو تعمّ الرشوة في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في الحكم هل تختص حرمته بخصوص الرشوة في الحكم الشرعي الصادر من جانب القاضي، أو تعمّ المبذول منها للتوصل إلى حكم حكّام العرف؟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تختص حرمة الرشوة في الحكم بالمبذول منها بعد وقوع الخصومة أو تعمّه و المبذول منها إلى الحاكم قبل الخصومة توطئة للحكم بنفع الباذل عند وقوع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تحرم الرشوة فيما إذا لم يكن لها دخل و تأثير في حكم الحاكم بالحق بأن يحكم بالحق و إن لم يرتش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تحرم فيما إذا كان الراشي محقّاً، و توقّف وصوله إلى حقه على الرشوة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تختص حرمة الرشوة بالمبذول منها للتوصل إلى الحكم بالباطل، فلا تحرم للتوصل إلى الحكم بالحق مطلقاً، سواءٌ توقف استنقاذ حقه عليها أم لا؟ فلا بدّ من تحرير كلمات الفقهاء و تنقيح الأدلّة و بيان مقتضى التحقيق و الاستدلال عليه في كلّ واحد من هذه الأُمور</w:t>
      </w:r>
      <w:r>
        <w:rPr>
          <w:rFonts w:eastAsia="Amiri" w:cs="Amiri" w:ascii="Amiri" w:hAnsi="Amiri"/>
          <w:color w:val="111111"/>
          <w:sz w:val="28"/>
          <w:szCs w:val="28"/>
          <w:rtl w:val="true"/>
          <w:lang w:bidi="ar-SA"/>
        </w:rPr>
        <w:t>.</w:t>
      </w:r>
      <w:bookmarkStart w:id="265" w:name="pg937_11139"/>
    </w:p>
    <w:p>
      <w:pPr>
        <w:pStyle w:val="Heading3"/>
        <w:numPr>
          <w:ilvl w:val="2"/>
          <w:numId w:val="1"/>
        </w:numPr>
        <w:rPr/>
      </w:pPr>
      <w:bookmarkStart w:id="266" w:name="__RefHeading___Toc733483_373438147"/>
      <w:bookmarkStart w:id="267" w:name="_Toc98"/>
      <w:bookmarkEnd w:id="265"/>
      <w:bookmarkEnd w:id="266"/>
      <w:r>
        <w:rPr>
          <w:rtl w:val="true"/>
        </w:rPr>
        <w:t>الرشوة في غير الحكم</w:t>
      </w:r>
      <w:bookmarkEnd w:id="267"/>
    </w:p>
    <w:p>
      <w:pPr>
        <w:pStyle w:val="BookText"/>
        <w:rPr/>
      </w:pPr>
      <w:r>
        <w:rPr>
          <w:rFonts w:ascii="Amiri" w:hAnsi="Amiri" w:eastAsia="Amiri" w:cs="Amiri"/>
          <w:color w:val="111111"/>
          <w:sz w:val="28"/>
          <w:sz w:val="28"/>
          <w:szCs w:val="28"/>
          <w:rtl w:val="true"/>
          <w:lang w:bidi="ar-SA"/>
        </w:rPr>
        <w:t>وقع الكلام بين الفقهاء في الرشوة في 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في المستند بينما إذا كان ما تبذل لأجله الرشوة أمراً محرّماً و بينما إذا كان حلالاً 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في الأوّل بحرمة الرشوة و أنّها كالرشوة في الحكم من جهة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بأنّ إعطائها حينئذٍ إعانة على الإثم و المعصية و العدوان، و حكم في الثاني بالجواز لأصل البراءة و الحلّية بعد اختصاص إطلاقات الحرمة بالرشوة في الحكم، و عدم دليل آخر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غير الحكم، فإن كان أمراً محرّماً فهو أيضاً كرشوة الحكم محرّم؛ لكونه إعانة على الإثم و اتّباعاً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محرّماً فلا يحرم؛ للأصل، و اختصاص الأخبار المتقدّمة برشوة الحكم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فصّل الشيخ الأعظم في المقام بينما إذا كان الأمر المبذولة لأجله الرشوة محرّماً أو مشتركاً بينه و بين المحلّل، بأن يبذل المال لإصلاح أمره، حقاً كان أو باطلاً، و بينما إذا كان ذلك الأمر حقاً و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بالحرمة في الصورتين الأُوليين معلّلاً بإطلاقات حرمة أكل المال بالباطل، و لفحوى إطلاقات تحريم هدايا العمّال و الولاة، لا لأجل الرشوة؛ لعدم دليل عليه و انصراف إطلاقات الحرمة إلى الرشوة في الحكم، و حكم بالجواز في الصورة الثالثة؛ لعدم دليل على حرمته و لمقتضى أصل البراءة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تحرم الرشوة في غير الحكم بناء على صدقها كما يظهر ممّا</w:t>
      </w:r>
    </w:p>
    <w:p>
      <w:pPr>
        <w:pStyle w:val="BookText"/>
        <w:rPr/>
      </w:pPr>
      <w:r>
        <w:rPr>
          <w:rFonts w:ascii="Amiri" w:hAnsi="Amiri" w:eastAsia="Amiri" w:cs="Amiri"/>
          <w:color w:val="111111"/>
          <w:sz w:val="28"/>
          <w:sz w:val="28"/>
          <w:szCs w:val="28"/>
          <w:rtl w:val="true"/>
          <w:lang w:bidi="ar-SA"/>
        </w:rPr>
        <w:t>تقدّم عن المصباح و النهاية كأن يبذل مالاً على أن يصلح أمره عند الأمير؟ فإن كان أمره منحصراً في المحرّم أو مشتركاً بينه و بين المحلّل لكن بذل على إصلاحه حراماً أو حلالاً فالظاهر حرمته لا لأجل الرشوة لعدم الدليل عليه عدا بعض الإطلاقات المنصرف إلى الرشا في الحكم بل لأنّه أكل للمال بالباطل فيكون الحرمة هنا لأجل الفساد، فلا يحرم القبض في نفسه و إنّما يحرم التصرف لأنّه باق على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يستدلّ على حرمته بفحوى إطلاق ما تقدّم في هدية الولاة و العمّال</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صاحب الجواهر جواز الرشوة في غير الحكم فيما إذا لم يدفع إلى الفساق و الظلمة أو دفعت لدفع ظلم؛ إذ هو بعد ما جعل صورة التوقف متيقناً من جريان السيرة على الجواز، لا مطلق الرشوة بعد صدق عنوان الرشوة عرفاً، لم يستبعد دعوى اختصاص عنوانها بما يستعمله قضاة الجور و الظلمة، دون ما يبذل لبعض الأغراض الصحيحة، من الهدية و الأُجرة و الجعل؛ بدعوى أنّ العرف ينقّح أفراد الرشوة و يفرّق بينها و بين مثل هذه الأُمور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ادّعى جريان السيرة على أخذ الرشوة في غير الحكم من المطالب و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لا يعد رشوة في العرف، و أنّ المراد منه العطاء فلا يستفاد منه ذلك، و المسلم من السيرة هو الرشوة على تحصيل الحق المتوقف عليها و على دفع الظلم من الظلمة و أتباعهم، و نحو ذلك، لا مطلق الرشوة بعد فرض صدق العرف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أنّه مختص في العرف بما يستعمله قضاة الجور و الظلمة و أتباعهم، و من يحذو حذوهم دون ما يبذل لبعض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الأغراض الصحيحة؛ من المحبة و الصداقة و غيرهما من الأُمور الدنيوية و الأُخروية و نحو ذلك مما أُمر لأجله بالتهادي بخلاف الرشوة التي كانت الأنفس السليمة مجبولة على التنزه عنها، لأنّها غير الهدية و الإجارة و الجعالة، بل هو قسم آخر مستقل ينقّح العرف أفراده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فرّق في العروة بينما إذا كانت الرشوة في غير الحكم لإحقاق حق أو دفع ظلم أو أمر مباح و بينما إذا كانت لإحقاق الباطل أو الإعانة على ظلم أو معصية، فحكم في الأوّل بالجواز و في الثاني بالحرمة، من غير فرق بين كون العمل محلّلاً في نفسه و بين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 الرشوة بما يبذل للقاضي ليحكم له، بل تجري في غير الحكم أيضاً، كما إذا بذل شيئاً لحاكم العرف أو لظالم أو رئيس ليعينه على ظلم أو غيره من المعاصي، و نحو ذلك فتكون حراماً و لا تختص بالمحرم، بل قد لا تكون حراماً كما إذا بذل شيئاً ليعينه على إحقاق حق أو دفع ظلم أو أمر مباح</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كلماتهم أنّه لا خلاف بينهم في حرمة الرشوة في غير الحكم إذا كانت لإحقاق باطل أو إبطال حقّ أو لأجل الإعانة على ظلم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لدخوله في عمومات تحريم الرشوة، كما لعلّه الظاهر من صاحب العروة و كل من عمّم الرشوة إلى غير الحكم موضوعاً، و هو الظاهر من صاحب الجواهر بل جعله متيقناً من مصاديق الرشوة؛ إذ لم يستبعد اختصاص عنوان الرشوة في غير الحكم عرفاً بما يستعمله قضاة الجور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إعانة على الإثم و الظلم، كما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68" w:name="pg937_11145"/>
    </w:p>
    <w:p>
      <w:pPr>
        <w:pStyle w:val="BookText"/>
        <w:rPr/>
      </w:pPr>
      <w:bookmarkEnd w:id="268"/>
      <w:r>
        <w:rPr>
          <w:rFonts w:ascii="Amiri" w:hAnsi="Amiri" w:eastAsia="Amiri" w:cs="Amiri"/>
          <w:color w:val="111111"/>
          <w:sz w:val="28"/>
          <w:sz w:val="28"/>
          <w:szCs w:val="28"/>
          <w:rtl w:val="true"/>
          <w:lang w:bidi="ar-SA"/>
        </w:rPr>
        <w:t>يظهر من المحقق النراقي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لأنّه أكل المال بالباطل، أو لفحوى إطلاق تحريم هدايا العمّال و الولاة، كما يظهر من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فيما إذا لم يكن العمل المبذولة له الرشوة حراماً في نفسه، فيظهر من الشيخ الأعظم حرمتها حينئذٍ؛ حيث حكم بحرمتها فيما إذا كانت لإصلاح أمر الراشي مطلقاً، سواءٌ كان العمل حراماً أم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صاحب العروة أيضاً، لكنّه خصّه بما إذا كان العمل الحلال المبذولة له الرشوة لغرض التوصّل به إلى إعانة ظلم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يحتمل كون مقصوده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تختص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الرشوة في غير الحكم بالمحرم، كما يشهد له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لا تكون حراماً كما إذا بذل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الرشوة في غير الحكم لغرض صحيح مباح و كان العمل حلالاً، فلم يقل أحد بحرمة الرشوة حينئذٍ و ذلك إمّا لعدم دليل على الحرمة و انصراف إطلاقات حرمة الرشوة في رأيهم إلى الرشوة في الحكم، أو لعدم صدق الرشوة على المال المبذول لذلك عرفاً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733485_373438147"/>
      <w:bookmarkStart w:id="270" w:name="_Toc99"/>
      <w:bookmarkEnd w:id="269"/>
      <w:r>
        <w:rPr>
          <w:rtl w:val="true"/>
        </w:rPr>
        <w:t>مقتضى التحقيق في المقام</w:t>
      </w:r>
      <w:bookmarkEnd w:id="270"/>
    </w:p>
    <w:p>
      <w:pPr>
        <w:pStyle w:val="BookText"/>
        <w:rPr/>
      </w:pPr>
      <w:r>
        <w:rPr>
          <w:rFonts w:ascii="Amiri" w:hAnsi="Amiri" w:eastAsia="Amiri" w:cs="Amiri"/>
          <w:color w:val="111111"/>
          <w:sz w:val="28"/>
          <w:sz w:val="28"/>
          <w:szCs w:val="28"/>
          <w:rtl w:val="true"/>
          <w:lang w:bidi="ar-SA"/>
        </w:rPr>
        <w:t>هذا عمدة كلمات الفقهاء في المقام و حاصل ما يستفاد منها، و أمّا تنقيح الكلام في المقام أنّ الرشوة في غير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على الإفتاء و تبليغ الأحكام و أُخرى على سائر الأُمور و الحوائج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الرشوة على الإفتاء و تبليغ الدين فهي في الحقيقة أخذ الأُجرة عليها بحيث لو لا أخذها لم يفت و لم يبلّغ</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على حرمتها مضافاً إلى ما سيأتي من عمومات حرمة</w:t>
      </w:r>
    </w:p>
    <w:p>
      <w:pPr>
        <w:pStyle w:val="BookText"/>
        <w:rPr/>
      </w:pPr>
      <w:r>
        <w:rPr>
          <w:rFonts w:ascii="Amiri" w:hAnsi="Amiri" w:eastAsia="Amiri" w:cs="Amiri"/>
          <w:color w:val="111111"/>
          <w:sz w:val="28"/>
          <w:sz w:val="28"/>
          <w:szCs w:val="28"/>
          <w:rtl w:val="true"/>
          <w:lang w:bidi="ar-SA"/>
        </w:rPr>
        <w:t>الرشوة الشاملة لغير الحكم، بناءً على صدق عنوانها على الأُجرة المأخوذة بإزائهما كما يظهر من رواية يوسف بن جابر ببعض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الشيخ بسنده عن يوسف بن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يحتاج الناس إليه لفقهه فسألهم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p>
    <w:p>
      <w:pPr>
        <w:pStyle w:val="BookText"/>
        <w:rPr/>
      </w:pPr>
      <w:r>
        <w:rPr>
          <w:rFonts w:ascii="Amiri" w:hAnsi="Amiri" w:eastAsia="Amiri" w:cs="Amiri"/>
          <w:color w:val="111111"/>
          <w:sz w:val="28"/>
          <w:sz w:val="28"/>
          <w:szCs w:val="28"/>
          <w:rtl w:val="true"/>
          <w:lang w:bidi="ar-SA"/>
        </w:rPr>
        <w:t>يحتاج الناس إليه لتفقهه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الإفتاء و التبليغ من شئون الفقه و التفقّه، فتدل هذه الرواية على حرمة أخذ الأُجرة و الرشوة على الإفتاء و تبليغ الدين و تعليم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ضعيفة سنداً بيوسف بن جابر؛ إذ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تدلّ على حرمة الأُجرة على الإفتاء و التبليغ مطلقاً سواءٌ كان بحق أو باطل، و لكن في رواية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من استأكل بعلمه افتقر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يتحمّلون علومكم و يبثّونها في شيعتكم فلا يعدمون منهم البرّ و الصّلة و الإكرام فقال</w:t>
      </w:r>
    </w:p>
    <w:p>
      <w:pPr>
        <w:pStyle w:val="BookText"/>
        <w:rPr/>
      </w:pPr>
      <w:r>
        <w:rPr>
          <w:rFonts w:ascii="Amiri" w:hAnsi="Amiri" w:eastAsia="Amiri" w:cs="Amiri"/>
          <w:color w:val="111111"/>
          <w:sz w:val="28"/>
          <w:sz w:val="28"/>
          <w:szCs w:val="28"/>
          <w:rtl w:val="true"/>
          <w:lang w:bidi="ar-SA"/>
        </w:rPr>
        <w:t>ليس أُولئك بمستأكلين، إنّما ذلك الذي يفتي بغير علم و لا هدى من اللّه، ليبطل به الحقوق، طمعاً في حطام الدنيا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و إن دلّت على كون المراد من المستأكل بعلمه خصوص من يفتي بغير علم و لا هدىً لإبطال الحقوق، إلّا أنّها لا تدلّ على الحرمة بل غاية مدلولها ابتلاء فاعل ذلك بالفقر و هو لا يدلّ على الحرمة، هذا مضافاً إلى ضعف سندها بمحمد بن سنان و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تنفع في المقام لإثبات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لذلك بأنّ الإفتاء و التبليغ بطبعهما يقتضيان المجانية و كذا تعليم الأحكام كما دلّ على منع الأُجرة على تعليم القرآن بعض النصوص و ما دلّ من الآيات أنّه كان دأب الأنبياء عدم سؤال الأُجرة بإزاء تبليغ الدين و تعليم الأحكام و أنّه لا أجر في مثل هذه الأُمور إلّا على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أكل المال بإزاء ذلك من قبيل أكل المال بالباطل فتشمله إطلاقات تحريمه، إلّا أن يعطي المال لذلك هديةً من غير سؤال، فلا دليل حينئذٍ على حرمته بل طيب النفس من صاحب المال و استحباب الهدية و منع ردّها يقتضي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اللعن في خبر يوسف و المنفي في الآيات هو سؤال الأجر لذلك لا قبول الهدية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أكل المال و أخذ الأُجرة بإزاء الإفتاء بغير العلم و لا هدىً لإبطال الحقوق فلا كلام في حرمته بل هو المتيقن من مصاديق الأكل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الرشوة على الإفتاء و التبليغ إذا كان لإحقاق باطل أو إبطال حق، فلا إشكال في حرمتها لأنّه المتيقن من إطلاقات تحريم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أخذها عليهما لا لذلك فإن احتاج الناس إلى إفتائه و تبليغه للعمل بوظائفهم الشرعية و فهم الحقائق الدينية فيشكل القول بجواز مطالبة الأُجرة و الرشوة منهم لأجل الإفتاء و التبليغ و تعليم المسائل الشرعية بل الأحوط الاجتناب عنه؛ نظراً إلى ما سبق آنفاً من أنّ الإفتاء و التبليغ يقتضيان المجانية و لا يقابلان بالأُجرة، كما كان ذلك دأب الأنبياء و الأئمّة و الأولياء و العلماء الربانين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ما رواه الشيخ بسنده عن يوسف بن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الإفتاء في الحقيقة نوعٌ من الحكم؛ فإنّ الفقيه في مقام</w:t>
      </w:r>
    </w:p>
    <w:p>
      <w:pPr>
        <w:pStyle w:val="BookText"/>
        <w:rPr/>
      </w:pPr>
      <w:r>
        <w:rPr>
          <w:rFonts w:ascii="Amiri" w:hAnsi="Amiri" w:eastAsia="Amiri" w:cs="Amiri"/>
          <w:color w:val="111111"/>
          <w:sz w:val="28"/>
          <w:sz w:val="28"/>
          <w:szCs w:val="28"/>
          <w:rtl w:val="true"/>
          <w:lang w:bidi="ar-SA"/>
        </w:rPr>
        <w:t>الإفتاء يحكم بالحرمة أو الحلّية أو الوجوب أو الجواز، و عليه فتدخل الرشوة على الإفتاء في إطلاقات تحريم الرشوة على الحكم بمعناه العام الشامل للحكم الفتوائي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حرمة أخذ الرشوة و مطالبتها على الإفتاء و التبليغ و تعليم أحكام الدين لا ينافي جواز قبولها على ذلك بغير مطالبة، بأن يقبل الهدية و العطية و البذل على ذلك، كما يحتاط بذلك في هذه الأزمنة أهل الورع و التقوى من 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الإفتاء و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الرشوة على سائر الأُمور و الحوائج فيمكن تأسيس أصل الحرمة بدلالة الإطلاقات الواردة في تحريم الرشوة الشاملة لغير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الإطلاقات الرواية المشهورة بين الفريقين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الراشي و المرتشي و الماشي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كتاب الإمامة و التبصرة</w:t>
      </w:r>
      <w:r>
        <w:rPr>
          <w:rStyle w:val="FootnoteAnchor"/>
          <w:rtl w:val="true"/>
        </w:rPr>
        <w:footnoteReference w:id="539"/>
      </w:r>
      <w:r>
        <w:rPr>
          <w:rFonts w:ascii="Amiri" w:hAnsi="Amiri" w:eastAsia="Amiri" w:cs="Amiri"/>
          <w:color w:val="111111"/>
          <w:sz w:val="28"/>
          <w:sz w:val="28"/>
          <w:szCs w:val="28"/>
          <w:rtl w:val="true"/>
          <w:lang w:bidi="ar-SA"/>
        </w:rPr>
        <w:t xml:space="preserve">عن سهل بن أحمد عن محمد بن محمد بن الأشعث 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هذه الرواية معتبرة؛ لأنّ سهل بن أحمد الديباجي لا بأس به، كما شهد بذلك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الغضائري فهو و إن ضعّفه و لكن استثنى من رواياته ما رواه عن محمد بن الأشعث فحكم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في عوالي اللآلي</w:t>
      </w:r>
      <w:r>
        <w:rPr>
          <w:rStyle w:val="FootnoteAnchor"/>
          <w:rtl w:val="true"/>
        </w:rPr>
        <w:footnoteReference w:id="541"/>
      </w:r>
      <w:r>
        <w:rPr>
          <w:rFonts w:ascii="Amiri" w:hAnsi="Amiri" w:eastAsia="Amiri" w:cs="Amiri"/>
          <w:color w:val="111111"/>
          <w:sz w:val="28"/>
          <w:sz w:val="28"/>
          <w:szCs w:val="28"/>
          <w:rtl w:val="true"/>
          <w:lang w:bidi="ar-SA"/>
        </w:rPr>
        <w:t>و في المستدرك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العامة في جوامعهم الروائية، كالبيهقي و ابن ماجة و أبو داود و الترمذي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سننهم و أحمد في مسنده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نظيرها ما رواه في كتاب الإمامة و التبصرة بالسند المزبور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الراشي و المرتشي و الماشي بينهما ملعونون</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في جامع الأخبار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استشهد فقهاؤنا بهذه الرواية في مظانّها، كما عن القاضي في المهذّب</w:t>
      </w:r>
      <w:r>
        <w:rPr>
          <w:rStyle w:val="FootnoteAnchor"/>
          <w:rtl w:val="true"/>
        </w:rPr>
        <w:footnoteReference w:id="546"/>
      </w:r>
      <w:r>
        <w:rPr>
          <w:rFonts w:ascii="Amiri" w:hAnsi="Amiri" w:eastAsia="Amiri" w:cs="Amiri"/>
          <w:color w:val="111111"/>
          <w:sz w:val="28"/>
          <w:sz w:val="28"/>
          <w:szCs w:val="28"/>
          <w:rtl w:val="true"/>
          <w:lang w:bidi="ar-SA"/>
        </w:rPr>
        <w:t>و المحقق الأردبيلي</w:t>
      </w:r>
      <w:r>
        <w:rPr>
          <w:rStyle w:val="FootnoteAnchor"/>
          <w:rtl w:val="true"/>
        </w:rPr>
        <w:footnoteReference w:id="547"/>
      </w:r>
      <w:r>
        <w:rPr>
          <w:rFonts w:ascii="Amiri" w:hAnsi="Amiri" w:eastAsia="Amiri" w:cs="Amiri"/>
          <w:color w:val="111111"/>
          <w:sz w:val="28"/>
          <w:sz w:val="28"/>
          <w:szCs w:val="28"/>
          <w:rtl w:val="true"/>
          <w:lang w:bidi="ar-SA"/>
        </w:rPr>
        <w:t>و الفاضل الهندي</w:t>
      </w:r>
      <w:r>
        <w:rPr>
          <w:rStyle w:val="FootnoteAnchor"/>
          <w:rtl w:val="true"/>
        </w:rPr>
        <w:footnoteReference w:id="548"/>
      </w:r>
      <w:r>
        <w:rPr>
          <w:rFonts w:ascii="Amiri" w:hAnsi="Amiri" w:eastAsia="Amiri" w:cs="Amiri"/>
          <w:color w:val="111111"/>
          <w:sz w:val="28"/>
          <w:sz w:val="28"/>
          <w:szCs w:val="28"/>
          <w:rtl w:val="true"/>
          <w:lang w:bidi="ar-SA"/>
        </w:rPr>
        <w:t>و استدل به في الجواهر</w:t>
      </w:r>
      <w:r>
        <w:rPr>
          <w:rStyle w:val="FootnoteAnchor"/>
          <w:rtl w:val="true"/>
        </w:rPr>
        <w:footnoteReference w:id="54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كتاب الإمامة و التبصرة بسنده المعتبر المزبور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سبق ذكره و سيأتي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الطائفة من النصوص تدلّ بإطلاقها على حرمة الرشوة مطلقاً، سواءٌ كان في الأحكام أم في غيرها، و دعوى انصرافها إلى الرشوة في خصوص الحكم لا دليل عليه، و لا سيّما بلحاظ كثرة موارد الرشوة في غير الحكم، من الحوائج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اليومية و المقاصد و المطالب الراجعة إلى شئون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للخروج عن إطلاقها في أي مورد من دليل يدلّ على جوازها فيه لدفع ظلم أو إحقاق حق، كما دلّت عليه موثقة الصيرفي</w:t>
      </w:r>
      <w:r>
        <w:rPr>
          <w:rStyle w:val="FootnoteAnchor"/>
          <w:rtl w:val="true"/>
        </w:rPr>
        <w:footnoteReference w:id="551"/>
      </w:r>
      <w:r>
        <w:rPr>
          <w:rFonts w:ascii="Amiri" w:hAnsi="Amiri" w:eastAsia="Amiri" w:cs="Amiri"/>
          <w:color w:val="111111"/>
          <w:sz w:val="28"/>
          <w:sz w:val="28"/>
          <w:szCs w:val="28"/>
          <w:rtl w:val="true"/>
          <w:lang w:bidi="ar-SA"/>
        </w:rPr>
        <w:t>و صحيحة محمد بن مسلم</w:t>
      </w:r>
      <w:r>
        <w:rPr>
          <w:rStyle w:val="FootnoteAnchor"/>
          <w:rtl w:val="true"/>
        </w:rPr>
        <w:footnoteReference w:id="552"/>
      </w:r>
      <w:r>
        <w:rPr>
          <w:rFonts w:ascii="Amiri" w:hAnsi="Amiri" w:eastAsia="Amiri" w:cs="Amiri"/>
          <w:color w:val="111111"/>
          <w:sz w:val="28"/>
          <w:sz w:val="28"/>
          <w:szCs w:val="28"/>
          <w:rtl w:val="true"/>
          <w:lang w:bidi="ar-SA"/>
        </w:rPr>
        <w:t>و قد سبق ذكر هاتين الروايتين و البحث عن مفادهما في تنقيح موضوع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كانت منها لإحقاق باطل أو إبطال حقّ فلا دليل على خروجه من إطلاقات حرمة الرشوة مع أنّه ظلم و إعانة على الإثم و العدوان بل تشمله إطلاقات تحريم هدايا العمّال و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فالمتقين من هذه الإطلاقات بالنسبة إلى غير الحكم ما إذا كانت لإحقاق باطل أو إبطال حق أو للإعانة على ظلم أو معصية أو فساد، فتدل على حرمة الرشوة لذلك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روى الصدوق في العيون بأسانيده 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أَكّالُونَ لِلسُّحْتِ ، قال</w:t>
      </w:r>
    </w:p>
    <w:p>
      <w:pPr>
        <w:pStyle w:val="BookText"/>
        <w:rPr/>
      </w:pPr>
      <w:r>
        <w:rPr>
          <w:rFonts w:ascii="Amiri" w:hAnsi="Amiri" w:eastAsia="Amiri" w:cs="Amiri"/>
          <w:color w:val="111111"/>
          <w:sz w:val="28"/>
          <w:sz w:val="28"/>
          <w:szCs w:val="28"/>
          <w:rtl w:val="true"/>
          <w:lang w:bidi="ar-SA"/>
        </w:rPr>
        <w:t>هو الرجل يقضي لأخيه الحاجة ثمّ يقبل هديته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الرواية حرمة أخذ الهدية بعد قضاء حاجة الأخ المؤمن، و هذا لم يلتزم به أحد من الفقهاء، و سيأتي توجيهها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مطالبة الرشوة بإزاء قضاء حاجة الأخ المؤمن لما كانت من حقوقه بمقتضى الأُخوّة الإيمانية، يشكل القول بجوازها، بل مقتضي عمومات الرشوة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فيما رواه الكليني بسنده عن الجابر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يحتاج الناس إلى نفعه فسألهم الرشوة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البحث عن تعدّد طرق هذه الرواية و اختلاف نسخها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هناك إنّ هذه الرواية مستقلّة عما رواه الشيخ بطريقه عن يوسف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هي مرسلة و لا تصلح إلّا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مدلول هذه الرواية يمكن حمل ما رواه الصدوق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سبق ذكرها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التأخّر العملي، أي بعد فعل قضاء الحاجة، و هو لا ينافي تقدم سؤال الرشوة و تبانيهما عليها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المقام التفصيل بينما إذا كانت الرشوة لإحقاق باطل أو إبطال حق و بين غيره، و في غيره بينما كان فعله من الوظائف الشرعية واجبة أو مستحبة بأن يقضي به حاجة الأخ المؤمن و بينما لم يكن من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الرشوة لإبطال حق أو إحقاق باطل لا إشكال في حرمتها؛ لأنّها المتيقن من إطلاقات حرمة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لقضاء حاجة الأخ المؤمن فإن توقف عليها استنقاذ حقه و دفع الظلم عنه فلا ريب في جوازها للراشي حينئذٍ، كما دلّ عليه صحيح محمد بن مسلم و موثقة الصيرفي و قد ذكرناهما في أوائل البحث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المرتشي فلا يجوز له أخذها حينئذٍ؛ نظراً إلى أنّ إنقاذ حق الأخ المؤمن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يد الظالم و دفع الظلم عنه وظيفة شرعية له و تشمله إطلاقات تحريم الرشوة، و لا سيّما ما رواه الكليني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الصدوق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يتوقف عليها استنقاذ الحق و لكن يرتفع بها الحاجة فالأحوط وجوباً عدم أخذ الرشوة، بل يتقوّى عدم جوازه؛ نظراً إلى إطلاقات تحريم الرشوة و لا سيّما بدلالة ما رواه الكليني،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بملاحظة كون إصلاح أمر الأخ المؤمن و قضاء حاجته مستحباً مؤكّداً مأموراً به في الشرع؛ لجواز أخذ الأُجرة على المستحبات، كما ثبت في محله في الجملة، مع أنّ الأُجرة غير الرشوة، كما قلنا؛ لأنّ الأُجرة إنّما في المستحبات التي لها مالية عرفاً و يعطي المال بإزائها، دون ما يقتضي منها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أخذ الرشوة و الجعل على قضاء حاجة الأخ المؤمن دخل في عمومات النهي عن الرشوة، إلّا أنّ حرمتها تختصّ بالمرتشي الذي يسأل الرشوة لأجل قضاء حاجة أخيه المؤمن، دون الراشي المحتاج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أر من يلتزم بحرمة أخذ الرشوة لقضاء حاجة المؤمن مطلقاً، إلّا أن تشتمل حاجته على أمر محرّم كما عرفته سابقاً من كلام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يقوى في النظر الحرمة مطلقاً عملاً بإطلاقات حرمة الرشوة لو لم يكن الإجماع على الجواز أو الاتفاق على انصراف الإطلاقات إلى الرشوة في الحكم و لكن دعوى الانصراف مشكلٌ، كما قلنا، فيبقى الإجماع، و لكن تحصيله على جواز الأخذ في المرتشي مشكل بعد ما عرفت من الاختلاف و عدم تعرضهم للرشوة في غير الحكم، و لا سيّما القدماء من الأصحاب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العمل المبذول بإزائه المال مما يقابل بالمال عرفاً، يخرج</w:t>
      </w:r>
    </w:p>
    <w:p>
      <w:pPr>
        <w:pStyle w:val="BookText"/>
        <w:rPr/>
      </w:pPr>
      <w:r>
        <w:rPr>
          <w:rFonts w:ascii="Amiri" w:hAnsi="Amiri" w:eastAsia="Amiri" w:cs="Amiri"/>
          <w:color w:val="111111"/>
          <w:sz w:val="28"/>
          <w:sz w:val="28"/>
          <w:szCs w:val="28"/>
          <w:rtl w:val="true"/>
          <w:lang w:bidi="ar-SA"/>
        </w:rPr>
        <w:t>المال المبذول بإزائه حينئذٍ من الرشوة و يدخل في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الكلام، لأن الكلام في الرشوة و هي ما يبذل للتوصل إلى عمل لا يقابل بالمال، أو عمل كان من الوظيفة الشرعية للعامل أن يعمله مجاناً، إمّا لارتزاقه من بيت المال أو مأموراً بفعله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لقضاء حاجة المؤمن بل لإيصال نفع أو فعل ما لا يدخل في عنوان قضاء الحاجة، فإن لم يبطل به حق شخص آخر و لم يضرّ بأحد فالظاهر جواز أخذ الأُجرة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يصدق عليها عنوان الرشوة، بل يطلق على المال المأخوذ في قبال ذلك عنوان الجعل أو الأُجرة و هما غير الرشوة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دفع الرشوة في غير الحكم إذا انحصر فيه استنقاذ الحق فقد اتضح مما سبق إنّه لا يحرم للدافع، بل إنّما يحرم أخذها للمرتشي خاصّةً</w:t>
      </w:r>
      <w:r>
        <w:rPr>
          <w:rFonts w:eastAsia="Amiri" w:cs="Amiri" w:ascii="Amiri" w:hAnsi="Amiri"/>
          <w:color w:val="111111"/>
          <w:sz w:val="28"/>
          <w:szCs w:val="28"/>
          <w:rtl w:val="true"/>
          <w:lang w:bidi="ar-SA"/>
        </w:rPr>
        <w:t>.</w:t>
      </w:r>
      <w:bookmarkStart w:id="271" w:name="pg937_11163"/>
    </w:p>
    <w:p>
      <w:pPr>
        <w:pStyle w:val="Heading3"/>
        <w:numPr>
          <w:ilvl w:val="2"/>
          <w:numId w:val="1"/>
        </w:numPr>
        <w:rPr/>
      </w:pPr>
      <w:bookmarkStart w:id="272" w:name="__RefHeading___Toc733487_373438147"/>
      <w:bookmarkStart w:id="273" w:name="_Toc100"/>
      <w:bookmarkEnd w:id="271"/>
      <w:bookmarkEnd w:id="272"/>
      <w:r>
        <w:rPr>
          <w:rtl w:val="true"/>
        </w:rPr>
        <w:t>الرشوة على الحكم</w:t>
      </w:r>
      <w:bookmarkEnd w:id="273"/>
    </w:p>
    <w:p>
      <w:pPr>
        <w:pStyle w:val="Heading4"/>
        <w:numPr>
          <w:ilvl w:val="3"/>
          <w:numId w:val="1"/>
        </w:numPr>
        <w:rPr/>
      </w:pPr>
      <w:bookmarkStart w:id="274" w:name="__RefHeading___Toc733489_373438147"/>
      <w:bookmarkStart w:id="275" w:name="_Toc10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سبق آنفاً أنّ الكلام في الرشوة على الحكم يقع في أُمور، و هي ما يلي</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33491_373438147"/>
      <w:bookmarkStart w:id="277" w:name="_Toc102"/>
      <w:bookmarkEnd w:id="276"/>
      <w:r>
        <w:rPr>
          <w:rtl w:val="true"/>
        </w:rPr>
        <w:t>هل تختص الحرمة بالرشوة على حكم الحاكم الشرعي؟</w:t>
      </w:r>
      <w:bookmarkEnd w:id="277"/>
    </w:p>
    <w:p>
      <w:pPr>
        <w:pStyle w:val="BookText"/>
        <w:rPr/>
      </w:pPr>
      <w:r>
        <w:rPr>
          <w:rFonts w:ascii="Amiri" w:hAnsi="Amiri" w:eastAsia="Amiri" w:cs="Amiri"/>
          <w:color w:val="111111"/>
          <w:sz w:val="28"/>
          <w:sz w:val="28"/>
          <w:szCs w:val="28"/>
          <w:rtl w:val="true"/>
          <w:lang w:bidi="ar-SA"/>
        </w:rPr>
        <w:t>من الأُمور التي ينبغي تحريره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هل تختص بالرشوة على الحكم الشرعي الصادر من جانب القاضي أو تعمّ المبذول منها للتوصل به إلى حكم حكّام العرف، و لم ينقّح ذلك في كلمات الفقهاء، كما أشار إليه في الجواهر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دخوله في إطلاقات تحريم الرشوة في الحكم؛ حيث لم يقيّد الحكم فيها بالحكم الشرعي و لا بالصادر من حاكم الشرع و إنّ إطلاق الرشوة في الحكم كما في النصوص المستفيضة، بل المتواترة</w:t>
      </w:r>
      <w:r>
        <w:rPr>
          <w:rStyle w:val="FootnoteAnchor"/>
          <w:rtl w:val="true"/>
        </w:rPr>
        <w:footnoteReference w:id="556"/>
      </w:r>
      <w:r>
        <w:rPr>
          <w:rFonts w:ascii="Amiri" w:hAnsi="Amiri" w:eastAsia="Amiri" w:cs="Amiri"/>
          <w:color w:val="111111"/>
          <w:sz w:val="28"/>
          <w:sz w:val="28"/>
          <w:szCs w:val="28"/>
          <w:rtl w:val="true"/>
          <w:lang w:bidi="ar-SA"/>
        </w:rPr>
        <w:t xml:space="preserve">يشمل كلّ حكم صادر من أيّ شخص، و لا سيّما عموم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الرشا يا عمار في الأحكام</w:t>
      </w:r>
      <w:r>
        <w:rPr>
          <w:rStyle w:val="FootnoteAnchor"/>
          <w:rtl w:val="true"/>
        </w:rPr>
        <w:footnoteReference w:id="557"/>
      </w:r>
      <w:r>
        <w:rPr>
          <w:rFonts w:ascii="Amiri" w:hAnsi="Amiri" w:eastAsia="Amiri" w:cs="Amiri"/>
          <w:color w:val="111111"/>
          <w:sz w:val="28"/>
          <w:sz w:val="28"/>
          <w:szCs w:val="28"/>
          <w:rtl w:val="true"/>
          <w:lang w:bidi="ar-SA"/>
        </w:rPr>
        <w:t>في صحيحة عمار يشمل كلّ ما يصدق عليه الرشوة في الحكم عرفاً، بل لا فرق بين حكم القاضي و بين حكم الحاكم العرفي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استظهار هذا التعميم من كلام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w:t>
      </w:r>
      <w:bookmarkStart w:id="278" w:name="pg937_11165"/>
    </w:p>
    <w:p>
      <w:pPr>
        <w:pStyle w:val="BookText"/>
        <w:rPr/>
      </w:pPr>
      <w:bookmarkEnd w:id="278"/>
      <w:r>
        <w:rPr>
          <w:rFonts w:ascii="Amiri" w:hAnsi="Amiri" w:eastAsia="Amiri" w:cs="Amiri"/>
          <w:color w:val="111111"/>
          <w:sz w:val="28"/>
          <w:sz w:val="28"/>
          <w:szCs w:val="28"/>
          <w:rtl w:val="true"/>
          <w:lang w:bidi="ar-SA"/>
        </w:rPr>
        <w:t>الرشوة بما تبذل للقاضي ليحكم له، بل تجري في غير الحكم أيضاً، كما إذا بذل شيئاً لحاكم العرف</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جريان الرشوة في غير القاضي من حكّام العرف تجري في غير الحكم أيضاً و لذا مثّل لذلك بما يبذل لحاكم العرف عداد ما يبذل إلى العمّال و الولاة و الطواغيت، و إن يحتمل كون مقصوده أنّ الصادر من حاكم العرف من قبيل غير الحكم، و لكنه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حاكم العرف ظاهراً كلّ من ينصبونه العرف من أهل القبائل و الطوائف بين أنفسهم بعنوان الحاكم أو رئيس القبيلة لأن يحكم بينهم في المنازعات على أساس آدابهم و عاداتهم و رسومهم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الأقوى عدم الفرق بين الرشوة على حكم القاضي و بين الرشوة على حكم غيره من حكّام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كلاهما في عمومات تحريم الرشوة في الأحكام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33493_373438147"/>
      <w:bookmarkStart w:id="280" w:name="_Toc103"/>
      <w:bookmarkEnd w:id="279"/>
      <w:r>
        <w:rPr>
          <w:rtl w:val="true"/>
        </w:rPr>
        <w:t>هل المبذول قبل الخصومة رشوة محرّمة؟</w:t>
      </w:r>
      <w:bookmarkEnd w:id="280"/>
    </w:p>
    <w:p>
      <w:pPr>
        <w:pStyle w:val="BookText"/>
        <w:rPr/>
      </w:pPr>
      <w:r>
        <w:rPr>
          <w:rFonts w:ascii="Amiri" w:hAnsi="Amiri" w:eastAsia="Amiri" w:cs="Amiri"/>
          <w:color w:val="111111"/>
          <w:sz w:val="28"/>
          <w:sz w:val="28"/>
          <w:szCs w:val="28"/>
          <w:rtl w:val="true"/>
          <w:lang w:bidi="ar-SA"/>
        </w:rPr>
        <w:t>و أمّا أنّه هل تختص حرمة الرشوة في الحكم بالمبذول منها بعد وقوع الخصومة أو تعمّ المبذول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عمومها المبذول قبل وقوع الخصومة إذا كانت لأجل التوصّل بها إلى الحكم و لغرض التوطئة له فيما يتوقّع في المستقبل من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المستفاد من نصوص المقام كون بذل الرشوة لغرض التوصّل بها إلى إنشاء الحكم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تحقق ذلك فيما إذا كان بذلها لغرض ذلك قبل وقوع الخصومة،</w:t>
      </w:r>
      <w:bookmarkStart w:id="281" w:name="pg937_11167"/>
    </w:p>
    <w:p>
      <w:pPr>
        <w:pStyle w:val="BookText"/>
        <w:rPr/>
      </w:pPr>
      <w:bookmarkEnd w:id="281"/>
      <w:r>
        <w:rPr>
          <w:rFonts w:ascii="Amiri" w:hAnsi="Amiri" w:eastAsia="Amiri" w:cs="Amiri"/>
          <w:color w:val="111111"/>
          <w:sz w:val="28"/>
          <w:sz w:val="28"/>
          <w:szCs w:val="28"/>
          <w:rtl w:val="true"/>
          <w:lang w:bidi="ar-SA"/>
        </w:rPr>
        <w:t>بل لا دخل لوقوع الخصومة في ذلك، و أنّ بذل الرشوة قبل الخصومة ربما يكون أحفظ من التهمة و آمن من الفضيحة لكلّ من الباذل و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إشكال في حرمة الرشوة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ما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الفعل الذي هو غاية البذل أن يكون فعلاً حاضراً، أو متوقّعاً، كأن يبذل للقاضي لأجل أنّه لو حصل له خصم يحكم للباذل، و إن لم يكن له بالفعل خصم حاضر و لا خصومة حاضرة إلى أن قال فإن كان الفعل المقصود الحكم فهو حرام مطلقاً كما مرّ، سواء كان الحكم لخصومة حاضرة أو فرضيّة، و لذا حكموا بحرمة الهدية الغير المعهودة قبل القضاء؛ لأنّه قرينة على أنّ المقصود منه الحكم و لو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لصدق الرشوة عرفاً، فتشمله إطلاقاتها، و عليه يحمل إطلاق ما ورد في طريق العامة و الخاصّة كما في أمالي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هدايا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ذلك أيضاً في الجواهر و نقل عن أُستاذه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733495_373438147"/>
      <w:bookmarkStart w:id="283" w:name="_Toc104"/>
      <w:bookmarkEnd w:id="282"/>
      <w:r>
        <w:rPr>
          <w:rtl w:val="true"/>
        </w:rPr>
        <w:t>هل تحرم الرشوة إذا لم يكن لها تأثير في الحكم؟</w:t>
      </w:r>
      <w:bookmarkEnd w:id="283"/>
    </w:p>
    <w:p>
      <w:pPr>
        <w:pStyle w:val="BookText"/>
        <w:rPr/>
      </w:pPr>
      <w:r>
        <w:rPr>
          <w:rFonts w:ascii="Amiri" w:hAnsi="Amiri" w:eastAsia="Amiri" w:cs="Amiri"/>
          <w:color w:val="111111"/>
          <w:sz w:val="28"/>
          <w:sz w:val="28"/>
          <w:szCs w:val="28"/>
          <w:rtl w:val="true"/>
          <w:lang w:bidi="ar-SA"/>
        </w:rPr>
        <w:t>و أمّا أنّه هل تحرم الرشوة إذا لم يكن لها تأثيرٌ في حكم الحاكم بالحق، بأن يحكم بالحق، سواءٌ أخذ الرشوة أم 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حينئذٍ بذلاً و أخذاً؛ نظراً إلى إطلاقات تحريم الرشوة في الحكم و عدم مقيد لها، بل دلّ على حرمتها حينئذٍ بالخصوص رواية دعائم عن</w:t>
      </w:r>
      <w:bookmarkStart w:id="284" w:name="pg937_11169"/>
    </w:p>
    <w:p>
      <w:pPr>
        <w:pStyle w:val="BookText"/>
        <w:rPr/>
      </w:pPr>
      <w:bookmarkEnd w:id="284"/>
      <w:r>
        <w:rPr>
          <w:rFonts w:ascii="Amiri" w:hAnsi="Amiri" w:eastAsia="Amiri" w:cs="Amiri"/>
          <w:color w:val="111111"/>
          <w:sz w:val="28"/>
          <w:sz w:val="28"/>
          <w:szCs w:val="28"/>
          <w:rtl w:val="true"/>
          <w:lang w:bidi="ar-SA"/>
        </w:rPr>
        <w:t xml:space="preserve">نعم لو توقّف التوصّل إلى حقّه عليها جاز للدافع و إن حرم على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من أكل السحت الرشوة في الحكم،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إن حكم بالحق؟ قال</w:t>
      </w:r>
    </w:p>
    <w:p>
      <w:pPr>
        <w:pStyle w:val="BookText"/>
        <w:rPr/>
      </w:pPr>
      <w:r>
        <w:rPr>
          <w:rFonts w:ascii="Amiri" w:hAnsi="Amiri" w:eastAsia="Amiri" w:cs="Amiri"/>
          <w:color w:val="111111"/>
          <w:sz w:val="28"/>
          <w:sz w:val="28"/>
          <w:szCs w:val="28"/>
          <w:rtl w:val="true"/>
          <w:lang w:bidi="ar-SA"/>
        </w:rPr>
        <w:t>و إن حكم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إطلاق جماعة من الفقهاء؛ حيث حكموا محرمة الرشوة على الحكم مطلقاً، سواء حكم بالحق أم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يستثنوا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بحرمة أخذ الرشوة للقاضي حينئذٍ المحقق النراقي في المستند</w:t>
      </w:r>
      <w:r>
        <w:rPr>
          <w:rStyle w:val="FootnoteAnchor"/>
          <w:rtl w:val="true"/>
        </w:rPr>
        <w:footnoteReference w:id="561"/>
      </w:r>
      <w:r>
        <w:rPr>
          <w:rFonts w:ascii="Amiri" w:hAnsi="Amiri" w:eastAsia="Amiri" w:cs="Amiri"/>
          <w:color w:val="111111"/>
          <w:sz w:val="28"/>
          <w:sz w:val="28"/>
          <w:szCs w:val="28"/>
          <w:rtl w:val="true"/>
          <w:lang w:bidi="ar-SA"/>
        </w:rPr>
        <w:t>حيث ضعّف القول بجواز ذلك غاية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تخصيصه الحرمة بالآخذ لا وجه له؛ لأنّه مخالف لإطلاقات التحريم بل تحرم للدافع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كان قصده التوصل به إلى الحكم بالحق، كما سيأتي</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33497_373438147"/>
      <w:bookmarkStart w:id="286" w:name="_Toc105"/>
      <w:bookmarkEnd w:id="285"/>
      <w:r>
        <w:rPr>
          <w:rtl w:val="true"/>
        </w:rPr>
        <w:t>حكم الرشوة إذا توقف استنقاذ الحق عليها</w:t>
      </w:r>
      <w:bookmarkEnd w:id="28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Amiri" w:hAnsi="Amiri" w:eastAsia="Amiri" w:cs="Amiri"/>
          <w:color w:val="111111"/>
          <w:sz w:val="28"/>
          <w:sz w:val="28"/>
          <w:szCs w:val="28"/>
          <w:rtl w:val="true"/>
          <w:lang w:bidi="ar-SA"/>
        </w:rPr>
        <w:t>إذا توقف على الرشوة استنقاذ حق الدافع فحينئذٍ تختص حرمتها بالآخذ و هو القاضي و هذا لا كلام فيه، كما صرّح به الشيخ في المبسوط</w:t>
      </w:r>
      <w:r>
        <w:rPr>
          <w:rStyle w:val="FootnoteAnchor"/>
          <w:rtl w:val="true"/>
        </w:rPr>
        <w:footnoteReference w:id="563"/>
      </w:r>
      <w:r>
        <w:rPr>
          <w:rFonts w:ascii="Amiri" w:hAnsi="Amiri" w:eastAsia="Amiri" w:cs="Amiri"/>
          <w:color w:val="111111"/>
          <w:sz w:val="28"/>
          <w:sz w:val="28"/>
          <w:szCs w:val="28"/>
          <w:rtl w:val="true"/>
          <w:lang w:bidi="ar-SA"/>
        </w:rPr>
        <w:t>و الشهيد في المسالك</w:t>
      </w:r>
      <w:r>
        <w:rPr>
          <w:rStyle w:val="FootnoteAnchor"/>
          <w:rtl w:val="true"/>
        </w:rPr>
        <w:footnoteReference w:id="564"/>
      </w:r>
      <w:r>
        <w:rPr>
          <w:rFonts w:ascii="Amiri" w:hAnsi="Amiri" w:eastAsia="Amiri" w:cs="Amiri"/>
          <w:color w:val="111111"/>
          <w:sz w:val="28"/>
          <w:sz w:val="28"/>
          <w:szCs w:val="28"/>
          <w:rtl w:val="true"/>
          <w:lang w:bidi="ar-SA"/>
        </w:rPr>
        <w:t>و الروضة</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كلمات الأصحاب جواز الرجوع إلى قضاة</w:t>
      </w:r>
    </w:p>
    <w:p>
      <w:pPr>
        <w:pStyle w:val="BookText"/>
        <w:rPr/>
      </w:pPr>
      <w:r>
        <w:rPr>
          <w:rFonts w:ascii="Amiri" w:hAnsi="Amiri" w:eastAsia="Amiri" w:cs="Amiri"/>
          <w:color w:val="111111"/>
          <w:sz w:val="28"/>
          <w:sz w:val="28"/>
          <w:szCs w:val="28"/>
          <w:rtl w:val="true"/>
          <w:lang w:bidi="ar-SA"/>
        </w:rPr>
        <w:t>الجور حينئذٍ و جواز دفع الرشوة إليهم إذا توقف استنقاذ الحق على ذلك، بل ادعى في الجواهر عدم الخلاف بين الأصحاب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توقف تحصيل الحق على بذله لقضاة حكام الجور جاز للراشي، و حرم على المرتشي كما صرّح به غير واحد، بل لا أجد فيه خلافاً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فيه واضحٌ؛ لأنّ الدافع يستنقذ بذلك حقّه و لا مناص له من ذلك، بخلاف القاضي فتنصرف إطلاقات تحريم الرشوة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بذلك المحقّق في الشرائع</w:t>
      </w:r>
      <w:r>
        <w:rPr>
          <w:rStyle w:val="FootnoteAnchor"/>
          <w:rtl w:val="true"/>
        </w:rPr>
        <w:footnoteReference w:id="567"/>
      </w:r>
      <w:r>
        <w:rPr>
          <w:rFonts w:ascii="Amiri" w:hAnsi="Amiri" w:eastAsia="Amiri" w:cs="Amiri"/>
          <w:color w:val="111111"/>
          <w:sz w:val="28"/>
          <w:sz w:val="28"/>
          <w:szCs w:val="28"/>
          <w:rtl w:val="true"/>
          <w:lang w:bidi="ar-SA"/>
        </w:rPr>
        <w:t>، بل نسبه المحقّق النراقي في المستند إلى جمع كثير، منهم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نفسه معلّلاً بمعارضة إطلاقات تحريم الرشوة و الرجوع إلى أصل الحلية، لو لم يرجّح الثاني</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من أصل الحلية لعلّه حلّية الشيء الحرام حال الاضطرار، كما صرّح به في بعض النصوص، بلحاظ كون توقف استنقاذ حقّه على دفع الرشوة نوع اضطرار له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صدق عنوان الاضطرار على جميع موارده مشكل، و لا سيّما في القليل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مقصوده جواز تصرف المالك في ماله كيف شاء بمقتضى قاعدة السلطنة، و لكن التعبير عن ذلك بأصل الحلية خلاف الظاهر؛ فإنّ هذا التعبير ظاهر في موارد الشك في حلية الشيء لأجل الشبهة الموضوعية،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لك حلال حتى تعلم أنّه حرام</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ليس من هذا القبيل،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87" w:name="pg937_11172"/>
    </w:p>
    <w:p>
      <w:pPr>
        <w:pStyle w:val="BookText"/>
        <w:rPr/>
      </w:pPr>
      <w:bookmarkEnd w:id="287"/>
      <w:r>
        <w:rPr>
          <w:rFonts w:ascii="Amiri" w:hAnsi="Amiri" w:eastAsia="Amiri" w:cs="Amiri"/>
          <w:color w:val="111111"/>
          <w:sz w:val="28"/>
          <w:sz w:val="28"/>
          <w:szCs w:val="28"/>
          <w:rtl w:val="true"/>
          <w:lang w:bidi="ar-SA"/>
        </w:rPr>
        <w:t>و هل يجوز الدفع إذا كان محقّاً و لم يتوقّف التوصّل إليه عليها؟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الأحوط الترك،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قد يشكل في المقام دعوى حكومة أدلّة اللااقتضائيّ ضرر على إطلاقات تحريم الرشوة؛ حيث إنّ حرمة الرشوة ليست بنفسها حكماً ضرريّاً، بل غاية ما يلزم منه انسداد طريق رفع الضرر الوارد أو دفعه قبل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انحصر رفع الضرر و استنقاذ الحق في دفع الرشوة، يمكن القول بجواز دفع الرشوة، ذلك إمّا بحكومة دليل نفي الضرر على إطلاقات حرمة الرشوة حينئذٍ كأنّ توقف الاستنقاذ على دفعها يوجب استناد ذهاب الحق إلى المنع عن دفعها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لوجوب استنقاذ المال كما يظهر هذا التعليل من كلام الشيخ في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لإجرائه على واجبه لم يحرم عليه أن يرشوه لذلك؛ لأنّه يستنقذ ماله فيحلّ ذلك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صورة عدم الانحصار؛ حيث لا دليل على الخروج من إطلاقات تحريم الرشوة في مطلق موارد استنقاذ الحق لو لم يتوقف على دفع الرشوة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33499_373438147"/>
      <w:bookmarkStart w:id="289" w:name="_Toc106"/>
      <w:bookmarkEnd w:id="288"/>
      <w:r>
        <w:rPr>
          <w:rtl w:val="true"/>
        </w:rPr>
        <w:t>حرمة الرشوة إذا توصّل بها إلى الحكم بالحق من دون توقّفه عليها</w:t>
      </w:r>
      <w:bookmarkEnd w:id="2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0"/>
      </w:r>
      <w:r>
        <w:rPr>
          <w:rFonts w:ascii="Amiri" w:hAnsi="Amiri" w:eastAsia="Amiri" w:cs="Amiri"/>
          <w:color w:val="111111"/>
          <w:sz w:val="28"/>
          <w:sz w:val="28"/>
          <w:szCs w:val="28"/>
          <w:rtl w:val="true"/>
          <w:lang w:bidi="ar-SA"/>
        </w:rPr>
        <w:t>لا تختص حرمة أخذ الرشوة بما إذا توصّل بها إلى الحكم بالباطل، بل يحرم أخذها للمرتشي و هو القاضي فيما إذا توصّل الراشي بدفعها إلى الحكم بالحق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كلام فيه بالنسبة إلى المرتشي، و إن يظهر من المحقق النراقي مخالفة</w:t>
      </w:r>
    </w:p>
    <w:p>
      <w:pPr>
        <w:pStyle w:val="BookText"/>
        <w:rPr/>
      </w:pPr>
      <w:r>
        <w:rPr>
          <w:rFonts w:ascii="Amiri" w:hAnsi="Amiri" w:eastAsia="Amiri" w:cs="Amiri"/>
          <w:color w:val="111111"/>
          <w:sz w:val="28"/>
          <w:sz w:val="28"/>
          <w:szCs w:val="28"/>
          <w:rtl w:val="true"/>
          <w:lang w:bidi="ar-SA"/>
        </w:rPr>
        <w:t>بعض في ذلك؛ حيث نقل استدلالهم و رده،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الراشي فيظهر من جماعة من الفقهاء جواز دفع الرشوة له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المحقق في الشرائع و العلّامة في التحرير؛ حيث فصّلا بين الآخذ و الدافع،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توصّل إلى الحق لم يأثم و يأثم المرتشي على التقديرين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 كذا في الشرائع</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مرادهما التوصل بها إلى استنقاذ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يحمل إطلاق كلامه في التبصرة</w:t>
      </w:r>
      <w:r>
        <w:rPr>
          <w:rStyle w:val="FootnoteAnchor"/>
          <w:rtl w:val="true"/>
        </w:rPr>
        <w:footnoteReference w:id="573"/>
      </w:r>
      <w:r>
        <w:rPr>
          <w:rFonts w:ascii="Amiri" w:hAnsi="Amiri" w:eastAsia="Amiri" w:cs="Amiri"/>
          <w:color w:val="111111"/>
          <w:sz w:val="28"/>
          <w:sz w:val="28"/>
          <w:szCs w:val="28"/>
          <w:rtl w:val="true"/>
          <w:lang w:bidi="ar-SA"/>
        </w:rPr>
        <w:t>و كذا الشهيد في المسالك</w:t>
      </w:r>
      <w:r>
        <w:rPr>
          <w:rStyle w:val="FootnoteAnchor"/>
          <w:rtl w:val="true"/>
        </w:rPr>
        <w:footnoteReference w:id="574"/>
      </w:r>
      <w:r>
        <w:rPr>
          <w:rFonts w:ascii="Amiri" w:hAnsi="Amiri" w:eastAsia="Amiri" w:cs="Amiri"/>
          <w:color w:val="111111"/>
          <w:sz w:val="28"/>
          <w:sz w:val="28"/>
          <w:szCs w:val="28"/>
          <w:rtl w:val="true"/>
          <w:lang w:bidi="ar-SA"/>
        </w:rPr>
        <w:t>و كلام المقدس الأردبيلي في مجمع الفائدة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يظهر من جماعة الحكم بالحرمة حينئذٍ حتى للدافع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المحقق النراقي في المستند</w:t>
      </w:r>
      <w:r>
        <w:rPr>
          <w:rStyle w:val="FootnoteAnchor"/>
          <w:rtl w:val="true"/>
        </w:rPr>
        <w:footnoteReference w:id="576"/>
      </w:r>
      <w:r>
        <w:rPr>
          <w:rFonts w:ascii="Amiri" w:hAnsi="Amiri" w:eastAsia="Amiri" w:cs="Amiri"/>
          <w:color w:val="111111"/>
          <w:sz w:val="28"/>
          <w:sz w:val="28"/>
          <w:szCs w:val="28"/>
          <w:rtl w:val="true"/>
          <w:lang w:bidi="ar-SA"/>
        </w:rPr>
        <w:t>حيث إنّه نفى تخصيص الحرمة بما إذا أرشى و ارتشى للحكم بالباطل و عمّمها إلى الإرشاء و الارتشاء للحكم بالحق و ردّ استدلال المجوزين في الصورة الثانية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للجواز مطلقاً حتى للمرتشي على ما يظهر في المستند</w:t>
      </w:r>
      <w:r>
        <w:rPr>
          <w:rStyle w:val="FootnoteAnchor"/>
          <w:rtl w:val="true"/>
        </w:rPr>
        <w:footnoteReference w:id="577"/>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عنوان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محمد بن مسلم المجوّزة للإرشاءر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التحوّل من منزله</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واضحٌ كما قال في المستند لأنّ دعوى عدم صدق الرشوة ممنوعة، كما سبق في تنقيح ماهية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محمد بن مسلم فموردها الرشوة في غير الحكم و محلّ الكلام هو الرشوة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بهذا الإطلاق هو المحقق الأردبيلي؛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المراد بها هنا، ما يعطى للحكم حقاً أو باطلاً؛ لأنّه المفهوم الموافق للغة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حرم على الراشي أيضاً مطلقاً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التحقيق في المقام حرمة دفع الرشوة على الراشي أيضاً، و ذلك لإطلاقات تحريم الرشوة في الحكم فإنّها تقتضي حرمة دفعها أيضاً مطلقاً حتى للتوصل إلى الحكم بالحق، و لم يرد مقيّد لها، بل يؤكدها الخبر السابق عن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توقّف استنقاذ الحق على دفع الرشوة فإنّما هو خرج عن إطلاقات التحريم بدليل نفي الضرر الحاكم على الأدلّة الأوّلية كما سبق بيانه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 مع المحقق النراقي و المقدس الأردبيلي، بل يمكن حمل كلام من فصّل بين الآخذ و الدافع فيما إذا توصّل بها إلى الحق، كما في كلام المحقق و العلّامة، أو إلى الحكم بالحق، كما في كلام غيرهما على صورة توقف استنقاذ الحق على دفع الرشوة، كما سبق من المبسوط و الشرائع و المسالك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بذلك أنّ الرشوة إذا توصّل بها إلى الحكم بالباطل لا إشكال في حرمته مطلقاً، بلا فرق بين الراشي و المرتشي، بل هو المتيقن من إطلاقات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90" w:name="pg937_11178"/>
    </w:p>
    <w:p>
      <w:pPr>
        <w:pStyle w:val="Heading4"/>
        <w:numPr>
          <w:ilvl w:val="3"/>
          <w:numId w:val="1"/>
        </w:numPr>
        <w:rPr/>
      </w:pPr>
      <w:bookmarkStart w:id="291" w:name="__RefHeading___Toc733501_373438147"/>
      <w:bookmarkStart w:id="292" w:name="_Toc107"/>
      <w:bookmarkEnd w:id="290"/>
      <w:bookmarkEnd w:id="291"/>
      <w:r>
        <w:rPr>
          <w:rtl w:val="true"/>
        </w:rPr>
        <w:t>توقّف أصل الحكم على الرشوة</w:t>
      </w:r>
      <w:bookmarkEnd w:id="292"/>
    </w:p>
    <w:p>
      <w:pPr>
        <w:pStyle w:val="BookText"/>
        <w:rPr/>
      </w:pPr>
      <w:r>
        <w:rPr>
          <w:rFonts w:ascii="Amiri" w:hAnsi="Amiri" w:eastAsia="Amiri" w:cs="Amiri"/>
          <w:color w:val="111111"/>
          <w:sz w:val="28"/>
          <w:sz w:val="28"/>
          <w:szCs w:val="28"/>
          <w:rtl w:val="true"/>
          <w:lang w:bidi="ar-SA"/>
        </w:rPr>
        <w:t>و أمّا إذا توقف أصل الحكم على الرشوة فإمّا أن ينحصر طريق أخذ حقه في صدور الحكم فيكون من قبيل ما إذا انحصر استنقاذ حقه في دفع الرشوة فيحلّ دفعها حينئذٍ كما قلنا، و إلّا فتوقف الحكم بالحق على دفع الرشوة بمجرّده لا يوجب جواز دفعها، فضلاً عن توقف أصل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ينحصر استنقاذ حقه في ذلك مقتضى إطلاقات التحريم حرمة الرشوة دفعاً و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بذلك أنّ دفع الرشوة لاستنقاذ حقه فيما إذا انحصر في صدور الحكم بالحق غير دفع الرشوة للحكم بالحق، فالأوّل جائزٌ؛ لانحصار استنقاذ الحق فيه، و الثاني حرام؛ نظراً إلى إطلاقات تحريم الرشوة في الحكم، و إلى ذلك أشار المقدس الأردبيلي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الظاهر أنّ التحريم عليه، إذا لم يتوقّف الحكم على ذلك، فإذا توقف يجوز له ذلك، و يكون حراماً على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حينئذٍ أخذاً بالحكم الحق، بل استيفاء الحقّ بوجه، كالمقاصّة، فلا بدّ من التعذّر بكلّ وجه حتّى يحلّ ذلك</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الجواز في الصورة الأُولى يختص بالراشي و أمّا المرتشي فيحرم له أخذ الرشوة مطلقاً، من غير فرق بين أن كان عالماً بموازين القضاء و حكم بالحق أم لا، و لا بين علمه بقصد الراشي و عدمه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مما تقدّم أنّه إذا دفع الرشوة ليحكم له، حقاً كان أو باطلاً يحرم له و للمرتشي كليهما مطلقاً، بلا فرق بين الصور المذكورة</w:t>
      </w:r>
      <w:r>
        <w:rPr>
          <w:rFonts w:eastAsia="Amiri" w:cs="Amiri" w:ascii="Amiri" w:hAnsi="Amiri"/>
          <w:color w:val="111111"/>
          <w:sz w:val="28"/>
          <w:szCs w:val="28"/>
          <w:rtl w:val="true"/>
          <w:lang w:bidi="ar-SA"/>
        </w:rPr>
        <w:t>.</w:t>
      </w:r>
      <w:bookmarkStart w:id="293" w:name="pg937_11180"/>
    </w:p>
    <w:p>
      <w:pPr>
        <w:pStyle w:val="Heading3"/>
        <w:numPr>
          <w:ilvl w:val="2"/>
          <w:numId w:val="1"/>
        </w:numPr>
        <w:rPr/>
      </w:pPr>
      <w:bookmarkStart w:id="294" w:name="__RefHeading___Toc733503_373438147"/>
      <w:bookmarkStart w:id="295" w:name="_Toc108"/>
      <w:bookmarkEnd w:id="293"/>
      <w:bookmarkEnd w:id="294"/>
      <w:r>
        <w:rPr>
          <w:rtl w:val="true"/>
        </w:rPr>
        <w:t>تنبيهات</w:t>
      </w:r>
      <w:bookmarkEnd w:id="295"/>
    </w:p>
    <w:p>
      <w:pPr>
        <w:pStyle w:val="Heading4"/>
        <w:numPr>
          <w:ilvl w:val="3"/>
          <w:numId w:val="1"/>
        </w:numPr>
        <w:rPr/>
      </w:pPr>
      <w:bookmarkStart w:id="296" w:name="__RefHeading___Toc733505_373438147"/>
      <w:bookmarkStart w:id="297" w:name="_Toc109"/>
      <w:bookmarkEnd w:id="296"/>
      <w:r>
        <w:rPr>
          <w:rtl w:val="true"/>
        </w:rPr>
        <w:t>الأوّل</w:t>
      </w:r>
      <w:r>
        <w:rPr>
          <w:rtl w:val="true"/>
        </w:rPr>
        <w:t xml:space="preserve">: </w:t>
      </w:r>
      <w:r>
        <w:rPr>
          <w:rtl w:val="true"/>
        </w:rPr>
        <w:t>عدم نفوذ حكم الحاكم الآخذ للرشوة</w:t>
      </w:r>
      <w:bookmarkEnd w:id="297"/>
    </w:p>
    <w:p>
      <w:pPr>
        <w:pStyle w:val="BookText"/>
        <w:rPr/>
      </w:pPr>
      <w:r>
        <w:rPr>
          <w:rFonts w:ascii="Amiri" w:hAnsi="Amiri" w:eastAsia="Amiri" w:cs="Amiri"/>
          <w:color w:val="111111"/>
          <w:sz w:val="28"/>
          <w:sz w:val="28"/>
          <w:szCs w:val="28"/>
          <w:rtl w:val="true"/>
          <w:lang w:bidi="ar-SA"/>
        </w:rPr>
        <w:t>قال السيد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حكم الحاكم الآخذ للرشوة و إن كان على القاعدة و بالحقّ لصيرورته فاسقاً بأخذها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بعد الأخذ ثمّ حكم بالحقّ بعد التوبة صحّ و نفذ</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الكلام في المقام أنّ الحاكم بأخذه الرشوة يخرج عن العدالة و يصير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لا يصلح للحكم و لا ينفذ حكمه؛ لأنّ الفاسق لم تجعل له ولاية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ولاية له على الحكم لا ينفذ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تاب بعد الأخذ و ردّ الرشوة المأخوذة إلى صاحبها ينفذ حكمه الصادر منه بعد التوبة؛ نظراً إلى عود عدالته بذلك، إلّا إذا قلنا بأن العدالة ملكة فلا تعود بمجرد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733507_373438147"/>
      <w:bookmarkStart w:id="299" w:name="_Toc110"/>
      <w:bookmarkEnd w:id="298"/>
      <w:r>
        <w:rPr>
          <w:rtl w:val="true"/>
        </w:rPr>
        <w:t>الثاني</w:t>
      </w:r>
      <w:r>
        <w:rPr>
          <w:rtl w:val="true"/>
        </w:rPr>
        <w:t xml:space="preserve">: </w:t>
      </w:r>
      <w:r>
        <w:rPr>
          <w:rtl w:val="true"/>
        </w:rPr>
        <w:t>الأُجرة على القضاء</w:t>
      </w:r>
      <w:bookmarkEnd w:id="2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الشيخ في المبسوط حرمة الأُجرة على القضاء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 رزقٌ،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أقضي بينكما حتّى تجعلا لي رزقاً عليه، حلّ ذلك له حينئذٍ عند قوم و عندنا لا يجوز بحال</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الجواهر عن أُستاذه كاشف الغطاء في شرحه على القواعد أنّه قال في مسألة الأُجرة على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يعصي الدافع في دفعه إلى القاضي في أحد الوجهين، إلّا إذا توقف تحصيل الحق عليه فيجوز</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الاختلاف في حرمة الأُجرة و أنّ المعصية إنّما هي بناءً على القول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في الجواهر بعدم جواز أخذ الجعل للقاضي من المتحاكمين مطلقاً</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المحقق صاحب الشرائع في المقام التفصيل بين من لم يتعيّن عليه القضاء و كان مضطرّاً إليه و بين غيره، فيجوز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في الجواهر باقتضاء إطلاق تحريم الأُجرة على القضاء تعطيل الوظيفة الشرعية أو تحمّل الضرر و الحرج المنفيين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عليه بأنّه لو اقتضى ذلك يقتضي المجّانية حتى مع التعيّن،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يناقش في أصل ذلك بأنّ القضاء إن كان مما يقبل العوض بإجارة أو جعالة جاز و إن لم يكن محتاجاً إلى ذلك، و إلّا لم يجز و إن كان محتاجاً، ضرورة عدم اقتضاء الحاجة انقلاب الموضوع</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يقتضي المجّانية لأنّه وظيفة شرعية و عمل يعود نفعها إلى المسلمين، و قد تعلق الأمر به، و هو واجب كفائيٌ، بحيث لو ترك رأساً أثم جميع المتمكنين منه، كدفن الميت و غسله و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فرق بين من تعيّن عليه و من لم يتعين عليه القضاء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تحريم أُجور القضاة، بل عمومه يقتضي حرمة الأُجرة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مطلقاً، كما في 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p>
    <w:p>
      <w:pPr>
        <w:pStyle w:val="BookText"/>
        <w:rPr/>
      </w:pPr>
      <w:r>
        <w:rPr>
          <w:rFonts w:ascii="Amiri" w:hAnsi="Amiri" w:eastAsia="Amiri" w:cs="Amiri"/>
          <w:color w:val="111111"/>
          <w:sz w:val="28"/>
          <w:sz w:val="28"/>
          <w:szCs w:val="28"/>
          <w:rtl w:val="true"/>
          <w:lang w:bidi="ar-SA"/>
        </w:rPr>
        <w:t>و السحت أنواع كثيرة، منها ما أُصيب من أعمال الولاة الظلمة، و منها أُجور القضاة و أُجور الفواجر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هذه الصحيحة بل عمومها يقتضي حرمة الأُجرة على القضاء مطلقاً، بلا فرق بين قاضي التحكيم و بين غيرها و لا بين من تعيّن عليه القضاء و من لم يتعيّن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يتمّ شيء من التفاصيل الثلاثة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بين من تعيّن عليه القضاء و بين من لم 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قاضي التحكيم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بينما كان من القضاء يقبل العوض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ناقش به في الجواهر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القضاء وظيفة شرعية و واجب ديني لأهله يقتضي المجّانية مثل الإفتاء و التبليغ، و عموم صحيحة عمار و إطلاقها ينفيان جميع التفاصيل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حرمتها أيضاً إطلاقات هدايا العمال و الولاة بالفحوى؛ نظراً إلى قداسة عملية القضاء و إلى كون الأُجرة مسبوقة بسؤال القاضي، بخلاف هدايا العمال و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عدم جواز أخذ الأُجرة على القضاء مطلقاً، كما سبق من الشيخ الطوسي آنفاً أنّه لا يجوز بحال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اضطرّ إلى أخذها؛ لعدم ارتزاقه من بيت المال، أو لعدم كفاية ما يرتزقه ضروريات عيشه، فلا إشكال في جواز أخذها له حينئذٍ بقدر ما يرتفع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00" w:name="pg937_11186"/>
    </w:p>
    <w:p>
      <w:pPr>
        <w:pStyle w:val="BookText"/>
        <w:rPr/>
      </w:pPr>
      <w:bookmarkEnd w:id="300"/>
      <w:r>
        <w:rPr>
          <w:rFonts w:ascii="Amiri" w:hAnsi="Amiri" w:eastAsia="Amiri" w:cs="Amiri"/>
          <w:color w:val="111111"/>
          <w:sz w:val="28"/>
          <w:sz w:val="28"/>
          <w:szCs w:val="28"/>
          <w:rtl w:val="true"/>
          <w:lang w:bidi="ar-SA"/>
        </w:rPr>
        <w:t>اضطراره، كما هو شأن أيّ محظور آخر؛ حيث يحلّ عند الاضطرار؛ لأنّ الضروريات تبيح المحظورات و لكنها تتقدّر بقدرها و لا يجوز التعدّي عن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 صاحب الشرائع من اشتراط تعيّن القضاء عليه في جواز أخذ الأُجرة، أنّ في صورة وجود من به الكفاية و عدم تعيّن القضاء عليه، لا يتحقق موضوع الاضطرار، و لكنه غير وجيه لأنّ المجوّز لأخذ الأُجرة هو الاضطرار إلى أخذ الأُجرة، مع عدم كون تعيّن الوجوب من قبيل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عمومات تحريم الرشوة في الحكم فلا يصح التمسك بها في المقام؛ لما اتضح سابقاً من الفرق بين الرشوة 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بفحوى إطلاقات تحريم الهدايا العمال و الولاة لا يبتني على صدق عنوان الهدية على الأُجرة، بل من باب تعميم حكم الحرمة إلى الأُجرة بفحوى مدلول تلك النصوص، لما قلناه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33509_373438147"/>
      <w:bookmarkStart w:id="302" w:name="_Toc111"/>
      <w:bookmarkEnd w:id="301"/>
      <w:r>
        <w:rPr>
          <w:rtl w:val="true"/>
        </w:rPr>
        <w:t>الثالث</w:t>
      </w:r>
      <w:r>
        <w:rPr>
          <w:rtl w:val="true"/>
        </w:rPr>
        <w:t xml:space="preserve">: </w:t>
      </w:r>
      <w:r>
        <w:rPr>
          <w:rtl w:val="true"/>
        </w:rPr>
        <w:t>هدايا العمّال و الولاة و القضاة</w:t>
      </w:r>
      <w:bookmarkEnd w:id="302"/>
    </w:p>
    <w:p>
      <w:pPr>
        <w:pStyle w:val="BookText"/>
        <w:rPr/>
      </w:pPr>
      <w:r>
        <w:rPr>
          <w:rFonts w:ascii="Amiri" w:hAnsi="Amiri" w:eastAsia="Amiri" w:cs="Amiri"/>
          <w:color w:val="111111"/>
          <w:sz w:val="28"/>
          <w:sz w:val="28"/>
          <w:szCs w:val="28"/>
          <w:rtl w:val="true"/>
          <w:lang w:bidi="ar-SA"/>
        </w:rPr>
        <w:t>لا إشكال في حرمة أخذ الهدايا للولاة و العمّال و القضاة بإزاء ما يصدر منهم من العمل و القضاء و لحلّ مشاكل الناس و رفع خصوماتهم و قضاء حوائجهم، بلا فرق بين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حرمتها مضافاً إلى إطلاقات تحريم الرشوة على الحكم في موارد صدقها إطلاقات تحريم هدايا العمال و الولاة، مثل ما رواه الصدوق في عقاب الأعمال بسنده المعتبر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والٍ احتجب من حوائج الناس احتجب اللّه عنه يوم القيامة و عن حوائجه، و إن أخذ هديّة كان غلولاً، و إن أخذ الرشوة فهو مشرك</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معتبرة حيث لا كلام في رجال سندها، إلّا ابن سنان و أبو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سنان فهو و إن كان متردّداً في نفسه بين محمد و عبد اللّه؛ نظراً إلى نقلهما عن أبي الجارود، إلّا أنّ ابن سنان المطلق ظاهرٌ في عبد اللّه؛ لأنّه أعرف و أكثر رواية و أُصولاً، فإليه تنصرف كنية ابن سنان عند الإطلاق، كما صرّح به غير واحد من علماء الرجال و حققناه في كتابنا مقياس الرواة في مبحث التمييز بين المشتركات،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الجارود فالأقوى وثاقته؛ لأنّه زياد بن أبي رجاء، كما استظهره النجاشي و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وثّقه محمد بن مسعود، و لم يضعّفه أحدٌ إلّا ما نسب إلى ابن الغضائري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زياد هو صاحب المقام، حديثه في حديث أصحابنا أكثر منه في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يكرهون ما رواه محمد بن سنان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الظاهر كون ابن سنان الواقع في طريق هذه الرواية هو عبد اللّه بن سنان، 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نسبة الكتاب إلى ابن الغضائري، كما حققناه في كتابنا مقياس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وثاقة أبي الجارود و اعتبار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محمد الطوسي في الأمالي عن أبيه الشيخ الطوسي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ascii="Amiri" w:hAnsi="Amiri" w:eastAsia="Amiri" w:cs="Amiri"/>
          <w:color w:val="111111"/>
          <w:sz w:val="28"/>
          <w:sz w:val="28"/>
          <w:szCs w:val="28"/>
          <w:rtl w:val="true"/>
          <w:lang w:bidi="ar-SA"/>
        </w:rPr>
        <w:t>هدية الأُمراء غلول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العامل أبعثه،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 هذا اهدي إليّ، أ فلا قعد في بيت أبيه أو في بيت امّه حتّى ينظر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يهدي إليه أم لا؟ و الذي نفس محمد بيده لا ينال أحد منكم منها شيئاً إلّا جاء يوم القيامة يحمله على عنقه بعير له رغاء أو بقرة لها خوار أو شاة تيعر، ثمّ رفع يديه حتى رأينا عفرتي إبطيه، ثمّ قال</w:t>
      </w:r>
    </w:p>
    <w:p>
      <w:pPr>
        <w:pStyle w:val="BookText"/>
        <w:rPr/>
      </w:pPr>
      <w:r>
        <w:rPr>
          <w:rFonts w:ascii="Amiri" w:hAnsi="Amiri" w:eastAsia="Amiri" w:cs="Amiri"/>
          <w:color w:val="111111"/>
          <w:sz w:val="28"/>
          <w:sz w:val="28"/>
          <w:szCs w:val="28"/>
          <w:rtl w:val="true"/>
          <w:lang w:bidi="ar-SA"/>
        </w:rPr>
        <w:t>اللّهم هل بلّغت، اللهمّ هل بلّغت</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المبسوط مرسلاً عن أبي حميد الساعدي عن النبي و استدلّ به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عفرتي إبطيه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فتحها و الأشهر الضمّ مثنى العفرة و هي بياض الإبط، كما عن الأصمعي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ذوات الخوف، و قد رغا البعير يرغو رغاءً بالضم و المدّ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كما قال في الصحاح، و 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الصيحة و 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ascii="Amiri" w:hAnsi="Amiri" w:eastAsia="Amiri" w:cs="Amiri"/>
          <w:color w:val="111111"/>
          <w:sz w:val="28"/>
          <w:sz w:val="28"/>
          <w:szCs w:val="28"/>
          <w:rtl w:val="true"/>
          <w:lang w:bidi="ar-SA"/>
        </w:rPr>
        <w:t>هدية العمّال غلول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p>
    <w:p>
      <w:pPr>
        <w:pStyle w:val="BookText"/>
        <w:rPr/>
      </w:pPr>
      <w:r>
        <w:rPr>
          <w:rFonts w:ascii="Amiri" w:hAnsi="Amiri" w:eastAsia="Amiri" w:cs="Amiri"/>
          <w:color w:val="111111"/>
          <w:sz w:val="28"/>
          <w:sz w:val="28"/>
          <w:szCs w:val="28"/>
          <w:rtl w:val="true"/>
          <w:lang w:bidi="ar-SA"/>
        </w:rPr>
        <w:t>هدية العمّال سحت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بهذه النصوص فقهاؤنا أجمع و تلقّوها بالقبول و أفتوا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سندها و لا في دلالتها على حرمة أخذ الهدايا للعمال و الولاة و الحكّام في مقام حلّ مشاكل الناس و قضاء حوائجهم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أخذها قبل قضاء حوائجهم و بين أخذها بعده إذا كان عن تبان بين الدافع و بين الآخذ، بل في صورة عدم التباني يشكل رفع اليد عن إطلاق هذه النصوص إذا كان العامل في مقام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فصّل في المبسوط بين من كانت المهاداة من عادته و بين غيره فحكم بالحرمة مطلقاً في الصورة الثانية، و هي ما إذا لم تكن المهاداة من عادة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الأُولى أي جريان العادة على ذلك فقد فصّل بين حال الحكومة أو إحساس الآخذ كون تقديم الهدية لأجل الحكومة و بين غير هاتين الصورتين، فحكم فيهما بالحرمة و بالكراهة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 بحرمة أخذ الهدية للعامل ممن لم تجر عادته على المهاداة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اهدي له من لم يجر له بمهاداته عادة، فأمّا إن كان ممن جرت عادته بذلك، كالقريب و الصديق الملاطف نظرت، فإن كان في حال حكومة بينه و بين غيره أو أحس بأنّه يقدمها لحكومة بين يديه حرم عليه الأخذ كالرشوة سواء و إن لم يكن هناك شيء من هذا فالمستحب أن يتنزّه عنها</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استحسنه الشهيد في المسالك</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النصوص تدلّ على حرمة أخذ الهدية للقضاة بالفحوى؛ لأنّ فعل القضاء و الحكم بين الناس أشد قداسةً و أوجب 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الجواهر تضعيف هذا التفصيل في الحاكم، بدعوى ضعف سند إطلاقات تحريم هدايا العمّال و عدم صدق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 واحد من كتب الأصحاب أنّه قيل يحرم على الحاكم قبول الهدية إذا كان للمهدي خصومة في المال، لأنّه يدعو إلى الميل و انكسار قلب الخصم، و كذا قيل إذا كان ممن لم يعهد عنه الهدية له قبل تولي القضاء، لأنّ سببها العمل ظاهراً، و في الخبر</w:t>
      </w:r>
    </w:p>
    <w:p>
      <w:pPr>
        <w:pStyle w:val="BookText"/>
        <w:rPr/>
      </w:pPr>
      <w:r>
        <w:rPr>
          <w:rFonts w:ascii="Amiri" w:hAnsi="Amiri" w:eastAsia="Amiri" w:cs="Amiri"/>
          <w:color w:val="111111"/>
          <w:sz w:val="28"/>
          <w:sz w:val="28"/>
          <w:szCs w:val="28"/>
          <w:rtl w:val="true"/>
          <w:lang w:bidi="ar-SA"/>
        </w:rPr>
        <w:t>هدايا العمال غلول و في آخر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سحت لكن في الرياض و غيره بعد نقله أنّه أحوط و إن كان في تعيينه و لا سيّما الأوّل نظر، للأُصول و قصور سند الخبرين و ضعف الوجوه الاعتبارية مع عدم تسمية مثله رشوة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إطلاقات المقام معتبر سنداً مثل ما سبق نقله عن الصدوق في عقاب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مشهور القدماء و المتأخرين عملوا بهذه النصوص و أفتوا بإطلاقها، كما اعترف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كتب غير واحد من الأصحاب، فلا يختص ذلك بالشيخ و الشهيد و لا بالمعدود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يظهر منه في كتاب القضاء خلاف ذلك؛ حيث فصّل هناك بينما لو كانت الهدية لغرض الرشوة، و بينما إذا لم تكن كذلك، فحكم بالحلّية في الصورة الثانية و بالحرمة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 بوجوب إعادة الرشوة إلى صاحبها، حتى لو وقعت في ضمن عقد هبة أو بيع محاباة أو وقف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يتضح منه الأمر في الهدية أيضاً، ضرورة أنّه متى كانت أيضاً رشوة لحقها حكم الهبة رشوةً حرمةً و فساداً، أمّا إذا لم تكن رشوة و لا متوصلاً بها إلى باطل أو جزاءً عليه فلا ريب في حليتها، و إطلاق النصوص أن هدايا العمال غلول و سحت و نحو ذلك يمكن إرادة المدفوعة لهم دفعاً للباطل و نحوه منهم منه، و هو شيء آخر غير الرشوة التي هي محرّمة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توصّل المهدي إلى الباطل بدفع الهدية خلاف إطلاقات تحريم هدايا العمال و لا دليل لحملها على ذلك و لا نقول بكون حرمتها لأجل صدق عنوان الرشوة، بل هي بعنوانها متعلّقة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فلا دليل على شيء من هذه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حرمة أخذ الهدية للاُمراء و العمال و الولاة و القضاة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دفعها للمهدي إذا توقف استنقاذ حقه عليه أو كانت من عادته أو بدواع اخرى، و لم يقصد بذلك التوصل إلى قضاء حاجته بأيّ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03" w:name="pg937_11196"/>
    </w:p>
    <w:p>
      <w:pPr>
        <w:pStyle w:val="Heading3"/>
        <w:numPr>
          <w:ilvl w:val="2"/>
          <w:numId w:val="1"/>
        </w:numPr>
        <w:rPr/>
      </w:pPr>
      <w:bookmarkStart w:id="304" w:name="__RefHeading___Toc733511_373438147"/>
      <w:bookmarkStart w:id="305" w:name="_Toc112"/>
      <w:bookmarkEnd w:id="303"/>
      <w:bookmarkEnd w:id="304"/>
      <w:r>
        <w:rPr>
          <w:rtl w:val="true"/>
        </w:rPr>
        <w:t>ضمان المرتشي الرشوة المأخوذة</w:t>
      </w:r>
      <w:bookmarkEnd w:id="305"/>
    </w:p>
    <w:p>
      <w:pPr>
        <w:pStyle w:val="BookText"/>
        <w:rPr/>
      </w:pPr>
      <w:r>
        <w:rPr>
          <w:rFonts w:ascii="Amiri" w:hAnsi="Amiri" w:eastAsia="Amiri" w:cs="Amiri"/>
          <w:color w:val="111111"/>
          <w:sz w:val="28"/>
          <w:sz w:val="28"/>
          <w:szCs w:val="28"/>
          <w:rtl w:val="true"/>
          <w:lang w:bidi="ar-SA"/>
        </w:rPr>
        <w:t xml:space="preserve">و يجب على المرتشي إعادتها إلى صاحبها </w:t>
      </w:r>
      <w:r>
        <w:rPr>
          <w:rStyle w:val="FootnoteAnchor"/>
          <w:rtl w:val="true"/>
        </w:rPr>
        <w:footnoteReference w:id="597"/>
      </w:r>
      <w:r>
        <w:rPr>
          <w:rFonts w:ascii="Amiri" w:hAnsi="Amiri" w:eastAsia="Amiri" w:cs="Amiri"/>
          <w:color w:val="111111"/>
          <w:sz w:val="28"/>
          <w:sz w:val="28"/>
          <w:szCs w:val="28"/>
          <w:rtl w:val="true"/>
          <w:lang w:bidi="ar-SA"/>
        </w:rPr>
        <w:t>من غير فرق في جميع ذلك بين أن يكون الرُّشى بعنوانه أو بعنوان الهبة أو الهديّة أو البيع المحاباتي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لمّا كان حراماً على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الرشوة ملك الغير فليست يد المرتشي يد أمانة، فيترتب عليه ضمان اليد، و يجب عليه إعادتها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يردّها لا يتخلّص من ضمانها 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أتلفها فعليه ردّ مثلها في المثلي و قيمتها في القيمي، كما هو مقتضى القاعدة في ضمان المتلفات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 إلّا عن بعض العامة، كما يظهر ذلك من الشهيد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المرتشي إعادة الرشوة إلى صاحبها على خلاف بعض العامّة، حيث ذهب إلى أنّه يملكها و إن فعل حراماً، لوجود التمليك و القبول، و آخرين حيث ذهبوا إلى أنّه يضعها في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فقهاؤنا فلم يعهد منهم الخلاف في ذلك، و قد جعل ذلك في مجمع الفائدة</w:t>
      </w:r>
      <w:r>
        <w:rPr>
          <w:rStyle w:val="FootnoteAnchor"/>
          <w:rtl w:val="true"/>
        </w:rPr>
        <w:footnoteReference w:id="598"/>
      </w:r>
      <w:r>
        <w:rPr>
          <w:rFonts w:ascii="Amiri" w:hAnsi="Amiri" w:eastAsia="Amiri" w:cs="Amiri"/>
          <w:color w:val="111111"/>
          <w:sz w:val="28"/>
          <w:sz w:val="28"/>
          <w:szCs w:val="28"/>
          <w:rtl w:val="true"/>
          <w:lang w:bidi="ar-SA"/>
        </w:rPr>
        <w:t>أمراً ظاهراً واضحاً، بل ادّعى عليه الإجماع في المستند؛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المرتشي ردّها على الراشي و إن بذلها برضى نفسه مع بقاء عينها إجماعاً، و الوجه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ردّ عوضها مع تلفها أيضاً و إن لم يكن التلف بتفريطه وجوباً فوريّاً، على المصرّح به في كلام الأصحاب، بل نفي الخلاف بيننا عنه، و عن ظاهر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إجماعنا عليه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من كلامه أنّ وجوب الإعادة لا يختصّ بصورة عدم رضى الراشي، بل يجب ردّها عليه، و إن بذلها الراشي برضى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تأمّل في المستند فيما لو بذلها بطيب نفسه، سيّما إذا حكم له بالحق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بذلها بطيب نفسه سيّما إذا حكم له بالحقّ فإن ثبت الإجماع على ثبوت غرامتها عليه و ضمانه إيّاها مطلقاً، و إلّا فللتأمّل فيه للأصل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لمّا كانت حراماً على المرتشي مطلقاً و لو دفعها الراشي تبرّعاً و عن طيب نفسه، فلا بدّ أن يحرم تصرّفها و أخذها للمرتشي مطلقاً، فيجب عليه الإعادة حينئذٍ</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حرمة أخذ الرشوة للمرتشي لم تكن منوطة بعدم رضى الراشي؛ لكي ينوط وجوب ردّها بعدم رضاه، نعم لو ردّها إليه و امتنع من أخذها يتعين عليه ردّها إلى بيت المال؛ نظراً إلى ارتزاقه من بيت المال بإزاء عمله أو قضائه، فعليه أن يردّ ما أخذه بإزاء ذلك إلى كيس من صار عمله له في قبال ارتزاقه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عمله للمسلمين في قبال ارتزاقه من بيت 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الرشوة، و كذلك الكلام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أخذها و قبولها رشوةً، حراماً على القضاة، يجب عليهم ردّها إلى المهدي المالك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امتنع من قبولها فيجب عليهم ردها إلى بيت المال،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إذا جاز للولاة و العمال أخذ الهدية فالأحوط الأولى أن يجعلها في بيت المال؛ رعاية لإطلاقات تحريم هدايا العمال و الولاة الشاملة لجميع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ما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جاز الأخذ فالأولى أن يثبت عليها أو يضعها في بيت المال</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يقاوم على عدم قبول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ضمان المرتشي للرشوة المأخوذة في صورة رضى الراشي و بذلها التبرعي إنّما هو بدليل أنّ عمله ملك للمسلمين بإزاء ما يرتزقه من بيت المال، فيجب عليه ردّ ما أخذ من المال بإزاء عمله إلى بيت مال المسلمين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يرتزق منه كما في قاضي التحكيم و كان مضطراً إلى أخذها يرتفع عنه الضمان ما دام مضطراً و لكن بمجرد رفع الاضطرار و التمكن يجب عليه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أحرز رضى الراشي و امتناعه من استرداد ما دفعه، لا يجوز له التصرف بأيّ وجه ما لم يضطرّ إليه؛ لكون ما أخذه رشوة و سحتاً و غلولاً، بل عليه أن يرده إلى بيت المال أو يتصدق به عن مالكه؛ رعايةً لاحتمال عدم انقطاع الملك عن مالكه، حتى بعد إعراضه، ما لم يأخذه أحدٌ بقصد الحيازة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حكم الأصحاب بوجوب الرد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يرد عليه ما أشكل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6" w:name="pg937_11201"/>
    </w:p>
    <w:p>
      <w:pPr>
        <w:pStyle w:val="BookText"/>
        <w:rPr/>
      </w:pPr>
      <w:bookmarkEnd w:id="306"/>
      <w:r>
        <w:rPr>
          <w:rFonts w:ascii="Amiri" w:hAnsi="Amiri" w:eastAsia="Amiri" w:cs="Amiri"/>
          <w:color w:val="111111"/>
          <w:sz w:val="28"/>
          <w:sz w:val="28"/>
          <w:szCs w:val="28"/>
          <w:rtl w:val="true"/>
          <w:lang w:bidi="ar-SA"/>
        </w:rPr>
        <w:t>به في العروة</w:t>
      </w:r>
      <w:r>
        <w:rPr>
          <w:rStyle w:val="FootnoteAnchor"/>
          <w:rtl w:val="true"/>
        </w:rPr>
        <w:footnoteReference w:id="60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 إذ قد يعطي الراشي مجاناً و تبرعاً برضى نفسه فهو الهاتك لحرمة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فإذا عقد المرتشي معاملة بالرشوة، فإن كانت المعاملة على جهة الرشوة بنفسها فتبطل؛ نظراً إلى تعلق النهي حينئذٍ بنفس عنوان المعاملة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عقد المعاملة، لا لجهة الرشوة، و لكن دفع الرشوة ثمناً أو مبيعاً، فإن كانت المعاملة على عوضين كلّيين و دفع الرشوة في مقام التسليم صحّت المعاملة، و لكنه ضامن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إعادة الرشوة إلى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المعاملة واقعة على عين الرشوة يبطل العقد؛ نظراً إلى كون العوض حراماً و سحتاً و غلولاً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33513_373438147"/>
      <w:bookmarkStart w:id="308" w:name="_Toc113"/>
      <w:bookmarkEnd w:id="307"/>
      <w:r>
        <w:rPr>
          <w:rtl w:val="true"/>
        </w:rPr>
        <w:t>تذنيب صورة الشك في الرشوة موضوعاً أو حكماً</w:t>
      </w:r>
      <w:bookmarkEnd w:id="308"/>
    </w:p>
    <w:p>
      <w:pPr>
        <w:pStyle w:val="BookText"/>
        <w:rPr/>
      </w:pPr>
      <w:r>
        <w:rPr>
          <w:rFonts w:ascii="Amiri" w:hAnsi="Amiri" w:eastAsia="Amiri" w:cs="Amiri"/>
          <w:color w:val="111111"/>
          <w:sz w:val="28"/>
          <w:sz w:val="28"/>
          <w:szCs w:val="28"/>
          <w:rtl w:val="true"/>
          <w:lang w:bidi="ar-SA"/>
        </w:rPr>
        <w:t>إنّ الشك في الرشوة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صدق عنوانها و تحقق موضوعها،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بعد الفراغ من صدق عنوانها، فيشكّ في شمول إطلاقات التحريم لها، كما لو بذل الرشوة في غير الحكم، أو لأجل التوصل بها إلى الحكم بالحق، فيشك في شمول إطلاقات تحريم الرشوة لمثل هذه الرشوة، و لا سيّما بالنسبة إلى الراشي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شك في صدق عنوان الرشوة فمقتضى القاعدة، الحلية إذا علم الآخذ</w:t>
      </w:r>
    </w:p>
    <w:p>
      <w:pPr>
        <w:pStyle w:val="BookText"/>
        <w:rPr/>
      </w:pPr>
      <w:r>
        <w:rPr>
          <w:rFonts w:ascii="Amiri" w:hAnsi="Amiri" w:eastAsia="Amiri" w:cs="Amiri"/>
          <w:color w:val="111111"/>
          <w:sz w:val="28"/>
          <w:sz w:val="28"/>
          <w:szCs w:val="28"/>
          <w:rtl w:val="true"/>
          <w:lang w:bidi="ar-SA"/>
        </w:rPr>
        <w:t>رضي الدافع و أحرز أنّه دفع المال إليه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ليس رشوة لتشمله إطلاقات التحريم و لا يكون تصرفه حينئذٍ عدوانيا بغير رضى مالكه؛ لكي تشمله إطلاقات حرمة التصرف في ملك الغير، بل يدخل في عقد المستثنى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بطيبة نفسٍ منه و يخرج عن عقد المستثنى منه و هو</w:t>
      </w:r>
    </w:p>
    <w:p>
      <w:pPr>
        <w:pStyle w:val="BookText"/>
        <w:rPr/>
      </w:pPr>
      <w:r>
        <w:rPr>
          <w:rFonts w:ascii="Amiri" w:hAnsi="Amiri" w:eastAsia="Amiri" w:cs="Amiri"/>
          <w:color w:val="111111"/>
          <w:sz w:val="28"/>
          <w:sz w:val="28"/>
          <w:szCs w:val="28"/>
          <w:rtl w:val="true"/>
          <w:lang w:bidi="ar-SA"/>
        </w:rPr>
        <w:t>لا يحل مال امرءٍ مسلم</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الأصل في كلمات الأعلام، كالمحقق النراقي في المستند</w:t>
      </w:r>
      <w:r>
        <w:rPr>
          <w:rStyle w:val="FootnoteAnchor"/>
          <w:rtl w:val="true"/>
        </w:rPr>
        <w:footnoteReference w:id="603"/>
      </w:r>
      <w:r>
        <w:rPr>
          <w:rFonts w:ascii="Amiri" w:hAnsi="Amiri" w:eastAsia="Amiri" w:cs="Amiri"/>
          <w:color w:val="111111"/>
          <w:sz w:val="28"/>
          <w:sz w:val="28"/>
          <w:szCs w:val="28"/>
          <w:rtl w:val="true"/>
          <w:lang w:bidi="ar-SA"/>
        </w:rPr>
        <w:t>و كذا يظهر من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منها محل شك فالأصل يقتضي حليته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كون شيء رشوة أو لا؟ من حيث الحكم، بأن كان من الشبهة الحكمية لا الموضوعية، كما إذا شك في أنّ البذل للحكم له بالحق رشوة محرمة أو لا؟ أو شك في أنّ الأخذ مع عدم التأثير رشوة أو لا؟ فالأصل البراءة من حرمته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كلامه أنّ الشك في صدق عنوان الرشوة إذا كان لأجل الجهل بحال الدافع بأنّه هل قصد الرشوة بذلك أم لا؟ فما لم تكن قرينة على قصده الرشوة يحكم بالحلية؛ حملاً لفعله على الصحة بمقتضى قاعدة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هناك قرينة على إرادته الرشوة، كما إذا لم يكن من عادته ذلك قبل المرافعة، فلا إشكال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القرائن دفعها حال المرافعة، فيحكم بحرمتها، إمّا لصدق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الرشوة عليها عرفاً، أو لدخولها في إطلاقات تحريم هدايا العمال و الولاة فيحكم بحرمتها تعبداً، و لو لم يصدق عنوان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لبّ كلام السيد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يتعرّض لصورة، و هي ما إذا شك في صدق عنوان الرشوة، لا من أجل الجهل بحال الدافع و عدم الاطلاع عن مقصوده، و عدم قرينة كاشفة عن قصده أو رافعة للشك، بل لأجل الشك في صدق عنوان الرشوة في نفسه عرفاً، كما لو دفع إلى القاضي مالاً في غير حال المرافعة، و لا قرينة على قصده، أو دفع مالاً إلى الوالي و العامل لقضاء حاجته لا لظلم أو إبطال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التي أشرنا إليها هاهنا هي عمدة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حينئذٍ الرجوع إلى مقتضى أصل البراءة و الحلية،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الرشوة إلى الحكّام و الولاة و العمّال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صلواته على محمد و آله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الخجلان من ساحة ربّه الغفّار على أكبر السيفي المازندراني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546:16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المنسوب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نور الثقلين </w:t>
      </w:r>
      <w:r>
        <w:rPr>
          <w:rFonts w:eastAsia="IRNazanin" w:cs="IRNazanin"/>
          <w:b w:val="false"/>
          <w:bCs w:val="false"/>
          <w:i w:val="false"/>
          <w:iCs w:val="false"/>
          <w:color w:val="333333"/>
          <w:sz w:val="20"/>
          <w:szCs w:val="20"/>
        </w:rPr>
        <w:t>508497:1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176:39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9997:40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المجموعة الكاملة </w:t>
      </w:r>
      <w:r>
        <w:rPr>
          <w:rFonts w:eastAsia="IRNazanin" w:cs="IRNazanin"/>
          <w:b w:val="false"/>
          <w:bCs w:val="false"/>
          <w:i w:val="false"/>
          <w:iCs w:val="false"/>
          <w:color w:val="333333"/>
          <w:sz w:val="20"/>
          <w:szCs w:val="20"/>
        </w:rPr>
        <w:t>684:10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صحيفة إمام </w:t>
      </w:r>
      <w:r>
        <w:rPr>
          <w:rFonts w:eastAsia="IRNazanin" w:cs="IRNazanin"/>
          <w:b w:val="false"/>
          <w:bCs w:val="false"/>
          <w:i w:val="false"/>
          <w:iCs w:val="false"/>
          <w:color w:val="333333"/>
          <w:sz w:val="20"/>
          <w:szCs w:val="20"/>
        </w:rPr>
        <w:t>451:20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الليلة الباردة الشتائية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110109:5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المتعة،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848:10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427:25</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6/293:5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المتعة،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59/352:47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مجلۀ نور علم، المرحلة الثانية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مجلۀ نور علم، المرحلة الثالثة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نهضت روحانيون إيران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مجلۀ نور علم، المرحلة الثانية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روحانيت و ملى شدن صنعت نفت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المرحلة الثانية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تنباكو،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إمام </w:t>
      </w:r>
      <w:r>
        <w:rPr>
          <w:rFonts w:eastAsia="IRNazanin" w:cs="IRNazanin"/>
          <w:b w:val="false"/>
          <w:bCs w:val="false"/>
          <w:i w:val="false"/>
          <w:iCs w:val="false"/>
          <w:color w:val="333333"/>
          <w:sz w:val="20"/>
          <w:szCs w:val="20"/>
        </w:rPr>
        <w:t>451:20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78:27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320:17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317:17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396:21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539537:3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399394:21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ضمن تراث الشيخ الأعظم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ضمن تراث الشيخ الأعظم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ضمن تراث الشيخ الأعظم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التقليد،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216/274:1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2/119:2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إفراط الشهوة و المبالغة في الحرص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 لأنّه يتداول و يُنْقَلُ يداً بيدٍ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حدود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1886/531:2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نهج البلاغة و أسانيده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344/542:2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158:16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395:21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915/302:4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94/37:2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7739/339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8011/347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18/49:97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397:21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67/301:52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315:17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4/412:7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516/219:6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145:22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الزحيلي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آيات الأحكام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نور الثقلين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144/365:52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168:20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220:20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1/254:100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1923/687:9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23/261:100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6/305:6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2/516:5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4/299:9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11/259:100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1/241:100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54/252:100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220:20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25/262:100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10/127:76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51/442:1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53/442:1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48/73:32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ضمن مصنفات الشيخ المفيد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52/442:1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197/456:1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368:44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56/253:100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106/352:52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1436/413:5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337/511:2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1436/413:5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27/501</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14/14:51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الاجتهاد و التقليد،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216/274:1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اسم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الكفاية، و إمّا من الحسبة بمعنى التدبير، كما في المصباح المنير، نقل عن الأصمعي،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الحسبة أي حسن التدبير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315:17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360:16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الزكاة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296:10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197:16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المبسوط، السرخسي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الإسلامية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89:40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كتاب الحدود، مقدّمات الحدود،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552/229:6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232:27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170:29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277:20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366:19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189:29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290:20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237:23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44643/309:16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216:26</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284:20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290:20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280:20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276:20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589:22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594:22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565:16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5958:5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422:19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7270:17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147146:22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14/559:5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534/224:6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ضمن تراث الشيخ الأعظم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222:27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525/222:6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1891/532:2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422421:13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7271:17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534/224:6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223:28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لابن بابويه والد الصدوق ذكره النجاشي في رجاله و كذا العلّامة المجلسي في مقدّمة البحار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11/274:101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60/266:1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2313/775:2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3580/324:2</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1352/397:2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9/274:101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1235/439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145:22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12/274:101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14/559:5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191:20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7372:17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1891/532:2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422:13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145:22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1832/111:4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132131:40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423422:13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62084</Words>
  <Characters>255198</Characters>
  <CharactersWithSpaces>315419</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2026-08-16T10:24:07Z</dcterms:created>
  <dc:creator>ghaemiyeh.com</dc:creator>
  <dc:description/>
  <dc:language>en-US</dc:language>
  <cp:lastModifiedBy/>
  <dcterms:modified xsi:type="dcterms:W3CDTF">2026-08-16T13:54:17Z</dcterms:modified>
  <cp:revision>1</cp:revision>
  <dc:subject/>
  <dc:title>دلیل تحریر الوسیلة ولایة الفقیه</dc:title>
</cp:coreProperties>
</file>

<file path=docProps/custom.xml><?xml version="1.0" encoding="utf-8"?>
<Properties xmlns="http://schemas.openxmlformats.org/officeDocument/2006/custom-properties" xmlns:vt="http://schemas.openxmlformats.org/officeDocument/2006/docPropsVTypes"/>
</file>