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رحاب العقیده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4487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4489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14491_373438147">
            <w:r>
              <w:rPr>
                <w:webHidden/>
                <w:rStyle w:val="IndexLink"/>
                <w:rtl w:val="true"/>
              </w:rPr>
              <w:t>وحدة المسلمين</w:t>
            </w:r>
            <w:r>
              <w:rPr>
                <w:rStyle w:val="IndexLink"/>
                <w:rtl w:val="true"/>
              </w:rPr>
              <w:tab/>
            </w:r>
            <w:r>
              <w:rPr>
                <w:rStyle w:val="IndexLink"/>
              </w:rPr>
              <w:t>5</w:t>
            </w:r>
          </w:hyperlink>
        </w:p>
        <w:p>
          <w:pPr>
            <w:pStyle w:val="Contents2"/>
            <w:tabs>
              <w:tab w:val="clear" w:pos="8743"/>
              <w:tab w:val="right" w:pos="9026" w:leader="dot"/>
            </w:tabs>
            <w:rPr/>
          </w:pPr>
          <w:hyperlink w:anchor="__RefHeading___Toc614493_373438147">
            <w:r>
              <w:rPr>
                <w:webHidden/>
                <w:rStyle w:val="IndexLink"/>
                <w:rtl w:val="true"/>
              </w:rPr>
              <w:t>عقيدة التوحيد</w:t>
            </w:r>
            <w:r>
              <w:rPr>
                <w:rStyle w:val="IndexLink"/>
                <w:rtl w:val="true"/>
              </w:rPr>
              <w:tab/>
            </w:r>
            <w:r>
              <w:rPr>
                <w:rStyle w:val="IndexLink"/>
              </w:rPr>
              <w:t>9</w:t>
            </w:r>
          </w:hyperlink>
        </w:p>
        <w:p>
          <w:pPr>
            <w:pStyle w:val="Contents3"/>
            <w:tabs>
              <w:tab w:val="clear" w:pos="8459"/>
              <w:tab w:val="right" w:pos="9026" w:leader="dot"/>
            </w:tabs>
            <w:rPr/>
          </w:pPr>
          <w:hyperlink w:anchor="__RefHeading___Toc614495_37343814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14497_373438147">
            <w:r>
              <w:rPr>
                <w:webHidden/>
                <w:rStyle w:val="IndexLink"/>
              </w:rPr>
              <w:t>1</w:t>
            </w:r>
            <w:r>
              <w:rPr>
                <w:rStyle w:val="IndexLink"/>
                <w:rtl w:val="true"/>
              </w:rPr>
              <w:t xml:space="preserve">- </w:t>
            </w:r>
            <w:r>
              <w:rPr>
                <w:rStyle w:val="IndexLink"/>
                <w:rtl w:val="true"/>
              </w:rPr>
              <w:t>التوحيد في الذات؛</w:t>
            </w:r>
            <w:r>
              <w:rPr>
                <w:rStyle w:val="IndexLink"/>
                <w:rtl w:val="true"/>
              </w:rPr>
              <w:tab/>
            </w:r>
            <w:r>
              <w:rPr>
                <w:rStyle w:val="IndexLink"/>
              </w:rPr>
              <w:t>10</w:t>
            </w:r>
          </w:hyperlink>
        </w:p>
        <w:p>
          <w:pPr>
            <w:pStyle w:val="Contents3"/>
            <w:tabs>
              <w:tab w:val="clear" w:pos="8459"/>
              <w:tab w:val="right" w:pos="9026" w:leader="dot"/>
            </w:tabs>
            <w:rPr/>
          </w:pPr>
          <w:hyperlink w:anchor="__RefHeading___Toc614499_373438147">
            <w:r>
              <w:rPr>
                <w:webHidden/>
                <w:rStyle w:val="IndexLink"/>
              </w:rPr>
              <w:t>2</w:t>
            </w:r>
            <w:r>
              <w:rPr>
                <w:rStyle w:val="IndexLink"/>
                <w:rtl w:val="true"/>
              </w:rPr>
              <w:t xml:space="preserve">- </w:t>
            </w:r>
            <w:r>
              <w:rPr>
                <w:rStyle w:val="IndexLink"/>
                <w:rtl w:val="true"/>
              </w:rPr>
              <w:t>التوحيد في الصفات؛</w:t>
            </w:r>
            <w:r>
              <w:rPr>
                <w:rStyle w:val="IndexLink"/>
                <w:rtl w:val="true"/>
              </w:rPr>
              <w:tab/>
            </w:r>
            <w:r>
              <w:rPr>
                <w:rStyle w:val="IndexLink"/>
              </w:rPr>
              <w:t>11</w:t>
            </w:r>
          </w:hyperlink>
        </w:p>
        <w:p>
          <w:pPr>
            <w:pStyle w:val="Contents3"/>
            <w:tabs>
              <w:tab w:val="clear" w:pos="8459"/>
              <w:tab w:val="right" w:pos="9026" w:leader="dot"/>
            </w:tabs>
            <w:rPr/>
          </w:pPr>
          <w:hyperlink w:anchor="__RefHeading___Toc614501_373438147">
            <w:r>
              <w:rPr>
                <w:webHidden/>
                <w:rStyle w:val="IndexLink"/>
              </w:rPr>
              <w:t>3</w:t>
            </w:r>
            <w:r>
              <w:rPr>
                <w:rStyle w:val="IndexLink"/>
                <w:rtl w:val="true"/>
              </w:rPr>
              <w:t xml:space="preserve">- </w:t>
            </w:r>
            <w:r>
              <w:rPr>
                <w:rStyle w:val="IndexLink"/>
                <w:rtl w:val="true"/>
              </w:rPr>
              <w:t>التوحيد في الأفعال؛</w:t>
            </w:r>
            <w:r>
              <w:rPr>
                <w:rStyle w:val="IndexLink"/>
                <w:rtl w:val="true"/>
              </w:rPr>
              <w:tab/>
            </w:r>
            <w:r>
              <w:rPr>
                <w:rStyle w:val="IndexLink"/>
              </w:rPr>
              <w:t>12</w:t>
            </w:r>
          </w:hyperlink>
        </w:p>
        <w:p>
          <w:pPr>
            <w:pStyle w:val="Contents3"/>
            <w:tabs>
              <w:tab w:val="clear" w:pos="8459"/>
              <w:tab w:val="right" w:pos="9026" w:leader="dot"/>
            </w:tabs>
            <w:rPr/>
          </w:pPr>
          <w:hyperlink w:anchor="__RefHeading___Toc614503_373438147">
            <w:r>
              <w:rPr>
                <w:webHidden/>
                <w:rStyle w:val="IndexLink"/>
              </w:rPr>
              <w:t>4</w:t>
            </w:r>
            <w:r>
              <w:rPr>
                <w:rStyle w:val="IndexLink"/>
                <w:rtl w:val="true"/>
              </w:rPr>
              <w:t xml:space="preserve">- </w:t>
            </w:r>
            <w:r>
              <w:rPr>
                <w:rStyle w:val="IndexLink"/>
                <w:rtl w:val="true"/>
              </w:rPr>
              <w:t>التوحيد في العبادة؛</w:t>
            </w:r>
            <w:r>
              <w:rPr>
                <w:rStyle w:val="IndexLink"/>
                <w:rtl w:val="true"/>
              </w:rPr>
              <w:tab/>
            </w:r>
            <w:r>
              <w:rPr>
                <w:rStyle w:val="IndexLink"/>
              </w:rPr>
              <w:t>14</w:t>
            </w:r>
          </w:hyperlink>
        </w:p>
        <w:p>
          <w:pPr>
            <w:pStyle w:val="Contents2"/>
            <w:tabs>
              <w:tab w:val="clear" w:pos="8743"/>
              <w:tab w:val="right" w:pos="9026" w:leader="dot"/>
            </w:tabs>
            <w:rPr/>
          </w:pPr>
          <w:hyperlink w:anchor="__RefHeading___Toc614505_373438147">
            <w:r>
              <w:rPr>
                <w:webHidden/>
                <w:rStyle w:val="IndexLink"/>
                <w:rtl w:val="true"/>
              </w:rPr>
              <w:t>الشفاعة</w:t>
            </w:r>
            <w:r>
              <w:rPr>
                <w:rStyle w:val="IndexLink"/>
                <w:rtl w:val="true"/>
              </w:rPr>
              <w:tab/>
            </w:r>
            <w:r>
              <w:rPr>
                <w:rStyle w:val="IndexLink"/>
              </w:rPr>
              <w:t>17</w:t>
            </w:r>
          </w:hyperlink>
        </w:p>
        <w:p>
          <w:pPr>
            <w:pStyle w:val="Contents3"/>
            <w:tabs>
              <w:tab w:val="clear" w:pos="8459"/>
              <w:tab w:val="right" w:pos="9026" w:leader="dot"/>
            </w:tabs>
            <w:rPr/>
          </w:pPr>
          <w:hyperlink w:anchor="__RefHeading___Toc614507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14509_373438147">
            <w:r>
              <w:rPr>
                <w:webHidden/>
                <w:rStyle w:val="IndexLink"/>
                <w:rtl w:val="true"/>
              </w:rPr>
              <w:t>الأدلة على مشروعيتها</w:t>
            </w:r>
            <w:r>
              <w:rPr>
                <w:rStyle w:val="IndexLink"/>
                <w:rtl w:val="true"/>
              </w:rPr>
              <w:tab/>
            </w:r>
            <w:r>
              <w:rPr>
                <w:rStyle w:val="IndexLink"/>
              </w:rPr>
              <w:t>19</w:t>
            </w:r>
          </w:hyperlink>
        </w:p>
        <w:p>
          <w:pPr>
            <w:pStyle w:val="Contents3"/>
            <w:tabs>
              <w:tab w:val="clear" w:pos="8459"/>
              <w:tab w:val="right" w:pos="9026" w:leader="dot"/>
            </w:tabs>
            <w:rPr/>
          </w:pPr>
          <w:hyperlink w:anchor="__RefHeading___Toc614511_373438147">
            <w:r>
              <w:rPr>
                <w:webHidden/>
                <w:rStyle w:val="IndexLink"/>
                <w:rtl w:val="true"/>
              </w:rPr>
              <w:t>من هو الشفيع</w:t>
            </w:r>
            <w:r>
              <w:rPr>
                <w:rStyle w:val="IndexLink"/>
                <w:rtl w:val="true"/>
              </w:rPr>
              <w:t>:</w:t>
              <w:tab/>
            </w:r>
            <w:r>
              <w:rPr>
                <w:rStyle w:val="IndexLink"/>
              </w:rPr>
              <w:t>22</w:t>
            </w:r>
          </w:hyperlink>
        </w:p>
        <w:p>
          <w:pPr>
            <w:pStyle w:val="Contents3"/>
            <w:tabs>
              <w:tab w:val="clear" w:pos="8459"/>
              <w:tab w:val="right" w:pos="9026" w:leader="dot"/>
            </w:tabs>
            <w:rPr/>
          </w:pPr>
          <w:hyperlink w:anchor="__RefHeading___Toc614513_373438147">
            <w:r>
              <w:rPr>
                <w:webHidden/>
                <w:rStyle w:val="IndexLink"/>
                <w:rtl w:val="true"/>
              </w:rPr>
              <w:t>من هم المشفوع لهم</w:t>
            </w:r>
            <w:r>
              <w:rPr>
                <w:rStyle w:val="IndexLink"/>
                <w:rtl w:val="true"/>
              </w:rPr>
              <w:t>:</w:t>
              <w:tab/>
            </w:r>
            <w:r>
              <w:rPr>
                <w:rStyle w:val="IndexLink"/>
              </w:rPr>
              <w:t>22</w:t>
            </w:r>
          </w:hyperlink>
        </w:p>
        <w:p>
          <w:pPr>
            <w:pStyle w:val="Contents2"/>
            <w:tabs>
              <w:tab w:val="clear" w:pos="8743"/>
              <w:tab w:val="right" w:pos="9026" w:leader="dot"/>
            </w:tabs>
            <w:rPr/>
          </w:pPr>
          <w:hyperlink w:anchor="__RefHeading___Toc614515_373438147">
            <w:r>
              <w:rPr>
                <w:webHidden/>
                <w:rStyle w:val="IndexLink"/>
                <w:rtl w:val="true"/>
              </w:rPr>
              <w:t>التبرُّك</w:t>
            </w:r>
            <w:r>
              <w:rPr>
                <w:rStyle w:val="IndexLink"/>
                <w:rtl w:val="true"/>
              </w:rPr>
              <w:tab/>
            </w:r>
            <w:r>
              <w:rPr>
                <w:rStyle w:val="IndexLink"/>
              </w:rPr>
              <w:t>24</w:t>
            </w:r>
          </w:hyperlink>
        </w:p>
        <w:p>
          <w:pPr>
            <w:pStyle w:val="Contents3"/>
            <w:tabs>
              <w:tab w:val="clear" w:pos="8459"/>
              <w:tab w:val="right" w:pos="9026" w:leader="dot"/>
            </w:tabs>
            <w:rPr/>
          </w:pPr>
          <w:hyperlink w:anchor="__RefHeading___Toc614517_37343814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614519_373438147">
            <w:r>
              <w:rPr>
                <w:webHidden/>
                <w:rStyle w:val="IndexLink"/>
                <w:rtl w:val="true"/>
              </w:rPr>
              <w:t>ما وصل لنا من السنَّة</w:t>
            </w:r>
            <w:r>
              <w:rPr>
                <w:rStyle w:val="IndexLink"/>
                <w:rtl w:val="true"/>
              </w:rPr>
              <w:t>:</w:t>
              <w:tab/>
            </w:r>
            <w:r>
              <w:rPr>
                <w:rStyle w:val="IndexLink"/>
              </w:rPr>
              <w:t>26</w:t>
            </w:r>
          </w:hyperlink>
        </w:p>
        <w:p>
          <w:pPr>
            <w:pStyle w:val="Contents3"/>
            <w:tabs>
              <w:tab w:val="clear" w:pos="8459"/>
              <w:tab w:val="right" w:pos="9026" w:leader="dot"/>
            </w:tabs>
            <w:rPr/>
          </w:pPr>
          <w:hyperlink w:anchor="__RefHeading___Toc614521_373438147">
            <w:r>
              <w:rPr>
                <w:webHidden/>
                <w:rStyle w:val="IndexLink"/>
                <w:rtl w:val="true"/>
              </w:rPr>
              <w:t xml:space="preserve">تبركهم بالنبي </w:t>
            </w:r>
            <w:r>
              <w:rPr>
                <w:rStyle w:val="IndexLink"/>
                <w:rtl w:val="true"/>
              </w:rPr>
              <w:t>(</w:t>
            </w:r>
            <w:r>
              <w:rPr>
                <w:rStyle w:val="IndexLink"/>
                <w:rtl w:val="true"/>
              </w:rPr>
              <w:t>ص</w:t>
            </w:r>
            <w:r>
              <w:rPr>
                <w:rStyle w:val="IndexLink"/>
                <w:rtl w:val="true"/>
              </w:rPr>
              <w:t xml:space="preserve">) </w:t>
            </w:r>
            <w:r>
              <w:rPr>
                <w:rStyle w:val="IndexLink"/>
                <w:rtl w:val="true"/>
              </w:rPr>
              <w:t>وآثاره بعد وفاته</w:t>
            </w:r>
            <w:r>
              <w:rPr>
                <w:rStyle w:val="IndexLink"/>
                <w:rtl w:val="true"/>
              </w:rPr>
              <w:t>:</w:t>
              <w:tab/>
            </w:r>
            <w:r>
              <w:rPr>
                <w:rStyle w:val="IndexLink"/>
              </w:rPr>
              <w:t>27</w:t>
            </w:r>
          </w:hyperlink>
        </w:p>
        <w:p>
          <w:pPr>
            <w:pStyle w:val="Contents3"/>
            <w:tabs>
              <w:tab w:val="clear" w:pos="8459"/>
              <w:tab w:val="right" w:pos="9026" w:leader="dot"/>
            </w:tabs>
            <w:rPr/>
          </w:pPr>
          <w:hyperlink w:anchor="__RefHeading___Toc614523_373438147">
            <w:r>
              <w:rPr>
                <w:webHidden/>
                <w:rStyle w:val="IndexLink"/>
                <w:rtl w:val="true"/>
              </w:rPr>
              <w:t>التبرك بالصحابة والتابعين</w:t>
            </w:r>
            <w:r>
              <w:rPr>
                <w:rStyle w:val="IndexLink"/>
                <w:rtl w:val="true"/>
              </w:rPr>
              <w:t>:</w:t>
              <w:tab/>
            </w:r>
            <w:r>
              <w:rPr>
                <w:rStyle w:val="IndexLink"/>
              </w:rPr>
              <w:t>30</w:t>
            </w:r>
          </w:hyperlink>
        </w:p>
        <w:p>
          <w:pPr>
            <w:pStyle w:val="Contents2"/>
            <w:tabs>
              <w:tab w:val="clear" w:pos="8743"/>
              <w:tab w:val="right" w:pos="9026" w:leader="dot"/>
            </w:tabs>
            <w:rPr/>
          </w:pPr>
          <w:hyperlink w:anchor="__RefHeading___Toc614525_373438147">
            <w:r>
              <w:rPr>
                <w:webHidden/>
                <w:rStyle w:val="IndexLink"/>
                <w:rtl w:val="true"/>
              </w:rPr>
              <w:t>البكاء على الميت</w:t>
            </w:r>
            <w:r>
              <w:rPr>
                <w:rStyle w:val="IndexLink"/>
                <w:rtl w:val="true"/>
              </w:rPr>
              <w:tab/>
            </w:r>
            <w:r>
              <w:rPr>
                <w:rStyle w:val="IndexLink"/>
              </w:rPr>
              <w:t>33</w:t>
            </w:r>
          </w:hyperlink>
        </w:p>
        <w:p>
          <w:pPr>
            <w:pStyle w:val="Contents3"/>
            <w:tabs>
              <w:tab w:val="clear" w:pos="8459"/>
              <w:tab w:val="right" w:pos="9026" w:leader="dot"/>
            </w:tabs>
            <w:rPr/>
          </w:pPr>
          <w:hyperlink w:anchor="__RefHeading___Toc614527_37343814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614529_373438147">
            <w:r>
              <w:rPr>
                <w:webHidden/>
                <w:rStyle w:val="IndexLink"/>
                <w:rtl w:val="true"/>
              </w:rPr>
              <w:t>ما يتعلق ببكاء النبي</w:t>
            </w:r>
            <w:r>
              <w:rPr>
                <w:rStyle w:val="IndexLink"/>
                <w:rtl w:val="true"/>
              </w:rPr>
              <w:t>:</w:t>
              <w:tab/>
            </w:r>
            <w:r>
              <w:rPr>
                <w:rStyle w:val="IndexLink"/>
              </w:rPr>
              <w:t>34</w:t>
            </w:r>
          </w:hyperlink>
        </w:p>
        <w:p>
          <w:pPr>
            <w:pStyle w:val="Contents3"/>
            <w:tabs>
              <w:tab w:val="clear" w:pos="8459"/>
              <w:tab w:val="right" w:pos="9026" w:leader="dot"/>
            </w:tabs>
            <w:rPr/>
          </w:pPr>
          <w:hyperlink w:anchor="__RefHeading___Toc614531_373438147">
            <w:r>
              <w:rPr>
                <w:webHidden/>
                <w:rStyle w:val="IndexLink"/>
                <w:rtl w:val="true"/>
              </w:rPr>
              <w:t>ما يتعلق ببكاء أهل البيت</w:t>
            </w:r>
            <w:r>
              <w:rPr>
                <w:rStyle w:val="IndexLink"/>
                <w:rtl w:val="true"/>
              </w:rPr>
              <w:t>:</w:t>
              <w:tab/>
            </w:r>
            <w:r>
              <w:rPr>
                <w:rStyle w:val="IndexLink"/>
              </w:rPr>
              <w:t>36</w:t>
            </w:r>
          </w:hyperlink>
        </w:p>
        <w:p>
          <w:pPr>
            <w:pStyle w:val="Contents3"/>
            <w:tabs>
              <w:tab w:val="clear" w:pos="8459"/>
              <w:tab w:val="right" w:pos="9026" w:leader="dot"/>
            </w:tabs>
            <w:rPr/>
          </w:pPr>
          <w:hyperlink w:anchor="__RefHeading___Toc614533_373438147">
            <w:r>
              <w:rPr>
                <w:webHidden/>
                <w:rStyle w:val="IndexLink"/>
                <w:rtl w:val="true"/>
              </w:rPr>
              <w:t>ما يتعلق ببكاء الصحابة على النبي</w:t>
            </w:r>
            <w:r>
              <w:rPr>
                <w:rStyle w:val="IndexLink"/>
                <w:rtl w:val="true"/>
              </w:rPr>
              <w:t>:</w:t>
              <w:tab/>
            </w:r>
            <w:r>
              <w:rPr>
                <w:rStyle w:val="IndexLink"/>
              </w:rPr>
              <w:t>37</w:t>
            </w:r>
          </w:hyperlink>
        </w:p>
        <w:p>
          <w:pPr>
            <w:pStyle w:val="Contents3"/>
            <w:tabs>
              <w:tab w:val="clear" w:pos="8459"/>
              <w:tab w:val="right" w:pos="9026" w:leader="dot"/>
            </w:tabs>
            <w:rPr/>
          </w:pPr>
          <w:hyperlink w:anchor="__RefHeading___Toc614535_373438147">
            <w:r>
              <w:rPr>
                <w:webHidden/>
                <w:rStyle w:val="IndexLink"/>
                <w:rtl w:val="true"/>
              </w:rPr>
              <w:t>وأمَّا بكاء الأصحاب على بعضهم</w:t>
            </w:r>
            <w:r>
              <w:rPr>
                <w:rStyle w:val="IndexLink"/>
                <w:rtl w:val="true"/>
              </w:rPr>
              <w:t>:</w:t>
              <w:tab/>
            </w:r>
            <w:r>
              <w:rPr>
                <w:rStyle w:val="IndexLink"/>
              </w:rPr>
              <w:t>39</w:t>
            </w:r>
          </w:hyperlink>
        </w:p>
        <w:p>
          <w:pPr>
            <w:pStyle w:val="Contents2"/>
            <w:tabs>
              <w:tab w:val="clear" w:pos="8743"/>
              <w:tab w:val="right" w:pos="9026" w:leader="dot"/>
            </w:tabs>
            <w:rPr/>
          </w:pPr>
          <w:hyperlink w:anchor="__RefHeading___Toc614537_373438147">
            <w:r>
              <w:rPr>
                <w:webHidden/>
                <w:rStyle w:val="IndexLink"/>
                <w:rtl w:val="true"/>
              </w:rPr>
              <w:t>زيارة القبور</w:t>
            </w:r>
            <w:r>
              <w:rPr>
                <w:rStyle w:val="IndexLink"/>
                <w:rtl w:val="true"/>
              </w:rPr>
              <w:tab/>
            </w:r>
            <w:r>
              <w:rPr>
                <w:rStyle w:val="IndexLink"/>
              </w:rPr>
              <w:t>44</w:t>
            </w:r>
          </w:hyperlink>
        </w:p>
        <w:p>
          <w:pPr>
            <w:pStyle w:val="Contents3"/>
            <w:tabs>
              <w:tab w:val="clear" w:pos="8459"/>
              <w:tab w:val="right" w:pos="9026" w:leader="dot"/>
            </w:tabs>
            <w:rPr/>
          </w:pPr>
          <w:hyperlink w:anchor="__RefHeading___Toc614539_373438147">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14541_373438147">
            <w:r>
              <w:rPr>
                <w:webHidden/>
                <w:rStyle w:val="IndexLink"/>
                <w:rtl w:val="true"/>
              </w:rPr>
              <w:t>السفر للزيارة</w:t>
            </w:r>
            <w:r>
              <w:rPr>
                <w:rStyle w:val="IndexLink"/>
                <w:rtl w:val="true"/>
              </w:rPr>
              <w:tab/>
            </w:r>
            <w:r>
              <w:rPr>
                <w:rStyle w:val="IndexLink"/>
              </w:rPr>
              <w:t>49</w:t>
            </w:r>
          </w:hyperlink>
        </w:p>
        <w:p>
          <w:pPr>
            <w:pStyle w:val="Contents2"/>
            <w:tabs>
              <w:tab w:val="clear" w:pos="8743"/>
              <w:tab w:val="right" w:pos="9026" w:leader="dot"/>
            </w:tabs>
            <w:rPr/>
          </w:pPr>
          <w:hyperlink w:anchor="__RefHeading___Toc614543_373438147">
            <w:r>
              <w:rPr>
                <w:webHidden/>
                <w:rStyle w:val="IndexLink"/>
                <w:rtl w:val="true"/>
              </w:rPr>
              <w:t>التولي والتبري</w:t>
            </w:r>
            <w:r>
              <w:rPr>
                <w:rStyle w:val="IndexLink"/>
                <w:rtl w:val="true"/>
              </w:rPr>
              <w:tab/>
            </w:r>
            <w:r>
              <w:rPr>
                <w:rStyle w:val="IndexLink"/>
              </w:rPr>
              <w:t>53</w:t>
            </w:r>
          </w:hyperlink>
        </w:p>
        <w:p>
          <w:pPr>
            <w:pStyle w:val="Contents2"/>
            <w:tabs>
              <w:tab w:val="clear" w:pos="8743"/>
              <w:tab w:val="right" w:pos="9026" w:leader="dot"/>
            </w:tabs>
            <w:rPr/>
          </w:pPr>
          <w:hyperlink w:anchor="__RefHeading___Toc614545_373438147">
            <w:r>
              <w:rPr>
                <w:webHidden/>
                <w:rStyle w:val="IndexLink"/>
                <w:rtl w:val="true"/>
              </w:rPr>
              <w:t>الشيعة والقرآن</w:t>
            </w:r>
            <w:r>
              <w:rPr>
                <w:rStyle w:val="IndexLink"/>
                <w:rtl w:val="true"/>
              </w:rPr>
              <w:tab/>
            </w:r>
            <w:r>
              <w:rPr>
                <w:rStyle w:val="IndexLink"/>
              </w:rPr>
              <w:t>59</w:t>
            </w:r>
          </w:hyperlink>
        </w:p>
        <w:p>
          <w:pPr>
            <w:pStyle w:val="Contents2"/>
            <w:tabs>
              <w:tab w:val="clear" w:pos="8743"/>
              <w:tab w:val="right" w:pos="9026" w:leader="dot"/>
            </w:tabs>
            <w:rPr/>
          </w:pPr>
          <w:hyperlink w:anchor="__RefHeading___Toc614547_373438147">
            <w:r>
              <w:rPr>
                <w:webHidden/>
                <w:rStyle w:val="IndexLink"/>
                <w:rtl w:val="true"/>
              </w:rPr>
              <w:t>الشيعة وأهل البيت</w:t>
            </w:r>
            <w:r>
              <w:rPr>
                <w:rStyle w:val="IndexLink"/>
                <w:rtl w:val="true"/>
              </w:rPr>
              <w:tab/>
            </w:r>
            <w:r>
              <w:rPr>
                <w:rStyle w:val="IndexLink"/>
              </w:rPr>
              <w:t>64</w:t>
            </w:r>
          </w:hyperlink>
        </w:p>
        <w:p>
          <w:pPr>
            <w:pStyle w:val="Contents2"/>
            <w:tabs>
              <w:tab w:val="clear" w:pos="8743"/>
              <w:tab w:val="right" w:pos="9026" w:leader="dot"/>
            </w:tabs>
            <w:rPr/>
          </w:pPr>
          <w:hyperlink w:anchor="__RefHeading___Toc614549_373438147">
            <w:r>
              <w:rPr>
                <w:webHidden/>
                <w:rStyle w:val="IndexLink"/>
                <w:rtl w:val="true"/>
              </w:rPr>
              <w:t>الشيعة والبداء</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_11561"/>
      <w:bookmarkStart w:id="1" w:name="pg927_11561"/>
      <w:bookmarkEnd w:id="1"/>
    </w:p>
    <w:p>
      <w:pPr>
        <w:pStyle w:val="Heading2"/>
        <w:numPr>
          <w:ilvl w:val="1"/>
          <w:numId w:val="1"/>
        </w:numPr>
        <w:rPr/>
      </w:pPr>
      <w:bookmarkStart w:id="2" w:name="pg927_11561"/>
      <w:bookmarkStart w:id="3" w:name="__RefHeading___Toc614487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رحاب العقيدة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4489_373438147"/>
      <w:bookmarkStart w:id="6" w:name="_Toc2"/>
      <w:bookmarkEnd w:id="5"/>
      <w:r>
        <w:rPr>
          <w:rtl w:val="true"/>
        </w:rPr>
        <w:t>اشارة</w:t>
      </w:r>
      <w:bookmarkStart w:id="7" w:name="pg927_11568"/>
      <w:bookmarkEnd w:id="6"/>
    </w:p>
    <w:p>
      <w:pPr>
        <w:pStyle w:val="Heading2"/>
        <w:numPr>
          <w:ilvl w:val="1"/>
          <w:numId w:val="1"/>
        </w:numPr>
        <w:rPr/>
      </w:pPr>
      <w:bookmarkStart w:id="8" w:name="__RefHeading___Toc614491_373438147"/>
      <w:bookmarkStart w:id="9" w:name="_Toc3"/>
      <w:bookmarkEnd w:id="7"/>
      <w:bookmarkEnd w:id="8"/>
      <w:r>
        <w:rPr>
          <w:rtl w:val="true"/>
        </w:rPr>
        <w:t>وحدة المسلمين</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تعالى في كتابه الكريم إنَّ الدّينَ عِندَ اللَّهِ الإسْلَامُ،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فقد بيَّن اللَّه عزَّ وجلَّ في هذه الآية أنَّ الدين الذي يرتضيه من الناس جميعاً هو الإسلام الذي أرسل به نبيَّه محمداًصلى الله عليه و آله داعياً له سراً وعلانية، في الأهل والعشيرة، قولًا وعملًا، حتى أوذي في ذلك، وضرب، وكسرت رباعيته، وتعرض لأشد أنواع الأذى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كما أوذيت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معلناًصلى الله عليه و آله بالدعوة إلى اللَّه وتوحيده في الذات والصفات والأفعال والعبادة، مبشراً بجنَّة عرضها السموات والأرض لمن أطاعه واتبعه، منذراً بنارٍ عميق قعرها شديد</w:t>
      </w:r>
    </w:p>
    <w:p>
      <w:pPr>
        <w:pStyle w:val="BookText"/>
        <w:rPr/>
      </w:pPr>
      <w:r>
        <w:rPr>
          <w:rFonts w:ascii="Amiri" w:hAnsi="Amiri" w:eastAsia="Amiri" w:cs="Amiri"/>
          <w:color w:val="111111"/>
          <w:sz w:val="28"/>
          <w:sz w:val="28"/>
          <w:szCs w:val="28"/>
          <w:rtl w:val="true"/>
          <w:lang w:bidi="ar-SA"/>
        </w:rPr>
        <w:t>عذابها لمن عصاه، وقد أيَّد اللَّه عزَّ وجل نبيَّه بالمعجزات الخالدة الواضحة والعلائم اللائحة إظهاراً لنبوته، وإكراماً لمقامه، كما أمر الناس باتباعه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أَطِيعُوا اللَّهَ وَأَطِيعُوا الرَّسُولَ وَأُولِي الأَمْرِ مِنْكُم</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من أسس دعوته صلى الله عليه و آله الدعوة بالحق، بلسان صادق اللهجة، أمين في أداء ما حُمِّل حتى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بالصادق الأمين، ومن أهم أساليبه في الدعوة ما أرشدت له الآية ادعُ إلَى سَبِيلِ رَبِّكَ بِالحِكْمَةِ وَالمَوعِظَةِ الحَسَنَةِ وَجَادِلْهُم بِالتِي هِي أَحْسَن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فصدع داعياً بكل ما أوتي من قدرة واستعداد إلهي، وبما ألهم من حكمة إلهيَّة حتى انقادت النفوس لهذا الدين القويم عن رضا واختيار منها إلا من أبى وجاهر بالمحاربة؛ فكان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يناجزه الرسول حرباً بحرب ومعركة بمعركة، حتى استتبَّ الأمر لهصلى الله عليه و آله كما أراد، وكان خلال تلك الفترة التي عاشها بين ظهراني الناس لم يفتأ يُعلِّمُهم الكتاب والحكمة، حتى قال في خطبة الوداع وهي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من</w:t>
      </w:r>
    </w:p>
    <w:p>
      <w:pPr>
        <w:pStyle w:val="BookText"/>
        <w:rPr/>
      </w:pPr>
      <w:r>
        <w:rPr>
          <w:rFonts w:ascii="Amiri" w:hAnsi="Amiri" w:eastAsia="Amiri" w:cs="Amiri"/>
          <w:color w:val="111111"/>
          <w:sz w:val="28"/>
          <w:sz w:val="28"/>
          <w:szCs w:val="28"/>
          <w:rtl w:val="true"/>
          <w:lang w:bidi="ar-SA"/>
        </w:rPr>
        <w:t>الجنَّة إلا دللتكم عليه، وما من شي‌ء يبعدكم عن النار إلا نبهتكم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ولمَّا أصبح الدين قويّاً حينئذٍ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وفاته صلى الله عليه و آله دأب المسلمون على الاقتداء بالنبي في أقواله وأفعاله، لا يحيدون عن ذلك في عقيدة أو عمل، وذلك لأنَّ العمل ليس إلا مرآةً لما يعتقد المرء، ممَّا يعقد عليه جَنَانه، حيث كان قد أسَّس صلى الله عليه و آله للمسلمين قانوناً يصونهم ويحفظ بعضهم عن بعض يوجب حقن النفس والمال والعرض،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حرم دمه وماله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حقناً لدماء المسلمين عن القتل، وحفظاً لأموالهم عن السرقة، ولأعراضهم عن الهتك</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ينبغي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العزم في قلبك والبناء في جنانك على أن تحافظ على كل ما جاء به الرسول من تعاليم سمحة ومحببةً للناس إلى هذا الدين الكبير، مجتنباً في ذلك ما يشين إلى الإسلام، ويُنَفِّر الخَلْقَ منه؛ كألفاظ التكفير والتفسيق للمسلمين من سائر المذاهب الإسلاميَّة، لمجرد أن</w:t>
      </w:r>
    </w:p>
    <w:p>
      <w:pPr>
        <w:pStyle w:val="BookText"/>
        <w:rPr/>
      </w:pPr>
      <w:r>
        <w:rPr>
          <w:rFonts w:ascii="Amiri" w:hAnsi="Amiri" w:eastAsia="Amiri" w:cs="Amiri"/>
          <w:color w:val="111111"/>
          <w:sz w:val="28"/>
          <w:sz w:val="28"/>
          <w:szCs w:val="28"/>
          <w:rtl w:val="true"/>
          <w:lang w:bidi="ar-SA"/>
        </w:rPr>
        <w:t>خالفوك في الرأي في مسألة فقهية أو علميَّة، إذ الربُّ واحد وهو المتوجه له الخلق بالعبادة، والرسول محمدصلى الله عليه و آله واحدٌ يقر المسلمون له بالطاعة، والكتاب واحد وهو ما أنزل على النبيصلى الله عليه و آله، والقبلة واحدة وهي التي يتوجه لها المسلمون قاطبة في أرجاء المعمورة، وأهل بيت النبيصلى الله عليه و آله هم الذين أمر اللَّه عزَّ وجلَّ والنبيصلى الله عليه و آله بمحبتهم واتباعهم؛ فحريٌّ بنا أن نتكاتف كي نطرد مِن البين مَنْ يحاول التفريق بين المسلمين، وتشتيت جمعهم، وتبديد شملهم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الالتزام بجادَّة الاستقامة أن يتثبت المؤمن في عقيدته بما يوافق النص الصحيح الوارد عن اللَّه عزَّ وجلَّ في كتابه وعن نبيَّهصلى الله عليه و آله وعن أهل بيته الكرام، مستنداً في ذلك كلِّه إلى فطرة العقل السليم المدرك، وما أودع فيه من الهداية بما يقوم عليه البرهان الجلي، دون خوف من أحدٍ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ولنجتمع على مثل هذه العقيدة الصافية والتولي لمن تولاه اللَّه والتبري ممَّن تبرأ اللَّه منه داعين اللَّه عزَّ وجلَّ أن يُفرِّج عن المؤمنين والمسلمين في أرجاء الأرض بصلاح أمورهم وهدايتهم لما يريده اللَّه منهم من الاتباع لدينه القويم والوفاء بما عاهدوا عليه من كلمة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وصحبهم التابعين لهم بإحسان</w:t>
      </w:r>
      <w:r>
        <w:rPr>
          <w:rFonts w:eastAsia="Amiri" w:cs="Amiri" w:ascii="Amiri" w:hAnsi="Amiri"/>
          <w:color w:val="111111"/>
          <w:sz w:val="28"/>
          <w:szCs w:val="28"/>
          <w:rtl w:val="true"/>
          <w:lang w:bidi="ar-SA"/>
        </w:rPr>
        <w:t>.</w:t>
      </w:r>
      <w:bookmarkStart w:id="10" w:name="pg927_11576"/>
    </w:p>
    <w:p>
      <w:pPr>
        <w:pStyle w:val="Heading2"/>
        <w:numPr>
          <w:ilvl w:val="1"/>
          <w:numId w:val="1"/>
        </w:numPr>
        <w:rPr/>
      </w:pPr>
      <w:bookmarkStart w:id="11" w:name="__RefHeading___Toc614493_373438147"/>
      <w:bookmarkStart w:id="12" w:name="_Toc4"/>
      <w:bookmarkEnd w:id="10"/>
      <w:bookmarkEnd w:id="11"/>
      <w:r>
        <w:rPr>
          <w:rtl w:val="true"/>
        </w:rPr>
        <w:t>عقيدة التوحيد</w:t>
      </w:r>
      <w:bookmarkEnd w:id="12"/>
    </w:p>
    <w:p>
      <w:pPr>
        <w:pStyle w:val="Heading3"/>
        <w:numPr>
          <w:ilvl w:val="2"/>
          <w:numId w:val="1"/>
        </w:numPr>
        <w:rPr/>
      </w:pPr>
      <w:bookmarkStart w:id="13" w:name="__RefHeading___Toc614495_37343814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اشتملت هذه السورة الشريفة على مجامع كلمة التوحيد التي دعا لها كُلّ الرسل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رسالاتهم السماويَّة المقدَّسة، مع تنوُّع في الطريقة والأسلوب، ولمَّا كانت معالم التوحيد في الفكر الإمامي الإثني‌عشري تحتاج لمزيد من الإيضاح لدى بعض الفرق والطوائف الإسلاميَّة الأخرى، حيث إنَّ هذا البعض لا يتعب نفسه ولو قليلًا بالبحث الجادِّ حول حقيقة التشيع، ممَّا أدَّى ذلك بهم للمسارعة في الحكم بالتكفير والخروج عن الملَّة لمجرَّد مخالفة معتقدنا لظواهر كلماتهم؛ ولذا كان من اللازم علينا بيان تلك المعالم كي تتّضح الصورة أكثر، وتقام الحجَّة على من لم</w:t>
      </w:r>
      <w:bookmarkStart w:id="15" w:name="pg927_11578"/>
    </w:p>
    <w:p>
      <w:pPr>
        <w:pStyle w:val="BookText"/>
        <w:rPr/>
      </w:pPr>
      <w:bookmarkEnd w:id="15"/>
      <w:r>
        <w:rPr>
          <w:rFonts w:ascii="Amiri" w:hAnsi="Amiri" w:eastAsia="Amiri" w:cs="Amiri"/>
          <w:color w:val="111111"/>
          <w:sz w:val="28"/>
          <w:sz w:val="28"/>
          <w:szCs w:val="28"/>
          <w:rtl w:val="true"/>
          <w:lang w:bidi="ar-SA"/>
        </w:rPr>
        <w:t>يعلم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التوحيد الذي تعتقد به الإماميّة على حسب ما ورد لهم عن النبيّ وأهل بيته عليهم السلام بالآيات والروايات ينقسم إلى أربعة أقسام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14497_373438147"/>
      <w:bookmarkStart w:id="17" w:name="_Toc6"/>
      <w:bookmarkEnd w:id="16"/>
      <w:r>
        <w:rPr/>
        <w:t>1</w:t>
      </w:r>
      <w:r>
        <w:rPr>
          <w:rtl w:val="true"/>
        </w:rPr>
        <w:t xml:space="preserve">- </w:t>
      </w:r>
      <w:r>
        <w:rPr>
          <w:rtl w:val="true"/>
        </w:rPr>
        <w:t>التوحيد في الذات؛</w:t>
      </w:r>
      <w:bookmarkEnd w:id="17"/>
    </w:p>
    <w:p>
      <w:pPr>
        <w:pStyle w:val="BookText"/>
        <w:rPr/>
      </w:pPr>
      <w:r>
        <w:rPr>
          <w:rFonts w:ascii="Amiri" w:hAnsi="Amiri" w:eastAsia="Amiri" w:cs="Amiri"/>
          <w:color w:val="111111"/>
          <w:sz w:val="28"/>
          <w:sz w:val="28"/>
          <w:szCs w:val="28"/>
          <w:rtl w:val="true"/>
          <w:lang w:bidi="ar-SA"/>
        </w:rPr>
        <w:t>ويعني الاعتقاد بأنَّ اللَّه عزَّ وجلَّ ذات متفردة لا تعدد فيها، ولا شريك لها،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إلَّاهُوَ الحَيُّ القَيُّوم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وأنَّ هذه الذات الجامعة لجميعصفات الكمال والجلال، منزَّهة عن كلِّ ما يوجب نقصاً، أو ممَّا يعدُّ نقصاً في 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بحكمصريح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بالكفر على من يعتقد بإلهين اثنين، إذ أنَّه يتنافى مع الاعتقاد بوحدة الذات الإلهيَّة، فالذات الإلهيَّة لا تعدد فيها ولا شِرْكَة لآخر معها بأيِّ معنى احتمل، وهو المسمَّى بتوحيد الألوهيَّة، بل ترى أنَّ شريك الباري ممتنعٌ لأدلَّة كثيرة منها ما أشارت 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لَذَهَبَ كُلُّ إِلهٍ بِما خَلَقَ وَ لَعَلا بَعْضُهُمْ عَلى بَعْضٍ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فليس من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ابن تيميَّة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إليه تعالى بتوسّط أوليائه المنصوبين من قبله</w:t>
      </w:r>
      <w:bookmarkStart w:id="18" w:name="pg927_11580"/>
    </w:p>
    <w:p>
      <w:pPr>
        <w:pStyle w:val="BookText"/>
        <w:rPr/>
      </w:pPr>
      <w:bookmarkEnd w:id="18"/>
      <w:r>
        <w:rPr>
          <w:rFonts w:ascii="Amiri" w:hAnsi="Amiri" w:eastAsia="Amiri" w:cs="Amiri"/>
          <w:color w:val="111111"/>
          <w:sz w:val="28"/>
          <w:sz w:val="28"/>
          <w:szCs w:val="28"/>
          <w:rtl w:val="true"/>
          <w:lang w:bidi="ar-SA"/>
        </w:rPr>
        <w:t>تعالى لطلب المغفرة وطلب الرزق الواسع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التوجُّه بالطلب له عزَّ وجلَّ لا لغيره، والمغفرة مطلوبة منه لا من غيره، إلَّا أنَّ وسيلتنا لما كانت قاصرة ضعيفة احتجنا للوسيلة الكاملة وللوليّ القريب منه تعالى، فتوجهنا له ليس إلَّالأنَّه موجب لقبول استغفارنا وتوبتنا عنده تعالى، وطلب ذي‌الوسيلة من اللَّه عزَّ وجلَّ متفرعٌ على إرادة اللَّه ومشيئته لا أنَّه في مقابله، ومستقل عنه في الفعل والأمر والنهي</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14499_373438147"/>
      <w:bookmarkStart w:id="20" w:name="_Toc7"/>
      <w:bookmarkEnd w:id="19"/>
      <w:r>
        <w:rPr/>
        <w:t>2</w:t>
      </w:r>
      <w:r>
        <w:rPr>
          <w:rtl w:val="true"/>
        </w:rPr>
        <w:t xml:space="preserve">- </w:t>
      </w:r>
      <w:r>
        <w:rPr>
          <w:rtl w:val="true"/>
        </w:rPr>
        <w:t>التوحيد في الصفات؛</w:t>
      </w:r>
      <w:bookmarkEnd w:id="20"/>
    </w:p>
    <w:p>
      <w:pPr>
        <w:pStyle w:val="BookText"/>
        <w:rPr/>
      </w:pPr>
      <w:r>
        <w:rPr>
          <w:rFonts w:ascii="Amiri" w:hAnsi="Amiri" w:eastAsia="Amiri" w:cs="Amiri"/>
          <w:color w:val="111111"/>
          <w:sz w:val="28"/>
          <w:sz w:val="28"/>
          <w:szCs w:val="28"/>
          <w:rtl w:val="true"/>
          <w:lang w:bidi="ar-SA"/>
        </w:rPr>
        <w:t>ويعني هذا الاعتقاد بأنّ للَّه عزّوجلّصفات يوصف بها وهذه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ذاتيّة له؛ أي‌هي عين ذاته وليست شيئاً آخر زائداً على الذات، وهذه كصفة العلم والقدرة، فاللَّه عالم قادر بذاته، لا أنّه حين نقول عالم لا يكون قادراً أو حين قولنا قادر هو ليس بعالم، ولا أنّه عالم بعلم مغاير لذاته، وقادر بقدرة مغايرة لذاته، وهذه الصفات لا يمكن سلبها عن الذات، فلا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بعالم أو ليس بقادر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فعليّة؛ وهي الصفات التي يتّصف بها تعالى لصدور فعل عن ذاته المقدّسة كصفة الخالقيّة والرازقيّة والإحياء والإماتة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الصنف من الصفات يصحّ سلب الصفة عن الذات ولا يستلزم ذلك نقصاً في ذاته تعالى؛ ولا تعطيلًا لصفاته، كأن تقول خلق اللَّه زيداً، كما تقول لم</w:t>
      </w:r>
      <w:bookmarkStart w:id="21" w:name="pg927_11582"/>
    </w:p>
    <w:p>
      <w:pPr>
        <w:pStyle w:val="BookText"/>
        <w:rPr/>
      </w:pPr>
      <w:bookmarkEnd w:id="21"/>
      <w:r>
        <w:rPr>
          <w:rFonts w:ascii="Amiri" w:hAnsi="Amiri" w:eastAsia="Amiri" w:cs="Amiri"/>
          <w:color w:val="111111"/>
          <w:sz w:val="28"/>
          <w:sz w:val="28"/>
          <w:szCs w:val="28"/>
          <w:rtl w:val="true"/>
          <w:lang w:bidi="ar-SA"/>
        </w:rPr>
        <w:t>يخلق اللَّه عمرواً، أو تقول رزق فلاناً ولم يرزق فلاناً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فليس من الكفر أو خلاف التوحيد في الصافت التوجّه إلى النبيّ أو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لقربهما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الشفاعة منهم إلى اللَّه، فإنّه ليس من إشراك غير اللَّه معه في الصفة، إذ ليس هو إلّامن باب اتّخاذ الوسيلة إليه تعالى وهو القائل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والناس بفطرتها الدينيّة تتوجّه لهذا الأمر، وكماصدر من بعضصحابة الرسول كأبي أيّوب الأنصاري بعد وفاة النبيّ وبلال الحبشي وغيرهم كثير من 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614501_373438147"/>
      <w:bookmarkStart w:id="23" w:name="_Toc8"/>
      <w:bookmarkEnd w:id="22"/>
      <w:r>
        <w:rPr/>
        <w:t>3</w:t>
      </w:r>
      <w:r>
        <w:rPr>
          <w:rtl w:val="true"/>
        </w:rPr>
        <w:t xml:space="preserve">- </w:t>
      </w:r>
      <w:r>
        <w:rPr>
          <w:rtl w:val="true"/>
        </w:rPr>
        <w:t>التوحيد في الأفعال؛</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منه الاعتقاد بأنَّ الأفعال التي تصدر عن الذات المقدسَّة ممَّا لا يمكنصدورها عن غير الخالق بنحو الاستقلال فكلُّ ما عدا الذات الإلهيّة مستندةٌ في أفعالها إلى اللَّه عزَّ وجلَّ، وأمَّا أفعال الذات الإلهيّة فهي ممَّا لا يشركها شي‌ء آخر في حدوثها ولا في بقائها، بل إنّ الذات الإلهيّة متفردة متوحّدة بجميع ما يصدر منصادرات ومخلوقات هذا العالم الكبير الواسع،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w:t>
      </w:r>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تشير لما منه الوجود والخالقيَّة المطلقة وهي 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هذا أن يقال بصدور أفعال من الإنسان باختياره ممّا جعله اللَّه تحت قدرته واختياره، وعلى هذا فليس من منافاةِ للتوحيد في الأفعال اعتقادصدور المعجزة أو الكرامة من النبيّ أو الوليّ المؤيّد من قبل اللَّه عزّوجل، إذ أنّ اعتقادصدورها منهم هو متفرّعٌ على مشيئة اللَّه وإرادته، وليس في عرضه حتّى يعترض على الشيعة بأنّه تشريك في الفعل غير اللَّه من المخلوقات مع اللَّه، بل إنّ هذه العقيدة قامت على خلوصصدور الفعل عن اللَّه عزَّ وجلَّ، إلّاأنّ بعض الأفعال تتمّ بسببٍ من قبله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قانون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أو الوليّ ليس إلّا سبباً لذلك، كما في تحقّق الإماتة وقبض الروح من قبل ملك الموت، وكذا يُوجَد ملائكة مُوَكَّلون بالرزق، فليس من عقيدة الإماميّة أنَّ أحداً من البشر أو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المخلوقون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القدرة على أن يخلق أو يرزق مستقلًا عن قدرة اللَّه ومشيئته وإرادته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المعنى من التوحيد تدلّ عليه آيات كثيرة من</w:t>
      </w:r>
      <w:bookmarkStart w:id="24" w:name="pg927_11586"/>
    </w:p>
    <w:p>
      <w:pPr>
        <w:pStyle w:val="BookText"/>
        <w:rPr/>
      </w:pPr>
      <w:bookmarkEnd w:id="24"/>
      <w:r>
        <w:rPr>
          <w:rFonts w:ascii="Amiri" w:hAnsi="Amiri" w:eastAsia="Amiri" w:cs="Amiri"/>
          <w:color w:val="111111"/>
          <w:sz w:val="28"/>
          <w:sz w:val="28"/>
          <w:szCs w:val="28"/>
          <w:rtl w:val="true"/>
          <w:lang w:bidi="ar-SA"/>
        </w:rPr>
        <w:t>الكتاب المجيد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إنِّي فَاعِلٌ ذَلِكَ غَداً إلَّاأنْ يَشَاءَ اللَّه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14503_373438147"/>
      <w:bookmarkStart w:id="26" w:name="_Toc9"/>
      <w:bookmarkEnd w:id="25"/>
      <w:r>
        <w:rPr/>
        <w:t>4</w:t>
      </w:r>
      <w:r>
        <w:rPr>
          <w:rtl w:val="true"/>
        </w:rPr>
        <w:t xml:space="preserve">- </w:t>
      </w:r>
      <w:r>
        <w:rPr>
          <w:rtl w:val="true"/>
        </w:rPr>
        <w:t>التوحيد في العبادة؛</w:t>
      </w:r>
      <w:bookmarkEnd w:id="26"/>
    </w:p>
    <w:p>
      <w:pPr>
        <w:pStyle w:val="BookText"/>
        <w:rPr/>
      </w:pPr>
      <w:r>
        <w:rPr>
          <w:rFonts w:ascii="Amiri" w:hAnsi="Amiri" w:eastAsia="Amiri" w:cs="Amiri"/>
          <w:color w:val="111111"/>
          <w:sz w:val="28"/>
          <w:sz w:val="28"/>
          <w:szCs w:val="28"/>
          <w:rtl w:val="true"/>
          <w:lang w:bidi="ar-SA"/>
        </w:rPr>
        <w:t>والمقصود منه الإعتقاد بوجوب التوجّه الكامل للَّه‌عزّوجلّ من قبل الإن‌سان في جميع أعماله الصادرة عنه للَّه‌عزّوجلّ، دون إشراك غيره معه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 القرآن على هذا القسم من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بعثنا في كلّ أمّة رسولًا أن اعبدوا اللَّه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إلّااللَّه ولا نشرك به شيئاً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يعلن الشيعة بل المسلمون جميعاً في كلّ فريضة هذا المبدأ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فليس من منافاة للعبادة أن يسجد المصلي على مثل التربة الحسينيّة؛ وما هو أرض أو مأخوذ منها؛ فإنّه يسجد عليها لا أنّه يسجد لها حتّى يشنع على الشيعة ويُكَفَّرون بدعوى أنّهم يعبدون الحجر، علاوة على أنّ سجودهم ذاك للنصوص الكثيرة الواردة في وجوب السجود على الأرض،</w:t>
      </w:r>
    </w:p>
    <w:p>
      <w:pPr>
        <w:pStyle w:val="BookText"/>
        <w:rPr/>
      </w:pPr>
      <w:r>
        <w:rPr>
          <w:rFonts w:ascii="Amiri" w:hAnsi="Amiri" w:eastAsia="Amiri" w:cs="Amiri"/>
          <w:color w:val="111111"/>
          <w:sz w:val="28"/>
          <w:sz w:val="28"/>
          <w:szCs w:val="28"/>
          <w:rtl w:val="true"/>
          <w:lang w:bidi="ar-SA"/>
        </w:rPr>
        <w:t>وعلى الخصوص ما كان منها من تراب قبر الإمام الحسين عليه السلام، وليس من منافاة للتوحيد في العبادة أن يُصَلّى خلف قبرٍ والقبر في قِبلَة المصلّي؛ فإنّ المصلّي يصلّي إلى القبلة، لا أنَّ قبلته هي القبر؛ والعرف والعقلاء من المسلمين يدركون هذا المعنى، ويعرفون الفرق بين الأمرين، وإلّا للزم أن يكون كلّ من يصلّي في المسجد النبوي خلف القبر والقبر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مصلّياً للقبر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الإماميّة تعتقد وتعمل بكلّ صدق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خلقتُ الجِنَّ والإنس إلّاليعبدون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فهم يعتقدون بأنّ الشرك بمعناه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إتخاذ شريك مع اللَّه في ذاته أو في خلقه أو فيصفاته أو في فعله أو في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مطلقاً، ويستحقّ المتّصف به النارَ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جدّاً أنّ الشيعة الإماميّة مسلمون موحّدون يدينون بكلّ ما جاءت به الشرائع والأديان السماويّة من غير تفريق بينها، فعقيدة التوحيد التي يعتقدها</w:t>
      </w:r>
    </w:p>
    <w:p>
      <w:pPr>
        <w:pStyle w:val="BookText"/>
        <w:rPr/>
      </w:pPr>
      <w:r>
        <w:rPr>
          <w:rFonts w:ascii="Amiri" w:hAnsi="Amiri" w:eastAsia="Amiri" w:cs="Amiri"/>
          <w:color w:val="111111"/>
          <w:sz w:val="28"/>
          <w:sz w:val="28"/>
          <w:szCs w:val="28"/>
          <w:rtl w:val="true"/>
          <w:lang w:bidi="ar-SA"/>
        </w:rPr>
        <w:t>الإمامية هي الرسالة السماويّة الخالدة التي اتّفق كلّ الأنبياء والرسل على تبليغها للناس كافّة، وليس من داعٍ لأن تزعقصيحات من هنا وهناك من زوايا الجهل والحقد على الإسلام لتفرق بين أصحاب الدين الواحد فتُكّفِرَ طائفة كبيرة من المسلمين، بلا موجب لذلك إلّاإرضاء نوايا خبيثة غير معلومة الأصل والجهة، وقانا اللَّه شرور أنفسنا وسيّئات أعمالنا إنّه وليّنا ونعم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وصحبهم المنتجبين المتّبعين لهم بإحسان</w:t>
      </w:r>
      <w:bookmarkStart w:id="27" w:name="pg927_11592"/>
    </w:p>
    <w:p>
      <w:pPr>
        <w:pStyle w:val="Heading2"/>
        <w:numPr>
          <w:ilvl w:val="1"/>
          <w:numId w:val="1"/>
        </w:numPr>
        <w:rPr/>
      </w:pPr>
      <w:bookmarkStart w:id="28" w:name="__RefHeading___Toc614505_373438147"/>
      <w:bookmarkStart w:id="29" w:name="_Toc10"/>
      <w:bookmarkEnd w:id="27"/>
      <w:bookmarkEnd w:id="28"/>
      <w:r>
        <w:rPr>
          <w:rtl w:val="true"/>
        </w:rPr>
        <w:t>الشفاعة</w:t>
      </w:r>
      <w:bookmarkEnd w:id="29"/>
    </w:p>
    <w:p>
      <w:pPr>
        <w:pStyle w:val="Heading3"/>
        <w:numPr>
          <w:ilvl w:val="2"/>
          <w:numId w:val="1"/>
        </w:numPr>
        <w:rPr/>
      </w:pPr>
      <w:bookmarkStart w:id="30" w:name="__RefHeading___Toc614507_37343814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إنَّ الرؤية الواضحة التي يمكن استجلاؤها من خلال مفهوم الشفاعة عند أهل اللغة هي مأخوذة من ضم أمر إلى أمر آخر ليتم به ذلك الشي‌ء، وذلك لأجل تحصيل عفو و سماح، أو الوصول إلى رتبة لم يكن ليصل إليها لولا ذلك، فالمستشفِع فيه نقص من جهةٍ ويريد أن يكمل هذا النقص ويرفع أثره بأن ينضم للكامل فيكمل، ولذا فالشفاعة لا تتم ولا يتحقق أثرها بطلبها ممَّن هو أنقص قدراً ومرتبةً من مرتبة المستشفِع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الواضح أنَّ الشفاعة رحمة يفيضها على عباده عبر وسائط يختارها ويعينها بنفسه، وقد استفيد الأمر بها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لفظ الشفاعة في القرآن الكريم في ثلاثين مورداً تقريباً، وهي فيه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باطلة؛ وذلك لتضمنها معنى الشرك، حيث يكون المطلوب منه الشفاعة ليس ممَّن هو مقبول عند اللَّه عزَّ وجلَّ من قبيل تقرب المشركين بأصنامهم التي هي ليست مقبولة للَّه جملة وتفصيلًا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إلَى اللَّه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 هؤلاء هم الذين عيَّنوا الأصنام الشفعاءَ لأنفسهم، واعتقدوا فيها القدرة على التأثير على اللَّه من جهة أخرى، وكلتا الجهتين باطلتان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ردَّها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وأكثرصراحة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 دُونِهِ وَلِيٌّ وَلَا شفيع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شرعيَّةصحيحة؛ وهي ما كانت بإذن اللَّه، ومن قِبَل أفرادٍ رضي اللَّه عنهم، بل عيَّنهم للشفاعة، لمن</w:t>
      </w:r>
      <w:bookmarkStart w:id="32" w:name="pg927_11596"/>
    </w:p>
    <w:p>
      <w:pPr>
        <w:pStyle w:val="BookText"/>
        <w:rPr/>
      </w:pPr>
      <w:bookmarkEnd w:id="32"/>
      <w:r>
        <w:rPr>
          <w:rFonts w:ascii="Amiri" w:hAnsi="Amiri" w:eastAsia="Amiri" w:cs="Amiri"/>
          <w:color w:val="111111"/>
          <w:sz w:val="28"/>
          <w:sz w:val="28"/>
          <w:szCs w:val="28"/>
          <w:rtl w:val="true"/>
          <w:lang w:bidi="ar-SA"/>
        </w:rPr>
        <w:t>رضي اللَّه الشفاعة فيه وله، فهنا شروط ثلاثة تستفاد من خلال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 الأول وهو اعتبار إذن اللَّه في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هي دالة على الشرط الثاني؛ فإنَّ إذن اللَّه عزَّ وجلَّ لأحدٍ بأن يشفع، فيه بيان لمقام الشفيع والشفاعة بما يفيد رضا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الثالث فهو بمفاد قوله تعالى وَلَا يَشْفَعُونَ إلَّا لِمَنْ ارتَضَى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يكون المشفوع له قابلًا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فالشفاعة مظهر من مظاهر القدرة الإلهيَّة المنبسطة على كل شيى‌ءٍ، وكذلك هي مظهر من مظاهر الرحمة الرحيميَّة المختصة بمن يستحق الشفاعة دون غيره من الكائنات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14509_373438147"/>
      <w:bookmarkStart w:id="34" w:name="_Toc12"/>
      <w:bookmarkEnd w:id="33"/>
      <w:r>
        <w:rPr>
          <w:rtl w:val="true"/>
        </w:rPr>
        <w:t>الأدلة على مشروعيتها</w:t>
      </w:r>
      <w:bookmarkEnd w:id="34"/>
    </w:p>
    <w:p>
      <w:pPr>
        <w:pStyle w:val="BookText"/>
        <w:rPr/>
      </w:pPr>
      <w:r>
        <w:rPr>
          <w:rFonts w:ascii="Amiri" w:hAnsi="Amiri" w:eastAsia="Amiri" w:cs="Amiri"/>
          <w:color w:val="111111"/>
          <w:sz w:val="28"/>
          <w:sz w:val="28"/>
          <w:szCs w:val="28"/>
          <w:rtl w:val="true"/>
          <w:lang w:bidi="ar-SA"/>
        </w:rPr>
        <w:t>ومشروعيَّة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ورد 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تلوناه عليك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دليل علىصدورها وتحققها؛ فضلًا أصل مشروعيتها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الدالَّة على تحقق الشفاعة من الأنبياء بالنبي محمدصلى الله عليه و آله كثيرة، ويكفينا منها حديث</w:t>
      </w:r>
    </w:p>
    <w:p>
      <w:pPr>
        <w:pStyle w:val="BookText"/>
        <w:rPr/>
      </w:pPr>
      <w:r>
        <w:rPr>
          <w:rFonts w:ascii="Amiri" w:hAnsi="Amiri" w:eastAsia="Amiri" w:cs="Amiri"/>
          <w:color w:val="111111"/>
          <w:sz w:val="28"/>
          <w:sz w:val="28"/>
          <w:szCs w:val="28"/>
          <w:rtl w:val="true"/>
          <w:lang w:bidi="ar-SA"/>
        </w:rPr>
        <w:t>الشفاعة الطويل، والمذكور في أكثر الصحاح والمسانيد، ومن تلك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فيصحيحه عن أبي سعيد الخدري عن النبيصلى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أُعطِي كل نبي عطيَّة، فكل نبي تعجلها، وإنِّي أخرتُ عطيتي شفاعة لأمتي، وإنَّ الرجل من أمتي ليشفع لِفِئَام من الناس فيدخلون الجنَّة، وإنَّ الرجل ليشفع لقبيلة، وإنَّ الرجل ليشفع للعصبة، وإنَّ الرجل ليشفع للثلاثة، وللرجلين، وللرجل</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سعيد الخدري يقول إن لم تصدقوني بهذا الحديث فاقرأوا إن شئتم إنَّ اللَّه لا يظلم مثقال ذرَّةٍ وإن تكُ حسنةً يضاعفها ويؤتِ من لدنه أجراً عظيماً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الملائكة وشفع النبيون وشفع المؤمنون</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 يوم القيامة الأنبياء، ثمَّ العلماء، ثمَّ الشهداء</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BookText"/>
        <w:rPr/>
      </w:pPr>
      <w:r>
        <w:rPr>
          <w:rFonts w:ascii="Amiri" w:hAnsi="Amiri" w:eastAsia="Amiri" w:cs="Amiri"/>
          <w:color w:val="111111"/>
          <w:sz w:val="28"/>
          <w:sz w:val="28"/>
          <w:szCs w:val="28"/>
          <w:rtl w:val="true"/>
          <w:lang w:bidi="ar-SA"/>
        </w:rPr>
        <w:t>والرحم، والأمانة، ونبيكم و أهل بيته عليهم السلام</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المسلمون على جواز الشفاعة ممَّن أذن له اللَّه عزَّ وجلَّ في ذلك، وسيرة الأصحاب والتابعين على طلب الشفاعة من النبيصلى الله عليه و آله في حياته وبعد مماته، وحديث عائشة في إشارتها على المسلمين بفتح كوَّة من القبر طلباً للإستسقاء خير شاهد على هذا، وسيرة المسلمين جارية على هذا، وحديث الإمام مالك مع الخليفة المنصور الدوانيقي صريح في هذا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تتوجه له وهو وسيلتك ووسيلة أبيك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السليم يساعد على هذا، فإنَّ الذي يريد بلوغ مقام علمي رفيع يحتاج إلى مقدمات لازمة له، فالشفاعة هي المساعدة على بلوغ الهدف، ولذا فالشفاعة ليست هي الهدف الأخير عند المكلَّف، بل لا بدَّ من وجود قابليتها، الذي ليس عنده اعتقاد أو عمل يؤهله لبلوغ دخول الجنَّة لم تكن الشفاعة لتعينه على ذلك، فالشفاعة متممة للسبب لا أنَّها موجدة 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 في 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سلف الأمَّة وأئمتها وسائر أهل السنَّة والجماعة على إثبات الشفاعة لأهل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فالأحاديث المستفيضة عن النبي في الشفاعة وفيها استشفاع أهل الموقف ليقضي بينهم</w:t>
      </w:r>
      <w:bookmarkStart w:id="35" w:name="pg927_11602"/>
    </w:p>
    <w:p>
      <w:pPr>
        <w:pStyle w:val="BookText"/>
        <w:rPr/>
      </w:pPr>
      <w:bookmarkEnd w:id="35"/>
      <w:r>
        <w:rPr>
          <w:rFonts w:ascii="Amiri" w:hAnsi="Amiri" w:eastAsia="Amiri" w:cs="Amiri"/>
          <w:color w:val="111111"/>
          <w:sz w:val="28"/>
          <w:sz w:val="28"/>
          <w:szCs w:val="28"/>
          <w:rtl w:val="true"/>
          <w:lang w:bidi="ar-SA"/>
        </w:rPr>
        <w:t xml:space="preserve">وفيهم المؤمن والكافر </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فثبوتها ليس موطن خلاف بين المسلمين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14511_373438147"/>
      <w:bookmarkStart w:id="37" w:name="_Toc13"/>
      <w:bookmarkEnd w:id="36"/>
      <w:r>
        <w:rPr>
          <w:rtl w:val="true"/>
        </w:rPr>
        <w:t>من هو الشفيع</w:t>
      </w:r>
      <w:r>
        <w:rPr>
          <w:rtl w:val="true"/>
        </w:rPr>
        <w:t>:</w:t>
      </w:r>
      <w:bookmarkEnd w:id="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السَّموَاتِ لَا تُغْنِي شَفَاعَتُهُم شيئاً إلَّا مِن بَعْدِ أَنْ يَأْذَنَ اللَّهُ لِمَن يشَاءَ وَيَرْضَى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فالآية الأولى تثبت الشفاعة لمن كان له عهد عند اللَّه في ذلك الأمر وهو الشفاعة، والآية الثانية تثبت الشفاعة للملائكة إلا أنَّها مع الإذن لمن شاء منهم، والآية الثالثة تثبتها لخصوص الشهداء بالحق</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14513_373438147"/>
      <w:bookmarkStart w:id="39" w:name="_Toc14"/>
      <w:bookmarkEnd w:id="38"/>
      <w:r>
        <w:rPr>
          <w:rtl w:val="true"/>
        </w:rPr>
        <w:t>من هم المشفوع لهم</w:t>
      </w:r>
      <w:r>
        <w:rPr>
          <w:rtl w:val="true"/>
        </w:rPr>
        <w:t>:</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المسلمون في من يستحق الشفاعة وذلك لاحتلاف الروايات في ذلك، فقد قيل بأنَّها مختصة بأهل</w:t>
      </w:r>
    </w:p>
    <w:p>
      <w:pPr>
        <w:pStyle w:val="BookText"/>
        <w:rPr/>
      </w:pPr>
      <w:r>
        <w:rPr>
          <w:rFonts w:ascii="Amiri" w:hAnsi="Amiri" w:eastAsia="Amiri" w:cs="Amiri"/>
          <w:color w:val="111111"/>
          <w:sz w:val="28"/>
          <w:sz w:val="28"/>
          <w:szCs w:val="28"/>
          <w:rtl w:val="true"/>
          <w:lang w:bidi="ar-SA"/>
        </w:rPr>
        <w:t>الكبائر فقط يوم القيامة، وقيل بأنَّها يمكن أن تنال كل الأمَّة لأنَّها الأمَّة المرحومة، وعلى القول الأول لا تشمل الشفاعة الكفار والمشركين مستدلِّين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فالشفاعة مقام إلهي قد أعطاه اللَّه لمن شاء وارتضى، فليست هي من عند غير اللَّه، وليست هي واقعة ومتحققة بدون إذنه وإرادته، كما أنَّها ليست ممنوعة عمَّن استحقها من عباده، وقبل كل ذلك هي ليست شركاً لغير اللَّه مع اللَّه، والوجه في هذا واضح؛ إذ أنَّ شفاعة الشفيع التي نعتقد بجوازها إنَّما هي بإذن اللَّه وفي طول إرادته تعالى، فكيف يدَّعى وقوع الشرك باللَّه معه تعالى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رزقنا اللَّه شفاعة نبيِّهصلوات اللَّه عليه وعلى آله وشفاعة أهل بيته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وصلى اللَّه على محمد وآل محمد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وصحبهم التابعين لهم بإحسان</w:t>
      </w:r>
      <w:bookmarkStart w:id="40" w:name="pg927_11607"/>
    </w:p>
    <w:p>
      <w:pPr>
        <w:pStyle w:val="Heading2"/>
        <w:numPr>
          <w:ilvl w:val="1"/>
          <w:numId w:val="1"/>
        </w:numPr>
        <w:rPr/>
      </w:pPr>
      <w:bookmarkStart w:id="41" w:name="__RefHeading___Toc614515_373438147"/>
      <w:bookmarkStart w:id="42" w:name="_Toc15"/>
      <w:bookmarkEnd w:id="40"/>
      <w:bookmarkEnd w:id="41"/>
      <w:r>
        <w:rPr>
          <w:rtl w:val="true"/>
        </w:rPr>
        <w:t>التبرُّك</w:t>
      </w:r>
      <w:bookmarkEnd w:id="42"/>
    </w:p>
    <w:p>
      <w:pPr>
        <w:pStyle w:val="Heading3"/>
        <w:numPr>
          <w:ilvl w:val="2"/>
          <w:numId w:val="1"/>
        </w:numPr>
        <w:rPr/>
      </w:pPr>
      <w:bookmarkStart w:id="43" w:name="__RefHeading___Toc614517_373438147"/>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إنَّ ظاهرة التبرك بآثار الأنبياء معروفة حتَّى عند الأمم التي سبقت الإسلام، والتي تتضمن التبرك بثياب أولئك الأنبياء وبقاياهم، ومنها تبرك نبيِّ اللَّه يعقوب بقميص ابنه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اذهَبُوا بِقَمِيصِي هَذَا فَأَلقُوهُ عَلَى وَجْه أَبِي يَأْتِ بَصِيراً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وببركة قميص نبي الله يوسف ارتدَّ إلى أبيه بصره بعد أن فقده على أثر غياب ولده، ولم تكن قدرة اللَّه عاجزة عن ردِّ بصره إليه بلا توسط لقميص يوسف عليه السلام، ولكن شاءت إرادته تعالى إلا أن يكون ذلك بسبب خاص، وليكون هذا سُنَّةً يقتدى بها، حيث يكشف ذلك عن اختصاص أزمنة وأمكنة وأشخاص مخصوصة بمقاماتٍ عند اللَّه تعالى ليست لغيرها، فمنها بركة</w:t>
      </w:r>
    </w:p>
    <w:p>
      <w:pPr>
        <w:pStyle w:val="BookText"/>
        <w:rPr/>
      </w:pPr>
      <w:r>
        <w:rPr>
          <w:rFonts w:ascii="Amiri" w:hAnsi="Amiri" w:eastAsia="Amiri" w:cs="Amiri"/>
          <w:color w:val="111111"/>
          <w:sz w:val="28"/>
          <w:sz w:val="28"/>
          <w:szCs w:val="28"/>
          <w:rtl w:val="true"/>
          <w:lang w:bidi="ar-SA"/>
        </w:rPr>
        <w:t>شفاء المرضى وبركة الشفاعة وبركة القرب من اللَّه تعالى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رجعنا إلى المفهوم المعروف للتبرك لوجدناه لا يحيد قيد أنملة عمَّا كان عليه عند الأمم السالفة، بل هو واقع تاريخي عاشته الأمم المتشرعة بشرائع الأنبياء، فقد عُرِّف التبرك لغةً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والنماء، والتبريك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بالبركة، وفي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فحنَّكه وبرَّك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 له بالبركة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فالتبرك هو طلب البركة بالشي‌ء وعن طريقه، وقد ورد في القرآن ما يراد به هذا المعنى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 بِسَلَام مِنَّا وَبَرَكَاتٍ عَلَيكَ وَعَلَى أُمَمٍ مِمَّن مَعَك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وَمَن حَولَها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رحمة اللَّه وبركاته عليكم أهل البيت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وكذا وردت آيات كثيرة متعلقة ببركة أماكن وأزمنة مخصوصة، كما أنَّه قد وردت آيات تصف القرآن بالبركة؛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bookmarkStart w:id="45" w:name="pg927_11611"/>
    </w:p>
    <w:p>
      <w:pPr>
        <w:pStyle w:val="BookText"/>
        <w:rPr/>
      </w:pPr>
      <w:bookmarkEnd w:id="45"/>
      <w:r>
        <w:rPr>
          <w:rFonts w:ascii="Amiri" w:hAnsi="Amiri" w:eastAsia="Amiri" w:cs="Amiri"/>
          <w:color w:val="111111"/>
          <w:sz w:val="28"/>
          <w:sz w:val="28"/>
          <w:szCs w:val="28"/>
          <w:rtl w:val="true"/>
          <w:lang w:bidi="ar-SA"/>
        </w:rPr>
        <w:t xml:space="preserve">كتابٌ أنزلناه مباركٌ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p>
    <w:p>
      <w:pPr>
        <w:pStyle w:val="Heading3"/>
        <w:numPr>
          <w:ilvl w:val="2"/>
          <w:numId w:val="1"/>
        </w:numPr>
        <w:rPr/>
      </w:pPr>
      <w:bookmarkStart w:id="46" w:name="__RefHeading___Toc614519_373438147"/>
      <w:bookmarkStart w:id="47" w:name="_Toc17"/>
      <w:bookmarkEnd w:id="46"/>
      <w:r>
        <w:rPr>
          <w:rtl w:val="true"/>
        </w:rPr>
        <w:t>ما وصل لنا من السنَّة</w:t>
      </w:r>
      <w:r>
        <w:rPr>
          <w:rtl w:val="true"/>
        </w:rPr>
        <w:t>:</w:t>
      </w:r>
      <w:bookmarkEnd w:id="47"/>
    </w:p>
    <w:p>
      <w:pPr>
        <w:pStyle w:val="BookText"/>
        <w:rPr/>
      </w:pPr>
      <w:r>
        <w:rPr>
          <w:rFonts w:ascii="Amiri" w:hAnsi="Amiri" w:eastAsia="Amiri" w:cs="Amiri"/>
          <w:color w:val="111111"/>
          <w:sz w:val="28"/>
          <w:sz w:val="28"/>
          <w:szCs w:val="28"/>
          <w:rtl w:val="true"/>
          <w:lang w:bidi="ar-SA"/>
        </w:rPr>
        <w:t>فقد ذكر في البخاري أنَّ ابن عمر قبَّل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يستلمه ويقبله</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جرت سيرة الصحابة على التبرك بالنبي صلى الله عليه و آله في حياته 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حياتهصلى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مستفيض جداً، ونذكر منه ما أورده مسلم فيصحيحه من أنَّ رسول اللَّه كان يؤتى له بالصبيان فيبرِّك عليهم ويحنكهم </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يولد لأحد مولود إلا أُتي به النبي فدعا له </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جاءصلى الله عليه و آله إلى السوق فوجد زهيراً قائماً فضمه إلىصدره فأحس زهير أنَّه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أمسح ظهري فيصدره رجاء حصول البركة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والحلَّاق يحلقه</w:t>
      </w:r>
      <w:bookmarkStart w:id="48" w:name="pg927_11613"/>
    </w:p>
    <w:p>
      <w:pPr>
        <w:pStyle w:val="BookText"/>
        <w:rPr/>
      </w:pPr>
      <w:bookmarkEnd w:id="48"/>
      <w:r>
        <w:rPr>
          <w:rFonts w:ascii="Amiri" w:hAnsi="Amiri" w:eastAsia="Amiri" w:cs="Amiri"/>
          <w:color w:val="111111"/>
          <w:sz w:val="28"/>
          <w:sz w:val="28"/>
          <w:szCs w:val="28"/>
          <w:rtl w:val="true"/>
          <w:lang w:bidi="ar-SA"/>
        </w:rPr>
        <w:t>وقد أطاف به أصحابه ما يريدون أن تقع شعرة إلا في يد رجل</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النبيصلى الله عليه و آله بقدح فيه ماء، فغسل يديه ووجهه ومجَّ فيه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اشربا منه وأفرغا على وجوهكما ونحوركما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ذلك إيجاد البركة فيه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كانوا يتبركون بِعَرَقِه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وبماء وضوءه، بل كانوا يقتتلون على وضوءه </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جرى هذا منهم بمرأى ومسمع من النبيصلى الله عليه و آله ولم ينكر عليهم أو يمنعهم عنه، فهوصريح في الجواز، بل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w:t>
      </w:r>
    </w:p>
    <w:p>
      <w:pPr>
        <w:pStyle w:val="Heading3"/>
        <w:numPr>
          <w:ilvl w:val="2"/>
          <w:numId w:val="1"/>
        </w:numPr>
        <w:rPr/>
      </w:pPr>
      <w:bookmarkStart w:id="49" w:name="__RefHeading___Toc614521_373438147"/>
      <w:bookmarkStart w:id="50" w:name="_Toc18"/>
      <w:bookmarkEnd w:id="49"/>
      <w:r>
        <w:rPr>
          <w:rtl w:val="true"/>
        </w:rPr>
        <w:t xml:space="preserve">تبركهم بالنبي </w:t>
      </w:r>
      <w:r>
        <w:rPr>
          <w:rtl w:val="true"/>
        </w:rPr>
        <w:t>(</w:t>
      </w:r>
      <w:r>
        <w:rPr>
          <w:rtl w:val="true"/>
        </w:rPr>
        <w:t>ص</w:t>
      </w:r>
      <w:r>
        <w:rPr>
          <w:rtl w:val="true"/>
        </w:rPr>
        <w:t xml:space="preserve">) </w:t>
      </w:r>
      <w:r>
        <w:rPr>
          <w:rtl w:val="true"/>
        </w:rPr>
        <w:t>وآثاره بعد وفاته</w:t>
      </w:r>
      <w:r>
        <w:rPr>
          <w:rtl w:val="true"/>
        </w:rPr>
        <w:t>:</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لنا الكثير عما كان يصدر عن الصحابة والتابعين من ذلك، فقد أفرد البخاري باباً في ما ذكر من درع النبي وعصاه وسيفه وقدحه وخاتمه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شعره ونعله وآنيته ممَّا تبرك أصحابه وغيرهم به بعد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أصاب الإنسان عين أو شي‌ءٌ بعث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مخضبه فاطَّلعتُ في الحجل فرأيتُ شعرات حمر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حنوط أنس بن مالكصرَّة مسك وشعر من شعر رسول اللَّه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حضرت عمر بن عبد العزيز الوفاة دعا بشعر من شعر النبي وأظفار من أظفاره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فخذوا الشعر والأظفار ثمَّ اجعلوه في كفني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تكون عندي شعرة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الدنيا وما فيها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روي لنا تبركهم بقدحه الذي كان يشرب فيه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وبمواضع يده وفمه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نظائرها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تبركهم بقبر النبي صلى الله عليه و آله فهو من الأمور المتواترة</w:t>
      </w:r>
    </w:p>
    <w:p>
      <w:pPr>
        <w:pStyle w:val="BookText"/>
        <w:rPr/>
      </w:pPr>
      <w:r>
        <w:rPr>
          <w:rFonts w:ascii="Amiri" w:hAnsi="Amiri" w:eastAsia="Amiri" w:cs="Amiri"/>
          <w:color w:val="111111"/>
          <w:sz w:val="28"/>
          <w:sz w:val="28"/>
          <w:szCs w:val="28"/>
          <w:rtl w:val="true"/>
          <w:lang w:bidi="ar-SA"/>
        </w:rPr>
        <w:t xml:space="preserve">وقد دأب المسلمون بكافة طوائفهم على ذلك إلى يومنا هذا، ولا يقدح شذوذ شرذمة من الناس كابن تيميَّة الحراني، بعد أن رُوِي لنا بالاستفاضة إن لم يكن بالتواتر تبرُّك الصحابة والتابعين بقبره الشريف، كأبي أيوب الأنصاري </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عمر وبلال </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ابن قدامة الحنبلي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الدفن في المقبرة التي يكثر فيها الصالحون والشهداء لتناله بركتهم، وكذلك في البقاع الشريفة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 بن عبداللَّه يتحرى أماكن من الطريق فيصلي فيها ويحدث أنَّ أباه كان يصلي فيها وأنَّه رأى النبي يصلي في تلك الأمكنة، وحدَّثني نافع عن ابن عمر أنَّه كان يصلي في تلك الأمكنة</w:t>
      </w:r>
      <w:r>
        <w:rPr>
          <w:rFonts w:eastAsia="Amiri" w:cs="Amiri" w:ascii="Amiri" w:hAnsi="Amiri"/>
          <w:color w:val="111111"/>
          <w:sz w:val="28"/>
          <w:szCs w:val="28"/>
          <w:rtl w:val="true"/>
          <w:lang w:bidi="ar-SA"/>
        </w:rPr>
        <w:t>»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منصنيع عمر استحباب تتبع آثار النبي صلى الله عليه و آله والتبرك بها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وهكذاصنيع أم سليم في طلبها من النبي صلى الله عليه و آله الصلاةَ في بيتها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51" w:name="pg927_11619"/>
    </w:p>
    <w:p>
      <w:pPr>
        <w:pStyle w:val="Heading3"/>
        <w:numPr>
          <w:ilvl w:val="2"/>
          <w:numId w:val="1"/>
        </w:numPr>
        <w:rPr/>
      </w:pPr>
      <w:bookmarkStart w:id="52" w:name="__RefHeading___Toc614523_373438147"/>
      <w:bookmarkStart w:id="53" w:name="_Toc19"/>
      <w:bookmarkEnd w:id="51"/>
      <w:bookmarkEnd w:id="52"/>
      <w:r>
        <w:rPr>
          <w:rtl w:val="true"/>
        </w:rPr>
        <w:t>التبرك بالصحابة والتابعين</w:t>
      </w:r>
      <w:r>
        <w:rPr>
          <w:rtl w:val="true"/>
        </w:rPr>
        <w:t>:</w:t>
      </w:r>
      <w:bookmarkEnd w:id="53"/>
    </w:p>
    <w:p>
      <w:pPr>
        <w:pStyle w:val="BookText"/>
        <w:rPr/>
      </w:pPr>
      <w:r>
        <w:rPr>
          <w:rFonts w:ascii="Amiri" w:hAnsi="Amiri" w:eastAsia="Amiri" w:cs="Amiri"/>
          <w:color w:val="111111"/>
          <w:sz w:val="28"/>
          <w:sz w:val="28"/>
          <w:szCs w:val="28"/>
          <w:rtl w:val="true"/>
          <w:lang w:bidi="ar-SA"/>
        </w:rPr>
        <w:t>قد ذهب الكثير من علماء المسلمين إلى جواز ذلك؛ بل بكل أهل الخير والصلاح، ومنعه آخرون؛ فقالوا بأنَّ ما ورد من التبرك بالنبي وبشعره وظفره ومكانه هو خاص به دون غيره، كما لم يرد عن الصحابة تبركهم ببعضهم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الغريبصدور هذا عنهم، فقد وردت الشواهد الصحيحة على ذلك، وقال به مثل الإمام النووي وقد استند لرواياتصحيحة في استسقاء عمر بالعباس حين أصابهم القحط؛ فراجع كلامه</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قد استدل ابن حجر برواية استسقاء عمر بالعباس على جواز التبرك والاستشفاع ببعض الأخيار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التبرك مبغوضاً ومحرماً لكان على النبي أن ينهى عنه، وذلك لحديث عمرو بن العاص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قبلي إلا كان حقاً عليه أن يدل أمَّته على خير ما يعلمه صلاحاً لهم، وينذرهم شرَّ ما يعلمه لهم</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فالتبرك بالصالحين والشهداء أحياءاً وأمواتاً بقبورهم وآثارهم أمر مشهور بين المتشرعة من المسلمين، والمنع عنه من بعضٍ مستشهداً على أنَّه من الشرك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مغالطة واضحة، إذ أنَّ عمل المسلمين ليس من التوجه بالعبادة لتلك الأشياء، وهذا ممَّا يفهمه كل عاقل مسلم متوجه للَّه بالعبادة، فلا موجب للمنع عن ذلك، وها هم المسلمون يعيشون بركة هذه المشاهد والقبور للأئمة وللصالحين والشهداء ممَّنصحبوا النبي أو من التابعين فضلًا عن أهل بيت نبيه المطهرينصلوات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زيارتهم والتبرك بمقاماتهم ومشاهدهم هو بمثابة تجديد للعهد الذي كانوا عليه، ومعاهدة للنفس على أن تسير على ذلك المنهاج الذي أسَّسه النبي الأكرم صلى الله عليه و آله، وسار الصحابة والتابعون عليه من الالتزام بحبل اللَّه والدعوة إلى دينه مهما كلَّف الأمر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قبر بلال الحبشي في دمشق يزار ويتبرك به وتستجاب عنده الدعوة، وكذا قبر أبي أيوب الأنصاري </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من مستثنيات حمل تراب المدينة ماصح من جواز حمل شي‌ءٍ من تراب قبر حمزة لإطباق الناس على نقله للتداوي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وأظهر المشاهد التي يتبرك بها المسلمون مشهد الإمام الحسين عليه السلام ومشاهد أئمة البقيع عليهم السلام وبقيَّة أئمة أهل البيت عليهم السلام، فقد ظهرت للجميع آثار عجيبة ملأت الخافقين من استجابة الدعاء وظهور البركة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الاجتماعات المتكررة عند قبر النبيصلى الله عليه و آله وقبور أهل البقيع وشهداء أحد، وزوجات النبي وعمَّاته وبقيَّة السلف الصالح عنوانَ وفاءٍ وصدقٍ وإخلاصٍ في الرغبة في الاجتماع على مائدة الإسلام البريئة عن التلوث بالتكفير والحكم بالشرك على المسلمين، وتبديع أعمالهم وعقائدهم، وقانا اللَّه شرَّ ذلك إنَّه عليم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وصحبهم التابعين لهم بإحسان</w:t>
      </w:r>
      <w:bookmarkStart w:id="54" w:name="pg927_11627"/>
    </w:p>
    <w:p>
      <w:pPr>
        <w:pStyle w:val="Heading2"/>
        <w:numPr>
          <w:ilvl w:val="1"/>
          <w:numId w:val="1"/>
        </w:numPr>
        <w:rPr/>
      </w:pPr>
      <w:bookmarkStart w:id="55" w:name="__RefHeading___Toc614525_373438147"/>
      <w:bookmarkStart w:id="56" w:name="_Toc20"/>
      <w:bookmarkEnd w:id="54"/>
      <w:bookmarkEnd w:id="55"/>
      <w:r>
        <w:rPr>
          <w:rtl w:val="true"/>
        </w:rPr>
        <w:t>البكاء على الميت</w:t>
      </w:r>
      <w:bookmarkEnd w:id="56"/>
    </w:p>
    <w:p>
      <w:pPr>
        <w:pStyle w:val="Heading3"/>
        <w:numPr>
          <w:ilvl w:val="2"/>
          <w:numId w:val="1"/>
        </w:numPr>
        <w:rPr/>
      </w:pPr>
      <w:bookmarkStart w:id="57" w:name="__RefHeading___Toc614527_373438147"/>
      <w:bookmarkStart w:id="58" w:name="_Toc21"/>
      <w:bookmarkEnd w:id="57"/>
      <w:r>
        <w:rPr>
          <w:rtl w:val="true"/>
        </w:rPr>
        <w:t>اشارة</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تُثَار بين الفَيْنَةِ والأخرى من قبل بعض المسلمين مسألة البكاء على الميت، معترضين عليها بأنَّها نحو من الجزع المذموم شرعاً، أو أنَّ فيها سوء ظنٍّ باللَّه عزَّ وجلَّ، أو أنَّ الخليفة عمر بن الخطاب قد نهى عنه، ولكنَّ الحق عدم ثبوت شي‌ء من هذه الأمور أمام الدليل العقلي القاطع، والحديث الصحيح من السنَّة الشريفة، والتاريخ الواصل إلينا عن الأثبات، وسوف نذكر في هذه الوريقات بعض ما وصل إلينا ممَّا روي عن البكاء من فعل النبيصلى الله عليه و آله، أو فعل أصحابه، أو فعل سائر المسلمين، كما سنذكر ما ورد من الترخيص في البكاء من قبل النبيصلى الله عليه و آله، بل ما ورد من نهيه عمن منع النساء عن البكاء، وغيرها من الروايات</w:t>
      </w:r>
      <w:r>
        <w:rPr>
          <w:rFonts w:eastAsia="Amiri" w:cs="Amiri" w:ascii="Amiri" w:hAnsi="Amiri"/>
          <w:color w:val="111111"/>
          <w:sz w:val="28"/>
          <w:szCs w:val="28"/>
          <w:rtl w:val="true"/>
          <w:lang w:bidi="ar-SA"/>
        </w:rPr>
        <w:t>:</w:t>
      </w:r>
      <w:bookmarkStart w:id="59" w:name="pg927_11629"/>
    </w:p>
    <w:p>
      <w:pPr>
        <w:pStyle w:val="Heading3"/>
        <w:numPr>
          <w:ilvl w:val="2"/>
          <w:numId w:val="1"/>
        </w:numPr>
        <w:rPr/>
      </w:pPr>
      <w:bookmarkStart w:id="60" w:name="__RefHeading___Toc614529_373438147"/>
      <w:bookmarkStart w:id="61" w:name="_Toc22"/>
      <w:bookmarkEnd w:id="59"/>
      <w:bookmarkEnd w:id="60"/>
      <w:r>
        <w:rPr>
          <w:rtl w:val="true"/>
        </w:rPr>
        <w:t>ما يتعلق ببكاء النبي</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الأدلة على شرعيَّة البكاء فعل النبي وسيرته مع من يموت من أهله وأصحابه؛ فقد دلَّت الروايات على بكائه على ابنه ابراهيم </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ابنته زينب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زيد وجعفر الطيار وابن رواحة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ابن مظعون </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الربيع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كل ذلك قد بكى على أمِّه حين استأذن ربه في زيارتها كما ذكر في الصِّحَاح وغيرها </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ووسألتُ ربي الزيارة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وذكرتها فذرفت نفسي فبكيت</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كانصلى الله عليه و آله حينما يسأل عن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يجعلها في قلوب عباده، إنَّما يرحم من عباده الرحماء</w:t>
      </w:r>
      <w:r>
        <w:rPr>
          <w:rFonts w:eastAsia="Amiri" w:cs="Amiri" w:ascii="Amiri" w:hAnsi="Amiri"/>
          <w:color w:val="111111"/>
          <w:sz w:val="28"/>
          <w:szCs w:val="28"/>
          <w:rtl w:val="true"/>
          <w:lang w:bidi="ar-SA"/>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ماورد من تحريض النبي صلى الله عليه و آله وحثه الناس</w:t>
      </w:r>
    </w:p>
    <w:p>
      <w:pPr>
        <w:pStyle w:val="BookText"/>
        <w:rPr/>
      </w:pPr>
      <w:r>
        <w:rPr>
          <w:rFonts w:ascii="Amiri" w:hAnsi="Amiri" w:eastAsia="Amiri" w:cs="Amiri"/>
          <w:color w:val="111111"/>
          <w:sz w:val="28"/>
          <w:sz w:val="28"/>
          <w:szCs w:val="28"/>
          <w:rtl w:val="true"/>
          <w:lang w:bidi="ar-SA"/>
        </w:rPr>
        <w:t>بالبكاء، ومنه حثه صلى الله عليه و آله النساء في البكاء على عمه حمزة، فلما رجع من غزوة أحد ورأى النساء يبكين قتلاهن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حمزة فلا بواكي له</w:t>
      </w:r>
      <w:r>
        <w:rPr>
          <w:rFonts w:eastAsia="Amiri" w:cs="Amiri" w:ascii="Amiri" w:hAnsi="Amiri"/>
          <w:color w:val="111111"/>
          <w:sz w:val="28"/>
          <w:szCs w:val="28"/>
          <w:rtl w:val="true"/>
          <w:lang w:bidi="ar-SA"/>
        </w:rPr>
        <w:t>»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قال في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جعفر فتبك البواكي</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الترخيص فيه من قِبَلِهصلى الله عليه و آله؛ فقد قال ابن مسعود وثابت ابن زيد وقرظة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لنا في البكاء </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صلى الله عليه و آله لنساءٍ يبكين وقد نهرهنَّ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 يبكين وإيَّاكن ونعيق الشيطان</w:t>
      </w:r>
      <w:r>
        <w:rPr>
          <w:rFonts w:eastAsia="Amiri" w:cs="Amiri" w:ascii="Amiri" w:hAnsi="Amiri"/>
          <w:color w:val="111111"/>
          <w:sz w:val="28"/>
          <w:szCs w:val="28"/>
          <w:rtl w:val="true"/>
          <w:lang w:bidi="ar-SA"/>
        </w:rPr>
        <w:t>..»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 رواه أبو هريرة؛ قال خرج النبي على جنازة ومعه عمر، فسمع نساءاً يبكين، فزبرهن عمر، فقال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دعهن؛ فإنَّ العين دامعة والنفس مصابة والعهد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وهذاصحيح على شرط الشيخين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روي من أنَّهصلى الله عليه و آله سمع جابراً وبنت عمر يبكيان على أبي جابر ولم ينههما عن ذلك </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مذموماً في</w:t>
      </w:r>
      <w:bookmarkStart w:id="62" w:name="pg927_11633"/>
    </w:p>
    <w:p>
      <w:pPr>
        <w:pStyle w:val="BookText"/>
        <w:rPr/>
      </w:pPr>
      <w:bookmarkEnd w:id="62"/>
      <w:r>
        <w:rPr>
          <w:rFonts w:ascii="Amiri" w:hAnsi="Amiri" w:eastAsia="Amiri" w:cs="Amiri"/>
          <w:color w:val="111111"/>
          <w:sz w:val="28"/>
          <w:sz w:val="28"/>
          <w:szCs w:val="28"/>
          <w:rtl w:val="true"/>
          <w:lang w:bidi="ar-SA"/>
        </w:rPr>
        <w:t>الشريعة لنهى عنه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14531_373438147"/>
      <w:bookmarkStart w:id="64" w:name="_Toc23"/>
      <w:bookmarkEnd w:id="63"/>
      <w:r>
        <w:rPr>
          <w:rtl w:val="true"/>
        </w:rPr>
        <w:t>ما يتعلق ببكاء أهل البيت</w:t>
      </w:r>
      <w:r>
        <w:rPr>
          <w:rtl w:val="true"/>
        </w:rPr>
        <w:t>:</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بكى أمير المؤمنين علي بن أبي طالب عليه السلام على النبيصلى الله عليه و آله بعد وفاته، وعلى فاطمة الزهراء عليها السلام بعد موتها </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وعلى‌ولده الحسين عليه السلام </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عمَّار بن ياسر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محمد ابن أبي بكر </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مالك الأشتر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هاشم بن عتبة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الروايات المفيدة لبكاء السيدة الزهراء عليها السلام على أبيهاصلى الله عليه و آله </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شهداء أُحُد </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عمها جعفر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الحسن وأهل الكوفة أباالحسن بعد أن استُشهِد على يد ابن ملجم اللعين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وبكى محمد بن الحنفيَّة</w:t>
      </w:r>
      <w:bookmarkStart w:id="65" w:name="pg927_11635"/>
    </w:p>
    <w:p>
      <w:pPr>
        <w:pStyle w:val="BookText"/>
        <w:rPr/>
      </w:pPr>
      <w:bookmarkEnd w:id="65"/>
      <w:r>
        <w:rPr>
          <w:rFonts w:ascii="IRNazanin" w:hAnsi="IRNazanin" w:eastAsia="IRNazanin"/>
          <w:color w:val="111111"/>
          <w:sz w:val="28"/>
          <w:sz w:val="28"/>
          <w:szCs w:val="28"/>
          <w:rtl w:val="true"/>
          <w:lang w:bidi="fa-IR"/>
        </w:rPr>
        <w:t xml:space="preserve">أخاه الحسن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الحسين أخاه الحسن وأمَّه فاطمة وأباه أمير المؤمنين؛ كما ذكرت ذلك كتب التاريخ، وبكى ابنه عليَّاً الأكبر </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وأخاه العباس </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عمِّه مسلم بن عقيل </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وطفله الرضيع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وقيس بن مسهر الصيداوي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علي بن الحسين أباه الحسين طوال عمره </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لاموه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فإنَّ يعقوب فقد سبطاً من ولده فبكى حتى ابيضت عيناه ولم يعلم أنَّه مات، ونظرت إلى أربعة عشر رجلًا من أهل بيتي ذبحوا في غداةٍ واحدة؛ فترون حزنهم يذهب من قلبي‌أبداً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614533_373438147"/>
      <w:bookmarkStart w:id="67" w:name="_Toc24"/>
      <w:bookmarkEnd w:id="66"/>
      <w:r>
        <w:rPr>
          <w:rtl w:val="true"/>
        </w:rPr>
        <w:t>ما يتعلق ببكاء الصحابة على النبي</w:t>
      </w:r>
      <w:r>
        <w:rPr>
          <w:rtl w:val="true"/>
        </w:rPr>
        <w:t>:</w:t>
      </w:r>
      <w:bookmarkEnd w:id="67"/>
    </w:p>
    <w:p>
      <w:pPr>
        <w:pStyle w:val="BookText"/>
        <w:rPr/>
      </w:pPr>
      <w:r>
        <w:rPr>
          <w:rFonts w:ascii="Amiri" w:hAnsi="Amiri" w:eastAsia="Amiri" w:cs="Amiri"/>
          <w:color w:val="111111"/>
          <w:sz w:val="28"/>
          <w:sz w:val="28"/>
          <w:szCs w:val="28"/>
          <w:rtl w:val="true"/>
          <w:lang w:bidi="ar-SA"/>
        </w:rPr>
        <w:t>من المعلوم لدى كل مطلع على التاريخ النبوي أنَّ اليوم الذي فارقت روح النبيصلى الله عليه و آله الدنيا كان أعظم يومٍ على المسلمين، فقد ضجَّت المدينة بالبكاء والنحيب ولم تهدأ لهم عبرة، قال ابن أعثم في كتابه الفتوح عند ذكر سقيفة بني ساعدة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اجتمعوا وبكوا على فقد رسول اللَّه، فقال لهم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دمتم على هذا الحال فهو واللَّهِ الهلاك والبَوَار</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ذؤيب الهذلي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المدينة ولأهلها ضجيج بالبكاء كضجيج الحجيج أهلوا بالإحرام،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رسول اللَّه</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روي بكاء أبي بكر على النبي صلى الله عليه و آله لمَّا علم بموته جاء فانكب عليه فقبَّله وبكى</w:t>
      </w:r>
      <w:r>
        <w:rPr>
          <w:rFonts w:eastAsia="Amiri" w:cs="Amiri" w:ascii="Amiri" w:hAnsi="Amiri"/>
          <w:color w:val="111111"/>
          <w:sz w:val="28"/>
          <w:szCs w:val="28"/>
          <w:rtl w:val="true"/>
          <w:lang w:bidi="ar-SA"/>
        </w:rPr>
        <w:t>...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بكى عليه عمر بن الخطاب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جذع تخطب الناس عليه، فلما كثروا واتخذت منبراً لتسمعهم حنَّ الجذع لفراقك حتى جعلت يدك عليه لتسكن، فأمَّتك أولى بالحنين عليك حين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وشاهدصدق هذا الخبر ما رواه أرباب الصِّحَاح والسُّنَن من حنين الجذع وضمِّ النبي صلى الله عليه و آله له</w:t>
      </w:r>
      <w:r>
        <w:rPr>
          <w:rFonts w:eastAsia="Amiri" w:cs="Amiri" w:ascii="Amiri" w:hAnsi="Amiri"/>
          <w:color w:val="111111"/>
          <w:sz w:val="28"/>
          <w:szCs w:val="28"/>
          <w:rtl w:val="true"/>
          <w:lang w:bidi="ar-SA"/>
        </w:rPr>
        <w:t>.</w:t>
      </w:r>
      <w:bookmarkStart w:id="68" w:name="pg927_11639"/>
    </w:p>
    <w:p>
      <w:pPr>
        <w:pStyle w:val="BookText"/>
        <w:rPr/>
      </w:pPr>
      <w:bookmarkEnd w:id="68"/>
      <w:r>
        <w:rPr>
          <w:rFonts w:ascii="Amiri" w:hAnsi="Amiri" w:eastAsia="Amiri" w:cs="Amiri"/>
          <w:color w:val="111111"/>
          <w:sz w:val="28"/>
          <w:sz w:val="28"/>
          <w:szCs w:val="28"/>
          <w:rtl w:val="true"/>
          <w:lang w:bidi="ar-SA"/>
        </w:rPr>
        <w:t xml:space="preserve">وقد روي بكاء بلال الحبشي عند قبر النبي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وبكت أم سلمة عليه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14535_373438147"/>
      <w:bookmarkStart w:id="70" w:name="_Toc25"/>
      <w:bookmarkEnd w:id="69"/>
      <w:r>
        <w:rPr>
          <w:rtl w:val="true"/>
        </w:rPr>
        <w:t>وأمَّا بكاء الأصحاب على بعضهم</w:t>
      </w:r>
      <w:r>
        <w:rPr>
          <w:rtl w:val="true"/>
        </w:rPr>
        <w:t>:</w:t>
      </w:r>
      <w:bookmarkEnd w:id="7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نماذج ذلك ما ورد من بكاء أبي هريرة للإمام الحسن عليه السلام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وبكاء سعيد بن العاص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وأمَّا الإمام الحسين عليه السلام فقد بكاه الرسول محمدصلى الله عليه و آله في حياته </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الصحابة جميعاً، ونذكر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بكاء أنس بن مالك حينما رأى رأس الحسين يقرعه يزيد بالقضيب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وبكاه زيد بن أرقم في مجلس ابن زياد </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وبكاه الحسن البصري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 أمَّةٍ قتلت ابن بنت نبيها</w:t>
      </w:r>
      <w:r>
        <w:rPr>
          <w:rFonts w:eastAsia="Amiri" w:cs="Amiri" w:ascii="Amiri" w:hAnsi="Amiri"/>
          <w:color w:val="111111"/>
          <w:sz w:val="28"/>
          <w:szCs w:val="28"/>
          <w:rtl w:val="true"/>
          <w:lang w:bidi="ar-SA"/>
        </w:rPr>
        <w:t>..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وبكته</w:t>
      </w:r>
    </w:p>
    <w:p>
      <w:pPr>
        <w:pStyle w:val="BookText"/>
        <w:rPr/>
      </w:pPr>
      <w:r>
        <w:rPr>
          <w:rFonts w:ascii="Amiri" w:hAnsi="Amiri" w:eastAsia="Amiri" w:cs="Amiri"/>
          <w:color w:val="111111"/>
          <w:sz w:val="28"/>
          <w:sz w:val="28"/>
          <w:szCs w:val="28"/>
          <w:rtl w:val="true"/>
          <w:lang w:bidi="ar-SA"/>
        </w:rPr>
        <w:t>أم سلمة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قد فعلوها ملاء اللَّهُ بيوتهم ناراً، ثمَّ بَكَتْ حتى غُشِي عليها</w:t>
      </w:r>
      <w:r>
        <w:rPr>
          <w:rFonts w:eastAsia="Amiri" w:cs="Amiri" w:ascii="Amiri" w:hAnsi="Amiri"/>
          <w:color w:val="111111"/>
          <w:sz w:val="28"/>
          <w:szCs w:val="28"/>
          <w:rtl w:val="true"/>
          <w:lang w:bidi="ar-SA"/>
        </w:rPr>
        <w:t>»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وبكته 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والسيدة أم كلثوم والسيدة زينب بنت عقيل، وبكته أم‌البنين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ورد في بعض الروايات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عبد الله ابن مسعود على عمر بن الخطاب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وبكاء عمر بن الخطاب على النعمان بن مقرن </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وبكاء عبد الله بن رواحة على حمزة </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قد رثى الشاعرُ حسَّانُ بن ثابت خُبَيْب بن عدي وبكى عليه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رثى قتلى بر معونة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وبكت صفيَّة عمَّة النبي أخاها حمزة بكاءاً شديداً حتى كان رسول الله يبكي إذا</w:t>
      </w:r>
    </w:p>
    <w:p>
      <w:pPr>
        <w:pStyle w:val="BookText"/>
        <w:rPr/>
      </w:pPr>
      <w:r>
        <w:rPr>
          <w:rFonts w:ascii="Amiri" w:hAnsi="Amiri" w:eastAsia="Amiri" w:cs="Amiri"/>
          <w:color w:val="111111"/>
          <w:sz w:val="28"/>
          <w:sz w:val="28"/>
          <w:szCs w:val="28"/>
          <w:rtl w:val="true"/>
          <w:lang w:bidi="ar-SA"/>
        </w:rPr>
        <w:t xml:space="preserve">بكت وينشج إذا نشجت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شبهة المنع عن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قبول أنَّ هذه الروايةصدرت عن النبيصلى الله عليه و آله فهو إنَّما كان لموت يهودي، والحديث رواه كلٌّ من البخاري ومسلم بسندهما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عائشة قول ابن عمر الميت يعذب ببكاء أهله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عبدالرحمن سمع شيئاً فلم يحفظه؛ إنَّما مرت على رسول الله جنازة يهودي وهم يبكون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تبكون وإنَّه ليعذب</w:t>
      </w:r>
      <w:r>
        <w:rPr>
          <w:rFonts w:eastAsia="Amiri" w:cs="Amiri" w:ascii="Amiri" w:hAnsi="Amiri"/>
          <w:color w:val="111111"/>
          <w:sz w:val="28"/>
          <w:szCs w:val="28"/>
          <w:rtl w:val="true"/>
          <w:lang w:bidi="ar-SA"/>
        </w:rPr>
        <w:t>»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فالمنع غير متحقق الصدور، ومع تحققه فهو ليس منعاً وإنَّما هو إخبار عن واقع حال خاص باليهود أو بيهودي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 الروايات المانعة تناقض فعل النبي بالبكاء على بعض من ماتوا، وبأمره بالبكاء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النهي من عمر بن الخطاب؛ وهذا لم يصح إلا في روايةصهيب حينما دخل عليه وهو يحتضر وقد</w:t>
      </w:r>
    </w:p>
    <w:p>
      <w:pPr>
        <w:pStyle w:val="BookText"/>
        <w:rPr/>
      </w:pPr>
      <w:r>
        <w:rPr>
          <w:rFonts w:ascii="Amiri" w:hAnsi="Amiri" w:eastAsia="Amiri" w:cs="Amiri"/>
          <w:color w:val="111111"/>
          <w:sz w:val="28"/>
          <w:sz w:val="28"/>
          <w:szCs w:val="28"/>
          <w:rtl w:val="true"/>
          <w:lang w:bidi="ar-SA"/>
        </w:rPr>
        <w:t>أوضحته عائشة بما مرَّ، وفي رواية أخرى مع النبيصلى الله عليه و آله حينما زجر عمرُ النسوة عن البكاء فقال له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دعهن فإنَّ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نقله، وفيه أكبر دلالة على الجواز لا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ينافي بكاء عمر نفسه على النبيصلى الله عليه و آله لما استيقن بموته، وأخاه زيد بن الخطاب، وبكى خالد بن الوليد لما مات، وبكى النعمان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البكاء عنوان إظهار الإعتراض على ما يجريه اللَّه عزَّ وجلَّ على الإنسان في هذه الدنيا، وسوء ظنٍّ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الشبهة ترتفع بفعل النبيصلى الله عليه و آله وفعل أصحابه، وأهل البيت عليهم السلام، هذا مع تصريح النبيصلى الله عليه و آله حين بكى على ولده ابراهيم وعمه حمزة وحين رأى النسوة يبكين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العين دامعة والنفس مصابة والعهد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ويخشع القلب ولا نقول إلا ما يرضي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دلالة واضحة على جواز البكاء في حد ذاته بشرط أن لا يستلزم محرماً وهو إغضاب اللَّهِ عزَّ وجلَّ، فلا ملازمة بين البكاء والإعتراض على إرادة اللَّه، ولا منافاة بينه وبين الصبر المأمور به وإلا لانتفتصفة الصبر عن النبيصلى الله عليه و آله حينصدور البكاء منه، وهذا باطل قطعاً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فالبكاء ظاهرة نفسيَّة طبيعية عند كل إنسان فضلًا عمَّن تدين بالإسلام وتحلى بقواعد الإيمان، فمن يغيب</w:t>
      </w:r>
    </w:p>
    <w:p>
      <w:pPr>
        <w:pStyle w:val="BookText"/>
        <w:rPr/>
      </w:pPr>
      <w:r>
        <w:rPr>
          <w:rFonts w:ascii="Amiri" w:hAnsi="Amiri" w:eastAsia="Amiri" w:cs="Amiri"/>
          <w:color w:val="111111"/>
          <w:sz w:val="28"/>
          <w:sz w:val="28"/>
          <w:szCs w:val="28"/>
          <w:rtl w:val="true"/>
          <w:lang w:bidi="ar-SA"/>
        </w:rPr>
        <w:t>عنه ولده أو أبوه أو عزيز له ويشتاق إليه مع علمه بأنَّه حي يرزق، فإنَّ البكاء لفقده والتحسر على عدم لقائه أمر طبيعي، فكيف لو كان ذلك الفقد بالموت الذي لا رجعة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الرحمة وجعل قلوبنا محلًا لرحمته عزَّ وجلَّ إنَّه جواد كريم،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وصحبه التابعين له بإحسان</w:t>
      </w:r>
      <w:bookmarkStart w:id="71" w:name="pg927_11651"/>
    </w:p>
    <w:p>
      <w:pPr>
        <w:pStyle w:val="Heading2"/>
        <w:numPr>
          <w:ilvl w:val="1"/>
          <w:numId w:val="1"/>
        </w:numPr>
        <w:rPr/>
      </w:pPr>
      <w:bookmarkStart w:id="72" w:name="__RefHeading___Toc614537_373438147"/>
      <w:bookmarkStart w:id="73" w:name="_Toc26"/>
      <w:bookmarkEnd w:id="71"/>
      <w:bookmarkEnd w:id="72"/>
      <w:r>
        <w:rPr>
          <w:rtl w:val="true"/>
        </w:rPr>
        <w:t>زيارة القبور</w:t>
      </w:r>
      <w:bookmarkEnd w:id="73"/>
    </w:p>
    <w:p>
      <w:pPr>
        <w:pStyle w:val="Heading3"/>
        <w:numPr>
          <w:ilvl w:val="2"/>
          <w:numId w:val="1"/>
        </w:numPr>
        <w:rPr/>
      </w:pPr>
      <w:bookmarkStart w:id="74" w:name="__RefHeading___Toc614539_373438147"/>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دليل مشروعيَّة الزيارة وما قالوا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المشروعيَّة فقد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يستفاد منه جواز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نهى اللَّه رسوله عن الصلاة أو القيام على قبر جماعة خاصة، وهم خصوص من كفروا باللَّه وبرسوله، بل ماتوا على فسقهم الذي كانوا عليه، فيُفهَم من الآية أنَّ غير هذا الصنف من الناس كمن يموت على الإيمان؛ ليس من بأس في أن تصلي عليه أو تقوم على قبره، والقيام على القبر</w:t>
      </w:r>
    </w:p>
    <w:p>
      <w:pPr>
        <w:pStyle w:val="BookText"/>
        <w:rPr/>
      </w:pPr>
      <w:r>
        <w:rPr>
          <w:rFonts w:ascii="Amiri" w:hAnsi="Amiri" w:eastAsia="Amiri" w:cs="Amiri"/>
          <w:color w:val="111111"/>
          <w:sz w:val="28"/>
          <w:sz w:val="28"/>
          <w:szCs w:val="28"/>
          <w:rtl w:val="true"/>
          <w:lang w:bidi="ar-SA"/>
        </w:rPr>
        <w:t>كناية عن الوقوف عليه والسلام على ساكنه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فرقٍ بين حال حياته وبعد وفاته، من قريب أو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أحاديث كثيرة قيل بتواترها،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 فإنَّها تزهد في الدنيا وتذكر الآخرة</w:t>
      </w:r>
      <w:r>
        <w:rPr>
          <w:rFonts w:eastAsia="Amiri" w:cs="Amiri" w:ascii="Amiri" w:hAnsi="Amiri"/>
          <w:color w:val="111111"/>
          <w:sz w:val="28"/>
          <w:szCs w:val="28"/>
          <w:rtl w:val="true"/>
          <w:lang w:bidi="ar-SA"/>
        </w:rPr>
        <w:t>» «</w:t>
      </w:r>
      <w:r>
        <w:rPr>
          <w:rStyle w:val="FootnoteAnchor"/>
          <w:rtl w:val="true"/>
        </w:rPr>
        <w:footnoteReference w:id="1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فيها عبرة</w:t>
      </w:r>
      <w:r>
        <w:rPr>
          <w:rFonts w:eastAsia="Amiri" w:cs="Amiri" w:ascii="Amiri" w:hAnsi="Amiri"/>
          <w:color w:val="111111"/>
          <w:sz w:val="28"/>
          <w:szCs w:val="28"/>
          <w:rtl w:val="true"/>
          <w:lang w:bidi="ar-SA"/>
        </w:rPr>
        <w:t>» «</w:t>
      </w:r>
      <w:r>
        <w:rPr>
          <w:rStyle w:val="FootnoteAnchor"/>
          <w:rtl w:val="true"/>
        </w:rPr>
        <w:footnoteReference w:id="1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 النبي قبر أمه فبكى وأبكى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استأذنت ربي في أن أزور قبرها فأذن لي فزوروا القبور فإنَّها تُذكِّرُكم الموت</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في زيارة القبور</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أن آتي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كيف أقول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 «</w:t>
      </w:r>
      <w:r>
        <w:rPr>
          <w:rStyle w:val="FootnoteAnchor"/>
          <w:rtl w:val="true"/>
        </w:rPr>
        <w:footnoteReference w:id="12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قول الرسولصلى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بقيع الغرقد</w:t>
      </w:r>
      <w:r>
        <w:rPr>
          <w:rFonts w:eastAsia="Amiri" w:cs="Amiri" w:ascii="Amiri" w:hAnsi="Amiri"/>
          <w:color w:val="111111"/>
          <w:sz w:val="28"/>
          <w:szCs w:val="28"/>
          <w:rtl w:val="true"/>
          <w:lang w:bidi="ar-SA"/>
        </w:rPr>
        <w:t>»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وهذاصريح فيصدور الزيارة منه صلى الله عليه و آله و سلم لهم والتسليم عليهم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البزَّار والدارقطني بإسنادهما عن ابن عمر قال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ابن حجر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يشمل زيارته حياً وميتاً، ويشمل الذكر والأنثى، والآتي من قرب أو بعد، فيستدل به على فضيلة شد الرحال لذلك وندب السفر، إذ للوسائل حكم المقاصد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أجمع المسلمون قولًا وعملًا على استحباب زيارة قبر النبي صلى الله عليه و آله و سلم بل استحباب زيارة قبور الأنبياء والصالحين وسائر المؤمنين ومشروعيتها ملحقة بالضروريات عند المسلمين، وسيرتهم قائمة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زيارته مشروعة ومطلوبةٌ بالكتاب والسنَّة وإجماع الأمَّة والقياس، 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 دلَّت على حثِّ الأمَّة على المجي‌ء إليه وزيارته وطلب الاستغفار، ولا فرق في ذلك بين حال حياته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 كتابه الجوهر المنظم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السمهودي نقلًا عن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قبرهصلى الله عليه و آله و سلم سُنَّة بين المسلمين، مجمع عليها، وفضيلة مرغوب فيها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العلماء على استحباب زيارة القبور للرجال كما حكاه النووي، بل قال بعض الظاهريَّة بوجوبه،</w:t>
      </w:r>
    </w:p>
    <w:p>
      <w:pPr>
        <w:pStyle w:val="BookText"/>
        <w:rPr/>
      </w:pPr>
      <w:r>
        <w:rPr>
          <w:rFonts w:ascii="Amiri" w:hAnsi="Amiri" w:eastAsia="Amiri" w:cs="Amiri"/>
          <w:color w:val="111111"/>
          <w:sz w:val="28"/>
          <w:sz w:val="28"/>
          <w:szCs w:val="28"/>
          <w:rtl w:val="true"/>
          <w:lang w:bidi="ar-SA"/>
        </w:rPr>
        <w:t>واختلفوا في النساء، وامتاز القبر بالأدلة الخاصة، لهذا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فرق بين الرجال و النساء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وتستحب زيارة القبور، وهو فرض ولو مرَّة، وقدصحَّ عن أمِّ المؤمنين وابن عمر وغيرهما زيارة القبور، وروي عن عمر النهي عن ذلك، ولم يصحَّ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مندوبة للاتعاظ وتذكُّر الآخرة، وتتأكد يوم الجمعة ويوماً قبلها ويوماً بعدها عند الحنفيَّة والمالكيَّة، وخالف الشافعيَّة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الحنابلة بعدم تأكدها في يوم دون يوم، 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تتأكد من عصر يوم الخميس إلى طلوع شمس يوم السبت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زيارة قبر رسول اللَّهصلى الله عليه و آله من أهم القربات وأنجح المساعي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أجود الأخبار إسناداً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76" w:name="pg927_11660"/>
    </w:p>
    <w:p>
      <w:pPr>
        <w:pStyle w:val="BookText"/>
        <w:rPr/>
      </w:pPr>
      <w:bookmarkEnd w:id="76"/>
      <w:r>
        <w:rPr>
          <w:rFonts w:ascii="IRNazanin" w:hAnsi="IRNazanin" w:eastAsia="IRNazanin"/>
          <w:color w:val="111111"/>
          <w:sz w:val="28"/>
          <w:sz w:val="28"/>
          <w:szCs w:val="28"/>
          <w:rtl w:val="true"/>
          <w:lang w:bidi="fa-IR"/>
        </w:rPr>
        <w:t>ومن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العقل يحكم بحسن تعظيم من عظَّمه اللَّه تعالى، ولا شكَّ أنَّ الزيارة نوع تعظيم، وفي تعظيمه تعظيم لشعار الإسلام وإرغام لمنكريه، وقد ثبت رجحان زيارتهصلى الله عليه و آله في حياته فكذلك بعد مماته، خصوصاً بعد الإلتفات إلى حياته البرزخيَّة، والتي دلَّ عليها من الروايات أنَّ ملكاً مُوَكَّلًا بإبلاغ سلام الناس إليه وأنَّه يرد السلام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سائر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أنَّ النبيصلى الله عليه و آله كان يزور أهل البقيع، وشهداء أُحُد، علاوة على ما مرَّ من أمرهصلى الله عليه و آله بزيارة القبور، ونصِّه على الحكمة المتوخاة من الزيارة</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14541_373438147"/>
      <w:bookmarkStart w:id="78" w:name="_Toc28"/>
      <w:bookmarkEnd w:id="77"/>
      <w:r>
        <w:rPr>
          <w:rtl w:val="true"/>
        </w:rPr>
        <w:t>السفر للزيارة</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المعلوم لكل عاقلٍ مستقيم السليقة أنَّ أمر النبيصلى الله عليه و آله الناس بزيارة قبره، وحثهم على ذلك هو أمر بالسفر لزيارته، وذلك لاستلزام الزيارة السفر، إذ ليس كل الناس هو من أهل المدينة، فتجويز الزيارة من البعض أو إيجابها، ومنعهم عن</w:t>
      </w:r>
    </w:p>
    <w:p>
      <w:pPr>
        <w:pStyle w:val="BookText"/>
        <w:rPr/>
      </w:pPr>
      <w:r>
        <w:rPr>
          <w:rFonts w:ascii="Amiri" w:hAnsi="Amiri" w:eastAsia="Amiri" w:cs="Amiri"/>
          <w:color w:val="111111"/>
          <w:sz w:val="28"/>
          <w:sz w:val="28"/>
          <w:szCs w:val="28"/>
          <w:rtl w:val="true"/>
          <w:lang w:bidi="ar-SA"/>
        </w:rPr>
        <w:t xml:space="preserve">السفر لزيارة قبره صلى الله عليه و آله، أوجب اضطراباً في عقولهم فاخترعوا أنَّ السفر وشدَّ الرحال لمسجد النبيصلى الله عليه و آله لا لقبره، ثمَّ بعد وصوله يمر على القبر ويدعو له </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فاستندوا إلى حديث مفاده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إلا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واضح؛ فإنَّ الحصر في هذه المساجد إضافي، فإنَّه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قصدتم السفر إلى مسجد بعيد، فاقصدوا أحد هذه المساجد الثلاثة، ولا يعني ذلك عدم جواز السفر إلى مكانٍ آخر لمقاصد مشروعة، والقرينة على ذلك هي الاتفاق بين المسلمين على السفر لزيارة الأهل وللتجارة ولطلب العلم وللجهاد ولزيارة العلماء والصلحاء وللتداوي، وغير ذلك ممَّا لايحصى كثرة من أغراض الناس، فيجوز على‌هذا زيارة الأنبياء والأئمة والصالحين، لأنَّها ليست مما يتعرض له الحديث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تعميم النهي لكل سفرٍ إلى كل مكان وبكل غرض؛ فإنَّه يلزم المنع عن كل سفر مطلقاً ما عدا السفر لهذه المساجد الثلاثة، وهذا لا يقول به عاقل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المفهوم من الحديث هو إثبات أفضليَّة هذه المساجد على غيرها من المساجد ليس إلا، فإنَّه قد روى البخاري ذهاب النبي إلى قبا كل سبتٍ ماشياً وراكباً،</w:t>
      </w:r>
    </w:p>
    <w:p>
      <w:pPr>
        <w:pStyle w:val="BookText"/>
        <w:rPr/>
      </w:pPr>
      <w:r>
        <w:rPr>
          <w:rFonts w:ascii="Amiri" w:hAnsi="Amiri" w:eastAsia="Amiri" w:cs="Amiri"/>
          <w:color w:val="111111"/>
          <w:sz w:val="28"/>
          <w:sz w:val="28"/>
          <w:szCs w:val="28"/>
          <w:rtl w:val="true"/>
          <w:lang w:bidi="ar-SA"/>
        </w:rPr>
        <w:t xml:space="preserve">وابن عمر كذلك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روي عنه السفر لزيارته بلال بن رباح؛ وذلك في قصة طويلة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استقراره في الشام رأى النبيصلى الله عليه و آله في المنام وهو يعاتبه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الجفوة يا بلال؟ أما آن لك أن تزورني؟ فانتبه وقصد بدابته المدينة فأتى قبر النبيصلى الله عليه و آله فجعل يبكي عنده ويمرغ وجهه عليه فأقبل الحسن والحسين فجعل يضمهما ويقبلهما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التماسهما سماع أذانه أذَّ ن للناس فكان يوماً مشهوداً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وفاء الوفا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الرزاق بإسنادصحيح أنَّ ابن عمر كان إذا قدم من سفر أتى قبر النبيصلى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روي عن أم سلمة أنَّها كانت تخرج لزيارة شهداء أحد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الزيارة دأب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الحاكم في 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يوماً مروان فوجد رجلًا واضعاً وجهه على قبر رسول اللَّه فأخذ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قال نعم، فأقبل عليه فإذا هو أبو أيوب الأنصاري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اللَّهصلى الله عليه و آله ولم آتِ الحجر، سمعتُ رسول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على الدين إذا وليه أهله، ولكن ابكوا عليه إذا</w:t>
      </w:r>
    </w:p>
    <w:p>
      <w:pPr>
        <w:pStyle w:val="BookText"/>
        <w:rPr/>
      </w:pPr>
      <w:r>
        <w:rPr>
          <w:rFonts w:ascii="Amiri" w:hAnsi="Amiri" w:eastAsia="Amiri" w:cs="Amiri"/>
          <w:color w:val="111111"/>
          <w:sz w:val="28"/>
          <w:sz w:val="28"/>
          <w:szCs w:val="28"/>
          <w:rtl w:val="true"/>
          <w:lang w:bidi="ar-SA"/>
        </w:rPr>
        <w:t>وليه غير أهله</w:t>
      </w:r>
      <w:r>
        <w:rPr>
          <w:rFonts w:eastAsia="Amiri" w:cs="Amiri" w:ascii="Amiri" w:hAnsi="Amiri"/>
          <w:color w:val="111111"/>
          <w:sz w:val="28"/>
          <w:szCs w:val="28"/>
          <w:rtl w:val="true"/>
          <w:lang w:bidi="ar-SA"/>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 شك فيه أنَّ الزيارة ليست منحصرة بأهل المدينة بل هي لكل المسلمين، فلا بدَّ من السفر لأجل الزيارة، وهذا مما يوجبه العقل والنقل مقدمة لزيارتهصلى الله عليه و آله وزيارة قبور أهل البقيع وسائر 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الأخوة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نقرأ ما ورد من آيات ونتأمل ما وصل لنا من الأحاديث النبويَّة، وما علمنا من سيرة الأصحاب والتابعين، بل المسلمين قاطبة، من عدم توقفهم عن الزيارة والتوجه للقبر الشريف وقبور أئمة البقيع للزيارة، بعد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من الجفاء للنبيصلى الله عليه و آله وإحداث الخلاف بين المسلمين أن يُمنَع عن الاقتداء بالنبي وبصحبه الكرام وأتباعه الصالحين في زيارتهصلى الله عليه و آله وزيارة أهله وأولاده وسائر المؤمنين ممَّن سبقونا إلى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زيارة قبر النبي وقبور الأئمة والشهداء والصالحين، والسفر بقصد ذلك ما هو إلا تجديد عهدٍ معهم في المضيِّ على ما مضوا عليه والسير على منهاجهم من التزام التُّقى والورع عن محارم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جنَّبنا اللَّه عما حرَّم ووفقنا لالتزام ما أمر به وصلى اللَّه على محمد وآله الطاهرين</w:t>
      </w:r>
      <w:bookmarkStart w:id="79" w:name="pg927_11670"/>
    </w:p>
    <w:p>
      <w:pPr>
        <w:pStyle w:val="Heading2"/>
        <w:numPr>
          <w:ilvl w:val="1"/>
          <w:numId w:val="1"/>
        </w:numPr>
        <w:rPr/>
      </w:pPr>
      <w:bookmarkStart w:id="80" w:name="__RefHeading___Toc614543_373438147"/>
      <w:bookmarkStart w:id="81" w:name="_Toc29"/>
      <w:bookmarkEnd w:id="79"/>
      <w:bookmarkEnd w:id="80"/>
      <w:r>
        <w:rPr>
          <w:rtl w:val="true"/>
        </w:rPr>
        <w:t>التولي والتبري</w:t>
      </w:r>
      <w:bookmarkEnd w:id="81"/>
    </w:p>
    <w:p>
      <w:pPr>
        <w:pStyle w:val="BookText"/>
        <w:rPr/>
      </w:pPr>
      <w:r>
        <w:rPr>
          <w:rFonts w:ascii="Amiri" w:hAnsi="Amiri" w:eastAsia="Amiri" w:cs="Amiri"/>
          <w:color w:val="111111"/>
          <w:sz w:val="28"/>
          <w:sz w:val="28"/>
          <w:szCs w:val="28"/>
          <w:rtl w:val="true"/>
          <w:lang w:bidi="ar-SA"/>
        </w:rPr>
        <w:t>إنَّ من المبادى‌ء المهمة في العقيدة، بل يعد من المفاهيم التي بني عليها الإسلام، والتي بها يكون المؤمن مؤمناً بالله عزَّ وجلَّ خير إيمان، مبدأ التولي والتبري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مرحلة ثبوت أصل هذه الولاية للَّه عزَّ وجلَّ اقرأ قوله تعالى هُنَالِكَ الوَلَايَةُ لِلَّه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مقام بيان ولاية اللَّه عزَّ وجلَّ فيما بينه وبين المؤمنين من خلقه قال تعالى اللَّه وَلِيُّ الذّينَ آمَنُوا يُخرِجُهُم مِن الظُّلمَات إلَى النُّور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المبدأ له جنبتان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اتخاذ اللَّه سبحانه الأولياء من قبله، وهذا الجانب من شؤون اللَّه عزَّ وجلَّ، كاتخاذ الأنبياء من قبله</w:t>
      </w:r>
    </w:p>
    <w:p>
      <w:pPr>
        <w:pStyle w:val="BookText"/>
        <w:rPr/>
      </w:pPr>
      <w:r>
        <w:rPr>
          <w:rFonts w:ascii="Amiri" w:hAnsi="Amiri" w:eastAsia="Amiri" w:cs="Amiri"/>
          <w:color w:val="111111"/>
          <w:sz w:val="28"/>
          <w:sz w:val="28"/>
          <w:szCs w:val="28"/>
          <w:rtl w:val="true"/>
          <w:lang w:bidi="ar-SA"/>
        </w:rPr>
        <w:t xml:space="preserve">والرسل والأوصياء، وليس لأحد أن ينتخب للولاية الإلهيَّة من يريد ويعزف عمَّن لا يريد، كما دلَّ عليه قال تعالى إنَّ اللَّه اصطفى آدم ونوحاً وآل ابراهيم وآل عمران على العالمين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ثمَّ أورثنا الكتاب الذين اصطفينا من عبادنا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ولقد اصطفيناه في الدنيا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وآيات أخرى كثيرة تدخل في ضمن هذه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اتخاذ المؤمنين ولياً لهم من قبلهم، وفي هذا الجانب قد أوضح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كتابه 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بأن يكون هو عزَّ وجلَّ الولي لهم في المرتبة الأولى، وكما مرَّ في الآية الأولى، ثم في المرتبة الثانية يبين أنَّ الولاية لها سلسة طوليَّة، كما في قوله تعالى إنَّمَا وَلِيُّكُم اللَّهُ وَرَسُولُه وَالذِّينَ آمَنُوا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علاوة على إفادة الآية لأصل ثبوت الولاية من قبل المذكورين فيها على المؤمنين، فأمَّا تصريح المؤمنين بإعلان الولاية للَّه فقد حكاه القرآن في قوله تعالى أَنْتَ وَلِيُّنَا فَاغفِرْ لَنَا وَارحَمْنَا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قَالُوا سُبحَانَكَ أَنْتَ وَلِيُّنَا مِن</w:t>
      </w:r>
    </w:p>
    <w:p>
      <w:pPr>
        <w:pStyle w:val="BookText"/>
        <w:rPr/>
      </w:pPr>
      <w:r>
        <w:rPr>
          <w:rFonts w:ascii="Amiri" w:hAnsi="Amiri" w:eastAsia="Amiri" w:cs="Amiri"/>
          <w:color w:val="111111"/>
          <w:sz w:val="28"/>
          <w:sz w:val="28"/>
          <w:szCs w:val="28"/>
          <w:rtl w:val="true"/>
          <w:lang w:bidi="ar-SA"/>
        </w:rPr>
        <w:t xml:space="preserve">دُونِهِم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إنَّ وَلِييِّ اللَّهُ الذِّي نَزَّل الكِتَاب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منع من اتخاذ غيره وليَّاً لهم قال تعالى واقتلوهم حيث وجدتموهم ولا تتخذوا منهم وليَّاً ولا نصيراً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ومن يتخذ الشيطان وليَّاً من دون الله فقد خسر خسراناً مبيناً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الولاية المأمورين بالإعتقاد بها والعمل على طبقها هي علىصعيد الواقع بمعنى أداة الأعمال وكافة سلوكياتنا العباديَّة والحياتيَّة مخلصة للَّه عزَّ وجلَّ، ولكون النبيصلى الله عليه و آله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بهم أئمة أهل بيت النبي عليهم السلام أو هم في ضمنهم بل هم أظهر الأفراد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سلسلة الأولياء، لذا وجب الإعتقاد بولايتهم، إلا أنَّ ولاية هولاء على المؤمنين ليست كولاية بقية المؤمنين على بعضهم البعض كما يفيده قوله تعالى وَالمُؤمِنُونَ وَالمُؤمِنَاتِ بَعْضُهُم أَوْلِيَاء بَعْض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هي أكبر من ذلك بمراتب، لأنَّها متنزلة من ولاية</w:t>
      </w:r>
    </w:p>
    <w:p>
      <w:pPr>
        <w:pStyle w:val="BookText"/>
        <w:rPr/>
      </w:pPr>
      <w:r>
        <w:rPr>
          <w:rFonts w:ascii="Amiri" w:hAnsi="Amiri" w:eastAsia="Amiri" w:cs="Amiri"/>
          <w:color w:val="111111"/>
          <w:sz w:val="28"/>
          <w:sz w:val="28"/>
          <w:szCs w:val="28"/>
          <w:rtl w:val="true"/>
          <w:lang w:bidi="ar-SA"/>
        </w:rPr>
        <w:t>الله عزَّوجلَّ ولا شك أنَّ ولاية اللَّه ليست كولاية الأب على ابنه أو كولاية االقاضي على 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وعليهم فيجب إعلان الموالاة لهم عليهم السلام كما تعلن الولاية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موالاة أهل بيت النبي عليهم السلام لا تقف في حد حبهم وإظهار الودِّ لهم، بل هي باتباعهم في أوامرهم ونواهيهم، والاعتبار بأقوالهم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هذه الظاهرة الإعتقاديَّة توجد عندنا ظاهرة أخرى وهي التبري من أعداء اللَّه عزَّ وجلَّ وأعداء رسوله وأعداء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بيته المقصودين في الآية السابقة وكما يذكر المفسرون هذا، أو هم أظهر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نصَّت الآيات القرآنيَّة على التبري من الشيطان وعدم اتخاذه ولياً كما في الآية المذكورة سابقاً، وعلى عدم موالاة المشركين والكفار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أن قدَّمنا أنَّ التولي على حسب مراتب الأولياء الطوليَّة، مع ملاحظة اشتراكهم في أصل وجوب موالاتهم، فالتبري كذلك بملاحظة أصل وجوب التبري من أعدائهم تكون جميع المراتب على حد سواء، والتفاوت ليس إلا في درجة التبري، فعلى سبيل المثال يبرأ المسلم عن كل ما لا يمت إلى الإسلام بصلة سواء على مستوى الإعتقاد أم على مستوى الأعمال، ويبرأ عن كل ما يوجب مخالفة الرسولصلى الله عليه و آله، ولو مقدمة لامتثال أوامره واجتناب نواهيهصلى الله عليه و آله، وعلى نفس الوتيرة</w:t>
      </w:r>
    </w:p>
    <w:p>
      <w:pPr>
        <w:pStyle w:val="BookText"/>
        <w:rPr/>
      </w:pPr>
      <w:r>
        <w:rPr>
          <w:rFonts w:ascii="Amiri" w:hAnsi="Amiri" w:eastAsia="Amiri" w:cs="Amiri"/>
          <w:color w:val="111111"/>
          <w:sz w:val="28"/>
          <w:sz w:val="28"/>
          <w:szCs w:val="28"/>
          <w:rtl w:val="true"/>
          <w:lang w:bidi="ar-SA"/>
        </w:rPr>
        <w:t>يجب عليه أن يبرأ عن كل من يبرأ منه أهل بيت النبي عليهم السلام من الأقوال والأفعال والإعتقادات، فإنَّهم لا يَدْعُون إلى ضلال ولا يُخرِجُون عن هدى، وذلك لأنَّنا نعتقد بعصمتهم كعصمة النبيصلى الله عليه و آله، والمعصوم من قبل اللَّه بمعنى عدم إقدامه على خطأ لا يمكن أن نتصور دعوته لما فيه معصية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يستفيد الفقهاء المسلمون من الآيات التي تلوناها عليك أنَّ المطيع لهم مطيع للَّه، والعاصي لهم عاصٍ لأوامر اللَّه، وهذا ليس بِدْعَاً من الفهم أو خارجاً عن قواعد الإستدلال، بل كل مؤمن يدعو للَّه فإنَّ طاعته طاعة اللَّه، ومن هنا قال النبيصلى الله عليه و آله للرجل الذي سأله أن يرشده على من يلتزم بهديه؛ قالصلى الله عليه و آله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 يخرجك من هدى ولن يدخلك في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عمَّاراً ليس بمعصوم، بل هو رجل من أصحاب النبيصلى الله عليه و آله ممَّن أخلص الصحبة لهصلى الله عليه و آله ولم يكن هداه ذاتياً له وإنَّما كان باتباعه لأخ النبي وصنوه وابن عمَّه علي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فالموالاة للَّه وللرسول ولآل الرسول، والتبري من أعداء اللَّه وأعداء رسوله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واجباً إسلامياً على كل من يدين بهذا الدين المنزل من قبل اللَّه عزَّ وجلَّ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من المسلم الإنصات إلى نقيق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w:t>
      </w:r>
    </w:p>
    <w:p>
      <w:pPr>
        <w:pStyle w:val="BookText"/>
        <w:rPr/>
      </w:pP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همُّهم إضعاف المسلمين، وزعزعة كيانهم بعد أن أراد اللَّه لهم العزَّة به وبرسوله وبأهل بيته عليهم السلام، وإحداث شرخ في وحدتهم وتكاتفهم حول راية رسولِ اللَّهصلى الله عليه و آله ومن أرشد لهم بعد وفاته، وهم الثقل الأصغر أهل بيته، وكما ورد هذا متواتراً في حديث الثقلين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بيته الطيبين الطاهرين وصحبه المنتجبين</w:t>
      </w:r>
      <w:bookmarkStart w:id="82" w:name="pg927_11682"/>
    </w:p>
    <w:p>
      <w:pPr>
        <w:pStyle w:val="Heading2"/>
        <w:numPr>
          <w:ilvl w:val="1"/>
          <w:numId w:val="1"/>
        </w:numPr>
        <w:rPr/>
      </w:pPr>
      <w:bookmarkStart w:id="83" w:name="__RefHeading___Toc614545_373438147"/>
      <w:bookmarkStart w:id="84" w:name="_Toc30"/>
      <w:bookmarkEnd w:id="82"/>
      <w:bookmarkEnd w:id="83"/>
      <w:r>
        <w:rPr>
          <w:rtl w:val="true"/>
        </w:rPr>
        <w:t>الشيعة والقرآن</w:t>
      </w:r>
      <w:bookmarkEnd w:id="84"/>
    </w:p>
    <w:p>
      <w:pPr>
        <w:pStyle w:val="BookText"/>
        <w:rPr/>
      </w:pPr>
      <w:r>
        <w:rPr>
          <w:rFonts w:ascii="Amiri" w:hAnsi="Amiri" w:eastAsia="Amiri" w:cs="Amiri"/>
          <w:color w:val="111111"/>
          <w:sz w:val="28"/>
          <w:sz w:val="28"/>
          <w:szCs w:val="28"/>
          <w:rtl w:val="true"/>
          <w:lang w:bidi="ar-SA"/>
        </w:rPr>
        <w:t>تُعتبر الشيعة الإماميَّة الإثنا عشريَّة إحدى الفرق الإسلاميَّة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العَرْض العريض من مخطط المجتمع الإسلامي الكبير حيث يُعدُّون بالملايين، في مقابل المذاهب الأخرى التي لو أفرد كل مذهب منها من المذاهب الأربعة لما كان بتعداده يحصل إلى مقدار ما يُعدُّ به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الإماميَّة منتشرون في كل أنحاء المعمورة من القارات السبع، وهم يدينون بما تدين به قاطبة أهل الإسلام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الإعتقاد بإله واحدٍ ولا سواه معبود، وبأنَّه حكيم أرسل الرسل وبعث الأنبياء مبشرين ومنذرين، وآخرهم وخاتمهم النبي الأكرم محمد بن عبد اللَّهصلى الله عليه و آله، وجعل له أوصياء من بعده كما هي سنَّة اللَّه عزَّ وجلَّ في كل نبيٍّ بأن ينصب له أوصياء قبل موته لكي تستمر دعوته ورسالته بالحفاظ عليها من قِبَل هؤلاء</w:t>
      </w:r>
    </w:p>
    <w:p>
      <w:pPr>
        <w:pStyle w:val="BookText"/>
        <w:rPr/>
      </w:pPr>
      <w:r>
        <w:rPr>
          <w:rFonts w:ascii="Amiri" w:hAnsi="Amiri" w:eastAsia="Amiri" w:cs="Amiri"/>
          <w:color w:val="111111"/>
          <w:sz w:val="28"/>
          <w:sz w:val="28"/>
          <w:szCs w:val="28"/>
          <w:rtl w:val="true"/>
          <w:lang w:bidi="ar-SA"/>
        </w:rPr>
        <w:t>الأوصياء، ولكيلا تضيع جهوده المضنية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الخالدة لنبيِّنا الأكرم هي هذا القرآن العظيم الموجود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تعتقد بأنَّ القرآن الذي أنزل على النبيصلى الله عليه و آله، ممَّا وعد الله عزَّ وجلَّ بالحفاظ عليه بقوله تعالى إنَّا نَحْنُ نَزَّلْنَا الذِّكرَ وَإنَّا لَه لَحَافِظُون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فالشيعة الإماميَّة ملتزمة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 ربها و اقتداء بنبيِّها وأوصيائه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نزول القرآن على قلب النبيصلى الله عليه و آله وإلى زماننا هذا بتعهد القرآن والحفاظ عليه عن الضياع والتلف وتحريف 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أوائل من حفظ القرآن أمير المؤمنين عليه السلام حيث اهتم بجمعه في داره لمدة طويلة، وأمَّا الرواية المشهورة بين القُرَّاء الآن والمتداولة وهي رواية حفص عن عاصم عن عبد الرحمن السلمي؛ فهؤلاء كلهم من الشيعة من أهل الكوفة، اذن فالقرآن الموجود بين أيدينا قد توارث الشيعة الإماميَّة حفظه وتلاوته وقراءةته بين الناس حتى وصل إلينا كما كان بين أيديهم آنذاك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المقصود بحفظ اللَّه للقرآن هو حفظه بالإستظهار في الصدور فقط، بل المقصود حفظه عن كل ما</w:t>
      </w:r>
    </w:p>
    <w:p>
      <w:pPr>
        <w:pStyle w:val="BookText"/>
        <w:rPr/>
      </w:pPr>
      <w:r>
        <w:rPr>
          <w:rFonts w:ascii="Amiri" w:hAnsi="Amiri" w:eastAsia="Amiri" w:cs="Amiri"/>
          <w:color w:val="111111"/>
          <w:sz w:val="28"/>
          <w:sz w:val="28"/>
          <w:szCs w:val="28"/>
          <w:rtl w:val="true"/>
          <w:lang w:bidi="ar-SA"/>
        </w:rPr>
        <w:t>يخدش في قداسته، ويحط من غضاضته وكرامته، ولم يتبنَّ أيٌّ من علماء الإماميَّة قولًا منافياً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لنرى ما ورد من روايات عن أئمة أهل‌البيت عليهم السلام في القرآن وما يتعلق به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وتعلموا القرآن فإنَّه أحسن الحديث، وتفقهوا فيه فإنَّه ربيع القلوب، واستشفوا بنوره فإنَّه شفاء الصدور، وأحسنوا تلاوته فإنَّه أنفع القصص </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من خطبة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 بين أظهركم ناطق لا يعيا لسانه، وبيتٌ لا تهدم أركانه، وعزٌّ لا تهزم أعوانه</w:t>
      </w:r>
      <w:r>
        <w:rPr>
          <w:rFonts w:eastAsia="Amiri" w:cs="Amiri" w:ascii="Amiri" w:hAnsi="Amiri"/>
          <w:color w:val="111111"/>
          <w:sz w:val="28"/>
          <w:szCs w:val="28"/>
          <w:rtl w:val="true"/>
          <w:lang w:bidi="ar-SA"/>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ورُوِّينا عن الإمام جعفر بن محمد الصادق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متع ببصره، وخُفِّف عن والديه وإن كانا كافرين</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بن الحسين عليه السلام فيصحيفته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وميزان قسط لا يحيف عن الحق لسانه، ونور هدى لا يطفأ عن الشاهدين برهانه، وعلم نجاةٍ لا يضل من أمَّ قصد سنته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في ثواب قراءة القرآن وحامل القرآن</w:t>
      </w:r>
    </w:p>
    <w:p>
      <w:pPr>
        <w:pStyle w:val="BookText"/>
        <w:rPr/>
      </w:pPr>
      <w:r>
        <w:rPr>
          <w:rFonts w:ascii="Amiri" w:hAnsi="Amiri" w:eastAsia="Amiri" w:cs="Amiri"/>
          <w:color w:val="111111"/>
          <w:sz w:val="28"/>
          <w:sz w:val="28"/>
          <w:szCs w:val="28"/>
          <w:rtl w:val="true"/>
          <w:lang w:bidi="ar-SA"/>
        </w:rPr>
        <w:t xml:space="preserve">وثواب حفظه وشرائط قراءته وكيفيَّة ختمه فهي كثيرة في روايات أهل البيت عليهم السلام، نكتفي منها بواحدة هنا؛ فقد روي عن رسول اللَّهصلى الله عليه و آله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 الله قلباً وعى القرآن</w:t>
      </w:r>
      <w:r>
        <w:rPr>
          <w:rFonts w:eastAsia="Amiri" w:cs="Amiri" w:ascii="Amiri" w:hAnsi="Amiri"/>
          <w:color w:val="111111"/>
          <w:sz w:val="28"/>
          <w:szCs w:val="28"/>
          <w:rtl w:val="true"/>
          <w:lang w:bidi="ar-SA"/>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اهتمام الشيعة بالقرآن جعلهم ميزان الأخبار بالعرض عليه، فما وافقه يؤخذ به وما خالفه ترك وهذا في العقائد وفي الأحكام على حد سواء، ولعله يكون من مختصات الشيعة الإماميَّة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في‌هذا المعنى أكبر دلالة على نفي وبطلان ما ينسب للشيعة من القول بتحريف القرآن، فإنَّه كيف يلتئم هذا القول والمبنى في عرض الأخبار لمعرفةصحيحها من سقيمها مع القول بتحريف القرآن بالنقص أو بالزيادة، إذ كيف سيتم تصحيح الخبر بعرضه على كالتاب حال الالتزام بكونه ناقصاً أو زائداً؟</w:t>
      </w:r>
    </w:p>
    <w:p>
      <w:pPr>
        <w:pStyle w:val="BookText"/>
        <w:rPr/>
      </w:pPr>
      <w:r>
        <w:rPr>
          <w:rFonts w:ascii="Amiri" w:hAnsi="Amiri" w:eastAsia="Amiri" w:cs="Amiri"/>
          <w:color w:val="111111"/>
          <w:sz w:val="28"/>
          <w:sz w:val="28"/>
          <w:szCs w:val="28"/>
          <w:rtl w:val="true"/>
          <w:lang w:bidi="ar-SA"/>
        </w:rPr>
        <w:t>ثمَّ إنَّ الشيعة الإماميَّة لكونهم متبعين لأهل بيت نبيِّهم عليهم السلام، وأهل البيت أدرى بالذي فيه، لذا فهم على غرار ذلك مهتمون تمام الإهتمام بذلك حفظاً وقراءةً وتعاهداً وعملًا بالقرآن والتزاماً بمبادئه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المعقول أن يصدر ما يوجب إلقاء التهم و الشبهات حول الشيعة في عقيدتهم بأنَّ لهم</w:t>
      </w:r>
    </w:p>
    <w:p>
      <w:pPr>
        <w:pStyle w:val="BookText"/>
        <w:rPr/>
      </w:pPr>
      <w:r>
        <w:rPr>
          <w:rFonts w:ascii="Amiri" w:hAnsi="Amiri" w:eastAsia="Amiri" w:cs="Amiri"/>
          <w:color w:val="111111"/>
          <w:sz w:val="28"/>
          <w:sz w:val="28"/>
          <w:szCs w:val="28"/>
          <w:rtl w:val="true"/>
          <w:lang w:bidi="ar-SA"/>
        </w:rPr>
        <w:t>قرآناً غير قرآن المسلمين أو أنَّه ليس لهم قرآن أو أنَّهم يرون وقوع التحريف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ممَّا لا يخدم إلا المُغرِضِين وأصحاب الأهواء والأغراض المشبوهة المعادية للإسلام والمسلمين والموجبة لإحداث الفرقة فيصفوفهم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فهاك كلمةً جامعة من شيخ المحدثين الصدوق؛ في كتابه الإعتقادات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القرآن الذي أنزله اللَّه تعالى على نبيه محمدصلى الله عليه و آله هو ما بين الدفتين، وهو ما في أيدي الناس ليس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 إلينا أنَّا نقول إنَّه أكثر من ذلك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لنجتمع على مائدة القرآن حيث تتوحد أفكارنا وتلتئم قلوبنا بقوله تعالى إنَّمَا المُؤمِنُونَ أُخْوَة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ولنواجه أولئك المغرضين بقوله تعالى قُلْ تَعَالَوْا يَا أَهْلَ الكِتَابِ إلَى كَلِمَةٍ سَوَاء بَيْنَنَا وَبَيْنَكُم ألَّا نَعْبُدَ إلَّا اللَّهِ وَلَا نُشرِكَ بِهِ شَيئَاً وَلَا يَتَّخِذُ بَعْضُنَا أَرْبَابَاً مِن دُونِ اللَّهِ </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أَوْ إيَّاكُم لَعَلَى هُدَى أَوْ فِي ضَلَالٍ مُبِين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الطيبين الطاهرين وصحبه المنتجبين</w:t>
      </w:r>
      <w:bookmarkStart w:id="85" w:name="pg927_11694"/>
    </w:p>
    <w:p>
      <w:pPr>
        <w:pStyle w:val="Heading2"/>
        <w:numPr>
          <w:ilvl w:val="1"/>
          <w:numId w:val="1"/>
        </w:numPr>
        <w:rPr/>
      </w:pPr>
      <w:bookmarkStart w:id="86" w:name="__RefHeading___Toc614547_373438147"/>
      <w:bookmarkStart w:id="87" w:name="_Toc31"/>
      <w:bookmarkEnd w:id="85"/>
      <w:bookmarkEnd w:id="86"/>
      <w:r>
        <w:rPr>
          <w:rtl w:val="true"/>
        </w:rPr>
        <w:t>الشيعة وأهل البيت</w:t>
      </w:r>
      <w:bookmarkEnd w:id="87"/>
    </w:p>
    <w:p>
      <w:pPr>
        <w:pStyle w:val="BookText"/>
        <w:rPr/>
      </w:pPr>
      <w:r>
        <w:rPr>
          <w:rFonts w:ascii="Amiri" w:hAnsi="Amiri" w:eastAsia="Amiri" w:cs="Amiri"/>
          <w:color w:val="111111"/>
          <w:sz w:val="28"/>
          <w:sz w:val="28"/>
          <w:szCs w:val="28"/>
          <w:rtl w:val="true"/>
          <w:lang w:bidi="ar-SA"/>
        </w:rPr>
        <w:t>ينتمي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أفكارهم وعقائدهم إلى آل بيت النبيصلوات اللَّه عليهم أجمعين، ويستقون من نمير علومهم، كما هو ملتزمون بتعاليمهم وذلك لأنَّ تعاليمهم هي تعاليم القرآن وتعاليم جدِّهم النبيصلى الله عليه و آله، لا يحيدون عنها قيد أنملة، أو ليس قد قال فيهم رسول اللَّه صلى الله عليه و آله في الحديث المتواتر لفظاً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سبب انتماء الشيعة الإماميَّة وتمسكهم بأهل بيت</w:t>
      </w:r>
    </w:p>
    <w:p>
      <w:pPr>
        <w:pStyle w:val="BookText"/>
        <w:rPr/>
      </w:pPr>
      <w:r>
        <w:rPr>
          <w:rFonts w:ascii="Amiri" w:hAnsi="Amiri" w:eastAsia="Amiri" w:cs="Amiri"/>
          <w:color w:val="111111"/>
          <w:sz w:val="28"/>
          <w:sz w:val="28"/>
          <w:szCs w:val="28"/>
          <w:rtl w:val="true"/>
          <w:lang w:bidi="ar-SA"/>
        </w:rPr>
        <w:t xml:space="preserve">النبي صلى الله عليه و آله، فللروايات الكثيرة المستفيضة والمُفسِّرة لبعض الآيات فيهم عليهم السلام، ومنها قوله تعالى ياأيُّها الذينَ آمَنُوا اتقوا اللَّه وكُونُوا مَعَ الصَّادِقِين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 المفسرون </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منها هو علي بن أبي‌طالب عليه السلام، ولا شك أنَّ المخاطب بالإتباع هو جميع المؤمنين لا خصوص الصحابة، فتدل على وجود إمام معصوم في كل عصر واجب الإتباع، فكان هو محمدصلى الله عليه و آله وعلي عليه السلام والأئمة الطاهرون عليهم السلام من آلهما بعدهما كلٌّ في وقته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الشيعة متَّبِعُون لعلي عليه السلام والمقصودون بذلك فيعرف هذا ممَّا ورد في تفسير بعض الآيات من قِبَل النبيصلى الله عليه و آله، فيحنما نزل قوله تعالى إنَّ الذِّينَ آمَنُوا وَعَمِلُوا الصَّالِحَاتِ أُولَئِكَ هُم خَيْرُ البَرِيَّة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أن أقبل علي عليه السلام فقال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وشيعته لهم الفائزون يوم القيامة</w:t>
      </w:r>
      <w:r>
        <w:rPr>
          <w:rFonts w:eastAsia="Amiri" w:cs="Amiri" w:ascii="Amiri" w:hAnsi="Amiri"/>
          <w:color w:val="111111"/>
          <w:sz w:val="28"/>
          <w:szCs w:val="28"/>
          <w:rtl w:val="true"/>
          <w:lang w:bidi="ar-SA"/>
        </w:rPr>
        <w:t>»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نقل السيوطي عن ابن مردويه أنَّه أخرج عن</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 قول اللَّه إنَّ الذِّينَ آمَنُوا وَعَمِلُوا الصَّالِحَات أُولَئِكَ هُمْ خَيْرُ البَرِيَّة أنت وشيعتك موعدي وموعدكم الحوض</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فالعلاقة بين الشيعة وأهل بيت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متأصلة وضاربة في القِدَم إلى أوائل نشوء الإسلام، حيث توالت النصوص وتكاثرت ذاكرة لعليٍّ وشيعته، وليس كما يذكر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يطلع على التاريخ وليست له خبرة ومتابعة في الروايات والآثار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التشيع لآل بيت النبيصلى الله عليه و آله وليد حركة سياسيَّة في زمن الخليفة عثمان، أو أنَّه حدث بعد استشهاد الحسين عليه السلام في كربلاء، بل إنَّ التشيع لآل بيت النبيصلى الله عليه و آله قد وُلِدَ مع ولادة الإسلام وترعرع في أحضانه، تسقيه عروقه، وتحافظ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أعطاهم الإسلام من توجه واهتمام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يهتموا بهذا الفكر والعطاء الكبير من آل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أن يفخروا به أمام الملاء، وهاهو شاعرهم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ومالي إلا أل أحمد شيعة ومالي إلا مذهب الحق مذهبُ</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التشيع وهو ثاني بذرةٍ غُرِسَت بجانب بذرة الإسلامِ</w:t>
      </w:r>
    </w:p>
    <w:p>
      <w:pPr>
        <w:pStyle w:val="BookText"/>
        <w:rPr/>
      </w:pPr>
      <w:r>
        <w:rPr>
          <w:rFonts w:ascii="Amiri" w:hAnsi="Amiri" w:eastAsia="Amiri" w:cs="Amiri"/>
          <w:color w:val="111111"/>
          <w:sz w:val="28"/>
          <w:sz w:val="28"/>
          <w:szCs w:val="28"/>
          <w:rtl w:val="true"/>
          <w:lang w:bidi="ar-SA"/>
        </w:rPr>
        <w:t>ومن المهم ذكره هنا أنَّ الشيعة الإماميَّة قد تحملوا الكثير وكابدوا الصعاب في سبيل الحفاظ على مبادى‌ء أهل البيت عليه السلام حتى وصل إلينا كما هو عليه عند الأوائل غضَّ الإهاب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الأساس، فلا غضاضة على الشيعة الإماميَّة أن يدافعوا وينافحوا دونه ويبذلوا في سبيله كل غالٍ ونفيس نتيجة وعي منهم بضرورة الحفاظ عليه؛ إذ في ذلك كل الحفاظ على الشريعة المحمديَّة الغرَّاء، فإنَّ التشيع ليس إلا مبادى‌ء أهل‌البيت عليهم السلام وهي ما أثر عن علي عليه السلام عن النبيصلى الله عليه و آله من تعاليم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يزال الشيعة في معاهدهم العلميَّة يتدارسون فقه أهل‌البيت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البيت أدرى بالذي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يمتثلون لأوامرهم وينتهون عمَّا نهوا عنه، إذ أنَّ في رضاهم رضا اللَّه عزَّ وجلَّ، ومتابعتهم متابعة للحق كما قال ذلك رسول اللَّهصلى الله عليه و آله لعلي في مواطن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الوارد تفسيرها في علي، والروايات الكثيرة التيصدرت عن</w:t>
      </w:r>
    </w:p>
    <w:p>
      <w:pPr>
        <w:pStyle w:val="BookText"/>
        <w:rPr/>
      </w:pPr>
      <w:r>
        <w:rPr>
          <w:rFonts w:ascii="Amiri" w:hAnsi="Amiri" w:eastAsia="Amiri" w:cs="Amiri"/>
          <w:color w:val="111111"/>
          <w:sz w:val="28"/>
          <w:sz w:val="28"/>
          <w:szCs w:val="28"/>
          <w:rtl w:val="true"/>
          <w:lang w:bidi="ar-SA"/>
        </w:rPr>
        <w:t>معدن النبوة في حق علي وأهل بيته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الإماميَّة متواجدون في الكثير من بلاد العالم وهم مراكز إسلاميَّة متعددة في شرق آسيا وفي أوروبا الشرقيَّة والغربيَّة وفي بلاد الأمريكتين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الشماليَّة والجنوبيَّة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بلاد قارَّة أفريقيا، وأمَّا غرب آسيا وخصوص الشرق الأوسط منه فهو مهد التشيع ومركزه، ويعدون بمئات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 للإستفادة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الشيعة؛ للدكتورة سميرة الليثي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والتاريخ؛ للشيخ علي الزين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للسيد عبدالحسين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اخترت مذهب أهل البيت عليهم السلام؛ للشيخ أحمد أمين الأنطاكي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إلى الثقلين؛ محمد گوزل الحسن الآمدي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المصادر والكتب المنتشرة في العالم الإسلامي بمختلف اللغات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الطيبين الطاهرين وصحبه المنتجبين</w:t>
      </w:r>
      <w:bookmarkStart w:id="88" w:name="pg927_11705"/>
    </w:p>
    <w:p>
      <w:pPr>
        <w:pStyle w:val="Heading2"/>
        <w:numPr>
          <w:ilvl w:val="1"/>
          <w:numId w:val="1"/>
        </w:numPr>
        <w:rPr/>
      </w:pPr>
      <w:bookmarkStart w:id="89" w:name="__RefHeading___Toc614549_373438147"/>
      <w:bookmarkStart w:id="90" w:name="_Toc32"/>
      <w:bookmarkEnd w:id="88"/>
      <w:bookmarkEnd w:id="89"/>
      <w:r>
        <w:rPr>
          <w:rtl w:val="true"/>
        </w:rPr>
        <w:t>الشيعة والبداء</w:t>
      </w:r>
      <w:bookmarkEnd w:id="90"/>
    </w:p>
    <w:p>
      <w:pPr>
        <w:pStyle w:val="BookText"/>
        <w:rPr/>
      </w:pPr>
      <w:r>
        <w:rPr>
          <w:rFonts w:ascii="Amiri" w:hAnsi="Amiri" w:eastAsia="Amiri" w:cs="Amiri"/>
          <w:color w:val="111111"/>
          <w:sz w:val="28"/>
          <w:sz w:val="28"/>
          <w:szCs w:val="28"/>
          <w:rtl w:val="true"/>
          <w:lang w:bidi="ar-SA"/>
        </w:rPr>
        <w:t>تعتقد الشيعة الإماميَّة بثبوت البداء للَّه عزَّ وجلَّ في بعض الأحداث والكائنات؛ بمعنى أن يظهر اللَّه لرسوله أو وليِّه على المقتضي للفعل لمصلحةٍ من دون أن يطلعه على ما سوف يحصل له من الموانع أو ما سوف يفتقد إليه من شرائط تمنع من تحققه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علماءنا الأبرار رحمه الله في ما يتعلق بالبداء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تقوله الشيعة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قد ينقص من الرزق، وقد يزيد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الأجل والصحَّة والمرض والسعادة والشقاوة والمحن والمصائب والإيمان والكفر وسائر الأشياء، كما يقتضيه قوله تعالى يَمْحُو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مذهب عمر بن الخطاب</w:t>
      </w:r>
    </w:p>
    <w:p>
      <w:pPr>
        <w:pStyle w:val="BookText"/>
        <w:rPr/>
      </w:pPr>
      <w:r>
        <w:rPr>
          <w:rFonts w:ascii="Amiri" w:hAnsi="Amiri" w:eastAsia="Amiri" w:cs="Amiri"/>
          <w:color w:val="111111"/>
          <w:sz w:val="28"/>
          <w:sz w:val="28"/>
          <w:szCs w:val="28"/>
          <w:rtl w:val="true"/>
          <w:lang w:bidi="ar-SA"/>
        </w:rPr>
        <w:t xml:space="preserve">وابن مسعود وأبي وائل وقتادة </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جابر عن رسول اللَّهصلى الله عليه و آله وكان كثير من السلف الصالح يدعون ويتضرعون إلى اللَّه تعالى أن يجعلهم سعداء لا أشقياء، وقد تواتر ذلك عن أئمتنا في أدعيتهم المأثورة، وورد في السنن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على وجهها وبرّ الوالدين واصطناع المعروف يحول الشقاء سعادة ويزيد في العمر، وصحَّ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الحذر من القدر ولكنَّ اللَّه يمحو بالدعاء ما يشاء من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فالبداء بنظر الشيعة الإماميَّة من الحقائق الثابتة في العلم الإلهي والتي لا تقبل الإنكار، فهو كالنسخ في عالم التشريع، إذ أنَّ البداء بمثابة النسخ في عالم التكوين، لا يختلف عنه إلا في ما يتعلق به من موضوع، فالنسخ مختص بالحكم في عالم التشريعات الالهيَّة، والبداء مختص بالكون الخارجي وما يلازمه من 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فإنكار البداء بمثابة إنكار النسخ، والفرض أنَّ الثاني‌ثابت بالضرورة من‌القرآن والسنَّة، فالأول‌مثله‌في الثبوت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وردت روايات من طريق أئمتنا نذكر بعضاً منها لإثبات ذلك، فعن أحدهما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w:t>
      </w:r>
    </w:p>
    <w:p>
      <w:pPr>
        <w:pStyle w:val="BookText"/>
        <w:rPr/>
      </w:pP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وعن أبي عبداللَّه جعفر بن محمد الصادق عليه السلام قال في هذه الآية يمحو اللَّه ما يشاء ويثبت وعنده أم الكتاب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يُمحَى إلَّا مَا كَانَ مُثبَتَاً، وهل‌يُثبَت إلا ما ما لم‌يكن</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الرواية عن جعفر بن محمد الصادق عليه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أحاديث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أثر البداء يظهر به مقدار التسليم من الإنسان المؤمن به للقضاء والقدر فيما يجري في الكون من حادثات ممَّا يتبدل ويرتفع بعد أن كان مقتضيه مهيئاً لصدور الفعل عنه، أو العكس كصدور الفعل بعد أن كان ممتنعاً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نحن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 حيث إنَّ فيه إظهار قدرته وتفرده بالخلق والإرزاق والإماتة والإحياء والإبراء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 من الصحيح، بل هو من الجهل بحقيقة مذهب الشيعة الإماميَّة وما هم عليه من معتقداتصحيحة أن تتعالى أصوات هنا وهناك على الشيعة بأنَّهم يعتقدون بالبداء بمعنى نسبة الجهل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نسبة تعطيل اللَّه في قدرته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بالتوجه لحقيقة ما بيَّناه من مفهوم البداء بمعنى</w:t>
      </w:r>
    </w:p>
    <w:p>
      <w:pPr>
        <w:pStyle w:val="BookText"/>
        <w:rPr/>
      </w:pPr>
      <w:r>
        <w:rPr>
          <w:rFonts w:ascii="Amiri" w:hAnsi="Amiri" w:eastAsia="Amiri" w:cs="Amiri"/>
          <w:color w:val="111111"/>
          <w:sz w:val="28"/>
          <w:sz w:val="28"/>
          <w:szCs w:val="28"/>
          <w:rtl w:val="true"/>
          <w:lang w:bidi="ar-SA"/>
        </w:rPr>
        <w:t>إظهار اللَّه عزَّ وجلَّ لنبيه ما كان خافياً عليه أو تسيير ما يرى ظاهراً على خلاف ما يراد له، لا يستلزم عروض النقص في علمه عزَّ وجلَّ، ولا تعطيل قدرته ولا نسبة الجهل 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علم‌يتعلق بماهو موضوع‌لما في‌لوح المحو والإثبات؛ بصريح قوله تعالى يَمْحُو اللَّهُ مَا يَشَاءُ وَيُثبِت، وفي هذا العلم لا مانع من أن يتبدل ويجري فيه محو وإثبات بمقتضى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يتعلق بما هو موضوع لما في أمِّ الكتاب؛ وهذا العلم لا يمكن أن يتحقق فيه تغير أو تبدل يوجب انفعال العلم بالمعلوم وتأثره به، وإلا لزمت محاذير كثيرة ليس هذا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فالذي يلزم منه نسبة الجهل للَّه وتعطيل القدرة أو النقص في العلم قبل الحادث والزيادة بعده؛ هو العلم من الشق الثاني، وأما كان من الشق الأول فليس موجباً لهذه المحاذير، فهذه المحاذير وغيرها تندفع بما بيَّناه هنا من لحاظ علمين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البيان يتضح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يعتقد به الشيعة الإماميَّة هو مقتضى العقل وكامل التوجه لما ينبغي أن يكون عليه الإعتقاد في الله عزَّ وجلَّ، ونفي ما كان موجباً للنقص في ذاته أو فيصفاته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الطيبين الطاهرين وصحبه المنتجبين‌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بلال بن رباح من تهذيب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مسند أبي سعيد الخدري حديث </w:t>
      </w:r>
      <w:r>
        <w:rPr>
          <w:rFonts w:eastAsia="IRNazanin" w:cs="IRNazanin"/>
          <w:b w:val="false"/>
          <w:bCs w:val="false"/>
          <w:i w:val="false"/>
          <w:iCs w:val="false"/>
          <w:color w:val="333333"/>
          <w:sz w:val="20"/>
          <w:szCs w:val="20"/>
        </w:rPr>
        <w:t>10764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كتاب الإيمان، باب معرفة طريق الرؤية،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كتاب التوحيد، باب وجوه يومئذٍ ناظرة، ح </w:t>
      </w:r>
      <w:r>
        <w:rPr>
          <w:rFonts w:eastAsia="IRNazanin" w:cs="IRNazanin"/>
          <w:b w:val="false"/>
          <w:bCs w:val="false"/>
          <w:i w:val="false"/>
          <w:iCs w:val="false"/>
          <w:color w:val="333333"/>
          <w:sz w:val="20"/>
          <w:szCs w:val="20"/>
        </w:rPr>
        <w:t>2239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4313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وكذا قال بصحة أحاديث الشفاعة في كتابه الحسنة والسيئة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تقبيل الحجر الأسود، ح </w:t>
      </w:r>
      <w:r>
        <w:rPr>
          <w:rFonts w:eastAsia="IRNazanin" w:cs="IRNazanin"/>
          <w:b w:val="false"/>
          <w:bCs w:val="false"/>
          <w:i w:val="false"/>
          <w:iCs w:val="false"/>
          <w:color w:val="333333"/>
          <w:sz w:val="20"/>
          <w:szCs w:val="20"/>
        </w:rPr>
        <w:t>1611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بول الطفل الرضيع،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تحنيك المولود، 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الكتاب‌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12237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 باب استعمال فضل وضوء النبي‌</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أنس بن مالك‌</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عبد العزيز</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 باب الماء الذي يغسل شعر الإنسان‌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تلخيص مجمع الزوائد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وكذا تاريخ ابن عساكر في ترجمة بلال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الامارة</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شرط الشيخين ولم يخرجاه‌</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وغيره ممن ترجم لجعفر</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استشهاد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مسند فاطمة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لكتب المقاتل‌</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والراوي ممن تكلم في صدق صحبته للنبي صلى الله عليه و آله، لأنَّه رآه بعد وفاته وقبل دفنه‌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الخبر في خوارج القرن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بلال، ولاحظ ترجمته من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أصحاب التواريخ والسنن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ابن عساكر في تاريخه، وذخائر العقبى للطبري، وجميع المقاتل التي ذكرت الواقعة</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وينقله عن البخاري، لكنَّ صحيح البخاري الموجود بين أيدينا قد خذفت منه هذه الرواية فتأمل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الحسين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يعذب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بريدة،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الجنائز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ويقول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بريدة صحيح والعمل عليه ولا يرون بزيارة القبور بأساً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يقال عند القبور،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للقاضي عياض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للجزيري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لتخريج أحاديث التوسل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الجوهر المنظم لابن حجر المكي‌</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ترى هل النبي محتاج إلى دعائنا له أو أنَّنا المحتاجون والمفتقرون إلى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بلال بن رباح من تهذيب 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مصادره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الخصائص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 جدا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الميرزا رفيع على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11118</Words>
  <Characters>47870</Characters>
  <CharactersWithSpaces>58545</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2026-08-16T10:04:35Z</dcterms:created>
  <dc:creator>ghaemiyeh.com</dc:creator>
  <dc:description/>
  <dc:language>en-US</dc:language>
  <cp:lastModifiedBy/>
  <dcterms:modified xsi:type="dcterms:W3CDTF">2026-08-16T13:34:38Z</dcterms:modified>
  <cp:revision>1</cp:revision>
  <dc:subject/>
  <dc:title>فی رحاب العقیده</dc:title>
</cp:coreProperties>
</file>

<file path=docProps/custom.xml><?xml version="1.0" encoding="utf-8"?>
<Properties xmlns="http://schemas.openxmlformats.org/officeDocument/2006/custom-properties" xmlns:vt="http://schemas.openxmlformats.org/officeDocument/2006/docPropsVTypes"/>
</file>