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انتظار الامام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85869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585871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585873_211673320">
            <w:r>
              <w:rPr>
                <w:webHidden/>
                <w:rStyle w:val="IndexLink"/>
                <w:rtl w:val="true"/>
              </w:rPr>
              <w:t>المقدمه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585875_211673320">
            <w:r>
              <w:rPr>
                <w:webHidden/>
                <w:rStyle w:val="IndexLink"/>
                <w:rtl w:val="true"/>
              </w:rPr>
              <w:t>قی الصمیم</w:t>
            </w:r>
            <w:r>
              <w:rPr>
                <w:rStyle w:val="IndexLink"/>
                <w:rtl w:val="true"/>
              </w:rPr>
              <w:tab/>
            </w:r>
            <w:r>
              <w:rPr>
                <w:rStyle w:val="IndexLink"/>
              </w:rPr>
              <w:t>15</w:t>
            </w:r>
          </w:hyperlink>
        </w:p>
        <w:p>
          <w:pPr>
            <w:pStyle w:val="Contents3"/>
            <w:tabs>
              <w:tab w:val="clear" w:pos="8459"/>
              <w:tab w:val="right" w:pos="9026" w:leader="dot"/>
            </w:tabs>
            <w:rPr/>
          </w:pPr>
          <w:hyperlink w:anchor="__RefHeading___Toc6585877_2116733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6585879_211673320">
            <w:r>
              <w:rPr>
                <w:webHidden/>
                <w:rStyle w:val="IndexLink"/>
                <w:rtl w:val="true"/>
              </w:rPr>
              <w:t>تمذهب القضية</w:t>
            </w:r>
            <w:r>
              <w:rPr>
                <w:rStyle w:val="IndexLink"/>
                <w:rtl w:val="true"/>
              </w:rPr>
              <w:tab/>
            </w:r>
            <w:r>
              <w:rPr>
                <w:rStyle w:val="IndexLink"/>
              </w:rPr>
              <w:t>17</w:t>
            </w:r>
          </w:hyperlink>
        </w:p>
        <w:p>
          <w:pPr>
            <w:pStyle w:val="Contents3"/>
            <w:tabs>
              <w:tab w:val="clear" w:pos="8459"/>
              <w:tab w:val="right" w:pos="9026" w:leader="dot"/>
            </w:tabs>
            <w:rPr/>
          </w:pPr>
          <w:hyperlink w:anchor="__RefHeading___Toc6585881_211673320">
            <w:r>
              <w:rPr>
                <w:webHidden/>
                <w:rStyle w:val="IndexLink"/>
                <w:rtl w:val="true"/>
              </w:rPr>
              <w:t>تواتر أحاديثها عن النبي</w:t>
            </w:r>
            <w:r>
              <w:rPr>
                <w:rStyle w:val="IndexLink"/>
                <w:rtl w:val="true"/>
              </w:rPr>
              <w:t>:</w:t>
              <w:tab/>
            </w:r>
            <w:r>
              <w:rPr>
                <w:rStyle w:val="IndexLink"/>
              </w:rPr>
              <w:t>18</w:t>
            </w:r>
          </w:hyperlink>
        </w:p>
        <w:p>
          <w:pPr>
            <w:pStyle w:val="Contents3"/>
            <w:tabs>
              <w:tab w:val="clear" w:pos="8459"/>
              <w:tab w:val="right" w:pos="9026" w:leader="dot"/>
            </w:tabs>
            <w:rPr/>
          </w:pPr>
          <w:hyperlink w:anchor="__RefHeading___Toc6585883_211673320">
            <w:r>
              <w:rPr>
                <w:webHidden/>
                <w:rStyle w:val="IndexLink"/>
                <w:rtl w:val="true"/>
              </w:rPr>
              <w:t>طوائف أحاديثها</w:t>
            </w:r>
            <w:r>
              <w:rPr>
                <w:rStyle w:val="IndexLink"/>
                <w:rtl w:val="true"/>
              </w:rPr>
              <w:t>:</w:t>
              <w:tab/>
            </w:r>
            <w:r>
              <w:rPr>
                <w:rStyle w:val="IndexLink"/>
              </w:rPr>
              <w:t>19</w:t>
            </w:r>
          </w:hyperlink>
        </w:p>
        <w:p>
          <w:pPr>
            <w:pStyle w:val="Contents3"/>
            <w:tabs>
              <w:tab w:val="clear" w:pos="8459"/>
              <w:tab w:val="right" w:pos="9026" w:leader="dot"/>
            </w:tabs>
            <w:rPr/>
          </w:pPr>
          <w:hyperlink w:anchor="__RefHeading___Toc6585885_211673320">
            <w:r>
              <w:rPr>
                <w:webHidden/>
                <w:rStyle w:val="IndexLink"/>
                <w:rtl w:val="true"/>
              </w:rPr>
              <w:t>محاولة الرجوع بالقضية إلى واقعها العام</w:t>
            </w:r>
            <w:r>
              <w:rPr>
                <w:rStyle w:val="IndexLink"/>
                <w:rtl w:val="true"/>
              </w:rPr>
              <w:t>:</w:t>
              <w:tab/>
            </w:r>
            <w:r>
              <w:rPr>
                <w:rStyle w:val="IndexLink"/>
              </w:rPr>
              <w:t>23</w:t>
            </w:r>
          </w:hyperlink>
        </w:p>
        <w:p>
          <w:pPr>
            <w:pStyle w:val="Contents3"/>
            <w:tabs>
              <w:tab w:val="clear" w:pos="8459"/>
              <w:tab w:val="right" w:pos="9026" w:leader="dot"/>
            </w:tabs>
            <w:rPr/>
          </w:pPr>
          <w:hyperlink w:anchor="__RefHeading___Toc6585887_211673320">
            <w:r>
              <w:rPr>
                <w:webHidden/>
                <w:rStyle w:val="IndexLink"/>
                <w:rtl w:val="true"/>
              </w:rPr>
              <w:t>عوامل التمذهب</w:t>
            </w:r>
            <w:r>
              <w:rPr>
                <w:rStyle w:val="IndexLink"/>
                <w:rtl w:val="true"/>
              </w:rPr>
              <w:t>:</w:t>
              <w:tab/>
            </w:r>
            <w:r>
              <w:rPr>
                <w:rStyle w:val="IndexLink"/>
              </w:rPr>
              <w:t>23</w:t>
            </w:r>
          </w:hyperlink>
        </w:p>
        <w:p>
          <w:pPr>
            <w:pStyle w:val="Contents4"/>
            <w:tabs>
              <w:tab w:val="clear" w:pos="8176"/>
              <w:tab w:val="right" w:pos="9026" w:leader="dot"/>
            </w:tabs>
            <w:rPr/>
          </w:pPr>
          <w:hyperlink w:anchor="__RefHeading___Toc6585889_211673320">
            <w:r>
              <w:rPr>
                <w:webHidden/>
                <w:rStyle w:val="IndexLink"/>
                <w:rtl w:val="true"/>
              </w:rPr>
              <w:t>تمهيد</w:t>
            </w:r>
            <w:r>
              <w:rPr>
                <w:rStyle w:val="IndexLink"/>
                <w:rtl w:val="true"/>
              </w:rPr>
              <w:tab/>
            </w:r>
            <w:r>
              <w:rPr>
                <w:rStyle w:val="IndexLink"/>
              </w:rPr>
              <w:t>23</w:t>
            </w:r>
          </w:hyperlink>
        </w:p>
        <w:p>
          <w:pPr>
            <w:pStyle w:val="Contents4"/>
            <w:tabs>
              <w:tab w:val="clear" w:pos="8176"/>
              <w:tab w:val="right" w:pos="9026" w:leader="dot"/>
            </w:tabs>
            <w:rPr/>
          </w:pPr>
          <w:hyperlink w:anchor="__RefHeading___Toc6585891_211673320">
            <w:r>
              <w:rPr>
                <w:webHidden/>
                <w:rStyle w:val="IndexLink"/>
              </w:rPr>
              <w:t>1</w:t>
            </w:r>
            <w:r>
              <w:rPr>
                <w:rStyle w:val="IndexLink"/>
                <w:rtl w:val="true"/>
              </w:rPr>
              <w:t xml:space="preserve">- </w:t>
            </w:r>
            <w:r>
              <w:rPr>
                <w:rStyle w:val="IndexLink"/>
                <w:rtl w:val="true"/>
              </w:rPr>
              <w:t>العامل السياسي</w:t>
            </w:r>
            <w:r>
              <w:rPr>
                <w:rStyle w:val="IndexLink"/>
                <w:rtl w:val="true"/>
              </w:rPr>
              <w:t>:</w:t>
              <w:tab/>
            </w:r>
            <w:r>
              <w:rPr>
                <w:rStyle w:val="IndexLink"/>
              </w:rPr>
              <w:t>23</w:t>
            </w:r>
          </w:hyperlink>
        </w:p>
        <w:p>
          <w:pPr>
            <w:pStyle w:val="Contents4"/>
            <w:tabs>
              <w:tab w:val="clear" w:pos="8176"/>
              <w:tab w:val="right" w:pos="9026" w:leader="dot"/>
            </w:tabs>
            <w:rPr/>
          </w:pPr>
          <w:hyperlink w:anchor="__RefHeading___Toc6585893_211673320">
            <w:r>
              <w:rPr>
                <w:webHidden/>
                <w:rStyle w:val="IndexLink"/>
              </w:rPr>
              <w:t>2</w:t>
            </w:r>
            <w:r>
              <w:rPr>
                <w:rStyle w:val="IndexLink"/>
                <w:rtl w:val="true"/>
              </w:rPr>
              <w:t xml:space="preserve">- </w:t>
            </w:r>
            <w:r>
              <w:rPr>
                <w:rStyle w:val="IndexLink"/>
                <w:rtl w:val="true"/>
              </w:rPr>
              <w:t>العامل الطائفي</w:t>
            </w:r>
            <w:r>
              <w:rPr>
                <w:rStyle w:val="IndexLink"/>
                <w:rtl w:val="true"/>
              </w:rPr>
              <w:t>:</w:t>
              <w:tab/>
            </w:r>
            <w:r>
              <w:rPr>
                <w:rStyle w:val="IndexLink"/>
              </w:rPr>
              <w:t>24</w:t>
            </w:r>
          </w:hyperlink>
        </w:p>
        <w:p>
          <w:pPr>
            <w:pStyle w:val="Contents2"/>
            <w:tabs>
              <w:tab w:val="clear" w:pos="8743"/>
              <w:tab w:val="right" w:pos="9026" w:leader="dot"/>
            </w:tabs>
            <w:rPr/>
          </w:pPr>
          <w:hyperlink w:anchor="__RefHeading___Toc6585895_211673320">
            <w:r>
              <w:rPr>
                <w:webHidden/>
                <w:rStyle w:val="IndexLink"/>
                <w:rtl w:val="true"/>
              </w:rPr>
              <w:t>الإمام</w:t>
            </w:r>
            <w:r>
              <w:rPr>
                <w:rStyle w:val="IndexLink"/>
                <w:rtl w:val="true"/>
              </w:rPr>
              <w:tab/>
            </w:r>
            <w:r>
              <w:rPr>
                <w:rStyle w:val="IndexLink"/>
              </w:rPr>
              <w:t>25</w:t>
            </w:r>
          </w:hyperlink>
        </w:p>
        <w:p>
          <w:pPr>
            <w:pStyle w:val="Contents3"/>
            <w:tabs>
              <w:tab w:val="clear" w:pos="8459"/>
              <w:tab w:val="right" w:pos="9026" w:leader="dot"/>
            </w:tabs>
            <w:rPr/>
          </w:pPr>
          <w:hyperlink w:anchor="__RefHeading___Toc6585897_21167332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6585899_211673320">
            <w:r>
              <w:rPr>
                <w:webHidden/>
                <w:rStyle w:val="IndexLink"/>
                <w:rtl w:val="true"/>
              </w:rPr>
              <w:t>نسبه</w:t>
            </w:r>
            <w:r>
              <w:rPr>
                <w:rStyle w:val="IndexLink"/>
                <w:rtl w:val="true"/>
              </w:rPr>
              <w:t>:</w:t>
              <w:tab/>
            </w:r>
            <w:r>
              <w:rPr>
                <w:rStyle w:val="IndexLink"/>
              </w:rPr>
              <w:t>27</w:t>
            </w:r>
          </w:hyperlink>
        </w:p>
        <w:p>
          <w:pPr>
            <w:pStyle w:val="Contents3"/>
            <w:tabs>
              <w:tab w:val="clear" w:pos="8459"/>
              <w:tab w:val="right" w:pos="9026" w:leader="dot"/>
            </w:tabs>
            <w:rPr/>
          </w:pPr>
          <w:hyperlink w:anchor="__RefHeading___Toc6585901_211673320">
            <w:r>
              <w:rPr>
                <w:webHidden/>
                <w:rStyle w:val="IndexLink"/>
                <w:rtl w:val="true"/>
              </w:rPr>
              <w:t>ولادته</w:t>
            </w:r>
            <w:r>
              <w:rPr>
                <w:rStyle w:val="IndexLink"/>
                <w:rtl w:val="true"/>
              </w:rPr>
              <w:t>:</w:t>
              <w:tab/>
            </w:r>
            <w:r>
              <w:rPr>
                <w:rStyle w:val="IndexLink"/>
              </w:rPr>
              <w:t>27</w:t>
            </w:r>
          </w:hyperlink>
        </w:p>
        <w:p>
          <w:pPr>
            <w:pStyle w:val="Contents3"/>
            <w:tabs>
              <w:tab w:val="clear" w:pos="8459"/>
              <w:tab w:val="right" w:pos="9026" w:leader="dot"/>
            </w:tabs>
            <w:rPr/>
          </w:pPr>
          <w:hyperlink w:anchor="__RefHeading___Toc6585903_211673320">
            <w:r>
              <w:rPr>
                <w:webHidden/>
                <w:rStyle w:val="IndexLink"/>
                <w:rtl w:val="true"/>
              </w:rPr>
              <w:t>إمامته</w:t>
            </w:r>
            <w:r>
              <w:rPr>
                <w:rStyle w:val="IndexLink"/>
                <w:rtl w:val="true"/>
              </w:rPr>
              <w:t>:</w:t>
              <w:tab/>
            </w:r>
            <w:r>
              <w:rPr>
                <w:rStyle w:val="IndexLink"/>
              </w:rPr>
              <w:t>27</w:t>
            </w:r>
          </w:hyperlink>
        </w:p>
        <w:p>
          <w:pPr>
            <w:pStyle w:val="Contents3"/>
            <w:tabs>
              <w:tab w:val="clear" w:pos="8459"/>
              <w:tab w:val="right" w:pos="9026" w:leader="dot"/>
            </w:tabs>
            <w:rPr/>
          </w:pPr>
          <w:hyperlink w:anchor="__RefHeading___Toc6585905_211673320">
            <w:r>
              <w:rPr>
                <w:webHidden/>
                <w:rStyle w:val="IndexLink"/>
                <w:rtl w:val="true"/>
              </w:rPr>
              <w:t>غيبته</w:t>
            </w:r>
            <w:r>
              <w:rPr>
                <w:rStyle w:val="IndexLink"/>
                <w:rtl w:val="true"/>
              </w:rPr>
              <w:t>:</w:t>
              <w:tab/>
            </w:r>
            <w:r>
              <w:rPr>
                <w:rStyle w:val="IndexLink"/>
              </w:rPr>
              <w:t>33</w:t>
            </w:r>
          </w:hyperlink>
        </w:p>
        <w:p>
          <w:pPr>
            <w:pStyle w:val="Contents3"/>
            <w:tabs>
              <w:tab w:val="clear" w:pos="8459"/>
              <w:tab w:val="right" w:pos="9026" w:leader="dot"/>
            </w:tabs>
            <w:rPr/>
          </w:pPr>
          <w:hyperlink w:anchor="__RefHeading___Toc6585907_211673320">
            <w:r>
              <w:rPr>
                <w:webHidden/>
                <w:rStyle w:val="IndexLink"/>
                <w:rtl w:val="true"/>
              </w:rPr>
              <w:t>الغيبة الصغرى</w:t>
            </w:r>
            <w:r>
              <w:rPr>
                <w:rStyle w:val="IndexLink"/>
                <w:rtl w:val="true"/>
              </w:rPr>
              <w:t>:</w:t>
              <w:tab/>
            </w:r>
            <w:r>
              <w:rPr>
                <w:rStyle w:val="IndexLink"/>
              </w:rPr>
              <w:t>33</w:t>
            </w:r>
          </w:hyperlink>
        </w:p>
        <w:p>
          <w:pPr>
            <w:pStyle w:val="Contents3"/>
            <w:tabs>
              <w:tab w:val="clear" w:pos="8459"/>
              <w:tab w:val="right" w:pos="9026" w:leader="dot"/>
            </w:tabs>
            <w:rPr/>
          </w:pPr>
          <w:hyperlink w:anchor="__RefHeading___Toc6585909_211673320">
            <w:r>
              <w:rPr>
                <w:webHidden/>
                <w:rStyle w:val="IndexLink"/>
                <w:rtl w:val="true"/>
              </w:rPr>
              <w:t>عوامل الغيبة الصغرى</w:t>
            </w:r>
            <w:r>
              <w:rPr>
                <w:rStyle w:val="IndexLink"/>
                <w:rtl w:val="true"/>
              </w:rPr>
              <w:t>:</w:t>
              <w:tab/>
            </w:r>
            <w:r>
              <w:rPr>
                <w:rStyle w:val="IndexLink"/>
              </w:rPr>
              <w:t>34</w:t>
            </w:r>
          </w:hyperlink>
        </w:p>
        <w:p>
          <w:pPr>
            <w:pStyle w:val="Contents3"/>
            <w:tabs>
              <w:tab w:val="clear" w:pos="8459"/>
              <w:tab w:val="right" w:pos="9026" w:leader="dot"/>
            </w:tabs>
            <w:rPr/>
          </w:pPr>
          <w:hyperlink w:anchor="__RefHeading___Toc6585911_211673320">
            <w:r>
              <w:rPr>
                <w:webHidden/>
                <w:rStyle w:val="IndexLink"/>
                <w:rtl w:val="true"/>
              </w:rPr>
              <w:t>الغيبة الكبرى</w:t>
            </w:r>
            <w:r>
              <w:rPr>
                <w:rStyle w:val="IndexLink"/>
                <w:rtl w:val="true"/>
              </w:rPr>
              <w:t>:</w:t>
              <w:tab/>
            </w:r>
            <w:r>
              <w:rPr>
                <w:rStyle w:val="IndexLink"/>
              </w:rPr>
              <w:t>43</w:t>
            </w:r>
          </w:hyperlink>
        </w:p>
        <w:p>
          <w:pPr>
            <w:pStyle w:val="Contents2"/>
            <w:tabs>
              <w:tab w:val="clear" w:pos="8743"/>
              <w:tab w:val="right" w:pos="9026" w:leader="dot"/>
            </w:tabs>
            <w:rPr/>
          </w:pPr>
          <w:hyperlink w:anchor="__RefHeading___Toc6585913_211673320">
            <w:r>
              <w:rPr>
                <w:webHidden/>
                <w:rStyle w:val="IndexLink"/>
                <w:rtl w:val="true"/>
              </w:rPr>
              <w:t>وجود الإمام</w:t>
            </w:r>
            <w:r>
              <w:rPr>
                <w:rStyle w:val="IndexLink"/>
                <w:rtl w:val="true"/>
              </w:rPr>
              <w:t>:</w:t>
              <w:tab/>
            </w:r>
            <w:r>
              <w:rPr>
                <w:rStyle w:val="IndexLink"/>
              </w:rPr>
              <w:t>45</w:t>
            </w:r>
          </w:hyperlink>
        </w:p>
        <w:p>
          <w:pPr>
            <w:pStyle w:val="Contents3"/>
            <w:tabs>
              <w:tab w:val="clear" w:pos="8459"/>
              <w:tab w:val="right" w:pos="9026" w:leader="dot"/>
            </w:tabs>
            <w:rPr/>
          </w:pPr>
          <w:hyperlink w:anchor="__RefHeading___Toc6585915_2116733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6585917_211673320">
            <w:r>
              <w:rPr>
                <w:webHidden/>
                <w:rStyle w:val="IndexLink"/>
                <w:rtl w:val="true"/>
              </w:rPr>
              <w:t>منهج البحث</w:t>
            </w:r>
            <w:r>
              <w:rPr>
                <w:rStyle w:val="IndexLink"/>
                <w:rtl w:val="true"/>
              </w:rPr>
              <w:t>:</w:t>
              <w:tab/>
            </w:r>
            <w:r>
              <w:rPr>
                <w:rStyle w:val="IndexLink"/>
              </w:rPr>
              <w:t>47</w:t>
            </w:r>
          </w:hyperlink>
        </w:p>
        <w:p>
          <w:pPr>
            <w:pStyle w:val="Contents3"/>
            <w:tabs>
              <w:tab w:val="clear" w:pos="8459"/>
              <w:tab w:val="right" w:pos="9026" w:leader="dot"/>
            </w:tabs>
            <w:rPr/>
          </w:pPr>
          <w:hyperlink w:anchor="__RefHeading___Toc6585919_211673320">
            <w:r>
              <w:rPr>
                <w:webHidden/>
                <w:rStyle w:val="IndexLink"/>
              </w:rPr>
              <w:t>1</w:t>
            </w:r>
            <w:r>
              <w:rPr>
                <w:rStyle w:val="IndexLink"/>
                <w:rtl w:val="true"/>
              </w:rPr>
              <w:t xml:space="preserve">- </w:t>
            </w:r>
            <w:r>
              <w:rPr>
                <w:rStyle w:val="IndexLink"/>
                <w:rtl w:val="true"/>
              </w:rPr>
              <w:t>حول الإمكان</w:t>
            </w:r>
            <w:r>
              <w:rPr>
                <w:rStyle w:val="IndexLink"/>
                <w:rtl w:val="true"/>
              </w:rPr>
              <w:t>:</w:t>
              <w:tab/>
            </w:r>
            <w:r>
              <w:rPr>
                <w:rStyle w:val="IndexLink"/>
              </w:rPr>
              <w:t>47</w:t>
            </w:r>
          </w:hyperlink>
        </w:p>
        <w:p>
          <w:pPr>
            <w:pStyle w:val="Contents4"/>
            <w:tabs>
              <w:tab w:val="clear" w:pos="8176"/>
              <w:tab w:val="right" w:pos="9026" w:leader="dot"/>
            </w:tabs>
            <w:rPr/>
          </w:pPr>
          <w:hyperlink w:anchor="__RefHeading___Toc6585921_2116733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6585923_211673320">
            <w:r>
              <w:rPr>
                <w:webHidden/>
                <w:rStyle w:val="IndexLink"/>
                <w:rtl w:val="true"/>
              </w:rPr>
              <w:t>أ</w:t>
            </w:r>
            <w:r>
              <w:rPr>
                <w:rStyle w:val="IndexLink"/>
                <w:rtl w:val="true"/>
              </w:rPr>
              <w:t xml:space="preserve">- </w:t>
            </w:r>
            <w:r>
              <w:rPr>
                <w:rStyle w:val="IndexLink"/>
                <w:rtl w:val="true"/>
              </w:rPr>
              <w:t>على الصعيد الفلسفي</w:t>
            </w:r>
            <w:r>
              <w:rPr>
                <w:rStyle w:val="IndexLink"/>
                <w:rtl w:val="true"/>
              </w:rPr>
              <w:t>:</w:t>
              <w:tab/>
            </w:r>
            <w:r>
              <w:rPr>
                <w:rStyle w:val="IndexLink"/>
              </w:rPr>
              <w:t>47</w:t>
            </w:r>
          </w:hyperlink>
        </w:p>
        <w:p>
          <w:pPr>
            <w:pStyle w:val="Contents4"/>
            <w:tabs>
              <w:tab w:val="clear" w:pos="8176"/>
              <w:tab w:val="right" w:pos="9026" w:leader="dot"/>
            </w:tabs>
            <w:rPr/>
          </w:pPr>
          <w:hyperlink w:anchor="__RefHeading___Toc6585925_211673320">
            <w:r>
              <w:rPr>
                <w:webHidden/>
                <w:rStyle w:val="IndexLink"/>
                <w:rtl w:val="true"/>
              </w:rPr>
              <w:t xml:space="preserve">ب </w:t>
            </w:r>
            <w:r>
              <w:rPr>
                <w:rStyle w:val="IndexLink"/>
                <w:rtl w:val="true"/>
              </w:rPr>
              <w:t xml:space="preserve">- </w:t>
            </w:r>
            <w:r>
              <w:rPr>
                <w:rStyle w:val="IndexLink"/>
                <w:rtl w:val="true"/>
              </w:rPr>
              <w:t>على الصعيد العلمي</w:t>
            </w:r>
            <w:r>
              <w:rPr>
                <w:rStyle w:val="IndexLink"/>
                <w:rtl w:val="true"/>
              </w:rPr>
              <w:t>:</w:t>
              <w:tab/>
            </w:r>
            <w:r>
              <w:rPr>
                <w:rStyle w:val="IndexLink"/>
              </w:rPr>
              <w:t>48</w:t>
            </w:r>
          </w:hyperlink>
        </w:p>
        <w:p>
          <w:pPr>
            <w:pStyle w:val="Contents3"/>
            <w:tabs>
              <w:tab w:val="clear" w:pos="8459"/>
              <w:tab w:val="right" w:pos="9026" w:leader="dot"/>
            </w:tabs>
            <w:rPr/>
          </w:pPr>
          <w:hyperlink w:anchor="__RefHeading___Toc6585927_211673320">
            <w:r>
              <w:rPr>
                <w:webHidden/>
                <w:rStyle w:val="IndexLink"/>
              </w:rPr>
              <w:t>2</w:t>
            </w:r>
            <w:r>
              <w:rPr>
                <w:rStyle w:val="IndexLink"/>
                <w:rtl w:val="true"/>
              </w:rPr>
              <w:t xml:space="preserve">- </w:t>
            </w:r>
            <w:r>
              <w:rPr>
                <w:rStyle w:val="IndexLink"/>
                <w:rtl w:val="true"/>
              </w:rPr>
              <w:t>حول الوقوع</w:t>
            </w:r>
            <w:r>
              <w:rPr>
                <w:rStyle w:val="IndexLink"/>
                <w:rtl w:val="true"/>
              </w:rPr>
              <w:t>:</w:t>
              <w:tab/>
            </w:r>
            <w:r>
              <w:rPr>
                <w:rStyle w:val="IndexLink"/>
              </w:rPr>
              <w:t>49</w:t>
            </w:r>
          </w:hyperlink>
        </w:p>
        <w:p>
          <w:pPr>
            <w:pStyle w:val="Contents4"/>
            <w:tabs>
              <w:tab w:val="clear" w:pos="8176"/>
              <w:tab w:val="right" w:pos="9026" w:leader="dot"/>
            </w:tabs>
            <w:rPr/>
          </w:pPr>
          <w:hyperlink w:anchor="__RefHeading___Toc6585929_211673320">
            <w:r>
              <w:rPr>
                <w:webHidden/>
                <w:rStyle w:val="IndexLink"/>
              </w:rPr>
              <w:t>1</w:t>
            </w:r>
            <w:r>
              <w:rPr>
                <w:rStyle w:val="IndexLink"/>
                <w:rtl w:val="true"/>
              </w:rPr>
              <w:t xml:space="preserve">- </w:t>
            </w:r>
            <w:r>
              <w:rPr>
                <w:rStyle w:val="IndexLink"/>
                <w:rtl w:val="true"/>
              </w:rPr>
              <w:t xml:space="preserve">الدليل النقلى </w:t>
            </w:r>
            <w:r>
              <w:rPr>
                <w:rStyle w:val="IndexLink"/>
                <w:rtl w:val="true"/>
              </w:rPr>
              <w:t>:</w:t>
              <w:tab/>
            </w:r>
            <w:r>
              <w:rPr>
                <w:rStyle w:val="IndexLink"/>
              </w:rPr>
              <w:t>49</w:t>
            </w:r>
          </w:hyperlink>
        </w:p>
        <w:p>
          <w:pPr>
            <w:pStyle w:val="Contents4"/>
            <w:tabs>
              <w:tab w:val="clear" w:pos="8176"/>
              <w:tab w:val="right" w:pos="9026" w:leader="dot"/>
            </w:tabs>
            <w:rPr/>
          </w:pPr>
          <w:hyperlink w:anchor="__RefHeading___Toc6585931_211673320">
            <w:r>
              <w:rPr>
                <w:webHidden/>
                <w:rStyle w:val="IndexLink"/>
              </w:rPr>
              <w:t>2</w:t>
            </w:r>
            <w:r>
              <w:rPr>
                <w:rStyle w:val="IndexLink"/>
                <w:rtl w:val="true"/>
              </w:rPr>
              <w:t xml:space="preserve"> - </w:t>
            </w:r>
            <w:r>
              <w:rPr>
                <w:rStyle w:val="IndexLink"/>
                <w:rtl w:val="true"/>
              </w:rPr>
              <w:t xml:space="preserve">الدليل التاريخي </w:t>
            </w:r>
            <w:r>
              <w:rPr>
                <w:rStyle w:val="IndexLink"/>
                <w:rtl w:val="true"/>
              </w:rPr>
              <w:t>:</w:t>
              <w:tab/>
            </w:r>
            <w:r>
              <w:rPr>
                <w:rStyle w:val="IndexLink"/>
              </w:rPr>
              <w:t>51</w:t>
            </w:r>
          </w:hyperlink>
        </w:p>
        <w:p>
          <w:pPr>
            <w:pStyle w:val="Contents4"/>
            <w:tabs>
              <w:tab w:val="clear" w:pos="8176"/>
              <w:tab w:val="right" w:pos="9026" w:leader="dot"/>
            </w:tabs>
            <w:rPr/>
          </w:pPr>
          <w:hyperlink w:anchor="__RefHeading___Toc6585933_211673320">
            <w:r>
              <w:rPr>
                <w:webHidden/>
                <w:rStyle w:val="IndexLink"/>
              </w:rPr>
              <w:t>3</w:t>
            </w:r>
            <w:r>
              <w:rPr>
                <w:rStyle w:val="IndexLink"/>
                <w:rtl w:val="true"/>
              </w:rPr>
              <w:t xml:space="preserve">- </w:t>
            </w:r>
            <w:r>
              <w:rPr>
                <w:rStyle w:val="IndexLink"/>
                <w:rtl w:val="true"/>
              </w:rPr>
              <w:t xml:space="preserve">الدليل العقائدي </w:t>
            </w:r>
            <w:r>
              <w:rPr>
                <w:rStyle w:val="IndexLink"/>
                <w:rtl w:val="true"/>
              </w:rPr>
              <w:t>:</w:t>
              <w:tab/>
            </w:r>
            <w:r>
              <w:rPr>
                <w:rStyle w:val="IndexLink"/>
              </w:rPr>
              <w:t>51</w:t>
            </w:r>
          </w:hyperlink>
        </w:p>
        <w:p>
          <w:pPr>
            <w:pStyle w:val="Contents4"/>
            <w:tabs>
              <w:tab w:val="clear" w:pos="8176"/>
              <w:tab w:val="right" w:pos="9026" w:leader="dot"/>
            </w:tabs>
            <w:rPr/>
          </w:pPr>
          <w:hyperlink w:anchor="__RefHeading___Toc6585935_211673320">
            <w:r>
              <w:rPr>
                <w:webHidden/>
                <w:rStyle w:val="IndexLink"/>
              </w:rPr>
              <w:t>4</w:t>
            </w:r>
            <w:r>
              <w:rPr>
                <w:rStyle w:val="IndexLink"/>
                <w:rtl w:val="true"/>
              </w:rPr>
              <w:t xml:space="preserve"> - </w:t>
            </w:r>
            <w:r>
              <w:rPr>
                <w:rStyle w:val="IndexLink"/>
                <w:rtl w:val="true"/>
              </w:rPr>
              <w:t>الدليل التشريعي</w:t>
            </w:r>
            <w:r>
              <w:rPr>
                <w:rStyle w:val="IndexLink"/>
                <w:rtl w:val="true"/>
              </w:rPr>
              <w:t>:</w:t>
              <w:tab/>
            </w:r>
            <w:r>
              <w:rPr>
                <w:rStyle w:val="IndexLink"/>
              </w:rPr>
              <w:t>51</w:t>
            </w:r>
          </w:hyperlink>
        </w:p>
        <w:p>
          <w:pPr>
            <w:pStyle w:val="Contents4"/>
            <w:tabs>
              <w:tab w:val="clear" w:pos="8176"/>
              <w:tab w:val="right" w:pos="9026" w:leader="dot"/>
            </w:tabs>
            <w:rPr/>
          </w:pPr>
          <w:hyperlink w:anchor="__RefHeading___Toc6585937_211673320">
            <w:r>
              <w:rPr>
                <w:webHidden/>
                <w:rStyle w:val="IndexLink"/>
              </w:rPr>
              <w:t>5</w:t>
            </w:r>
            <w:r>
              <w:rPr>
                <w:rStyle w:val="IndexLink"/>
                <w:rtl w:val="true"/>
              </w:rPr>
              <w:t>-</w:t>
            </w:r>
            <w:r>
              <w:rPr>
                <w:rStyle w:val="IndexLink"/>
                <w:rtl w:val="true"/>
              </w:rPr>
              <w:t xml:space="preserve">الدليل العلمي </w:t>
            </w:r>
            <w:r>
              <w:rPr>
                <w:rStyle w:val="IndexLink"/>
                <w:rtl w:val="true"/>
              </w:rPr>
              <w:t>:</w:t>
              <w:tab/>
            </w:r>
            <w:r>
              <w:rPr>
                <w:rStyle w:val="IndexLink"/>
              </w:rPr>
              <w:t>54</w:t>
            </w:r>
          </w:hyperlink>
        </w:p>
        <w:p>
          <w:pPr>
            <w:pStyle w:val="Contents2"/>
            <w:tabs>
              <w:tab w:val="clear" w:pos="8743"/>
              <w:tab w:val="right" w:pos="9026" w:leader="dot"/>
            </w:tabs>
            <w:rPr/>
          </w:pPr>
          <w:hyperlink w:anchor="__RefHeading___Toc6585939_211673320">
            <w:r>
              <w:rPr>
                <w:webHidden/>
                <w:rStyle w:val="IndexLink"/>
                <w:rtl w:val="true"/>
              </w:rPr>
              <w:t>دولة الإمام</w:t>
            </w:r>
            <w:r>
              <w:rPr>
                <w:rStyle w:val="IndexLink"/>
                <w:rtl w:val="true"/>
              </w:rPr>
              <w:tab/>
            </w:r>
            <w:r>
              <w:rPr>
                <w:rStyle w:val="IndexLink"/>
              </w:rPr>
              <w:t>59</w:t>
            </w:r>
          </w:hyperlink>
        </w:p>
        <w:p>
          <w:pPr>
            <w:pStyle w:val="Contents3"/>
            <w:tabs>
              <w:tab w:val="clear" w:pos="8459"/>
              <w:tab w:val="right" w:pos="9026" w:leader="dot"/>
            </w:tabs>
            <w:rPr/>
          </w:pPr>
          <w:hyperlink w:anchor="__RefHeading___Toc6585941_211673320">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6585943_211673320">
            <w:r>
              <w:rPr>
                <w:webHidden/>
                <w:rStyle w:val="IndexLink"/>
                <w:rtl w:val="true"/>
              </w:rPr>
              <w:t xml:space="preserve">بين دولة النبي ودولة الإمام </w:t>
            </w:r>
            <w:r>
              <w:rPr>
                <w:rStyle w:val="IndexLink"/>
                <w:rtl w:val="true"/>
              </w:rPr>
              <w:t>:</w:t>
              <w:tab/>
            </w:r>
            <w:r>
              <w:rPr>
                <w:rStyle w:val="IndexLink"/>
              </w:rPr>
              <w:t>61</w:t>
            </w:r>
          </w:hyperlink>
        </w:p>
        <w:p>
          <w:pPr>
            <w:pStyle w:val="Contents3"/>
            <w:tabs>
              <w:tab w:val="clear" w:pos="8459"/>
              <w:tab w:val="right" w:pos="9026" w:leader="dot"/>
            </w:tabs>
            <w:rPr/>
          </w:pPr>
          <w:hyperlink w:anchor="__RefHeading___Toc6585945_211673320">
            <w:r>
              <w:rPr>
                <w:webHidden/>
                <w:rStyle w:val="IndexLink"/>
                <w:rtl w:val="true"/>
              </w:rPr>
              <w:t xml:space="preserve">عالمية النفوذ السياسي </w:t>
            </w:r>
            <w:r>
              <w:rPr>
                <w:rStyle w:val="IndexLink"/>
                <w:rtl w:val="true"/>
              </w:rPr>
              <w:t>:</w:t>
              <w:tab/>
            </w:r>
            <w:r>
              <w:rPr>
                <w:rStyle w:val="IndexLink"/>
              </w:rPr>
              <w:t>63</w:t>
            </w:r>
          </w:hyperlink>
        </w:p>
        <w:p>
          <w:pPr>
            <w:pStyle w:val="Contents3"/>
            <w:tabs>
              <w:tab w:val="clear" w:pos="8459"/>
              <w:tab w:val="right" w:pos="9026" w:leader="dot"/>
            </w:tabs>
            <w:rPr/>
          </w:pPr>
          <w:hyperlink w:anchor="__RefHeading___Toc6585947_211673320">
            <w:r>
              <w:rPr>
                <w:webHidden/>
                <w:rStyle w:val="IndexLink"/>
                <w:rtl w:val="true"/>
              </w:rPr>
              <w:t xml:space="preserve">وحدة سيرة الإمام والنبي </w:t>
            </w:r>
            <w:r>
              <w:rPr>
                <w:rStyle w:val="IndexLink"/>
                <w:rtl w:val="true"/>
              </w:rPr>
              <w:t>:</w:t>
              <w:tab/>
            </w:r>
            <w:r>
              <w:rPr>
                <w:rStyle w:val="IndexLink"/>
              </w:rPr>
              <w:t>66</w:t>
            </w:r>
          </w:hyperlink>
        </w:p>
        <w:p>
          <w:pPr>
            <w:pStyle w:val="Contents2"/>
            <w:tabs>
              <w:tab w:val="clear" w:pos="8743"/>
              <w:tab w:val="right" w:pos="9026" w:leader="dot"/>
            </w:tabs>
            <w:rPr/>
          </w:pPr>
          <w:hyperlink w:anchor="__RefHeading___Toc6585949_211673320">
            <w:r>
              <w:rPr>
                <w:webHidden/>
                <w:rStyle w:val="IndexLink"/>
                <w:rtl w:val="true"/>
              </w:rPr>
              <w:t>انتظار الإمام</w:t>
            </w:r>
            <w:r>
              <w:rPr>
                <w:rStyle w:val="IndexLink"/>
                <w:rtl w:val="true"/>
              </w:rPr>
              <w:tab/>
            </w:r>
            <w:r>
              <w:rPr>
                <w:rStyle w:val="IndexLink"/>
              </w:rPr>
              <w:t>69</w:t>
            </w:r>
          </w:hyperlink>
        </w:p>
        <w:p>
          <w:pPr>
            <w:pStyle w:val="Contents3"/>
            <w:tabs>
              <w:tab w:val="clear" w:pos="8459"/>
              <w:tab w:val="right" w:pos="9026" w:leader="dot"/>
            </w:tabs>
            <w:rPr/>
          </w:pPr>
          <w:hyperlink w:anchor="__RefHeading___Toc6585951_211673320">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6585953_211673320">
            <w:r>
              <w:rPr>
                <w:webHidden/>
                <w:rStyle w:val="IndexLink"/>
                <w:rtl w:val="true"/>
              </w:rPr>
              <w:t xml:space="preserve">توطئة </w:t>
            </w:r>
            <w:r>
              <w:rPr>
                <w:rStyle w:val="IndexLink"/>
                <w:rtl w:val="true"/>
              </w:rPr>
              <w:t>:</w:t>
              <w:tab/>
            </w:r>
            <w:r>
              <w:rPr>
                <w:rStyle w:val="IndexLink"/>
              </w:rPr>
              <w:t>71</w:t>
            </w:r>
          </w:hyperlink>
        </w:p>
        <w:p>
          <w:pPr>
            <w:pStyle w:val="Contents3"/>
            <w:tabs>
              <w:tab w:val="clear" w:pos="8459"/>
              <w:tab w:val="right" w:pos="9026" w:leader="dot"/>
            </w:tabs>
            <w:rPr/>
          </w:pPr>
          <w:hyperlink w:anchor="__RefHeading___Toc6585955_211673320">
            <w:r>
              <w:rPr>
                <w:webHidden/>
                <w:rStyle w:val="IndexLink"/>
                <w:rtl w:val="true"/>
              </w:rPr>
              <w:t>فإذن ما هو الانتظار؟</w:t>
            </w:r>
            <w:r>
              <w:rPr>
                <w:rStyle w:val="IndexLink"/>
                <w:rtl w:val="true"/>
              </w:rPr>
              <w:t>:</w:t>
              <w:tab/>
            </w:r>
            <w:r>
              <w:rPr>
                <w:rStyle w:val="IndexLink"/>
              </w:rPr>
              <w:t>73</w:t>
            </w:r>
          </w:hyperlink>
        </w:p>
        <w:p>
          <w:pPr>
            <w:pStyle w:val="Contents3"/>
            <w:tabs>
              <w:tab w:val="clear" w:pos="8459"/>
              <w:tab w:val="right" w:pos="9026" w:leader="dot"/>
            </w:tabs>
            <w:rPr/>
          </w:pPr>
          <w:hyperlink w:anchor="__RefHeading___Toc6585957_211673320">
            <w:r>
              <w:rPr>
                <w:webHidden/>
                <w:rStyle w:val="IndexLink"/>
                <w:rtl w:val="true"/>
              </w:rPr>
              <w:t xml:space="preserve">فصل الدين عن السياسة </w:t>
            </w:r>
            <w:r>
              <w:rPr>
                <w:rStyle w:val="IndexLink"/>
                <w:rtl w:val="true"/>
              </w:rPr>
              <w:t>:</w:t>
              <w:tab/>
            </w:r>
            <w:r>
              <w:rPr>
                <w:rStyle w:val="IndexLink"/>
              </w:rPr>
              <w:t>78</w:t>
            </w:r>
          </w:hyperlink>
        </w:p>
        <w:p>
          <w:pPr>
            <w:pStyle w:val="Contents2"/>
            <w:tabs>
              <w:tab w:val="clear" w:pos="8743"/>
              <w:tab w:val="right" w:pos="9026" w:leader="dot"/>
            </w:tabs>
            <w:rPr/>
          </w:pPr>
          <w:hyperlink w:anchor="__RefHeading___Toc6585959_211673320">
            <w:r>
              <w:rPr>
                <w:webHidden/>
                <w:rStyle w:val="IndexLink"/>
                <w:rtl w:val="true"/>
              </w:rPr>
              <w:t>رئيس الدولة</w:t>
            </w:r>
            <w:r>
              <w:rPr>
                <w:rStyle w:val="IndexLink"/>
                <w:rtl w:val="true"/>
              </w:rPr>
              <w:tab/>
            </w:r>
            <w:r>
              <w:rPr>
                <w:rStyle w:val="IndexLink"/>
              </w:rPr>
              <w:t>83</w:t>
            </w:r>
          </w:hyperlink>
        </w:p>
        <w:p>
          <w:pPr>
            <w:pStyle w:val="Contents3"/>
            <w:tabs>
              <w:tab w:val="clear" w:pos="8459"/>
              <w:tab w:val="right" w:pos="9026" w:leader="dot"/>
            </w:tabs>
            <w:rPr/>
          </w:pPr>
          <w:hyperlink w:anchor="__RefHeading___Toc6585961_21167332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6585963_211673320">
            <w:r>
              <w:rPr>
                <w:webHidden/>
                <w:rStyle w:val="IndexLink"/>
                <w:rtl w:val="true"/>
              </w:rPr>
              <w:t xml:space="preserve">نائب الإمام </w:t>
            </w:r>
            <w:r>
              <w:rPr>
                <w:rStyle w:val="IndexLink"/>
                <w:rtl w:val="true"/>
              </w:rPr>
              <w:t xml:space="preserve">( </w:t>
            </w:r>
            <w:r>
              <w:rPr>
                <w:rStyle w:val="IndexLink"/>
                <w:rtl w:val="true"/>
              </w:rPr>
              <w:t xml:space="preserve">أو الحاكم الأعلى زمن الغيبة </w:t>
            </w:r>
            <w:r>
              <w:rPr>
                <w:rStyle w:val="IndexLink"/>
                <w:rtl w:val="true"/>
              </w:rPr>
              <w:t>)</w:t>
              <w:tab/>
            </w:r>
            <w:r>
              <w:rPr>
                <w:rStyle w:val="IndexLink"/>
              </w:rPr>
              <w:t>85</w:t>
            </w:r>
          </w:hyperlink>
        </w:p>
        <w:p>
          <w:pPr>
            <w:pStyle w:val="Contents3"/>
            <w:tabs>
              <w:tab w:val="clear" w:pos="8459"/>
              <w:tab w:val="right" w:pos="9026" w:leader="dot"/>
            </w:tabs>
            <w:rPr/>
          </w:pPr>
          <w:hyperlink w:anchor="__RefHeading___Toc6585965_211673320">
            <w:r>
              <w:rPr>
                <w:webHidden/>
                <w:rStyle w:val="IndexLink"/>
                <w:rtl w:val="true"/>
              </w:rPr>
              <w:t xml:space="preserve">ويناقش هذا الاستدلال بما خلاصته </w:t>
            </w:r>
            <w:r>
              <w:rPr>
                <w:rStyle w:val="IndexLink"/>
                <w:rtl w:val="true"/>
              </w:rPr>
              <w:t>:</w:t>
              <w:tab/>
            </w:r>
            <w:r>
              <w:rPr>
                <w:rStyle w:val="IndexLink"/>
              </w:rPr>
              <w:t>86</w:t>
            </w:r>
          </w:hyperlink>
        </w:p>
        <w:p>
          <w:pPr>
            <w:pStyle w:val="Contents3"/>
            <w:tabs>
              <w:tab w:val="clear" w:pos="8459"/>
              <w:tab w:val="right" w:pos="9026" w:leader="dot"/>
            </w:tabs>
            <w:rPr/>
          </w:pPr>
          <w:hyperlink w:anchor="__RefHeading___Toc6585967_211673320">
            <w:r>
              <w:rPr>
                <w:webHidden/>
                <w:rStyle w:val="IndexLink"/>
                <w:rtl w:val="true"/>
              </w:rPr>
              <w:t xml:space="preserve">حصيلة الاستدلال </w:t>
            </w:r>
            <w:r>
              <w:rPr>
                <w:rStyle w:val="IndexLink"/>
                <w:rtl w:val="true"/>
              </w:rPr>
              <w:t>:</w:t>
              <w:tab/>
            </w:r>
            <w:r>
              <w:rPr>
                <w:rStyle w:val="IndexLink"/>
              </w:rPr>
              <w:t>88</w:t>
            </w:r>
          </w:hyperlink>
        </w:p>
        <w:p>
          <w:pPr>
            <w:pStyle w:val="Contents3"/>
            <w:tabs>
              <w:tab w:val="clear" w:pos="8459"/>
              <w:tab w:val="right" w:pos="9026" w:leader="dot"/>
            </w:tabs>
            <w:rPr/>
          </w:pPr>
          <w:hyperlink w:anchor="__RefHeading___Toc6585969_211673320">
            <w:r>
              <w:rPr>
                <w:webHidden/>
                <w:rStyle w:val="IndexLink"/>
                <w:rtl w:val="true"/>
              </w:rPr>
              <w:t>منهج البحث لدى الفقهاء</w:t>
            </w:r>
            <w:r>
              <w:rPr>
                <w:rStyle w:val="IndexLink"/>
                <w:rtl w:val="true"/>
              </w:rPr>
              <w:t>:</w:t>
              <w:tab/>
            </w:r>
            <w:r>
              <w:rPr>
                <w:rStyle w:val="IndexLink"/>
              </w:rPr>
              <w:t>90</w:t>
            </w:r>
          </w:hyperlink>
        </w:p>
        <w:p>
          <w:pPr>
            <w:pStyle w:val="Contents3"/>
            <w:tabs>
              <w:tab w:val="clear" w:pos="8459"/>
              <w:tab w:val="right" w:pos="9026" w:leader="dot"/>
            </w:tabs>
            <w:rPr/>
          </w:pPr>
          <w:hyperlink w:anchor="__RefHeading___Toc6585971_211673320">
            <w:r>
              <w:rPr>
                <w:webHidden/>
                <w:rStyle w:val="IndexLink"/>
                <w:rtl w:val="true"/>
              </w:rPr>
              <w:t xml:space="preserve">وخلاصة الاستدلال بها </w:t>
            </w:r>
            <w:r>
              <w:rPr>
                <w:rStyle w:val="IndexLink"/>
                <w:rtl w:val="true"/>
              </w:rPr>
              <w:t>:</w:t>
              <w:tab/>
            </w:r>
            <w:r>
              <w:rPr>
                <w:rStyle w:val="IndexLink"/>
              </w:rPr>
              <w:t>100</w:t>
            </w:r>
          </w:hyperlink>
        </w:p>
        <w:p>
          <w:pPr>
            <w:pStyle w:val="Contents3"/>
            <w:tabs>
              <w:tab w:val="clear" w:pos="8459"/>
              <w:tab w:val="right" w:pos="9026" w:leader="dot"/>
            </w:tabs>
            <w:rPr/>
          </w:pPr>
          <w:hyperlink w:anchor="__RefHeading___Toc6585973_211673320">
            <w:r>
              <w:rPr>
                <w:webHidden/>
                <w:rStyle w:val="IndexLink"/>
                <w:rtl w:val="true"/>
              </w:rPr>
              <w:t xml:space="preserve">ويناقش بما حاصله </w:t>
            </w:r>
            <w:r>
              <w:rPr>
                <w:rStyle w:val="IndexLink"/>
                <w:rtl w:val="true"/>
              </w:rPr>
              <w:t>:</w:t>
              <w:tab/>
            </w:r>
            <w:r>
              <w:rPr>
                <w:rStyle w:val="IndexLink"/>
              </w:rPr>
              <w:t>101</w:t>
            </w:r>
          </w:hyperlink>
        </w:p>
        <w:p>
          <w:pPr>
            <w:pStyle w:val="Contents3"/>
            <w:tabs>
              <w:tab w:val="clear" w:pos="8459"/>
              <w:tab w:val="right" w:pos="9026" w:leader="dot"/>
            </w:tabs>
            <w:rPr/>
          </w:pPr>
          <w:hyperlink w:anchor="__RefHeading___Toc6585975_211673320">
            <w:r>
              <w:rPr>
                <w:webHidden/>
                <w:rStyle w:val="IndexLink"/>
                <w:rtl w:val="true"/>
              </w:rPr>
              <w:t xml:space="preserve">وأجيب عنه </w:t>
            </w:r>
            <w:r>
              <w:rPr>
                <w:rStyle w:val="IndexLink"/>
                <w:rtl w:val="true"/>
              </w:rPr>
              <w:t>:</w:t>
              <w:tab/>
            </w:r>
            <w:r>
              <w:rPr>
                <w:rStyle w:val="IndexLink"/>
              </w:rPr>
              <w:t>101</w:t>
            </w:r>
          </w:hyperlink>
        </w:p>
        <w:p>
          <w:pPr>
            <w:pStyle w:val="Contents3"/>
            <w:tabs>
              <w:tab w:val="clear" w:pos="8459"/>
              <w:tab w:val="right" w:pos="9026" w:leader="dot"/>
            </w:tabs>
            <w:rPr/>
          </w:pPr>
          <w:hyperlink w:anchor="__RefHeading___Toc6585977_211673320">
            <w:r>
              <w:rPr>
                <w:webHidden/>
                <w:rStyle w:val="IndexLink"/>
                <w:rtl w:val="true"/>
              </w:rPr>
              <w:t xml:space="preserve">وأستدل بها </w:t>
            </w:r>
            <w:r>
              <w:rPr>
                <w:rStyle w:val="IndexLink"/>
                <w:rtl w:val="true"/>
              </w:rPr>
              <w:t>:</w:t>
              <w:tab/>
            </w:r>
            <w:r>
              <w:rPr>
                <w:rStyle w:val="IndexLink"/>
              </w:rPr>
              <w:t>103</w:t>
            </w:r>
          </w:hyperlink>
        </w:p>
        <w:p>
          <w:pPr>
            <w:pStyle w:val="Contents3"/>
            <w:tabs>
              <w:tab w:val="clear" w:pos="8459"/>
              <w:tab w:val="right" w:pos="9026" w:leader="dot"/>
            </w:tabs>
            <w:rPr/>
          </w:pPr>
          <w:hyperlink w:anchor="__RefHeading___Toc6585979_211673320">
            <w:r>
              <w:rPr>
                <w:webHidden/>
                <w:rStyle w:val="IndexLink"/>
                <w:rtl w:val="true"/>
              </w:rPr>
              <w:t xml:space="preserve">ونوقش بما يلي </w:t>
            </w:r>
            <w:r>
              <w:rPr>
                <w:rStyle w:val="IndexLink"/>
                <w:rtl w:val="true"/>
              </w:rPr>
              <w:t>:</w:t>
              <w:tab/>
            </w:r>
            <w:r>
              <w:rPr>
                <w:rStyle w:val="IndexLink"/>
              </w:rPr>
              <w:t>103</w:t>
            </w:r>
          </w:hyperlink>
        </w:p>
        <w:p>
          <w:pPr>
            <w:pStyle w:val="Contents3"/>
            <w:tabs>
              <w:tab w:val="clear" w:pos="8459"/>
              <w:tab w:val="right" w:pos="9026" w:leader="dot"/>
            </w:tabs>
            <w:rPr/>
          </w:pPr>
          <w:hyperlink w:anchor="__RefHeading___Toc6585981_211673320">
            <w:r>
              <w:rPr>
                <w:webHidden/>
                <w:rStyle w:val="IndexLink"/>
                <w:rtl w:val="true"/>
              </w:rPr>
              <w:t xml:space="preserve">وملخص الاستدلال به </w:t>
            </w:r>
            <w:r>
              <w:rPr>
                <w:rStyle w:val="IndexLink"/>
                <w:rtl w:val="true"/>
              </w:rPr>
              <w:t>:</w:t>
              <w:tab/>
            </w:r>
            <w:r>
              <w:rPr>
                <w:rStyle w:val="IndexLink"/>
              </w:rPr>
              <w:t>104</w:t>
            </w:r>
          </w:hyperlink>
        </w:p>
        <w:p>
          <w:pPr>
            <w:pStyle w:val="Contents2"/>
            <w:tabs>
              <w:tab w:val="clear" w:pos="8743"/>
              <w:tab w:val="right" w:pos="9026" w:leader="dot"/>
            </w:tabs>
            <w:rPr/>
          </w:pPr>
          <w:hyperlink w:anchor="__RefHeading___Toc6585983_211673320">
            <w:r>
              <w:rPr>
                <w:webHidden/>
                <w:rStyle w:val="IndexLink"/>
                <w:rtl w:val="true"/>
              </w:rPr>
              <w:t>تكوين الدولة</w:t>
            </w:r>
            <w:r>
              <w:rPr>
                <w:rStyle w:val="IndexLink"/>
                <w:rtl w:val="true"/>
              </w:rPr>
              <w:tab/>
            </w:r>
            <w:r>
              <w:rPr>
                <w:rStyle w:val="IndexLink"/>
              </w:rPr>
              <w:t>111</w:t>
            </w:r>
          </w:hyperlink>
        </w:p>
        <w:p>
          <w:pPr>
            <w:pStyle w:val="Contents3"/>
            <w:tabs>
              <w:tab w:val="clear" w:pos="8459"/>
              <w:tab w:val="right" w:pos="9026" w:leader="dot"/>
            </w:tabs>
            <w:rPr/>
          </w:pPr>
          <w:hyperlink w:anchor="__RefHeading___Toc6585985_211673320">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6585987_211673320">
            <w:r>
              <w:rPr>
                <w:webHidden/>
                <w:rStyle w:val="IndexLink"/>
                <w:rtl w:val="true"/>
              </w:rPr>
              <w:t xml:space="preserve">مستثنیات </w:t>
            </w:r>
            <w:r>
              <w:rPr>
                <w:rStyle w:val="IndexLink"/>
                <w:rtl w:val="true"/>
              </w:rPr>
              <w:t>:</w:t>
              <w:tab/>
            </w:r>
            <w:r>
              <w:rPr>
                <w:rStyle w:val="IndexLink"/>
              </w:rPr>
              <w:t>115</w:t>
            </w:r>
          </w:hyperlink>
        </w:p>
        <w:p>
          <w:pPr>
            <w:pStyle w:val="Contents3"/>
            <w:tabs>
              <w:tab w:val="clear" w:pos="8459"/>
              <w:tab w:val="right" w:pos="9026" w:leader="dot"/>
            </w:tabs>
            <w:rPr/>
          </w:pPr>
          <w:hyperlink w:anchor="__RefHeading___Toc6585989_211673320">
            <w:r>
              <w:rPr>
                <w:webHidden/>
                <w:rStyle w:val="IndexLink"/>
                <w:rtl w:val="true"/>
              </w:rPr>
              <w:t xml:space="preserve">شكل الحكومة </w:t>
            </w:r>
            <w:r>
              <w:rPr>
                <w:rStyle w:val="IndexLink"/>
                <w:rtl w:val="true"/>
              </w:rPr>
              <w:t>:</w:t>
              <w:tab/>
            </w:r>
            <w:r>
              <w:rPr>
                <w:rStyle w:val="IndexLink"/>
              </w:rPr>
              <w:t>119</w:t>
            </w:r>
          </w:hyperlink>
        </w:p>
        <w:p>
          <w:pPr>
            <w:pStyle w:val="Contents3"/>
            <w:tabs>
              <w:tab w:val="clear" w:pos="8459"/>
              <w:tab w:val="right" w:pos="9026" w:leader="dot"/>
            </w:tabs>
            <w:rPr/>
          </w:pPr>
          <w:hyperlink w:anchor="__RefHeading___Toc6585991_211673320">
            <w:r>
              <w:rPr>
                <w:webHidden/>
                <w:rStyle w:val="IndexLink"/>
                <w:rtl w:val="true"/>
              </w:rPr>
              <w:t xml:space="preserve">مبدأ الحق الإلهي </w:t>
            </w:r>
            <w:r>
              <w:rPr>
                <w:rStyle w:val="IndexLink"/>
                <w:rtl w:val="true"/>
              </w:rPr>
              <w:t>:</w:t>
              <w:tab/>
            </w:r>
            <w:r>
              <w:rPr>
                <w:rStyle w:val="IndexLink"/>
              </w:rPr>
              <w:t>119</w:t>
            </w:r>
          </w:hyperlink>
        </w:p>
        <w:p>
          <w:pPr>
            <w:pStyle w:val="Contents3"/>
            <w:tabs>
              <w:tab w:val="clear" w:pos="8459"/>
              <w:tab w:val="right" w:pos="9026" w:leader="dot"/>
            </w:tabs>
            <w:rPr/>
          </w:pPr>
          <w:hyperlink w:anchor="__RefHeading___Toc6585993_211673320">
            <w:r>
              <w:rPr>
                <w:webHidden/>
                <w:rStyle w:val="IndexLink"/>
                <w:rtl w:val="true"/>
              </w:rPr>
              <w:t xml:space="preserve">دور الأمة في المراقبة </w:t>
            </w:r>
            <w:r>
              <w:rPr>
                <w:rStyle w:val="IndexLink"/>
                <w:rtl w:val="true"/>
              </w:rPr>
              <w:t>:</w:t>
              <w:tab/>
            </w:r>
            <w:r>
              <w:rPr>
                <w:rStyle w:val="IndexLink"/>
              </w:rPr>
              <w:t>120</w:t>
            </w:r>
          </w:hyperlink>
        </w:p>
        <w:p>
          <w:pPr>
            <w:pStyle w:val="Contents2"/>
            <w:tabs>
              <w:tab w:val="clear" w:pos="8743"/>
              <w:tab w:val="right" w:pos="9026" w:leader="dot"/>
            </w:tabs>
            <w:rPr/>
          </w:pPr>
          <w:hyperlink w:anchor="__RefHeading___Toc6585995_211673320">
            <w:r>
              <w:rPr>
                <w:webHidden/>
                <w:rStyle w:val="IndexLink"/>
                <w:rtl w:val="true"/>
              </w:rPr>
              <w:t>الدعوة الى الدولة</w:t>
            </w:r>
            <w:r>
              <w:rPr>
                <w:rStyle w:val="IndexLink"/>
                <w:rtl w:val="true"/>
              </w:rPr>
              <w:tab/>
            </w:r>
            <w:r>
              <w:rPr>
                <w:rStyle w:val="IndexLink"/>
              </w:rPr>
              <w:t>123</w:t>
            </w:r>
          </w:hyperlink>
        </w:p>
        <w:p>
          <w:pPr>
            <w:pStyle w:val="Contents3"/>
            <w:tabs>
              <w:tab w:val="clear" w:pos="8459"/>
              <w:tab w:val="right" w:pos="9026" w:leader="dot"/>
            </w:tabs>
            <w:rPr/>
          </w:pPr>
          <w:hyperlink w:anchor="__RefHeading___Toc6585997_21167332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6585999_211673320">
            <w:r>
              <w:rPr>
                <w:webHidden/>
                <w:rStyle w:val="IndexLink"/>
                <w:rtl w:val="true"/>
              </w:rPr>
              <w:t xml:space="preserve">وجوب الدعوة </w:t>
            </w:r>
            <w:r>
              <w:rPr>
                <w:rStyle w:val="IndexLink"/>
                <w:rtl w:val="true"/>
              </w:rPr>
              <w:t>:</w:t>
              <w:tab/>
            </w:r>
            <w:r>
              <w:rPr>
                <w:rStyle w:val="IndexLink"/>
              </w:rPr>
              <w:t>125</w:t>
            </w:r>
          </w:hyperlink>
        </w:p>
        <w:p>
          <w:pPr>
            <w:pStyle w:val="Contents3"/>
            <w:tabs>
              <w:tab w:val="clear" w:pos="8459"/>
              <w:tab w:val="right" w:pos="9026" w:leader="dot"/>
            </w:tabs>
            <w:rPr/>
          </w:pPr>
          <w:hyperlink w:anchor="__RefHeading___Toc6586001_211673320">
            <w:r>
              <w:rPr>
                <w:webHidden/>
                <w:rStyle w:val="IndexLink"/>
                <w:rtl w:val="true"/>
              </w:rPr>
              <w:t xml:space="preserve">أسلوب الدعوة </w:t>
            </w:r>
            <w:r>
              <w:rPr>
                <w:rStyle w:val="IndexLink"/>
                <w:rtl w:val="true"/>
              </w:rPr>
              <w:t>:</w:t>
              <w:tab/>
            </w:r>
            <w:r>
              <w:rPr>
                <w:rStyle w:val="IndexLink"/>
              </w:rPr>
              <w:t>125</w:t>
            </w:r>
          </w:hyperlink>
        </w:p>
        <w:p>
          <w:pPr>
            <w:pStyle w:val="Contents3"/>
            <w:tabs>
              <w:tab w:val="clear" w:pos="8459"/>
              <w:tab w:val="right" w:pos="9026" w:leader="dot"/>
            </w:tabs>
            <w:rPr/>
          </w:pPr>
          <w:hyperlink w:anchor="__RefHeading___Toc6586003_211673320">
            <w:r>
              <w:rPr>
                <w:webHidden/>
                <w:rStyle w:val="IndexLink"/>
                <w:rtl w:val="true"/>
              </w:rPr>
              <w:t xml:space="preserve">تقييد الدعوة </w:t>
            </w:r>
            <w:r>
              <w:rPr>
                <w:rStyle w:val="IndexLink"/>
                <w:rtl w:val="true"/>
              </w:rPr>
              <w:t>:</w:t>
              <w:tab/>
            </w:r>
            <w:r>
              <w:rPr>
                <w:rStyle w:val="IndexLink"/>
              </w:rPr>
              <w:t>129</w:t>
            </w:r>
          </w:hyperlink>
        </w:p>
        <w:p>
          <w:pPr>
            <w:pStyle w:val="Contents3"/>
            <w:tabs>
              <w:tab w:val="clear" w:pos="8459"/>
              <w:tab w:val="right" w:pos="9026" w:leader="dot"/>
            </w:tabs>
            <w:rPr/>
          </w:pPr>
          <w:hyperlink w:anchor="__RefHeading___Toc6586005_211673320">
            <w:r>
              <w:rPr>
                <w:webHidden/>
                <w:rStyle w:val="IndexLink"/>
                <w:rtl w:val="true"/>
              </w:rPr>
              <w:t xml:space="preserve">شبهة أخرى </w:t>
            </w:r>
            <w:r>
              <w:rPr>
                <w:rStyle w:val="IndexLink"/>
                <w:rtl w:val="true"/>
              </w:rPr>
              <w:t>:</w:t>
              <w:tab/>
            </w:r>
            <w:r>
              <w:rPr>
                <w:rStyle w:val="IndexLink"/>
              </w:rPr>
              <w:t>131</w:t>
            </w:r>
          </w:hyperlink>
        </w:p>
        <w:p>
          <w:pPr>
            <w:pStyle w:val="Contents3"/>
            <w:tabs>
              <w:tab w:val="clear" w:pos="8459"/>
              <w:tab w:val="right" w:pos="9026" w:leader="dot"/>
            </w:tabs>
            <w:rPr/>
          </w:pPr>
          <w:hyperlink w:anchor="__RefHeading___Toc6586007_211673320">
            <w:r>
              <w:rPr>
                <w:webHidden/>
                <w:rStyle w:val="IndexLink"/>
                <w:rtl w:val="true"/>
              </w:rPr>
              <w:t xml:space="preserve">أحاديث قيام دولة قبل الإمام </w:t>
            </w:r>
            <w:r>
              <w:rPr>
                <w:rStyle w:val="IndexLink"/>
                <w:rtl w:val="true"/>
              </w:rPr>
              <w:t>:</w:t>
              <w:tab/>
            </w:r>
            <w:r>
              <w:rPr>
                <w:rStyle w:val="IndexLink"/>
              </w:rPr>
              <w:t>133</w:t>
            </w:r>
          </w:hyperlink>
        </w:p>
        <w:p>
          <w:pPr>
            <w:pStyle w:val="Contents3"/>
            <w:tabs>
              <w:tab w:val="clear" w:pos="8459"/>
              <w:tab w:val="right" w:pos="9026" w:leader="dot"/>
            </w:tabs>
            <w:rPr/>
          </w:pPr>
          <w:hyperlink w:anchor="__RefHeading___Toc6586009_211673320">
            <w:r>
              <w:rPr>
                <w:webHidden/>
                <w:rStyle w:val="IndexLink"/>
                <w:rtl w:val="true"/>
              </w:rPr>
              <w:t xml:space="preserve">رفع التباس </w:t>
            </w:r>
            <w:r>
              <w:rPr>
                <w:rStyle w:val="IndexLink"/>
                <w:rtl w:val="true"/>
              </w:rPr>
              <w:t>:</w:t>
              <w:tab/>
            </w:r>
            <w:r>
              <w:rPr>
                <w:rStyle w:val="IndexLink"/>
              </w:rPr>
              <w:t>134</w:t>
            </w:r>
          </w:hyperlink>
        </w:p>
        <w:p>
          <w:pPr>
            <w:pStyle w:val="Contents2"/>
            <w:tabs>
              <w:tab w:val="clear" w:pos="8743"/>
              <w:tab w:val="right" w:pos="9026" w:leader="dot"/>
            </w:tabs>
            <w:rPr/>
          </w:pPr>
          <w:hyperlink w:anchor="__RefHeading___Toc6586011_211673320">
            <w:r>
              <w:rPr>
                <w:webHidden/>
                <w:rStyle w:val="IndexLink"/>
                <w:rtl w:val="true"/>
              </w:rPr>
              <w:t>وفي الختام</w:t>
            </w:r>
            <w:r>
              <w:rPr>
                <w:rStyle w:val="IndexLink"/>
                <w:rtl w:val="true"/>
              </w:rPr>
              <w:tab/>
            </w:r>
            <w:r>
              <w:rPr>
                <w:rStyle w:val="IndexLink"/>
              </w:rPr>
              <w:t>135</w:t>
            </w:r>
          </w:hyperlink>
        </w:p>
        <w:p>
          <w:pPr>
            <w:pStyle w:val="Contents3"/>
            <w:tabs>
              <w:tab w:val="clear" w:pos="8459"/>
              <w:tab w:val="right" w:pos="9026" w:leader="dot"/>
            </w:tabs>
            <w:rPr/>
          </w:pPr>
          <w:hyperlink w:anchor="__RefHeading___Toc6586013_211673320">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6586015_211673320">
            <w:r>
              <w:rPr>
                <w:webHidden/>
                <w:rStyle w:val="IndexLink"/>
                <w:rtl w:val="true"/>
              </w:rPr>
              <w:t>رجاء</w:t>
            </w:r>
            <w:r>
              <w:rPr>
                <w:rStyle w:val="IndexLink"/>
                <w:rtl w:val="true"/>
              </w:rPr>
              <w:t>:</w:t>
              <w:tab/>
            </w:r>
            <w:r>
              <w:rPr>
                <w:rStyle w:val="IndexLink"/>
              </w:rPr>
              <w:t>137</w:t>
            </w:r>
          </w:hyperlink>
        </w:p>
        <w:p>
          <w:pPr>
            <w:pStyle w:val="Contents3"/>
            <w:tabs>
              <w:tab w:val="clear" w:pos="8459"/>
              <w:tab w:val="right" w:pos="9026" w:leader="dot"/>
            </w:tabs>
            <w:rPr/>
          </w:pPr>
          <w:hyperlink w:anchor="__RefHeading___Toc6586017_211673320">
            <w:r>
              <w:rPr>
                <w:webHidden/>
                <w:rStyle w:val="IndexLink"/>
                <w:rtl w:val="true"/>
              </w:rPr>
              <w:t xml:space="preserve">دعاء المناسبة </w:t>
            </w:r>
            <w:r>
              <w:rPr>
                <w:rStyle w:val="IndexLink"/>
                <w:rtl w:val="true"/>
              </w:rPr>
              <w:t>:</w:t>
              <w:tab/>
            </w:r>
            <w:r>
              <w:rPr>
                <w:rStyle w:val="IndexLink"/>
              </w:rPr>
              <w:t>137</w:t>
            </w:r>
          </w:hyperlink>
        </w:p>
        <w:p>
          <w:pPr>
            <w:pStyle w:val="Contents3"/>
            <w:tabs>
              <w:tab w:val="clear" w:pos="8459"/>
              <w:tab w:val="right" w:pos="9026" w:leader="dot"/>
            </w:tabs>
            <w:rPr/>
          </w:pPr>
          <w:hyperlink w:anchor="__RefHeading___Toc6586019_211673320">
            <w:r>
              <w:rPr>
                <w:webHidden/>
                <w:rStyle w:val="IndexLink"/>
                <w:rtl w:val="true"/>
              </w:rPr>
              <w:t xml:space="preserve">تنبيه </w:t>
            </w:r>
            <w:r>
              <w:rPr>
                <w:rStyle w:val="IndexLink"/>
                <w:rtl w:val="true"/>
              </w:rPr>
              <w:t>:</w:t>
              <w:tab/>
            </w:r>
            <w:r>
              <w:rPr>
                <w:rStyle w:val="IndexLink"/>
              </w:rPr>
              <w:t>137</w:t>
            </w:r>
          </w:hyperlink>
        </w:p>
        <w:p>
          <w:pPr>
            <w:pStyle w:val="Contents2"/>
            <w:tabs>
              <w:tab w:val="clear" w:pos="8743"/>
              <w:tab w:val="right" w:pos="9026" w:leader="dot"/>
            </w:tabs>
            <w:rPr/>
          </w:pPr>
          <w:hyperlink w:anchor="__RefHeading___Toc6586021_211673320">
            <w:r>
              <w:rPr>
                <w:webHidden/>
                <w:rStyle w:val="IndexLink"/>
                <w:rtl w:val="true"/>
              </w:rPr>
              <w:t>المراجع</w:t>
            </w:r>
            <w:r>
              <w:rPr>
                <w:rStyle w:val="IndexLink"/>
                <w:rtl w:val="true"/>
              </w:rPr>
              <w:tab/>
            </w:r>
            <w:r>
              <w:rPr>
                <w:rStyle w:val="IndexLink"/>
              </w:rPr>
              <w:t>139</w:t>
            </w:r>
          </w:hyperlink>
        </w:p>
        <w:p>
          <w:pPr>
            <w:pStyle w:val="Contents2"/>
            <w:tabs>
              <w:tab w:val="clear" w:pos="8743"/>
              <w:tab w:val="right" w:pos="9026" w:leader="dot"/>
            </w:tabs>
            <w:rPr/>
          </w:pPr>
          <w:hyperlink w:anchor="__RefHeading___Toc6586023_211673320">
            <w:r>
              <w:rPr>
                <w:webHidden/>
                <w:rStyle w:val="IndexLink"/>
                <w:rtl w:val="true"/>
              </w:rPr>
              <w:t>الفهرس</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3_9301"/>
      <w:bookmarkStart w:id="1" w:name="pg803_9301"/>
      <w:bookmarkEnd w:id="1"/>
    </w:p>
    <w:p>
      <w:pPr>
        <w:pStyle w:val="Heading2"/>
        <w:numPr>
          <w:ilvl w:val="1"/>
          <w:numId w:val="1"/>
        </w:numPr>
        <w:rPr/>
      </w:pPr>
      <w:bookmarkStart w:id="2" w:name="pg803_9301"/>
      <w:bookmarkStart w:id="3" w:name="__RefHeading___Toc6585869_21167332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عبدالهادی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انتظار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یعالج قضیه الامام المنتظر علیه‌السلام و مساله الحکم الاسلامی الیوم عبدالهادی الفضلی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الاندلس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1521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85871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محفوظه الطبعه الاولی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اغطس</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عبدالهادی الفضایی</w:t>
      </w:r>
    </w:p>
    <w:p>
      <w:pPr>
        <w:pStyle w:val="BookText"/>
        <w:rPr/>
      </w:pPr>
      <w:r>
        <w:rPr>
          <w:rFonts w:ascii="IRNazanin" w:hAnsi="IRNazanin" w:eastAsia="IRNazanin"/>
          <w:color w:val="111111"/>
          <w:sz w:val="28"/>
          <w:sz w:val="28"/>
          <w:szCs w:val="28"/>
          <w:rtl w:val="true"/>
          <w:lang w:bidi="fa-IR"/>
        </w:rPr>
        <w:t xml:space="preserve">فی انتظار الامام یعالج قضیه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ومساله الحکم الاسلامی الیوم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الاندلس للطباعه والنشر والتوزیع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الذکران الارض یرثها عبادی الصالحون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3_9316"/>
      <w:bookmarkStart w:id="8" w:name="pg803_9316"/>
      <w:bookmarkEnd w:id="8"/>
    </w:p>
    <w:p>
      <w:pPr>
        <w:pStyle w:val="Heading2"/>
        <w:numPr>
          <w:ilvl w:val="1"/>
          <w:numId w:val="1"/>
        </w:numPr>
        <w:rPr/>
      </w:pPr>
      <w:bookmarkStart w:id="9" w:name="pg803_9316"/>
      <w:bookmarkStart w:id="10" w:name="__RefHeading___Toc6585873_211673320"/>
      <w:bookmarkStart w:id="11" w:name="_Toc3"/>
      <w:bookmarkEnd w:id="9"/>
      <w:bookmarkEnd w:id="10"/>
      <w:r>
        <w:rPr>
          <w:rtl w:val="true"/>
        </w:rPr>
        <w:t>المقدمه</w:t>
      </w:r>
      <w:bookmarkEnd w:id="11"/>
    </w:p>
    <w:p>
      <w:pPr>
        <w:pStyle w:val="BookText"/>
        <w:rPr/>
      </w:pPr>
      <w:r>
        <w:rPr>
          <w:rFonts w:ascii="Amiri" w:hAnsi="Amiri" w:eastAsia="Amiri" w:cs="Amiri"/>
          <w:color w:val="111111"/>
          <w:sz w:val="28"/>
          <w:sz w:val="28"/>
          <w:szCs w:val="28"/>
          <w:rtl w:val="true"/>
          <w:lang w:bidi="ar-SA"/>
        </w:rPr>
        <w:t>بسم الرحمن الرحيم</w:t>
      </w:r>
    </w:p>
    <w:p>
      <w:pPr>
        <w:pStyle w:val="BookText"/>
        <w:rPr/>
      </w:pPr>
      <w:r>
        <w:rPr>
          <w:rFonts w:ascii="IRNazanin" w:hAnsi="IRNazanin" w:eastAsia="IRNazanin"/>
          <w:color w:val="111111"/>
          <w:sz w:val="28"/>
          <w:sz w:val="28"/>
          <w:szCs w:val="28"/>
          <w:rtl w:val="true"/>
          <w:lang w:bidi="fa-IR"/>
        </w:rPr>
        <w:t xml:space="preserve">الحمد لله ، وسلام على عباده الذين اصطفی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حاولت أن أبلور الأولى من خلال بحوث السابقين ، وعلى ضوئها ، غير تغيير يسير في منهجة البحث وقولبته ، وتغيير يسير في جلوة الموضوع ، وإيضاح الفكرة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وحاولت أن أكون من أوائل الرواد في بحث الثانية ، من خلال بحوث وعروض مبعثرة ، هنا وهناك ، لا تعدو كونها مسائل متفرقة ، وآراء شاردة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الحكم في عصر الغيبة ، ومسألة الحاكم الأعلى للمسلمين بعد الإمام ، ومسألة الدعوة إلى إقامة الحكم الإسلامي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ولست أدري مدى توفيقي فيها ، وهي فکر معمقة ومتشابكة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أني وضعت بين يدي القارىء والباحث ، الخطوط العريضة ، ورؤوس الخيوط ، مما يمهد للبحث فيها بشكل أعمق وأوسع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أعود ثانية إلى الموضوع ، إذا تفضل قارئي الكريم ، بإبداء ملاحظات ذات أهمية ، وبنقد نزيه 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ولي التوفيق</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lang w:bidi="fa-IR"/>
        </w:rPr>
        <w:t>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الهادي الفضلي </w:t>
      </w:r>
      <w:bookmarkStart w:id="12" w:name="pg803_9319"/>
    </w:p>
    <w:p>
      <w:pPr>
        <w:pStyle w:val="Heading2"/>
        <w:numPr>
          <w:ilvl w:val="1"/>
          <w:numId w:val="1"/>
        </w:numPr>
        <w:rPr/>
      </w:pPr>
      <w:bookmarkStart w:id="13" w:name="__RefHeading___Toc6585875_211673320"/>
      <w:bookmarkStart w:id="14" w:name="_Toc4"/>
      <w:bookmarkEnd w:id="12"/>
      <w:bookmarkEnd w:id="13"/>
      <w:r>
        <w:rPr>
          <w:rtl w:val="true"/>
        </w:rPr>
        <w:t>قی الصمیم</w:t>
      </w:r>
      <w:bookmarkEnd w:id="14"/>
    </w:p>
    <w:p>
      <w:pPr>
        <w:pStyle w:val="Heading3"/>
        <w:numPr>
          <w:ilvl w:val="2"/>
          <w:numId w:val="1"/>
        </w:numPr>
        <w:rPr/>
      </w:pPr>
      <w:bookmarkStart w:id="15" w:name="__RefHeading___Toc6585877_211673320"/>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ونحن اذا اعدنا النظر فی تصمیم الاسلام الجواهری، نجده منسجما فی جمیع مصادره، فلا نجد فرقا بین الشعیه والسنه فی جوامع الاراء المدونه فی کتبهم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شرف الدین</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03_9323"/>
      <w:bookmarkStart w:id="18" w:name="pg803_9323"/>
      <w:bookmarkEnd w:id="18"/>
    </w:p>
    <w:p>
      <w:pPr>
        <w:pStyle w:val="Heading3"/>
        <w:numPr>
          <w:ilvl w:val="2"/>
          <w:numId w:val="1"/>
        </w:numPr>
        <w:rPr/>
      </w:pPr>
      <w:bookmarkStart w:id="19" w:name="pg803_9323"/>
      <w:bookmarkStart w:id="20" w:name="__RefHeading___Toc6585879_211673320"/>
      <w:bookmarkStart w:id="21" w:name="_Toc6"/>
      <w:bookmarkEnd w:id="19"/>
      <w:bookmarkEnd w:id="20"/>
      <w:r>
        <w:rPr>
          <w:rtl w:val="true"/>
        </w:rPr>
        <w:t>تمذهب القضية</w:t>
      </w:r>
      <w:bookmarkEnd w:id="21"/>
    </w:p>
    <w:p>
      <w:pPr>
        <w:pStyle w:val="BookText"/>
        <w:rPr/>
      </w:pPr>
      <w:r>
        <w:rPr>
          <w:rFonts w:ascii="Amiri" w:hAnsi="Amiri" w:eastAsia="Amiri" w:cs="Amiri"/>
          <w:color w:val="111111"/>
          <w:sz w:val="28"/>
          <w:sz w:val="28"/>
          <w:szCs w:val="28"/>
          <w:rtl w:val="true"/>
          <w:lang w:bidi="ar-SA"/>
        </w:rPr>
        <w:t>إن كثيراً من قضايانا العقائدية صبغت بطابع مذهبي أو طائفي، بسبب عوامل معينة، طرأت عليها، فقولبتها في إطار ذلك المذهب، أو نطاق تلك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أفقدها طابعها العام، بصفتها عقيدة إسلامية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وراحت تتغلغل في تمذهبها نتيجة دفع كثير من الدراسات والبحوث، غير المقارنة، أو غير الموضوعية، التي تدور حول القضية على اعتبار أنها من عقائد مذهب معين، أو طائفة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وقضيتنا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إحدى تلكم القضايا التي حولتها العوامل الطارئة، إلى قضية خاصة، فقولبتها في إطار مذهب الشيعة، وقوقعتها في نطاق هذه الطائفة من طوائف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إسلامية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دراسة هذه القضية أو بحثها بشيء من الوعي والموضوعية، ينهي بنا حتماً إلى أنها قضية إسلامية، قبل أن تكون مذهبية، شيعية أو غيرها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مراجعاتي حول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باحثي موضوع المهدي المنتظر، من سنة وشيعة، يمتدون بجذور المسألة إلى أحاديث صادرة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صحة صدورها، إما لأنها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لأنها أخبار آحاد توفرت على شرائط الصحة</w:t>
      </w:r>
      <w:r>
        <w:rPr>
          <w:rFonts w:eastAsia="Amiri" w:cs="Amiri" w:ascii="Amiri" w:hAnsi="Amiri"/>
          <w:color w:val="111111"/>
          <w:sz w:val="28"/>
          <w:szCs w:val="28"/>
          <w:rtl w:val="true"/>
          <w:lang w:bidi="ar-SA"/>
        </w:rPr>
        <w:t xml:space="preserve">. </w:t>
      </w:r>
      <w:bookmarkStart w:id="22" w:name="pg803_9325"/>
    </w:p>
    <w:p>
      <w:pPr>
        <w:pStyle w:val="BookText"/>
        <w:rPr/>
      </w:pPr>
      <w:bookmarkEnd w:id="22"/>
      <w:r>
        <w:rPr>
          <w:rFonts w:ascii="Amiri" w:hAnsi="Amiri" w:eastAsia="Amiri" w:cs="Amiri"/>
          <w:color w:val="111111"/>
          <w:sz w:val="28"/>
          <w:sz w:val="28"/>
          <w:szCs w:val="28"/>
          <w:rtl w:val="true"/>
          <w:lang w:bidi="ar-SA"/>
        </w:rPr>
        <w:t xml:space="preserve">وإذا كانت المسألة التي ينتهي بها إلى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يؤمنون بأن النبي صلى الله عليه وآله وسلم في سنته المقدسة هو عدل القرآن الكريم في الإرشاد إلى العقيدة الحقة، وفي تشريع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مسألة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ما هي المسألة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ورأيتنا أننا متى أبعدنا من حسابنا الانفعال العاطفي، والرواسب الفرقية التي خلفتها وعمقتها أفاعيل الحكام المنحرفين من المسلمين، والحكام المستعمرين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ودخلنا المسألة بذهنية العالم الموضوعي، الذي ينشد معرفة الواقع، مستمداً من مصادره الإسلامية الأصيلة، وعلى ضوء المقاييس الإسلامية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وقفنا أمام مسألة إسلامية حتى فيما نعتقده أو نخاله مذهبياً منها</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6585881_211673320"/>
      <w:bookmarkStart w:id="24" w:name="_Toc7"/>
      <w:bookmarkEnd w:id="23"/>
      <w:r>
        <w:rPr>
          <w:rtl w:val="true"/>
        </w:rPr>
        <w:t>تواتر أحاديثها عن النبي</w:t>
      </w:r>
      <w:r>
        <w:rPr>
          <w:rtl w:val="true"/>
        </w:rPr>
        <w:t>:</w:t>
      </w:r>
      <w:bookmarkEnd w:id="24"/>
    </w:p>
    <w:p>
      <w:pPr>
        <w:pStyle w:val="BookText"/>
        <w:rPr/>
      </w:pPr>
      <w:r>
        <w:rPr>
          <w:rFonts w:ascii="Amiri" w:hAnsi="Amiri" w:eastAsia="Amiri" w:cs="Amiri"/>
          <w:color w:val="111111"/>
          <w:sz w:val="28"/>
          <w:sz w:val="28"/>
          <w:szCs w:val="28"/>
          <w:rtl w:val="true"/>
          <w:lang w:bidi="ar-SA"/>
        </w:rPr>
        <w:t>و ذلك أن الأحاديث في المسألة الواردة عن النبي صلى الله عليه وآله وسلم، قد قال بتواترها غير واحد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طوائف ثلاث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بتواترها عند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بتواترها عند أهل السنة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بتواترها عند الشيعة</w:t>
      </w:r>
      <w:r>
        <w:rPr>
          <w:rFonts w:eastAsia="Amiri" w:cs="Amiri" w:ascii="Amiri" w:hAnsi="Amiri"/>
          <w:color w:val="111111"/>
          <w:sz w:val="28"/>
          <w:szCs w:val="28"/>
          <w:rtl w:val="true"/>
          <w:lang w:bidi="ar-SA"/>
        </w:rPr>
        <w:t>.</w:t>
      </w:r>
      <w:r>
        <w:rPr>
          <w:rStyle w:val="FootnoteAnchor"/>
          <w:rtl w:val="true"/>
        </w:rPr>
        <w:footnoteReference w:id="2"/>
      </w:r>
      <w:bookmarkStart w:id="25" w:name="pg803_9327"/>
    </w:p>
    <w:p>
      <w:pPr>
        <w:pStyle w:val="BookText"/>
        <w:rPr/>
      </w:pPr>
      <w:bookmarkEnd w:id="25"/>
      <w:r>
        <w:rPr>
          <w:rFonts w:ascii="Amiri" w:hAnsi="Amiri" w:eastAsia="Amiri" w:cs="Amiri"/>
          <w:color w:val="111111"/>
          <w:sz w:val="28"/>
          <w:sz w:val="28"/>
          <w:szCs w:val="28"/>
          <w:rtl w:val="true"/>
          <w:lang w:bidi="ar-SA"/>
        </w:rPr>
        <w:t xml:space="preserve">والقول بالتواتر لدى طائفتي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بالتواتر عند المسلمين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بصحة صدورها من لم يصرح بتواترها من العلماء،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الأعلى المودودي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أن من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الروايات لا حقيقة لها أصلاً، فإننا إذا صرفنا النظر عما أدخل فيها الناس من تلقاء أنفسهم، فإنها تحمل حقيقة أساسية، هي القدر المشترك فيها،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أخبر أنه سيظهر في آخر الزمان زعيم، عامل بالسنة، يملأ الأرض عدلاً، ويمحو عن وجهها أسباب الظلم والعدوان، ويعلي فيها كلمة الإسلام، ويعمم الرفاه في خلق الله</w:t>
      </w:r>
      <w:r>
        <w:rPr>
          <w:rFonts w:eastAsia="Amiri" w:cs="Amiri" w:ascii="Amiri" w:hAnsi="Amiri"/>
          <w:color w:val="111111"/>
          <w:sz w:val="28"/>
          <w:szCs w:val="28"/>
          <w:rtl w:val="true"/>
          <w:lang w:bidi="ar-SA"/>
        </w:rPr>
        <w:t>).</w:t>
      </w:r>
      <w:r>
        <w:rPr>
          <w:rStyle w:val="FootnoteAnchor"/>
          <w:rtl w:val="true"/>
        </w:rPr>
        <w:footnoteReference w:id="3"/>
      </w:r>
    </w:p>
    <w:p>
      <w:pPr>
        <w:pStyle w:val="Heading3"/>
        <w:numPr>
          <w:ilvl w:val="2"/>
          <w:numId w:val="1"/>
        </w:numPr>
        <w:rPr/>
      </w:pPr>
      <w:bookmarkStart w:id="26" w:name="__RefHeading___Toc6585883_211673320"/>
      <w:bookmarkStart w:id="27" w:name="_Toc8"/>
      <w:bookmarkEnd w:id="26"/>
      <w:r>
        <w:rPr>
          <w:rtl w:val="true"/>
        </w:rPr>
        <w:t>طوائف أحاديثها</w:t>
      </w:r>
      <w:r>
        <w:rPr>
          <w:rtl w:val="true"/>
        </w:rPr>
        <w:t>:</w:t>
      </w:r>
      <w:bookmarkEnd w:id="27"/>
    </w:p>
    <w:p>
      <w:pPr>
        <w:pStyle w:val="BookText"/>
        <w:rPr/>
      </w:pPr>
      <w:r>
        <w:rPr>
          <w:rFonts w:ascii="Amiri" w:hAnsi="Amiri" w:eastAsia="Amiri" w:cs="Amiri"/>
          <w:color w:val="111111"/>
          <w:sz w:val="28"/>
          <w:sz w:val="28"/>
          <w:szCs w:val="28"/>
          <w:rtl w:val="true"/>
          <w:lang w:bidi="ar-SA"/>
        </w:rPr>
        <w:t>وبغية الانتهاء إلى النتيجة التي أشرت إليها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بدلنا من دراسة الأحاديث المشار إليها، دراسة مقارنة وموضوعية، ولو بشيء من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الأحاديث في المسألة على طوائف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يصرح فيها بذكر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فيها بذكر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العلماء القسم الأول من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لم يصرح فيها بذكر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مطلقة، على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صرح فيها بذكر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مقيدة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المودودي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ذكرنا في هذا الباب نوعين من </w:t>
      </w:r>
    </w:p>
    <w:p>
      <w:pPr>
        <w:pStyle w:val="BookText"/>
        <w:rPr/>
      </w:pP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ذكر فيها المهدي بالصراحة، وأحاديث إنما أخبر فيها بظهور خليفة عادل بدون تصريح بالمهدي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هذه الأحاديث من النوع الثاني تشابه الأحاديث من النوع الأول في موضوعها، فقد ذهب المحدثون إلى أن المراد بالخليفة العادل فيها هو المهدي</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وتنقسم الطائفة الأخيرة منهما إلى طوائف أيضاً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فيها بأن المهدي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هنا يحمل المطلق منها على المقيد، نظراً إلى عدم وجود ما يمنع من ذلك، فتكون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تصرح به الطائفة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أولاد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تنقسم إلى طائفتين أيضاً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فيها بأن المهدي من أولاد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فيها بأن المهدي من أولاد العباس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نظراً لتكافؤ الاحتمالين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حمل المطلق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تضمن أن المهدي من أولاد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تضمن أن المهدي من أولاد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w:t>
      </w:r>
    </w:p>
    <w:p>
      <w:pPr>
        <w:pStyle w:val="BookText"/>
        <w:rPr/>
      </w:pPr>
      <w:r>
        <w:rPr>
          <w:rFonts w:ascii="Amiri" w:hAnsi="Amiri" w:eastAsia="Amiri" w:cs="Amiri"/>
          <w:color w:val="111111"/>
          <w:sz w:val="28"/>
          <w:sz w:val="28"/>
          <w:szCs w:val="28"/>
          <w:rtl w:val="true"/>
          <w:lang w:bidi="ar-SA"/>
        </w:rPr>
        <w:t xml:space="preserve">حمله على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تضمن أن المهدي من أولاد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يستطاع تقييده بأحدهما إلا مع ثبوت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ثبت أن الأحاديث التي تضمنت أن المهدي من أولاد العباس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مفصلاً في البحث عن عوامل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الأحاديث من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تضمنت أن المهدي من أولاد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معارضة، فيقيد بها إطلاق ما قبلها، فيحمل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المهدي من أولاد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الأحاديث المتضمنة أن المهدي من أولاد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طوائف أيضاً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آل محمد صلى الله عليه وآله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القربى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ما قبلها فتحمل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تنقسم إلى طائفتين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أولاد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أولاد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نعود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لتكافؤ الاحتمالين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حمل المطلق على القسم الأول، واحتمال حمله على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حمل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انتظار الامام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المطلق المتقدم على أحدهما من غير ومرجح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الأحاديث المتضمنة أن المهدي من أولاد الحسن موضوعة، لما يشابه العوامل السياسية التي حملت بني العباس على وضع أحاديث المهدي من أولاد العباس، يحمل المطلق المتقدم على القسم الثاني، فيقيد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أولاد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أن أحاديث القسم الأول لضعفها وقلتها، لا تقوى على مناهضة أحاديث القسم الثاني لصحتها وكثرتها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الطائفة الأخيرة منهما إلى طوائف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أولاد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الإمام الحسن العسكري عليه السلام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وشأن هذه الطوائف الأربع الأخيرة، في حمل المطلق منها على المقيد، شأن ما تقدمها من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تكون النتيجة الأخيرة هي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المنتظر،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28" w:name="pg803_9336"/>
    </w:p>
    <w:p>
      <w:pPr>
        <w:pStyle w:val="Heading3"/>
        <w:numPr>
          <w:ilvl w:val="2"/>
          <w:numId w:val="1"/>
        </w:numPr>
        <w:rPr/>
      </w:pPr>
      <w:bookmarkStart w:id="29" w:name="__RefHeading___Toc6585885_211673320"/>
      <w:bookmarkStart w:id="30" w:name="_Toc9"/>
      <w:bookmarkEnd w:id="28"/>
      <w:bookmarkEnd w:id="29"/>
      <w:r>
        <w:rPr>
          <w:rtl w:val="true"/>
        </w:rPr>
        <w:t>محاولة الرجوع بالقضية إلى واقعها العام</w:t>
      </w:r>
      <w:r>
        <w:rPr>
          <w:rtl w:val="true"/>
        </w:rPr>
        <w:t>:</w:t>
      </w:r>
      <w:bookmarkEnd w:id="30"/>
    </w:p>
    <w:p>
      <w:pPr>
        <w:pStyle w:val="BookText"/>
        <w:rPr/>
      </w:pPr>
      <w:r>
        <w:rPr>
          <w:rFonts w:ascii="Amiri" w:hAnsi="Amiri" w:eastAsia="Amiri" w:cs="Amiri"/>
          <w:color w:val="111111"/>
          <w:sz w:val="28"/>
          <w:sz w:val="28"/>
          <w:szCs w:val="28"/>
          <w:rtl w:val="true"/>
          <w:lang w:bidi="ar-SA"/>
        </w:rPr>
        <w:t>وهذا اللون من المحاولة في الدراسة والبحث لإرجاع المسألة إلى واقعها العام، والخروج بها عن الأطر المذهبية الضيقة،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شيعية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اعتبارها 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الشيخ ناصف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 عنه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اللون من المحاولة يتطلب منا الرجوع إلى أصول عامة في بحث الحديث، توفر للعالم الأجواء الكافية للدراسة المقارنة والبحث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نعتبر الشرط الأساسي في توثيق الراوي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مسلماً صادقاً معاصراً لن ينقل عنه بلا واسطة، قادراً على الاتصال به، مشافهة، أو تحريراً مع توفر شروط الأمانة في التدوين والنقل</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585887_211673320"/>
      <w:bookmarkStart w:id="32" w:name="_Toc10"/>
      <w:bookmarkEnd w:id="31"/>
      <w:r>
        <w:rPr>
          <w:rtl w:val="true"/>
        </w:rPr>
        <w:t>عوامل التمذهب</w:t>
      </w:r>
      <w:r>
        <w:rPr>
          <w:rtl w:val="true"/>
        </w:rPr>
        <w:t>:</w:t>
      </w:r>
      <w:bookmarkEnd w:id="32"/>
    </w:p>
    <w:p>
      <w:pPr>
        <w:pStyle w:val="Heading4"/>
        <w:numPr>
          <w:ilvl w:val="3"/>
          <w:numId w:val="1"/>
        </w:numPr>
        <w:rPr/>
      </w:pPr>
      <w:bookmarkStart w:id="33" w:name="__RefHeading___Toc6585889_211673320"/>
      <w:bookmarkStart w:id="34" w:name="_Toc11"/>
      <w:bookmarkEnd w:id="33"/>
      <w:r>
        <w:rPr>
          <w:rtl w:val="true"/>
        </w:rPr>
        <w:t>تمهيد</w:t>
      </w:r>
      <w:bookmarkEnd w:id="34"/>
    </w:p>
    <w:p>
      <w:pPr>
        <w:pStyle w:val="BookText"/>
        <w:rPr/>
      </w:pPr>
      <w:r>
        <w:rPr>
          <w:rFonts w:ascii="Amiri" w:hAnsi="Amiri" w:eastAsia="Amiri" w:cs="Amiri"/>
          <w:color w:val="111111"/>
          <w:sz w:val="28"/>
          <w:sz w:val="28"/>
          <w:szCs w:val="28"/>
          <w:rtl w:val="true"/>
          <w:lang w:bidi="ar-SA"/>
        </w:rPr>
        <w:t xml:space="preserve">و 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يتساءل عن العوامل التي حوّلت قضية المهدي المنتظر إلى قضية 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يبدو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العوامل التي ساعدت على ذلك نوعان هما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585891_211673320"/>
      <w:bookmarkStart w:id="36" w:name="_Toc12"/>
      <w:bookmarkEnd w:id="35"/>
      <w:r>
        <w:rPr/>
        <w:t>1</w:t>
      </w:r>
      <w:r>
        <w:rPr>
          <w:rtl w:val="true"/>
        </w:rPr>
        <w:t xml:space="preserve">- </w:t>
      </w:r>
      <w:r>
        <w:rPr>
          <w:rtl w:val="true"/>
        </w:rPr>
        <w:t>العامل السياسي</w:t>
      </w:r>
      <w:r>
        <w:rPr>
          <w:rtl w:val="true"/>
        </w:rPr>
        <w:t>:</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ويتمثل في استغلال العباسيين القضية لصالح ملكهم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مفصلاً في موضوع عوامل الغيبة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استغلال الحسنيين القضية أيضاً، بغية التوصل إلى الحكم، كما مرت الإشارة إليه </w:t>
      </w:r>
      <w:r>
        <w:rPr>
          <w:rFonts w:eastAsia="Amiri" w:cs="Amiri" w:ascii="Amiri" w:hAnsi="Amiri"/>
          <w:color w:val="111111"/>
          <w:sz w:val="28"/>
          <w:szCs w:val="28"/>
          <w:rtl w:val="true"/>
          <w:lang w:bidi="ar-SA"/>
        </w:rPr>
        <w:t xml:space="preserve">-. </w:t>
      </w:r>
      <w:bookmarkStart w:id="37" w:name="pg803_9338"/>
    </w:p>
    <w:p>
      <w:pPr>
        <w:pStyle w:val="Heading4"/>
        <w:numPr>
          <w:ilvl w:val="3"/>
          <w:numId w:val="1"/>
        </w:numPr>
        <w:rPr/>
      </w:pPr>
      <w:bookmarkStart w:id="38" w:name="__RefHeading___Toc6585893_211673320"/>
      <w:bookmarkStart w:id="39" w:name="_Toc13"/>
      <w:bookmarkEnd w:id="37"/>
      <w:bookmarkEnd w:id="38"/>
      <w:r>
        <w:rPr/>
        <w:t>2</w:t>
      </w:r>
      <w:r>
        <w:rPr>
          <w:rtl w:val="true"/>
        </w:rPr>
        <w:t xml:space="preserve">- </w:t>
      </w:r>
      <w:r>
        <w:rPr>
          <w:rtl w:val="true"/>
        </w:rPr>
        <w:t>العامل الطائفي</w:t>
      </w:r>
      <w:r>
        <w:rPr>
          <w:rtl w:val="true"/>
        </w:rPr>
        <w:t>:</w:t>
      </w:r>
      <w:bookmarkEnd w:id="39"/>
    </w:p>
    <w:p>
      <w:pPr>
        <w:pStyle w:val="BookText"/>
        <w:rPr/>
      </w:pPr>
      <w:r>
        <w:rPr>
          <w:rFonts w:ascii="Amiri" w:hAnsi="Amiri" w:eastAsia="Amiri" w:cs="Amiri"/>
          <w:color w:val="111111"/>
          <w:sz w:val="28"/>
          <w:sz w:val="28"/>
          <w:szCs w:val="28"/>
          <w:rtl w:val="true"/>
          <w:lang w:bidi="ar-SA"/>
        </w:rPr>
        <w:t>ويتمثل في لون من الصراع المذهبي بين الشيعة والسنة، وهو الذي كان يقوم على أساس غير موضوعي، وإنما على الرواسب والنزعات الطائفية، وفي إطار الانفعالات العاطفية، التي وسعت فجوة الخلاف بين الطائفتين، فحولت كثيراً من المسائل العامة إلى قضايا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حول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بحثاً ترفياً، أو حول مسألة تجريدية قليلة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بحث عن 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الصميم</w:t>
      </w:r>
      <w:r>
        <w:rPr>
          <w:rFonts w:eastAsia="Amiri" w:cs="Amiri" w:ascii="Amiri" w:hAnsi="Amiri"/>
          <w:color w:val="111111"/>
          <w:sz w:val="28"/>
          <w:szCs w:val="28"/>
          <w:rtl w:val="true"/>
          <w:lang w:bidi="ar-SA"/>
        </w:rPr>
        <w:t xml:space="preserve">. </w:t>
      </w:r>
      <w:bookmarkStart w:id="40" w:name="pg803_9340"/>
    </w:p>
    <w:p>
      <w:pPr>
        <w:pStyle w:val="Heading2"/>
        <w:numPr>
          <w:ilvl w:val="1"/>
          <w:numId w:val="1"/>
        </w:numPr>
        <w:rPr/>
      </w:pPr>
      <w:bookmarkStart w:id="41" w:name="__RefHeading___Toc6585895_211673320"/>
      <w:bookmarkStart w:id="42" w:name="_Toc14"/>
      <w:bookmarkEnd w:id="40"/>
      <w:bookmarkEnd w:id="41"/>
      <w:r>
        <w:rPr>
          <w:rtl w:val="true"/>
        </w:rPr>
        <w:t>الإمام</w:t>
      </w:r>
      <w:bookmarkEnd w:id="42"/>
    </w:p>
    <w:p>
      <w:pPr>
        <w:pStyle w:val="Heading3"/>
        <w:numPr>
          <w:ilvl w:val="2"/>
          <w:numId w:val="1"/>
        </w:numPr>
        <w:rPr/>
      </w:pPr>
      <w:bookmarkStart w:id="43" w:name="__RefHeading___Toc6585897_211673320"/>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ابني محمد هو الإمام والحجّة بعدي، من مات ولم يعرفه، مات ميتة جاهلية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03_9343"/>
      <w:bookmarkStart w:id="46" w:name="pg803_9343"/>
      <w:bookmarkEnd w:id="46"/>
    </w:p>
    <w:p>
      <w:pPr>
        <w:pStyle w:val="Heading3"/>
        <w:numPr>
          <w:ilvl w:val="2"/>
          <w:numId w:val="1"/>
        </w:numPr>
        <w:rPr/>
      </w:pPr>
      <w:bookmarkStart w:id="47" w:name="pg803_9343"/>
      <w:bookmarkStart w:id="48" w:name="__RefHeading___Toc6585899_211673320"/>
      <w:bookmarkStart w:id="49" w:name="_Toc16"/>
      <w:bookmarkEnd w:id="47"/>
      <w:bookmarkEnd w:id="48"/>
      <w:r>
        <w:rPr>
          <w:rtl w:val="true"/>
        </w:rPr>
        <w:t>نسبه</w:t>
      </w:r>
      <w:r>
        <w:rPr>
          <w:rtl w:val="true"/>
        </w:rPr>
        <w:t>:</w:t>
      </w:r>
      <w:bookmarkEnd w:id="49"/>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بن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585901_211673320"/>
      <w:bookmarkStart w:id="51" w:name="_Toc17"/>
      <w:bookmarkEnd w:id="50"/>
      <w:r>
        <w:rPr>
          <w:rtl w:val="true"/>
        </w:rPr>
        <w:t>ولادته</w:t>
      </w:r>
      <w:r>
        <w:rPr>
          <w:rtl w:val="true"/>
        </w:rPr>
        <w:t>:</w:t>
      </w:r>
      <w:bookmarkEnd w:id="51"/>
    </w:p>
    <w:p>
      <w:pPr>
        <w:pStyle w:val="BookText"/>
        <w:rPr/>
      </w:pPr>
      <w:r>
        <w:rPr>
          <w:rFonts w:ascii="Amiri" w:hAnsi="Amiri" w:eastAsia="Amiri" w:cs="Amiri"/>
          <w:color w:val="111111"/>
          <w:sz w:val="28"/>
          <w:sz w:val="28"/>
          <w:szCs w:val="28"/>
          <w:rtl w:val="true"/>
          <w:lang w:bidi="ar-SA"/>
        </w:rPr>
        <w:t xml:space="preserve">ولد الإمام المنتظر عليه السلام بسامراء من مدن العراق، ليلة النصف من شهر شعبان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وخمسين ومائتين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الولد الوحيد لأبيه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6585903_211673320"/>
      <w:bookmarkStart w:id="53" w:name="_Toc18"/>
      <w:bookmarkEnd w:id="52"/>
      <w:r>
        <w:rPr>
          <w:rtl w:val="true"/>
        </w:rPr>
        <w:t>إمامته</w:t>
      </w:r>
      <w:r>
        <w:rPr>
          <w:rtl w:val="true"/>
        </w:rPr>
        <w:t>:</w:t>
      </w:r>
      <w:bookmarkEnd w:id="53"/>
    </w:p>
    <w:p>
      <w:pPr>
        <w:pStyle w:val="BookText"/>
        <w:rPr/>
      </w:pPr>
      <w:r>
        <w:rPr>
          <w:rFonts w:ascii="Amiri" w:hAnsi="Amiri" w:eastAsia="Amiri" w:cs="Amiri"/>
          <w:color w:val="111111"/>
          <w:sz w:val="28"/>
          <w:sz w:val="28"/>
          <w:szCs w:val="28"/>
          <w:rtl w:val="true"/>
          <w:lang w:bidi="ar-SA"/>
        </w:rPr>
        <w:t xml:space="preserve">ولي أمر الإمامة بعد وفاة أبيه الإمام الحسن العسكري عليه السلام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يتساءل استغراباً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يجعل إماماً وهو في هذه السن من الطفولة المبكرة؟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ويرتفع هذا النوع من الاستغراب حينما نعلم أن الإمامة هبة يمنحها الله تعالى من يشاء من عباده، ممن تتوافر فيه عناصر الإمامة وشروطها، شأنها في ذلك شأن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برهن عليه في مجاله من مدونات وكتب الإمامة عند الشيعة بما يربو على التوفية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صدر الدين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المهدي المنتظر قام بالإمامة، وحاز هذا المنصب الجليل، وهو ابن خمس سنين، طفل لم </w:t>
      </w:r>
    </w:p>
    <w:p>
      <w:pPr>
        <w:pStyle w:val="BookText"/>
        <w:rPr/>
      </w:pPr>
      <w:r>
        <w:rPr>
          <w:rFonts w:ascii="Amiri" w:hAnsi="Amiri" w:eastAsia="Amiri" w:cs="Amiri"/>
          <w:color w:val="111111"/>
          <w:sz w:val="28"/>
          <w:sz w:val="28"/>
          <w:szCs w:val="28"/>
          <w:rtl w:val="true"/>
          <w:lang w:bidi="ar-SA"/>
        </w:rPr>
        <w:t>يبلغ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لابد في النبي والرسول والخليفة أن يكون بالغاً مبلغ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مسألة كلامية، ليس هنا محل تفصيلها، ولكن على وجه الإجمال،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ما هو الحق من أن أمر الرسالة والإمامة والنبوة والخلافة بيد الله سبحانه وتعالى، وليس لأحد من الناس فيها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عقلاً، ولا مانع منه مع دلالة الدليل عليه، لأن الله سبحانه وتعالى قادر أن يجمع في الصبي جميع شرائط الرسالة والإمامة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على أن إمامة الإمام المنتظر عليه السلاملم تكن الحدث الوحيد من نوعها، فقد أوتي النبي يحيى عليه السلام الحكم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وجعل عيسى بن مريم عليه السلام نبياً وهو في المهد رضيعاً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فأشارت إليه قالوا كيف نكلم من كان في المهد صبياً 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جده الإمام محمد الجواد عليه السلام، وجده الإمام علي الهادي عليه السلام، ولي كل منهما الإمامة وهو ابن ثماني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الإمام الحسن العسكري عليه السلام وليها وهو ابن عشرين عاماً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وواقع هؤلاء الأئمة عليهم السلام في علمهم بالشريعة، وتطبيقهم لأحكامها، في سلوكهم، ومختلف مجالات حياتهم الذي </w:t>
      </w:r>
    </w:p>
    <w:p>
      <w:pPr>
        <w:pStyle w:val="BookText"/>
        <w:rPr/>
      </w:pPr>
      <w:r>
        <w:rPr>
          <w:rFonts w:ascii="Amiri" w:hAnsi="Amiri" w:eastAsia="Amiri" w:cs="Amiri"/>
          <w:color w:val="111111"/>
          <w:sz w:val="28"/>
          <w:sz w:val="28"/>
          <w:szCs w:val="28"/>
          <w:rtl w:val="true"/>
          <w:lang w:bidi="ar-SA"/>
        </w:rPr>
        <w:t xml:space="preserve">سجله التاريخ بإكبار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الدليل العقائدي الذي أشرت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في رفع ذلكم النوع من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حينما نعلم أن الأئمة عليهم السلام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مصحرين بأفكارهم وسلوكهم وواقعهم تجاه السلطة وغيرها من خصومهم في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حافل بمواقف السلطة منهم ومحاربتها لأفكارهم، وتعريضهم لمختلف وسائل الإغراء والاختيار، ومع ذلك فقد حفل التاريخ بنتائج اختباراتهم المشرفة وسجلها بإكبار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حدث المؤرخون عن كثير من هذه المواقف المحرجة، وبخاصة مع الإمام الجواد، مستغلين صغر سنّه عند تولي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افترضنا سكوت التاريخ عن هذه الظاهرة، فان من غير الطبيعي أن لا يحدث أكثر من مرة تبعاً لتكرار الحاجة إليها، وبخاصة وأن المعارضة كانت على أشدها في العصور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وطريقة إعلان فضيحة الشيعة بإحراج أئمتهم فيما يدعونه من علم أو استقامة سلوك، وإبراز سخفهم لاحتضانهم أئمة بهذا السن وهذا المستوى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بكثير من تعريض الأمة إلى حروب قد يكون الخليفة من ضحاياها أو تعريض هؤلاء الأئمة إلى السجون والمراقبة، والمجاملة أحياناً</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روائع ما سجله التاريخ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أحمد ابن عبيد الله بن خاقان، عامل المعتمد العباسي على الخراج والضياع بكورة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معروفاً بانحرافه عن أهل البيت عليهم السلام، في معرض حديثه مع جماعة حضروا مجلسه في شهر شعبان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وفاة الإمام الحسن العسكري عليه </w:t>
      </w:r>
    </w:p>
    <w:p>
      <w:pPr>
        <w:pStyle w:val="BookText"/>
        <w:rPr/>
      </w:pPr>
      <w:r>
        <w:rPr>
          <w:rFonts w:ascii="Amiri" w:hAnsi="Amiri" w:eastAsia="Amiri" w:cs="Amiri"/>
          <w:color w:val="111111"/>
          <w:sz w:val="28"/>
          <w:sz w:val="28"/>
          <w:szCs w:val="28"/>
          <w:rtl w:val="true"/>
          <w:lang w:bidi="ar-SA"/>
        </w:rPr>
        <w:t>السلام بثماني عشرة سنة، وقد جرى ذكر المقيمين من آل أبي طالب بسامراء، ومذاهبهم، وصلاحهم، وأقدارهم عند السلطان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ولا أعرف بسر من رأى رجلاً من العلوية مثل الحسن بن على بن محمد بن الرضا، في هديه، وسكونه، وعفافه، ونبله، وكرمه عند أهل بيته والسلطان وبني هاشم كافة، وتقديمهم إيّاه على ذوي السن منهم والخطر،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حاله عند القواد والوزراء والكتاب وعامة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يوماً قائماً على رأس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مجلسه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حجابه،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الرضا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فتعجبت منه، ومنهم، من جسارتهم أن يكنّوا رجلاً بحضرة أبي، ولم يكنّ عنده إلاّ خليفة أو ولي عهد أو من أمر السلطان أن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رجل أسمر، أعين، حسن القامة، جميل الوجه، جيد البدن، حديث السن، له جلالة وهيئة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أبي، قام فمشى إليه 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أعلمه فعل هذا بأحد من بني هاشم والقواد و أولياء العهد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دنا منه عانقه، وقبّل وجهه وصدره ومنكبيه، وأخذ بيده، وأجلسه على مصلاه الذي كان عليه، وجلس إلى جنبه، مقبلاً عليه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يكلمه، ويفديه بنفسه وأبويه، وأنا متعجب مما </w:t>
      </w:r>
    </w:p>
    <w:p>
      <w:pPr>
        <w:pStyle w:val="BookText"/>
        <w:rPr/>
      </w:pPr>
      <w:r>
        <w:rPr>
          <w:rFonts w:ascii="Amiri" w:hAnsi="Amiri" w:eastAsia="Amiri" w:cs="Amiri"/>
          <w:color w:val="111111"/>
          <w:sz w:val="28"/>
          <w:sz w:val="28"/>
          <w:szCs w:val="28"/>
          <w:rtl w:val="true"/>
          <w:lang w:bidi="ar-SA"/>
        </w:rPr>
        <w:t>أرى منه، إذ دخل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المعتمد الخليفة العباسي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الموفق إذا دخل على أبى تقدمه حجابه، وخاصة قواده، فقاموا بين مجلس أبي وبين الدار سماطين، إلى أن يدخل ويخرج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أبي مقبلاً على أبي محمد، يحدثه، حتى نظر إلى غلمان الموفق،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خلف السماطين، لا يراه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وقام أبي، فعانقه،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لحجاب أبي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كنيتموه بحضرة أبي، وفعل به أبي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علوي،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يعرف بابن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فازددت تعجباً، ولم أزل يومي ذلك قلقاً متفكراً في أمره، وأمر أبي، وما رأيته، منه، حتى كان الليل، وكانت عادته أن يصلي العتمة، ثم يجلس، فينظر فيما يحتاج إليه من المؤامرات، وما يدفعه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وجلس، جئت فجلست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أذنت سألتك عنها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الذي رأيتك بالغداة فعلت به ما فعلت من الإجلال والكرامة، وفديته بنفسك وأبويك؟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إمام الرافضة، الحسن بن علي، المعروف بابن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زالت الإمامة عن خلفاء بني العباس، ما استحقها أحد من بني هاشم غيره، لفضله، وعفافه، وصيانته، وزهده، وعبادته، وجميل أخلاقه، وصلاحه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رأيت أباه، رأيت رجلاً جزلاً، نبيلاً،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فازددت قلقاً، وتفكراً، وغيظاً على أبي، وما سمعته منه فيه، ورأيته من فعله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لي همة بعد ذلك إلا السؤال عن خبره، والبحث عن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سألت أحداً من بني هاشم والقواد والكتاب والقضاة والفقهاء وسائر الناس، إلا وجدته عندهم في غاية الإجلال والإعظام، والمحل الرفيع، والقول الجميل، والتقديم له على جميع أهل بيته ومشايخه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 قدره عندي، إذ لم أر له ولياً ولا عدواً، إلا وهو يحسن القول فيه والثناء عليه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الإمام المنتظر عليه السلام خاتم الأئمة الاثني عشر، أوصياء نبينا محمد صلى الله عليه وآله وسلم</w:t>
      </w:r>
      <w:r>
        <w:rPr>
          <w:rFonts w:eastAsia="Amiri" w:cs="Amiri" w:ascii="Amiri" w:hAnsi="Amiri"/>
          <w:color w:val="111111"/>
          <w:sz w:val="28"/>
          <w:szCs w:val="28"/>
          <w:rtl w:val="true"/>
          <w:lang w:bidi="ar-SA"/>
        </w:rPr>
        <w:t xml:space="preserve">. </w:t>
      </w:r>
      <w:bookmarkStart w:id="54" w:name="pg803_9354"/>
    </w:p>
    <w:p>
      <w:pPr>
        <w:pStyle w:val="Heading3"/>
        <w:numPr>
          <w:ilvl w:val="2"/>
          <w:numId w:val="1"/>
        </w:numPr>
        <w:rPr/>
      </w:pPr>
      <w:bookmarkStart w:id="55" w:name="__RefHeading___Toc6585905_211673320"/>
      <w:bookmarkStart w:id="56" w:name="_Toc19"/>
      <w:bookmarkEnd w:id="54"/>
      <w:bookmarkEnd w:id="55"/>
      <w:r>
        <w:rPr>
          <w:rtl w:val="true"/>
        </w:rPr>
        <w:t>غيبته</w:t>
      </w:r>
      <w:r>
        <w:rPr>
          <w:rtl w:val="true"/>
        </w:rPr>
        <w:t>:</w:t>
      </w:r>
      <w:bookmarkEnd w:id="56"/>
    </w:p>
    <w:p>
      <w:pPr>
        <w:pStyle w:val="BookText"/>
        <w:rPr/>
      </w:pPr>
      <w:r>
        <w:rPr>
          <w:rFonts w:ascii="Amiri" w:hAnsi="Amiri" w:eastAsia="Amiri" w:cs="Amiri"/>
          <w:color w:val="111111"/>
          <w:sz w:val="28"/>
          <w:sz w:val="28"/>
          <w:szCs w:val="28"/>
          <w:rtl w:val="true"/>
          <w:lang w:bidi="ar-SA"/>
        </w:rPr>
        <w:t>للإمام المنتظر عليه السلام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استعرضهما بشيء من الإيجاز، موضحاً أهم عواملهما، وأبرز ملابساتهما، في حدود ما يرتبط بموضوعنا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انتظار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وبالمقدار الذي يمهد له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585907_211673320"/>
      <w:bookmarkStart w:id="58" w:name="_Toc20"/>
      <w:bookmarkEnd w:id="57"/>
      <w:r>
        <w:rPr>
          <w:rtl w:val="true"/>
        </w:rPr>
        <w:t>الغيبة الصغرى</w:t>
      </w:r>
      <w:r>
        <w:rPr>
          <w:rtl w:val="true"/>
        </w:rPr>
        <w:t>:</w:t>
      </w:r>
      <w:bookmarkEnd w:id="58"/>
    </w:p>
    <w:p>
      <w:pPr>
        <w:pStyle w:val="BookText"/>
        <w:rPr/>
      </w:pPr>
      <w:r>
        <w:rPr>
          <w:rFonts w:ascii="Amiri" w:hAnsi="Amiri" w:eastAsia="Amiri" w:cs="Amiri"/>
          <w:color w:val="111111"/>
          <w:sz w:val="28"/>
          <w:sz w:val="28"/>
          <w:szCs w:val="28"/>
          <w:rtl w:val="true"/>
          <w:lang w:bidi="ar-SA"/>
        </w:rPr>
        <w:t xml:space="preserve">بدأت الغيبة الصغرى بولادة الإمام المنتظر عليه السلام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بوفاة سفيره الرابع والأخير علي بن محمد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فامتدت أربعاً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الفترة المشار إليها يتصل بأتباعه وشيعته اتصالاً سرياً، دقيقاً في سريته، وعاماً لجميع حلقات ووسائل الاتصال، وعن طريق المخلصين كل الإخلاص من أصحابه، والذين يدعون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الأسدي، المتوفى ببغداد، والذي كان قبل سفارته عن الإمام المنتظر عليه السلام، وكيلاً عن جده الإمام علي الهادي عليه السلام، ثم عن أبيه الإمام الحسن العسكري 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سعيد العمري،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bookmarkStart w:id="59" w:name="pg803_9357"/>
    </w:p>
    <w:p>
      <w:pPr>
        <w:pStyle w:val="Heading3"/>
        <w:numPr>
          <w:ilvl w:val="2"/>
          <w:numId w:val="1"/>
        </w:numPr>
        <w:rPr/>
      </w:pPr>
      <w:bookmarkStart w:id="60" w:name="__RefHeading___Toc6585909_211673320"/>
      <w:bookmarkStart w:id="61" w:name="_Toc21"/>
      <w:bookmarkEnd w:id="59"/>
      <w:bookmarkEnd w:id="60"/>
      <w:r>
        <w:rPr>
          <w:rtl w:val="true"/>
        </w:rPr>
        <w:t>عوامل الغيبة الصغرى</w:t>
      </w:r>
      <w:r>
        <w:rPr>
          <w:rtl w:val="true"/>
        </w:rPr>
        <w:t>:</w:t>
      </w:r>
      <w:bookmarkEnd w:id="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النوبختي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السمري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أخاله أن أهم عامل في غيبة الإمام المنتظر عليه السلام، وفي اختفائه منذ الولادة، هو موقف الحكام العباسيين الموقف المعادي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 وإيمان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المنتظر الذي بشرت جميع الأديان الإلهية بفكرته الإصلاحية</w:t>
      </w:r>
      <w:r>
        <w:rPr>
          <w:rStyle w:val="FootnoteAnchor"/>
          <w:rtl w:val="true"/>
        </w:rPr>
        <w:footnoteReference w:id="13"/>
      </w:r>
      <w:r>
        <w:rPr>
          <w:rFonts w:ascii="Amiri" w:hAnsi="Amiri" w:eastAsia="Amiri" w:cs="Amiri"/>
          <w:color w:val="111111"/>
          <w:sz w:val="28"/>
          <w:sz w:val="28"/>
          <w:szCs w:val="28"/>
          <w:rtl w:val="true"/>
          <w:lang w:bidi="ar-SA"/>
        </w:rPr>
        <w:t>، وبشرت بدولته العالمية، والقاضية على كل حكم قائم آن انبثاقها، هو الإمام محمد بن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وشيوع الروايات الواردة عن النبي صلى الله عليه وآله وسلم في تجسيد فكرة المصلح المنتظر بالإمام محمد بن الحسن عليه السلام، وتطبيق شخصية المصلح المنتظر عليه، بين علماء المسلمين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عقيديين وفقهاء ومحدثين، بما تضمنته من دلائل وإشارات، وبما احتوته من تصريحات باسمه وأوصافه الخاصة المميزة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الحاصرة للأئمة في اثني عشر خليفة كلهم من قريش، والتي تدور على ألسنة المحدثين والمؤرخين آنذاك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كالتي رواها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للإمام الحسن العسكري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وفي رواية الإمام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لهذه الأمة اثنا عشر خليفة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وكالتي رواها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ويكون عليهم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وكالتي رواها الحمويني الشافعي في فرائد السمطين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وعلي بن أبي طالب سيد الوصيين، وان أوصيائي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ابن أبي طالب، وآخرهم القائم المهدي</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خلفائي وأوصيائي حجج الله على الخلق بعدي اثنا عشر</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تواتر مضمون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الخاصة والعامة، أما بهذا اللفظ أو قريب منه، وقد جمع بعض المعاصرين هذه الأخبار فكانت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وقد رواها أكابر حفاظ أهل السنة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متى أضفنا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العباسيين كانوا يعلمون أن الإمام الذي يخلف الإمام الحسن العسكري عليه السلام هو الإمام الثاني عشر الذي يملاً الأرض قسطاً وعدلاً، لعلمهم بأن الإمام العسكري عليه السلام هو الإمام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كانت هذه الروايات وأمثالها من الأحاديث المثيرة لقلق الحكام واضطرابهم باعثاً إلى أبعد من هذا، وهو تتبع أل الرسول صلى الله عليه وآله وسلم، وإبادة نسله، طمعاً منهم في الوصول إلى قتل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لنلمس هذا المعنى في بعض ما ورد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حديث للإمام الصادق عليه السلام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مولد موسى عليه السلام، فإن فرعون لما وقف على أن زوال ملكه على يده، أمر بإحضار الكهنة، فدلوه على نسبه، وأنه يكون من بني اسرائيل، حتي قتل في طلبه نيفاً وعشرين ألف مولد، وتعذر إليه الوصول إلى قتل موسى عليه السلام بحفظ الله تبارك وتعالى إياه، كذلك بنو أمية وبنو العباس لما وقفوا على أن زوال ملك الأمراء والجبابرة منهم على يد القائم منا، ناصبونا العداوة، ووضعوا سيوفهم في قتل أل الرسول صلى الله عليه وآله وسلم، وإبادة نسله، طمعاً منهم في الوصول إلى القائم، ويأبى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أن يكشف أمره لواحد من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يتم نوره ولو كره المشركون</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أخر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بنو أمية وبنو العباس سيوفهم علينا لعلتين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يعلمون ليس لهم في الخلافة حق، فيخافون من ادعائنا إيٌاها، وتستقر في مركزها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وقفوا من الأخبار المتواترة، على أن زوال ملك الجبابرة والظلمة على يد القائم منا، وكانوا لا يشكون أنهم من الجبابرة والظلمة، فسعوا في قتل أهل بيت رسول الله صلى الله عليه وآله وسلم، وإبادة نسله، طمعاً منهم في الوصول إلى منع تولد القائم عليه السلام، أو قتله، فأبى الله أن يكشف أمره لواحد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يتم نوره ولو كره المشركون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كل ذلكم وأمثاله، كان يربك الحكومة العباسية حول مستقبلها عند ظهور الإمام محمد بن الحسن عليه السلام، إذ ربما تمثلت فيه عقيدة الشيعة، وصدقت فيه أحاديث جده النبي محمد صلى الله عليه وآله وسلم، وما روي عنه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تعد ما في إمكانياتها من العدة للعثور عليه، والوقوف على أمره، لتطمئن على مستقبلها السياسي، وبخاصة وان حركات الشيعة أيام جده الإمام علي الهادي عليه السلام، وأبيه الإمام الحسن العسكري عليه السلام، ضد الحكومة العباسية، كانت في زيادة مدها النضالي، ووفرة نشاطها السياسي، لقلب نظام الحكم العباسي والإطاحة به، بما كان يقلق الحكومة العباسية، ويتعبها إلى حد، في إخمادها، أو إيقافها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تمخضت الحركة الشيعية عن الثورة المبيدة للحكم العباسي علي يد الإمام محمد بن الحسن عليه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فوضع الحكام 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يحدث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العيون </w:t>
      </w:r>
    </w:p>
    <w:p>
      <w:pPr>
        <w:pStyle w:val="BookText"/>
        <w:rPr/>
      </w:pPr>
      <w:r>
        <w:rPr>
          <w:rFonts w:ascii="Amiri" w:hAnsi="Amiri" w:eastAsia="Amiri" w:cs="Amiri"/>
          <w:color w:val="111111"/>
          <w:sz w:val="28"/>
          <w:sz w:val="28"/>
          <w:szCs w:val="28"/>
          <w:rtl w:val="true"/>
          <w:lang w:bidi="ar-SA"/>
        </w:rPr>
        <w:t>والجواسيس أيام حياة الإمام الحسن العسكري عليه السلام بغية معرفة الإمام من بعده، وبخاصة ابنه الذي نوٌهت به وأشارت إليه تعريفات المصلح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تضافرت الروايات على أن السلطان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وفتش عليه أشد الطلب والتفتيش ليقتله، لما شاع من قول الإمامة فيه، وانتظارهم له، ولما سبق من آبائه من وصية السابق إلى اللاحق</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وبعث السلطان إلى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يفتشها، وختم على جميع ما فيها، وطلبوا أثر ولده، وجاءوا بنساء لهن معرفة بالحبل، فدخلن على جواريه، فنظر إليهن، فذكر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جارية بها حمل، فأمر بها فجعلت في حجرة، ووكل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وأصحابه ونسوة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وتفرق الناس، اضطرب السلطان وأصحابه في طلب ولده، وكثر التفتيش في المنازل والدور، وتوقفوا عن قسمة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الذين وكلوا بحفظ الجارية التي توهّموا فيها الحبل ملازمين لها سنتين أو أكثر، حتى تبين لهم بطلان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ميراثه بين أمه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وادعت أمه وصيته، وثبت ذلك عند القاضي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والسلطان على ذلك يطلب أثر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يجد إلى ذلك سبيلاً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المنتظر لدولة الحق، وكان قد أخفى مولده، وستر أمره، لصعوبة الوقت، وشدة طلب سلطان الزمان له، واجتهاده في البحث عن أمره، ولما شاع من مذهب الشيعة الإمامية فيه، وعرف من انتظارهم له، فلم يظهر ولده عليه السلام في حياته، ولا عرفه الجمهور بعد وفاته، وتولى جعفر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تركته، وسعى في حبس جواري أبي محمد عليه السلام، واعتقال حلائله، وشنّع على أصحابه بانتظارهم ولده، وقطعهم بوجوده، والقول بإمامته، وأغرى بالقوم حتى أخافهم وشردهم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على مخلفي أبي محمد عليه السلام بسبب ذلك كل عظيمة، من اعتقال، وحبس، وتهديد، وتصغير، واستخفاف، وذل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يظفر السلطان منهم بطائل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وحاز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تركة أبي محمد عليه السلام، واجتهد في القيام عند الشيعة مقامه، ولم يقبل أحد منهم ذلك، ولا اعتقده فيه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وهذا النص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لكبير من أعلام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يلمسنا واقع الغيبة، في أنها بدأت بولادة الإمام المنتظر عليه السلام، حيث أخفي خبر الولادة عن الجمهور، وستر أمر الإمام المنتظر عليه السلام إلا على المخلصين من أصحاب أبيه عليه السلام للعامل السياسي الذي أشرت إليه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يكون هذا هو واقع الغيبة، يجدر بنا أن نسائل أولئكم الحانقين والمغفلين عن موقع السرداب المزعوم من حوادث القصة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وأبعد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وضع الحكام العباسيون على ألسنة بعض المحدثين أحاديث نسبوها إلى النبي صلى الله عليه وآله وسلم وضمّنوها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المنتظر من أل العباس، بغية صرف العامة عن انتظاره في أل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العباس عمي</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إن الله فتح هذا الأمر بي، وسيختمه بغلام من ولدك، يملؤها عدلاً، كما ملئت جوراً، وهو الذي يصلي بعيسى</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يا أبا الفضل،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بي هذا الأمر، وبذريتك يختمه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الرايات السود قد جاءت من قبل خراسان، فأتوها، فان فيها خليفة الله المهدي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ولكي نقف على قيمة هذه الأحاديث، وعلى واقعها، وهو أنها موضوعة، علينا أن نقرأ ما يقوله علماء الحديث والناقدون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 الحديث الأول، يقول الدار 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تفرد به محمد بن الوليد مولى بني هاشم</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ويعلق عليه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عده الحديث في سلسلة الموضوعات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عروبة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أعلّه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ابن الجوزي، وبه تبين خطاْ السيوطي في إيراده لهذا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كذب هذا الحديث انه مخالف 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عمر والداني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العقيلي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زياد بن بيان عن علي بن نفيل عن سعيد بن المسيب عن أم سلمة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سند جيد، رجاله كلهم ثقات، وله شواهد كثيرة، فهو دليل واضح على 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وحول الحديث الثاني يقول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عده في الموضوعات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الحجاج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ابن سليمان حدثنا خلف بن خليفة عن مغيرة عن إبراهيم عن علقمة عن عمار بن ياسر مرفوعاً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رجاله كلهم ثقات، معروفون، من رجال مسلم، غير أحمد بن الحجاج هذا، ولم يذكر فيه الخطيب جرحاً ولا تعديلاً وقد اتهمه الذهبي بهذا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بإسناد الصحاح مرفوعاً، فهو أفته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والعجيب أن الخطيب ذكره في تاريخه </w:t>
      </w:r>
    </w:p>
    <w:p>
      <w:pPr>
        <w:pStyle w:val="BookText"/>
        <w:rPr/>
      </w:pPr>
      <w:r>
        <w:rPr>
          <w:rFonts w:ascii="Amiri" w:hAnsi="Amiri" w:eastAsia="Amiri" w:cs="Amiri"/>
          <w:color w:val="111111"/>
          <w:sz w:val="28"/>
          <w:sz w:val="28"/>
          <w:szCs w:val="28"/>
          <w:rtl w:val="true"/>
          <w:lang w:bidi="ar-SA"/>
        </w:rPr>
        <w:t>ولم يضعفه، وكأنه سكت عنه لانتهاك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ووافقه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أورده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عباس ونحوه،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به الغلابي</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الحديث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لاهز بن جعفر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 به لاهز بن جعفر، وهو حديث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متهم، قال فيه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بغدادي، مجهول، يحدث عن الثقات بالمناكر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الحديثين الأخيرين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حال هذا الحديث والذي قبله، فلا يليق نصب الخلاف بينهما وبين الحديث الصحيح المتقدم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لصحته وشدة ضعف مخالفه</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 الحديث الرابع يقول المودودي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الرايات السود من قبل خراسان، مما يدل دلالة واضحة على أن العباسيين ادخلوا في هذه الرواية من عند أنفسهم، ما يوافق أهواءهم وسياستهم، لأن اللون الأسود كان شعاراً للعباسيين، وكان أبو مسلم الخراساني هو الذي مهد الأرض للدولة العباسية</w:t>
      </w:r>
      <w:r>
        <w:rPr>
          <w:rFonts w:eastAsia="Amiri" w:cs="Amiri" w:ascii="Amiri" w:hAnsi="Amiri"/>
          <w:color w:val="111111"/>
          <w:sz w:val="28"/>
          <w:szCs w:val="28"/>
          <w:rtl w:val="true"/>
          <w:lang w:bidi="ar-SA"/>
        </w:rPr>
        <w:t>).</w:t>
      </w:r>
      <w:r>
        <w:rPr>
          <w:rStyle w:val="FootnoteAnchor"/>
          <w:rtl w:val="true"/>
        </w:rPr>
        <w:footnoteReference w:id="34"/>
      </w:r>
      <w:bookmarkStart w:id="62" w:name="pg803_9374"/>
    </w:p>
    <w:p>
      <w:pPr>
        <w:pStyle w:val="Heading3"/>
        <w:numPr>
          <w:ilvl w:val="2"/>
          <w:numId w:val="1"/>
        </w:numPr>
        <w:rPr/>
      </w:pPr>
      <w:bookmarkStart w:id="63" w:name="__RefHeading___Toc6585911_211673320"/>
      <w:bookmarkStart w:id="64" w:name="_Toc22"/>
      <w:bookmarkEnd w:id="62"/>
      <w:bookmarkEnd w:id="63"/>
      <w:r>
        <w:rPr>
          <w:rtl w:val="true"/>
        </w:rPr>
        <w:t>الغيبة الكبرى</w:t>
      </w:r>
      <w:r>
        <w:rPr>
          <w:rtl w:val="true"/>
        </w:rPr>
        <w:t>:</w:t>
      </w:r>
      <w:bookmarkEnd w:id="64"/>
    </w:p>
    <w:p>
      <w:pPr>
        <w:pStyle w:val="BookText"/>
        <w:rPr/>
      </w:pPr>
      <w:r>
        <w:rPr>
          <w:rFonts w:ascii="Amiri" w:hAnsi="Amiri" w:eastAsia="Amiri" w:cs="Amiri"/>
          <w:color w:val="111111"/>
          <w:sz w:val="28"/>
          <w:sz w:val="28"/>
          <w:szCs w:val="28"/>
          <w:rtl w:val="true"/>
          <w:lang w:bidi="ar-SA"/>
        </w:rPr>
        <w:t xml:space="preserve">بدأت الغيبة الكبرى بوفاة السفير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وستبقى مستمرة حتى يأذن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نهاية أمدها هو حينما تتمخض الظروف الاجتماعية عن الأجواء الملائمة لثورة الإمام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حددتها جملة من الأحاديث الواردة عن المعصومين عليهم السلام والتي نستطيع أن نصنفها إلى طائفتين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التي حددت خروج الإمام المنتظر عليه السلام بعد ملء الأرض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تملأ الأرض ظلماً وجوراً وعدواناً، ثم يخرج من أهل بيتي من يملؤها قسطاً وعدلاً كما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التي أشارت إلى أن الإمام المنتظر عليه السلام سيأتي بأمر جديد، بعد اندثار معالم الإسلام، وابتعاده عن الواقع الاجتماعي والواقع الفكري وانحساره عن مجالهما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أمثال ما روي عن الإمام الصادق 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دعا الناس إلى الإسلام جديداً، وهداهم إلى أمر قد دثر فضلّ عنه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سمي القائم مهدياً، لأنه يهدي إلى أمر قد ضلوا عنه، وسمي بالقائم لقيامه بالحق</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جاء بأمر جديد، كما دعا رسول الله صلى الله عليه وآله وسلم في بدو الإسلام إلى أمر جديد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ولعلنا بهذا أيضاً نستطيع أن نوجه أو نفسر عدم ظهور الإمام المنتظر عليه السلام قبل هذا الآن الذي أشارت إليه الأحاديث المذكورة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بعدم تحقق ظروف ثورته عليه السلام والأجواء الملائمة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يفهم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الإمام المنتظر عليه السلام بالدعوة الإسلامية لابد وأن يسبق بشمول الباطل والكفر لكل أطراف الحياة، وانحسار الحق والإسلام من كل مجالاتها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ما يفاد من النصوص في هذا المجال هو بقاء الإسلام مستمراً لدى طائفة من الأمة حتى ظهور الإمام المنتظر عليه السلام، كما سنقف عليه في المواضيع الآتية</w:t>
      </w:r>
      <w:r>
        <w:rPr>
          <w:rStyle w:val="FootnoteAnchor"/>
          <w:rtl w:val="true"/>
        </w:rPr>
        <w:footnoteReference w:id="37"/>
      </w:r>
      <w:r>
        <w:rPr>
          <w:rFonts w:ascii="Amiri" w:hAnsi="Amiri" w:eastAsia="Amiri" w:cs="Amiri"/>
          <w:color w:val="111111"/>
          <w:sz w:val="28"/>
          <w:sz w:val="28"/>
          <w:szCs w:val="28"/>
          <w:rtl w:val="true"/>
          <w:lang w:bidi="ar-SA"/>
        </w:rPr>
        <w:t>، وكما يشير إليه أمثال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طائفة من أمتي يقاتلون على الحق، ظاهرين على من ناوأهم، حتى يقاتل آخرهم الدجال</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من أمتي</w:t>
      </w:r>
      <w:r>
        <w:rPr>
          <w:rFonts w:eastAsia="Amiri" w:cs="Amiri" w:ascii="Amiri" w:hAnsi="Amiri"/>
          <w:color w:val="111111"/>
          <w:sz w:val="28"/>
          <w:szCs w:val="28"/>
          <w:rtl w:val="true"/>
          <w:lang w:bidi="ar-SA"/>
        </w:rPr>
        <w:t>).</w:t>
      </w:r>
      <w:r>
        <w:rPr>
          <w:rStyle w:val="FootnoteAnchor"/>
          <w:rtl w:val="true"/>
        </w:rPr>
        <w:footnoteReference w:id="39"/>
      </w:r>
      <w:bookmarkStart w:id="65" w:name="pg803_9377"/>
    </w:p>
    <w:p>
      <w:pPr>
        <w:pStyle w:val="Heading2"/>
        <w:numPr>
          <w:ilvl w:val="1"/>
          <w:numId w:val="1"/>
        </w:numPr>
        <w:rPr/>
      </w:pPr>
      <w:bookmarkStart w:id="66" w:name="__RefHeading___Toc6585913_211673320"/>
      <w:bookmarkStart w:id="67" w:name="_Toc23"/>
      <w:bookmarkEnd w:id="65"/>
      <w:bookmarkEnd w:id="66"/>
      <w:r>
        <w:rPr>
          <w:rtl w:val="true"/>
        </w:rPr>
        <w:t>وجود الإمام</w:t>
      </w:r>
      <w:r>
        <w:rPr>
          <w:rtl w:val="true"/>
        </w:rPr>
        <w:t>:</w:t>
      </w:r>
      <w:bookmarkEnd w:id="67"/>
    </w:p>
    <w:p>
      <w:pPr>
        <w:pStyle w:val="Heading3"/>
        <w:numPr>
          <w:ilvl w:val="2"/>
          <w:numId w:val="1"/>
        </w:numPr>
        <w:rPr/>
      </w:pPr>
      <w:bookmarkStart w:id="68" w:name="__RefHeading___Toc6585915_211673320"/>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المهدي من ولدي، اسمه اسمي، وكنيته كنيتي، أشبه الناس بي خلقاً وخلقاً، تكون له غيبة وحيرة، تضل فيه الأمم، ثم قبل كالشهاب الثاقب فيملأها عدلاً وقسطاً كما ملئت ظلماً وجوراً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محمد صلى الله عليه وآله وسلم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03_9379"/>
      <w:bookmarkStart w:id="71" w:name="pg803_9379"/>
      <w:bookmarkEnd w:id="71"/>
    </w:p>
    <w:p>
      <w:pPr>
        <w:pStyle w:val="Heading3"/>
        <w:numPr>
          <w:ilvl w:val="2"/>
          <w:numId w:val="1"/>
        </w:numPr>
        <w:rPr/>
      </w:pPr>
      <w:bookmarkStart w:id="72" w:name="pg803_9379"/>
      <w:bookmarkStart w:id="73" w:name="__RefHeading___Toc6585917_211673320"/>
      <w:bookmarkStart w:id="74" w:name="_Toc25"/>
      <w:bookmarkEnd w:id="72"/>
      <w:bookmarkEnd w:id="73"/>
      <w:r>
        <w:rPr>
          <w:rtl w:val="true"/>
        </w:rPr>
        <w:t>منهج البحث</w:t>
      </w:r>
      <w:r>
        <w:rPr>
          <w:rtl w:val="true"/>
        </w:rPr>
        <w:t>:</w:t>
      </w:r>
      <w:bookmarkEnd w:id="74"/>
    </w:p>
    <w:p>
      <w:pPr>
        <w:pStyle w:val="BookText"/>
        <w:rPr/>
      </w:pPr>
      <w:r>
        <w:rPr>
          <w:rFonts w:ascii="Amiri" w:hAnsi="Amiri" w:eastAsia="Amiri" w:cs="Amiri"/>
          <w:color w:val="111111"/>
          <w:sz w:val="28"/>
          <w:sz w:val="28"/>
          <w:szCs w:val="28"/>
          <w:rtl w:val="true"/>
          <w:lang w:bidi="ar-SA"/>
        </w:rPr>
        <w:t>إن منهجة البحث حول موضوع وجود الإمام المنتظر عليه السلام، وحول محاولة الإجابة على السؤال التالي</w:t>
      </w:r>
    </w:p>
    <w:p>
      <w:pPr>
        <w:pStyle w:val="BookText"/>
        <w:rPr/>
      </w:pPr>
      <w:r>
        <w:rPr>
          <w:rFonts w:ascii="Amiri" w:hAnsi="Amiri" w:eastAsia="Amiri" w:cs="Amiri"/>
          <w:color w:val="111111"/>
          <w:sz w:val="28"/>
          <w:sz w:val="28"/>
          <w:szCs w:val="28"/>
          <w:rtl w:val="true"/>
          <w:lang w:bidi="ar-SA"/>
        </w:rPr>
        <w:t>كيف يعيش الإمام المنتظر عليه السلام هذه المدة الطويلة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تتطلب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أولاً عن إمكان مسألة بقاء الإنسان حياً مدة طويلة من السنين تتجاوز الحدود الاعتيادية لعمر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ثانياً عن وقوع المسألة، و بقاء الإمام المنتظر عليه السلام حياً هذه المدة الطويلة من السنين</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585919_211673320"/>
      <w:bookmarkStart w:id="76" w:name="_Toc26"/>
      <w:bookmarkEnd w:id="75"/>
      <w:r>
        <w:rPr/>
        <w:t>1</w:t>
      </w:r>
      <w:r>
        <w:rPr>
          <w:rtl w:val="true"/>
        </w:rPr>
        <w:t xml:space="preserve">- </w:t>
      </w:r>
      <w:r>
        <w:rPr>
          <w:rtl w:val="true"/>
        </w:rPr>
        <w:t>حول الإمكان</w:t>
      </w:r>
      <w:r>
        <w:rPr>
          <w:rtl w:val="true"/>
        </w:rPr>
        <w:t>:</w:t>
      </w:r>
      <w:bookmarkEnd w:id="76"/>
    </w:p>
    <w:p>
      <w:pPr>
        <w:pStyle w:val="Heading4"/>
        <w:numPr>
          <w:ilvl w:val="3"/>
          <w:numId w:val="1"/>
        </w:numPr>
        <w:rPr/>
      </w:pPr>
      <w:bookmarkStart w:id="77" w:name="__RefHeading___Toc6585921_211673320"/>
      <w:bookmarkStart w:id="78" w:name="_Toc27"/>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فيما أخاله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إثبات إمكان بقاء الإنسان حياً عمراً طويلاً من السنين تقتضينا الحديث عنها على الصعيدين الفلسفي والعلمي تمشياً مع مناهج البحث حول المسألة قديماً وحديثاً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585923_211673320"/>
      <w:bookmarkStart w:id="80" w:name="_Toc28"/>
      <w:bookmarkEnd w:id="79"/>
      <w:r>
        <w:rPr>
          <w:rtl w:val="true"/>
        </w:rPr>
        <w:t>أ</w:t>
      </w:r>
      <w:r>
        <w:rPr>
          <w:rtl w:val="true"/>
        </w:rPr>
        <w:t xml:space="preserve">- </w:t>
      </w:r>
      <w:r>
        <w:rPr>
          <w:rtl w:val="true"/>
        </w:rPr>
        <w:t>على الصعيد الفلسفي</w:t>
      </w:r>
      <w:r>
        <w:rPr>
          <w:rtl w:val="true"/>
        </w:rPr>
        <w:t>:</w:t>
      </w:r>
      <w:bookmarkEnd w:id="80"/>
    </w:p>
    <w:p>
      <w:pPr>
        <w:pStyle w:val="BookText"/>
        <w:rPr/>
      </w:pPr>
      <w:r>
        <w:rPr>
          <w:rFonts w:ascii="Amiri" w:hAnsi="Amiri" w:eastAsia="Amiri" w:cs="Amiri"/>
          <w:color w:val="111111"/>
          <w:sz w:val="28"/>
          <w:sz w:val="28"/>
          <w:szCs w:val="28"/>
          <w:rtl w:val="true"/>
          <w:lang w:bidi="ar-SA"/>
        </w:rPr>
        <w:t>من المعلوم أن الاستحالة ما لم ترجع إلى البداهة لا تعد 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الاستحالة إذا لم ترجع بالنهاية إلى اجتماع النقيضين لا تعد استحالة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في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البداهة بمكان أن بقاء إنسان ما حياً آلاف السنين يتمتع بعمر فوق الاعتيادي؛ وكون أناس آخرين لا يتمتعون </w:t>
      </w:r>
      <w:bookmarkStart w:id="81" w:name="pg803_9380"/>
    </w:p>
    <w:p>
      <w:pPr>
        <w:pStyle w:val="BookText"/>
        <w:rPr/>
      </w:pPr>
      <w:bookmarkEnd w:id="81"/>
      <w:r>
        <w:rPr>
          <w:rFonts w:ascii="Amiri" w:hAnsi="Amiri" w:eastAsia="Amiri" w:cs="Amiri"/>
          <w:color w:val="111111"/>
          <w:sz w:val="28"/>
          <w:sz w:val="28"/>
          <w:szCs w:val="28"/>
          <w:rtl w:val="true"/>
          <w:lang w:bidi="ar-SA"/>
        </w:rPr>
        <w:t>بعمر فوق الاعتيادي لا يلزم منه اجتماع النقيضين، وذلك لاختلاف موضوع كل من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خالد في هذا الآن غير موجود، واعتبار محمد في الآن نفسه موجوداً، لا يلزم منه اجتماع الوجود وعدمه في إنسان واحد، وذلك لاختلاف ومغايرة موضوع القضية الأولى وهو خالد لموضوع القضية الثانية وهو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بالضرورة أن من أوليات شروط التناقض وحدة موضوع كل من القضيتين</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585925_211673320"/>
      <w:bookmarkStart w:id="83" w:name="_Toc29"/>
      <w:bookmarkEnd w:id="82"/>
      <w:r>
        <w:rPr>
          <w:rtl w:val="true"/>
        </w:rPr>
        <w:t xml:space="preserve">ب </w:t>
      </w:r>
      <w:r>
        <w:rPr>
          <w:rtl w:val="true"/>
        </w:rPr>
        <w:t xml:space="preserve">- </w:t>
      </w:r>
      <w:r>
        <w:rPr>
          <w:rtl w:val="true"/>
        </w:rPr>
        <w:t>على الصعيد العلمي</w:t>
      </w:r>
      <w:r>
        <w:rPr>
          <w:rtl w:val="true"/>
        </w:rPr>
        <w:t>:</w:t>
      </w:r>
      <w:bookmarkEnd w:id="83"/>
    </w:p>
    <w:p>
      <w:pPr>
        <w:pStyle w:val="BookText"/>
        <w:rPr/>
      </w:pPr>
      <w:r>
        <w:rPr>
          <w:rFonts w:ascii="Amiri" w:hAnsi="Amiri" w:eastAsia="Amiri" w:cs="Amiri"/>
          <w:color w:val="111111"/>
          <w:sz w:val="28"/>
          <w:sz w:val="28"/>
          <w:szCs w:val="28"/>
          <w:rtl w:val="true"/>
          <w:lang w:bidi="ar-SA"/>
        </w:rPr>
        <w:t xml:space="preserve">ومن المعلوم أيضاً أن العلم 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إعطاء نتائجه حول قضية ما إلى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والتجربة حينما تجري على موضوع معين في ظروف وملابسات معينة، لا يصح تعميم نتائجها إلى نفس الموضوع، حينما يكون في ظروف وملابسات أخرى غير تلكم الظروف والملابسات التي اكتنفته حين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صحة التعميم في أمثال هذه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المسلمة والشروط البديهية لدى العلماء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تجري التجربة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بصفته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ظروفه الاعتيادية لمعرفة مدي بقائه حياً، ومدى مقاومته لعوادي الطبيعة التي من شأنها القضاء عليه، فتنهينا التجربة إلى أنه ليس باستطاعة مثل هذا الإنسان أن يعيش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لا يصح </w:t>
      </w:r>
      <w:bookmarkStart w:id="84" w:name="pg803_9381"/>
    </w:p>
    <w:p>
      <w:pPr>
        <w:pStyle w:val="BookText"/>
        <w:rPr/>
      </w:pPr>
      <w:bookmarkEnd w:id="84"/>
      <w:r>
        <w:rPr>
          <w:rFonts w:ascii="Amiri" w:hAnsi="Amiri" w:eastAsia="Amiri" w:cs="Amiri"/>
          <w:color w:val="111111"/>
          <w:sz w:val="28"/>
          <w:sz w:val="28"/>
          <w:szCs w:val="28"/>
          <w:rtl w:val="true"/>
          <w:lang w:bidi="ar-SA"/>
        </w:rPr>
        <w:t>أن تعمم نتيجة هذه التجربة لكل إنسان حتى من يكون في غير الظروف الاعتيادية التي أحاطته حالة التجربة، إذ من الجائز أن يبقى إنسان آخر، أو خالد نفسه، حياً أطول بكثير من المدة المذكورة، إذا كان في ظروف أخرى غير ظروفه الاعتيادية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 ذلك واضحاً في نتائج تجارب الدكتور كارل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بقاء الإنسان حياً مدة طويلة من السنين ليست مستحيلة، لا فلسفياً ولا علمياً، وإنما هي من المسائل الممكنة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6585927_211673320"/>
      <w:bookmarkStart w:id="86" w:name="_Toc30"/>
      <w:bookmarkEnd w:id="85"/>
      <w:r>
        <w:rPr/>
        <w:t>2</w:t>
      </w:r>
      <w:r>
        <w:rPr>
          <w:rtl w:val="true"/>
        </w:rPr>
        <w:t xml:space="preserve">- </w:t>
      </w:r>
      <w:r>
        <w:rPr>
          <w:rtl w:val="true"/>
        </w:rPr>
        <w:t>حول الوقوع</w:t>
      </w:r>
      <w:r>
        <w:rPr>
          <w:rtl w:val="true"/>
        </w:rPr>
        <w:t>:</w:t>
      </w:r>
      <w:bookmarkEnd w:id="86"/>
    </w:p>
    <w:p>
      <w:pPr>
        <w:pStyle w:val="Heading4"/>
        <w:numPr>
          <w:ilvl w:val="3"/>
          <w:numId w:val="1"/>
        </w:numPr>
        <w:rPr/>
      </w:pPr>
      <w:bookmarkStart w:id="87" w:name="__RefHeading___Toc6585929_211673320"/>
      <w:bookmarkStart w:id="88" w:name="_Toc31"/>
      <w:bookmarkEnd w:id="87"/>
      <w:r>
        <w:rPr/>
        <w:t>1</w:t>
      </w:r>
      <w:r>
        <w:rPr>
          <w:rtl w:val="true"/>
        </w:rPr>
        <w:t xml:space="preserve">- </w:t>
      </w:r>
      <w:r>
        <w:rPr>
          <w:rtl w:val="true"/>
        </w:rPr>
        <w:t xml:space="preserve">الدليل النقلى </w:t>
      </w:r>
      <w:r>
        <w:rPr>
          <w:rtl w:val="true"/>
        </w:rPr>
        <w:t>:</w:t>
      </w:r>
      <w:bookmarkEnd w:id="88"/>
    </w:p>
    <w:p>
      <w:pPr>
        <w:pStyle w:val="BookText"/>
        <w:rPr/>
      </w:pPr>
      <w:r>
        <w:rPr>
          <w:rFonts w:ascii="Amiri" w:hAnsi="Amiri" w:eastAsia="Amiri" w:cs="Amiri"/>
          <w:color w:val="111111"/>
          <w:sz w:val="28"/>
          <w:sz w:val="28"/>
          <w:szCs w:val="28"/>
          <w:rtl w:val="true"/>
          <w:lang w:bidi="ar-SA"/>
        </w:rPr>
        <w:t xml:space="preserve">وأعني به النصوص الواردة في الموضوع ، وهي على طوائف ، أهمها 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يدور منها حول عدم خلو الأرض من حجة ، أمثال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تخلو الأرض من قائم بحجة الله ، اما ظاهر مشهور ، واما خائف مغمور ، لئلا تبطل حجج الله وبيناته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يدور منها حول حصر الامامة في اثني عشر إماما كلهم من قريش ، أمثال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لا ينقضي حتى يمضي فيه اثنا عشر خليفة كلهم من قريش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يدور منها حول تعيين الأمام المنتظر باسمه وصفاته ، أمثال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المهدي من ولدي ، اسمه اسمي ، وکنیته کنيتي ، أشبه الناس بي خلقا وخلقا ، تكون له غيبة وحيرة ، تضل فيه الأمم ، ثم يقبل کالشهاب الثاقب ، فيملأها عدلا وقسطأ ، کما ملئت ظلما وجورة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يدور منها حول عدم قيام الساعة حتى ينهض الامام المتظر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حتى تملأ الأرض ظلم وجورة وعدوانا ، ثم يخرج من أهل بيتي من يملأها قسطأ وعدلا ، کما ملئت ظلما وعدوانا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يدور منها حول وجود إمام في كل زمان ، 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حاولنا التوفيق بين الطوائف المشار اليها وأمثالها ، نتهي حتما الى أن الإمام المنتظر هو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التوفيق بينها حيث ينهي الى النتيجة المذكورة في مجال من الوضوح يغنينا عن تفصيل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أن المهدي هو ابن الحسن العسكري ، وأنه حي موجود ، يظهر في آخر الزمان ، متواترة من طرق أصحابنا عن النبي اي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Style w:val="FootnoteAnchor"/>
          <w:rtl w:val="true"/>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مسألة حياة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إثبات إمكانها ، نستطيع أن ندرجها ضمن قائمة المسائل الغيبية في الشريعة الإسلامية ، التي لا تقتضينا في مجال الاعتقاد بها أكثر من إثبات إمكانها </w:t>
      </w:r>
      <w:bookmarkStart w:id="89" w:name="pg803_9383"/>
    </w:p>
    <w:p>
      <w:pPr>
        <w:pStyle w:val="BookText"/>
        <w:rPr/>
      </w:pPr>
      <w:bookmarkEnd w:id="89"/>
      <w:r>
        <w:rPr>
          <w:rFonts w:ascii="IRNazanin" w:hAnsi="IRNazanin" w:eastAsia="IRNazanin"/>
          <w:color w:val="111111"/>
          <w:sz w:val="28"/>
          <w:sz w:val="28"/>
          <w:szCs w:val="28"/>
          <w:rtl w:val="true"/>
          <w:lang w:bidi="fa-IR"/>
        </w:rPr>
        <w:t xml:space="preserve">عن طريق العقل ، وإثبات وقوعها عن طريق النقل ، کمسألة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أخال أن هذه الوفرة من النقول الواردة عن النبي ة بمختلف طرقها وأسانيدها شيعية وسنية غير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هناك من لا يراها كافية ، وبخاصة حينما يثبت تواترها ، كما أشرت اليه </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585931_211673320"/>
      <w:bookmarkStart w:id="91" w:name="_Toc32"/>
      <w:bookmarkEnd w:id="90"/>
      <w:r>
        <w:rPr/>
        <w:t>2</w:t>
      </w:r>
      <w:r>
        <w:rPr>
          <w:rtl w:val="true"/>
        </w:rPr>
        <w:t xml:space="preserve"> - </w:t>
      </w:r>
      <w:r>
        <w:rPr>
          <w:rtl w:val="true"/>
        </w:rPr>
        <w:t xml:space="preserve">الدليل التاريخي </w:t>
      </w:r>
      <w:r>
        <w:rPr>
          <w:rtl w:val="true"/>
        </w:rPr>
        <w:t>:</w:t>
      </w:r>
      <w:bookmarkEnd w:id="91"/>
    </w:p>
    <w:p>
      <w:pPr>
        <w:pStyle w:val="BookText"/>
        <w:rPr/>
      </w:pPr>
      <w:r>
        <w:rPr>
          <w:rFonts w:ascii="Amiri" w:hAnsi="Amiri" w:eastAsia="Amiri" w:cs="Amiri"/>
          <w:color w:val="111111"/>
          <w:sz w:val="28"/>
          <w:sz w:val="28"/>
          <w:szCs w:val="28"/>
          <w:rtl w:val="true"/>
          <w:lang w:bidi="ar-SA"/>
        </w:rPr>
        <w:t xml:space="preserve">ويتلخص في أن التاريخ يثبت وجود نظائر للامام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العمر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ألف سنة إلا خمسين عاما يدعو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نوحا الى قومه فلبث فيهم ألف سنة إلا خمسين عامأ فأخذهم الطوفان وهم ظالمون</w:t>
      </w:r>
      <w:r>
        <w:rPr>
          <w:rStyle w:val="FootnoteAnchor"/>
          <w:rtl w:val="true"/>
        </w:rPr>
        <w:footnoteReference w:id="41"/>
      </w:r>
      <w:r>
        <w:rPr>
          <w:rFonts w:ascii="Amiri" w:hAnsi="Amiri" w:eastAsia="Amiri" w:cs="Amiri"/>
          <w:color w:val="111111"/>
          <w:sz w:val="28"/>
          <w:sz w:val="28"/>
          <w:szCs w:val="28"/>
          <w:rtl w:val="true"/>
          <w:lang w:bidi="ar-SA"/>
        </w:rPr>
        <w:t xml:space="preserve">، كما يؤرخ القرآن الكريم لهذه الفترة من حياته </w:t>
      </w:r>
      <w:r>
        <w:rPr>
          <w:rFonts w:eastAsia="Amiri" w:cs="Amiri" w:ascii="Amiri" w:hAnsi="Amiri"/>
          <w:color w:val="111111"/>
          <w:sz w:val="28"/>
          <w:szCs w:val="28"/>
          <w:rtl w:val="true"/>
          <w:lang w:bidi="ar-SA"/>
        </w:rPr>
        <w:t>.</w:t>
      </w:r>
      <w:r>
        <w:rPr>
          <w:rStyle w:val="FootnoteAnchor"/>
          <w:rtl w:val="true"/>
        </w:rPr>
        <w:footnoteReference w:id="42"/>
      </w:r>
    </w:p>
    <w:p>
      <w:pPr>
        <w:pStyle w:val="Heading4"/>
        <w:numPr>
          <w:ilvl w:val="3"/>
          <w:numId w:val="1"/>
        </w:numPr>
        <w:rPr/>
      </w:pPr>
      <w:bookmarkStart w:id="92" w:name="__RefHeading___Toc6585933_211673320"/>
      <w:bookmarkStart w:id="93" w:name="_Toc33"/>
      <w:bookmarkEnd w:id="92"/>
      <w:r>
        <w:rPr/>
        <w:t>3</w:t>
      </w:r>
      <w:r>
        <w:rPr>
          <w:rtl w:val="true"/>
        </w:rPr>
        <w:t xml:space="preserve">- </w:t>
      </w:r>
      <w:r>
        <w:rPr>
          <w:rtl w:val="true"/>
        </w:rPr>
        <w:t xml:space="preserve">الدليل العقائدي </w:t>
      </w:r>
      <w:r>
        <w:rPr>
          <w:rtl w:val="true"/>
        </w:rPr>
        <w:t>:</w:t>
      </w:r>
      <w:bookmarkEnd w:id="93"/>
    </w:p>
    <w:p>
      <w:pPr>
        <w:pStyle w:val="BookText"/>
        <w:rPr/>
      </w:pPr>
      <w:r>
        <w:rPr>
          <w:rFonts w:ascii="Amiri" w:hAnsi="Amiri" w:eastAsia="Amiri" w:cs="Amiri"/>
          <w:color w:val="111111"/>
          <w:sz w:val="28"/>
          <w:sz w:val="28"/>
          <w:szCs w:val="28"/>
          <w:rtl w:val="true"/>
          <w:lang w:bidi="ar-SA"/>
        </w:rPr>
        <w:t xml:space="preserve">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الله تعالى وقدرته، التي أعدته ليومه الموعود ، هي التي تعطيه البقاء وتمنحه العمر الطويل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6585935_211673320"/>
      <w:bookmarkStart w:id="95" w:name="_Toc34"/>
      <w:bookmarkEnd w:id="94"/>
      <w:r>
        <w:rPr/>
        <w:t>4</w:t>
      </w:r>
      <w:r>
        <w:rPr>
          <w:rtl w:val="true"/>
        </w:rPr>
        <w:t xml:space="preserve"> - </w:t>
      </w:r>
      <w:r>
        <w:rPr>
          <w:rtl w:val="true"/>
        </w:rPr>
        <w:t>الدليل التشريعي</w:t>
      </w:r>
      <w:r>
        <w:rPr>
          <w:rtl w:val="true"/>
        </w:rPr>
        <w:t>:</w:t>
      </w:r>
      <w:bookmarkEnd w:id="95"/>
    </w:p>
    <w:p>
      <w:pPr>
        <w:pStyle w:val="BookText"/>
        <w:rPr/>
      </w:pPr>
      <w:r>
        <w:rPr>
          <w:rFonts w:ascii="Amiri" w:hAnsi="Amiri" w:eastAsia="Amiri" w:cs="Amiri"/>
          <w:color w:val="111111"/>
          <w:sz w:val="28"/>
          <w:sz w:val="28"/>
          <w:szCs w:val="28"/>
          <w:rtl w:val="true"/>
          <w:lang w:bidi="ar-SA"/>
        </w:rPr>
        <w:t xml:space="preserve">من أوليات خصائص الدعوة الإسلامية انها دعوة عالمية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أوليات التشريع الإسلامي وجوب حمل رسالة الإسلام إلى العالم كله على رئيس الدولة المعصوم عن طريق الجهاد أو غيره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لأن الإسلام نظام اجتماعي ثوری ، جاء لإذابة واستئصال جميع النظم الاجتماعية القائمة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الوضوح بمكان أن عملية الهدم والبناء في عالم الثورة ، تتطلب فترة طويلة من الزمن، ينطلق فيها الثوار مندفعين بكل إمكانياتهم إلى اقتلاع رواسب النظم الاجتماعية المطاح بها، من نفسيات أبناء الجيل الذي عاشها متجاوبة معها ، والى إنشاء جيل جديد ، خال من رواسب الماضي ، ومنصهر كل الانصهار بفكرة النظام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الوضوح بمكان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ما يشترط في القائمين على تطبيق النظام الجديد ، خلوهم من أية راسبة تعاكس مفاهيم وأحكام النظام الجديد ، وانصهارهم بالنظام الجديد انصهارة من أقرب معطياته صياغة شخصياتهم في جميع خصائصها ، ومختلف جوانبها وفق النظام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أن النبي محمدأ و لم تمتد به الأيام إلى إنهاء عملية الهدم والبناء فالتطبيق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في المسلمين من يتوفر فيه الشرط المذكور غير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إلى هذا المعنى بشير المعنيون ببحوث الامامة، حينا يستدلون على خلافة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صلى الله عليه وسلم مباشرة ، بالآية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ابراهيم ربه بكلمات فأتمهن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رايتي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الآخر لم ينه العملية للملابسات والظروف السياسية التي سبقت خلافته أو رافقتها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أبناءه المعصومين هم الأخرون لم يستطيعوا القيام بمهمة إنهاء تلكم العملية للعوامل والظروف السياسية والاجتماعية التي واكبت أيامهم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النوبة قد انتهت إلى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من إنهائها على يديه ، لأنه خاتمة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فيحقق ما أخبر به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اليه كان يشير مفسرو الآية الكريمة بالإمام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شيء يتطلب استمرار حياته لهذه الغاية النبيلة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على ضوئه نستطيع أن نستدل على لزوم وجوده معاصرة لأبيه الامام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واستمراره بعده ، منطلقين من البدء ، وكأنا لم نفترض المفر وغية من إثبات ولادته ، بما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اننا إن لم نلتزم بمعاصرة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وتلقيه ما تتطلبه مهمته كمشرع ومطبق ، لا بد أن نلتزم بأحد 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بتلقيه ذلك عن طريق الوحي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بادراکه الأحكام عن طريق الاجتهاد المعروف </w:t>
      </w:r>
      <w:r>
        <w:rPr>
          <w:rFonts w:eastAsia="IRNazanin" w:cs="IRNazanin"/>
          <w:color w:val="111111"/>
          <w:sz w:val="28"/>
          <w:szCs w:val="28"/>
          <w:rtl w:val="true"/>
          <w:lang w:bidi="fa-IR"/>
        </w:rPr>
        <w:t xml:space="preserve">. </w:t>
      </w:r>
      <w:bookmarkStart w:id="96" w:name="pg803_9386"/>
    </w:p>
    <w:p>
      <w:pPr>
        <w:pStyle w:val="BookText"/>
        <w:rPr/>
      </w:pPr>
      <w:bookmarkEnd w:id="96"/>
      <w:r>
        <w:rPr>
          <w:rFonts w:ascii="Amiri" w:hAnsi="Amiri" w:eastAsia="Amiri" w:cs="Amiri"/>
          <w:color w:val="111111"/>
          <w:sz w:val="28"/>
          <w:sz w:val="28"/>
          <w:szCs w:val="28"/>
          <w:rtl w:val="true"/>
          <w:lang w:bidi="ar-SA"/>
        </w:rPr>
        <w:t xml:space="preserve">والالتزام بأي من الأمرين المذكورين يصادم عقيدتنا ، وذلك لأن الالتزام منا بتلقي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عن طريق الوحي يصادم عقيدتنا باختتام الوحي بالنبي محمد وغه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والالتزام بإدراكه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عن طريق الاجتهاد يصادم عقیدتنا في علم الإمام ، وإدراكه الأحكام الواقعية جميعها وبواقعها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والاجتهاد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إدراك الكثير من الأحكام الواقعية كما هو معلوم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بطلان هذين لا بد من القول بمعاصرة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 حياته منتظر تمخض الظروف عن ساعة خروجه وثورته المباركة </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6585937_211673320"/>
      <w:bookmarkStart w:id="98" w:name="_Toc35"/>
      <w:bookmarkEnd w:id="97"/>
      <w:r>
        <w:rPr/>
        <w:t>5</w:t>
      </w:r>
      <w:r>
        <w:rPr>
          <w:rtl w:val="true"/>
        </w:rPr>
        <w:t>-</w:t>
      </w:r>
      <w:r>
        <w:rPr>
          <w:rtl w:val="true"/>
        </w:rPr>
        <w:t xml:space="preserve">الدليل العلمي </w:t>
      </w:r>
      <w:r>
        <w:rPr>
          <w:rtl w:val="true"/>
        </w:rPr>
        <w:t>:</w:t>
      </w:r>
      <w:bookmarkEnd w:id="98"/>
    </w:p>
    <w:p>
      <w:pPr>
        <w:pStyle w:val="BookText"/>
        <w:rPr/>
      </w:pPr>
      <w:r>
        <w:rPr>
          <w:rFonts w:ascii="IRNazanin" w:hAnsi="IRNazanin" w:eastAsia="IRNazanin"/>
          <w:color w:val="111111"/>
          <w:sz w:val="28"/>
          <w:sz w:val="28"/>
          <w:szCs w:val="28"/>
          <w:rtl w:val="true"/>
          <w:lang w:bidi="fa-IR"/>
        </w:rPr>
        <w:t xml:space="preserve">وموجزه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العلماء المحدثين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الکسیس کارل ، والدكتور جاك لوب ، والدكتور ورن لويسي وزوجته ، وغيرهم ، قاموا باجراء عدة تجارب في معهد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روكفلر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بنيويورك على أجزاء لأنواع مختلفة من النبات والحيوان والإنسان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بين تلكم التجارب ما أجري على قطع من أعصاب الإنسان وعضلاته وقلبه وجلده وكليتيه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الأجزاء وتبقى حية نامية ما دام الغذاء اللازم موفورة لها ، وما دامت لم يعرض لها عارض خارجي ، وإن خلاياها تنمو وتتكاثر وفق ما يقدم لها من غذاء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واليك نتائج تجارب الدكتور کارل التي شرع فيها بكانون الثانيسنة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الأجزاء الخلوية تبقى حية ما لم يعرض لها عارض يميتها إما من قلة الغذاء ، أو من دخول بعض المكروبات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لا تكتفي بالبقاء حية بل تنمو خلاياها ، وتتكاثر ، كما لو كانت باقية في جسم الحيوان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قياس نموها وتكاثرها ، ومعرفة ارتباطها بالغذاء الذي يقدم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تأثير للزمن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انها لا تشيخ ولا تضعف بمرور الزمن ، بل لا يبدو عليها أقل أثر للشيخوخة ، بل تنمو وتتكاثر هذه السنة ، كما لو كانت تنمو وتتكاثر في السنة الماضية وما قبلها من السنين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الظواهر كلها على أنها ستبقى حية نامية ، ما دام الباحثون صابرين على مراقبتها وتقديم الغذاء الكافي لها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الأستاذ ديمند وبرل من أساتذة جامعة جونس هبكنس ، تعليقا على نتائج الدكتور کارل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كل الأجزاء الخلوية الرئيسية من جسم الانسان ، قد ثبت إما أن خلودها بالقوة صار أمرا مثبتة بالامتحان ، أو مرجحأ ترجیحأ تامة لطول ما عاشته حتی الأن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أكد تقرير نشرته الشركة الوطنية الجيوغرافية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يستطيع أن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إذا ما خدر مثل بعض الحيوانات لينام طيلة فصل الشتاء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التقرير الأنف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التخدير أثناء فصل الشتاء يطيل حياة الحيوان الذي يتعرض للتخدير عشرين ضعفأ بالنسبة لحياة الحيوانات المماثلة التي تبقى ناشطة طيلة فصول السنة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هذه التجارب العلمية ، التي يحاول العلماء عن طريقها معرفة ما يمد في عمر الإنسان إلى أكثر من العمر الاعتيادي ، تنهينا إلى النتيجة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هناك تحديد يقرر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حدأ طبيعية لعمر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التحديدات التقريبية التي يفيدها الإنسان من مشاهداته وملاحظاته إلا تحدیدات للعمر الاعتيادي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امتداد عمر الإنسان إلى ما فوق سني الأعمار الاعتيادية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مررنا به في الدليل التاريخي من أمثال عمر النبي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بدعم ما انتهي إليه من عدم وجود حد طبيعي لعمر 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وبخاصة وأن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مراحل هامة في إعطائه نتائج كبرى حول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بالتعاليم الصحية والالتزام بها يوفر للانسان جو ملائية للمحافظة على حياته ولاستمرار عوامل بقائها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قلة انتشار الأمراض السارية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وانخفاض نسبة الوفيات ، فيكثير من المجتمعات المتمدنة ، والأخذة في طريقها إلى التحضري إلا أوضح شاهد على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أضفنا إلى هذه النتيجة نتيجة أخرى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عامل </w:t>
      </w:r>
    </w:p>
    <w:p>
      <w:pPr>
        <w:pStyle w:val="BookText"/>
        <w:rPr/>
      </w:pPr>
      <w:r>
        <w:rPr>
          <w:rFonts w:ascii="IRNazanin" w:hAnsi="IRNazanin" w:eastAsia="IRNazanin"/>
          <w:color w:val="111111"/>
          <w:sz w:val="28"/>
          <w:sz w:val="28"/>
          <w:szCs w:val="28"/>
          <w:rtl w:val="true"/>
          <w:lang w:bidi="fa-IR"/>
        </w:rPr>
        <w:t xml:space="preserve">الموت هور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الأمراض أو الطوارىء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رأی بعض علماء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ترتبط مسألة امتداد العمر ارتباطا وثيقا ، بتوفر الجو الصحي الملائم ، وبتأخر الأجل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وتوفر الجو الصحي الملائم يعود الى الانسان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أرعى من الأمام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 وهو يعلم أنه معد لمهمته الإلهية الكبرى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وتأخر الأجل يعود الى الله تعالى ، ومتى اقتضت إرادته ذلك كما تقدم في الدليل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توفرت شرائط البقاء والعمر الطويل </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803_9391"/>
      <w:bookmarkStart w:id="100" w:name="pg803_9391"/>
      <w:bookmarkEnd w:id="100"/>
    </w:p>
    <w:p>
      <w:pPr>
        <w:pStyle w:val="Heading2"/>
        <w:numPr>
          <w:ilvl w:val="1"/>
          <w:numId w:val="1"/>
        </w:numPr>
        <w:rPr/>
      </w:pPr>
      <w:bookmarkStart w:id="101" w:name="pg803_9391"/>
      <w:bookmarkStart w:id="102" w:name="__RefHeading___Toc6585939_211673320"/>
      <w:bookmarkStart w:id="103" w:name="_Toc36"/>
      <w:bookmarkEnd w:id="101"/>
      <w:bookmarkEnd w:id="102"/>
      <w:r>
        <w:rPr>
          <w:rtl w:val="true"/>
        </w:rPr>
        <w:t>دولة الإمام</w:t>
      </w:r>
      <w:bookmarkEnd w:id="103"/>
    </w:p>
    <w:p>
      <w:pPr>
        <w:pStyle w:val="Heading3"/>
        <w:numPr>
          <w:ilvl w:val="2"/>
          <w:numId w:val="1"/>
        </w:numPr>
        <w:rPr/>
      </w:pPr>
      <w:bookmarkStart w:id="104" w:name="__RefHeading___Toc6585941_211673320"/>
      <w:bookmarkStart w:id="105" w:name="_Toc37"/>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 xml:space="preserve">وعد الله الذين آمنوا منكم وعملوا الصالحات لیستخلفهم في الأرض کا استخلف الذين من قبلهم ، ولمن هم دينهم الذي ارتضى لهم ، وليائهم من بعد خوفهم امنأ ، يعبدوني لا يشترون بي شيئا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803_9393"/>
      <w:bookmarkStart w:id="107" w:name="pg803_9393"/>
      <w:bookmarkEnd w:id="107"/>
    </w:p>
    <w:p>
      <w:pPr>
        <w:pStyle w:val="BookText"/>
        <w:rPr/>
      </w:pPr>
      <w:bookmarkStart w:id="108" w:name="pg803_9393"/>
      <w:bookmarkEnd w:id="108"/>
      <w:r>
        <w:rPr>
          <w:rFonts w:ascii="Amiri" w:hAnsi="Amiri" w:eastAsia="Amiri" w:cs="Amiri"/>
          <w:color w:val="111111"/>
          <w:sz w:val="28"/>
          <w:sz w:val="28"/>
          <w:szCs w:val="28"/>
          <w:rtl w:val="true"/>
          <w:lang w:bidi="ar-SA"/>
        </w:rPr>
        <w:t>لماذا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يثير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التساؤل حول التطرق لموضوعه ، وبخاصة وأن دولة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لما تقع ، ولما تعش الواقع التاريخي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الحديث حول الموضوع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طبيعة مخطط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انتظار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رسمته منهجة البحث ، تتطلب ذلك بالنظر إلى النتيجة التي سأنتهي اليها في حديثي الأتي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بمسؤولية التمهيد الدولة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التمهيد للدولة يتطلب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عليها ولو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الامام هي دولة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دولة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دولة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الدولة التي تتجسد في واقعها الموضوعي تطبيقات التشريع الإسلامي كاملة عادلة ، وفي مختلف مجالات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الفرد ، وفي الأسرة ، وفي المجتمع ، وفي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تمثلت في حكم نبينا محمد صلى الله عليه وسلم ، حينا أقام الدولة الإسلامية الأولى في المدينة المنورة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585943_211673320"/>
      <w:bookmarkStart w:id="110" w:name="_Toc38"/>
      <w:bookmarkEnd w:id="109"/>
      <w:r>
        <w:rPr>
          <w:rtl w:val="true"/>
        </w:rPr>
        <w:t xml:space="preserve">بين دولة النبي ودولة الإمام </w:t>
      </w:r>
      <w:r>
        <w:rPr>
          <w:rtl w:val="true"/>
        </w:rPr>
        <w:t>:</w:t>
      </w:r>
      <w:bookmarkEnd w:id="11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ومكانة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عاشتها </w:t>
      </w:r>
    </w:p>
    <w:p>
      <w:pPr>
        <w:pStyle w:val="BookText"/>
        <w:rPr/>
      </w:pPr>
      <w:r>
        <w:rPr>
          <w:rFonts w:ascii="Amiri" w:hAnsi="Amiri" w:eastAsia="Amiri" w:cs="Amiri"/>
          <w:color w:val="111111"/>
          <w:sz w:val="28"/>
          <w:sz w:val="28"/>
          <w:szCs w:val="28"/>
          <w:rtl w:val="true"/>
          <w:lang w:bidi="ar-SA"/>
        </w:rPr>
        <w:t xml:space="preserve">دولة النبي صلى الله عليه وسلم ، وأحاطت بها ، ولا بستها ، ربما اختلفت وظروف دولة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يستدعي هذا النوع من الاختلاف ، شيئا من الاختلاف بين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تساؤل ينطوي على كبير من الوجاهة ، وبخاصة وأن التشريع الإسلامي المدون لم يحتو في الكثير من أنظمته التفاصيل الوافية في بيان وسائل وأساليب التطبيقات للأحكام التشريعية في مجال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يتضمن في كثير من مواده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دستورية ونظامية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الأحكام الكلية والخطوط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الحياة قد قفزت في تطوراتها المدنية ، قفزات هائلة وبعيدة ، عادت معها تلكم الوسائل والأساليب للقرون السالفة غير ذات أهمية ونفع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تساؤل وجيه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أننا متى أدركنا أن للامام وظيفة التشريع كما هي للنبي ، وليست المسألة لديه مسألة اجتهاد قد يصيب الواقع وقد يخطيء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مسألة إدراك الأحكام الشرعية بواقعها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إلى هذا تشير الأحاديث المتضمنة دعوة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إلى الإسلام جديدة ، وهديهم إلى أمر قد دثر فضل عنه الجمهور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إننا حينا ندرك ذلك لا يبقى لدينا أي مجال الأمثال هذا التساؤل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الوسائل والأساليب خاصة، هي موضوعات ، </w:t>
      </w:r>
      <w:bookmarkStart w:id="111" w:name="pg803_9395"/>
    </w:p>
    <w:p>
      <w:pPr>
        <w:pStyle w:val="BookText"/>
        <w:rPr/>
      </w:pPr>
      <w:bookmarkEnd w:id="111"/>
      <w:r>
        <w:rPr>
          <w:rFonts w:ascii="IRNazanin" w:hAnsi="IRNazanin" w:eastAsia="IRNazanin"/>
          <w:color w:val="111111"/>
          <w:sz w:val="28"/>
          <w:sz w:val="28"/>
          <w:szCs w:val="28"/>
          <w:rtl w:val="true"/>
          <w:lang w:bidi="fa-IR"/>
        </w:rPr>
        <w:t xml:space="preserve">والموضوعات تختلف تبعا لتطور الحضارة والمدنية ، فتتغير أحكامها وفقا التغيرها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وتغير الحكم تبعا لتغير الموضوع شيء طبيعي في كل تشریع ، إسلامي أو غير إسلامي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واحد بين دولة النبي ودولة حفيده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يرجع إلى طبيعة الظروف أيضأ ، ومساعدتها في إعداد الأجواء الكافية للتطبيق ، وهو في اتساع نفوذ الدولة السياسي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دولة النبي ة لم يتسع نفوذها السياسي اتساعة يشمل كل العالم ، وإن كانت دولة النبي صلى الله عليه وسلم عالمية في أهم خصائصها ، إلا أن الأجواء الاجتماعية والسياسية آنذاك لم تواتها ظروفها لتحقيق عالميتها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6585945_211673320"/>
      <w:bookmarkStart w:id="113" w:name="_Toc39"/>
      <w:bookmarkEnd w:id="112"/>
      <w:r>
        <w:rPr>
          <w:rtl w:val="true"/>
        </w:rPr>
        <w:t xml:space="preserve">عالمية النفوذ السياسي </w:t>
      </w:r>
      <w:r>
        <w:rPr>
          <w:rtl w:val="true"/>
        </w:rPr>
        <w:t>:</w:t>
      </w:r>
      <w:bookmarkEnd w:id="113"/>
    </w:p>
    <w:p>
      <w:pPr>
        <w:pStyle w:val="BookText"/>
        <w:rPr/>
      </w:pPr>
      <w:r>
        <w:rPr>
          <w:rFonts w:ascii="Amiri" w:hAnsi="Amiri" w:eastAsia="Amiri" w:cs="Amiri"/>
          <w:color w:val="111111"/>
          <w:sz w:val="28"/>
          <w:sz w:val="28"/>
          <w:szCs w:val="28"/>
          <w:rtl w:val="true"/>
          <w:lang w:bidi="ar-SA"/>
        </w:rPr>
        <w:t xml:space="preserve">أما في دولة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فالذي نقرؤه في الأحاديث التنبؤية عن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سيشمل نفوذها السياسي العالم كله ، تحقيقا لوعد الله تعالى بعالمية الإسلام ، في أمثال الآية الكريمة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منگم وعملوا الصالحات لیستخلفنهم في الأرض ويمكن لهم دين الذي ارتضى لهم ولیبد گنهم من بعد خوفهم أمنا يعبدوني لا يشركون بي شيئا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أرسل رسوله بالهدى ودين الحق ليظهره على الدين كله وگو كره المشركون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المروي عن الإمامين زین العابدين والباقر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الإسلام قد يظهره الله على جميع الأديان عند قيام القائم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المروي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يجيء تأويل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وقاتلوا المشركين كافة كما يقاتلونكم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قد قام قائمنا سیری من پدرکه ما يكون تأويل هذه الآية ، وليبلغن دین محمد و ما بلغ الليل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المهدي لا تبقى أرض إلا نودي فيها شهادة ألا إله إلا الله وأن محمدا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وليست عالمية النفوذ السياسي هي وحدها أبرز معالم دولة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من خصائصها ومعالمها البارزة ، غير هذا ، مما نقرؤه في النصوص التنبؤية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وربما كان أهمها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عالمية العقيدة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وعمومها لكل فرد من البشر، وتطهير الأرض من كل عقائد الشرك والكفر والضلال والنفاق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بر وی في هذا المجال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تأويل قوله تعالى في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لا تكون فتنة ويكون الدين كله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تأويل هذه الآية ، فاذا جاء تأويلها يقتل المشركون ، حتى يوحدوا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لا يكون شرك ، وذلك في قيام قائمنا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رفاعة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 السموات والأرض طوعا وكرها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المهدي لا تبقى أرض إلا نودي فيها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عمران بن میثم عن عباية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الذي أرسل رسوله بالهدى ودين الحق ليظهره على الدين كله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أظهر بعد ذلك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نفسي بيده ، حتى لا تبقى قرية إلا وينادي فيها بشهادة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إله إلا الله ، بكرة وعشية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العدل والأمن والرخاء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النصوص المشيرة اليه ما يلي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بالعدل ، وارتفع في أيامه الجور ، وآمنت به السبل ، وأخرجت الأرض بركاتها ، ورد كل حق الى أهله ، ولم يبق أهل دين حتى يظهروا الإسلام ، ويعترفوا بالإيمان </w:t>
      </w:r>
      <w:r>
        <w:rPr>
          <w:rFonts w:eastAsia="Amiri" w:cs="Amiri" w:ascii="Amiri" w:hAnsi="Amiri"/>
          <w:color w:val="111111"/>
          <w:sz w:val="28"/>
          <w:szCs w:val="28"/>
          <w:rtl w:val="true"/>
          <w:lang w:bidi="ar-SA"/>
        </w:rPr>
        <w:t xml:space="preserve">.. </w:t>
      </w:r>
      <w:bookmarkStart w:id="114" w:name="pg803_9398"/>
    </w:p>
    <w:p>
      <w:pPr>
        <w:pStyle w:val="BookText"/>
        <w:rPr/>
      </w:pPr>
      <w:bookmarkEnd w:id="114"/>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أسلم من في السموات والأرض طوعا وكرها واليه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وحكم بين الناس بحكم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فحينئذ تظهر الأرض كنوزها ، وتبدي بركاتها ، ولا يجد الرجل منكم يومئذ موضعأ لصدقته ، ولا بره ، لشمول الغني جميع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 يقاتلون حتى يوحد الله ، ولا يشرك به شيئا ، وتخرج العجوز الضعيفة من المشرق تريد المغرب لا يؤذيها أحد، ويخرج الله من الأرض نباتها ، وينزل من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قسم بالسوية ، وعدل في الرعية ، فمن أطاعه فقد أطاع الله ، ومن عصاه فقد عصى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الثقافة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يشير اليه من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وتؤتون الحكمة في زمانه ، حتى أن المرأة لتقضي في بيتها بكتاب الله تعالى وسنة رسول الله صلى الله عليه وآله </w:t>
      </w:r>
      <w:r>
        <w:rPr>
          <w:rFonts w:eastAsia="Amiri" w:cs="Amiri" w:ascii="Amiri" w:hAnsi="Amiri"/>
          <w:color w:val="111111"/>
          <w:sz w:val="28"/>
          <w:szCs w:val="28"/>
          <w:rtl w:val="true"/>
          <w:lang w:bidi="ar-SA"/>
        </w:rPr>
        <w:t>» .</w:t>
      </w:r>
    </w:p>
    <w:p>
      <w:pPr>
        <w:pStyle w:val="Heading3"/>
        <w:numPr>
          <w:ilvl w:val="2"/>
          <w:numId w:val="1"/>
        </w:numPr>
        <w:rPr/>
      </w:pPr>
      <w:bookmarkStart w:id="115" w:name="__RefHeading___Toc6585947_211673320"/>
      <w:bookmarkStart w:id="116" w:name="_Toc40"/>
      <w:bookmarkEnd w:id="115"/>
      <w:r>
        <w:rPr>
          <w:rtl w:val="true"/>
        </w:rPr>
        <w:t xml:space="preserve">وحدة سيرة الإمام والنبي </w:t>
      </w:r>
      <w:r>
        <w:rPr>
          <w:rtl w:val="true"/>
        </w:rPr>
        <w:t>:</w:t>
      </w:r>
      <w:bookmarkEnd w:id="11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تقوله النصوص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سيرة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دعوته ، وسيرة جده الرسول الأعظم ولا في </w:t>
      </w:r>
    </w:p>
    <w:p>
      <w:pPr>
        <w:pStyle w:val="BookText"/>
        <w:rPr/>
      </w:pPr>
      <w:r>
        <w:rPr>
          <w:rFonts w:ascii="Amiri" w:hAnsi="Amiri" w:eastAsia="Amiri" w:cs="Amiri"/>
          <w:color w:val="111111"/>
          <w:sz w:val="28"/>
          <w:sz w:val="28"/>
          <w:szCs w:val="28"/>
          <w:rtl w:val="true"/>
          <w:lang w:bidi="ar-SA"/>
        </w:rPr>
        <w:t xml:space="preserve">دعوته ، بسبب تشابه ظروف الدعوتين الاجتماعية ، في طريق التمهيد التأسيس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تلكم النصوص 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عطاء المكي عن شيخ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سيرة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كما صنع رسول الله لا يهدم ما كان قبله، کا هدم رسول الله أمر الجاهلية ، ويستأنف الإسلام جديدة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بأي سيرة يسير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ما قبله كما صنع رسول الله لا ويستأنف الإسلام 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عليهاالسلام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صاحب هذا الأمر شبه من أربعة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من موسى ، وشبه من عيسى ، وشبه من يوسف ، وشبه من محمد</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 ، يترقب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شبه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فيه ما قيل في عیسی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شبه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السجن والغيبة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شبه محمد صلى الله عليه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سار بسيرة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يبين آثار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عبد الله بن عطا مع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سار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ما قبله واستقبل </w:t>
      </w:r>
      <w:r>
        <w:rPr>
          <w:rFonts w:eastAsia="Amiri" w:cs="Amiri" w:ascii="Amiri" w:hAnsi="Amiri"/>
          <w:color w:val="111111"/>
          <w:sz w:val="28"/>
          <w:szCs w:val="28"/>
          <w:rtl w:val="true"/>
          <w:lang w:bidi="ar-SA"/>
        </w:rPr>
        <w:t xml:space="preserve">. </w:t>
      </w:r>
      <w:bookmarkStart w:id="117" w:name="pg803_9401"/>
    </w:p>
    <w:p>
      <w:pPr>
        <w:pStyle w:val="Heading2"/>
        <w:numPr>
          <w:ilvl w:val="1"/>
          <w:numId w:val="1"/>
        </w:numPr>
        <w:rPr/>
      </w:pPr>
      <w:bookmarkStart w:id="118" w:name="__RefHeading___Toc6585949_211673320"/>
      <w:bookmarkStart w:id="119" w:name="_Toc41"/>
      <w:bookmarkEnd w:id="117"/>
      <w:bookmarkEnd w:id="118"/>
      <w:r>
        <w:rPr>
          <w:rtl w:val="true"/>
        </w:rPr>
        <w:t>انتظار الإمام</w:t>
      </w:r>
      <w:bookmarkEnd w:id="119"/>
    </w:p>
    <w:p>
      <w:pPr>
        <w:pStyle w:val="Heading3"/>
        <w:numPr>
          <w:ilvl w:val="2"/>
          <w:numId w:val="1"/>
        </w:numPr>
        <w:rPr/>
      </w:pPr>
      <w:bookmarkStart w:id="120" w:name="__RefHeading___Toc6585951_211673320"/>
      <w:bookmarkStart w:id="121" w:name="_Toc42"/>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 xml:space="preserve">یا ایها الذين آمنوا اصبروا وصابروا ورابطوا واتقوا الله لعلكم تفلحون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انتظار الإمام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803_9403"/>
      <w:bookmarkStart w:id="123" w:name="pg803_9403"/>
      <w:bookmarkEnd w:id="123"/>
    </w:p>
    <w:p>
      <w:pPr>
        <w:pStyle w:val="Heading3"/>
        <w:numPr>
          <w:ilvl w:val="2"/>
          <w:numId w:val="1"/>
        </w:numPr>
        <w:rPr/>
      </w:pPr>
      <w:bookmarkStart w:id="124" w:name="pg803_9403"/>
      <w:bookmarkStart w:id="125" w:name="__RefHeading___Toc6585953_211673320"/>
      <w:bookmarkStart w:id="126" w:name="_Toc43"/>
      <w:bookmarkEnd w:id="124"/>
      <w:bookmarkEnd w:id="125"/>
      <w:r>
        <w:rPr>
          <w:rtl w:val="true"/>
        </w:rPr>
        <w:t xml:space="preserve">توطئة </w:t>
      </w:r>
      <w:r>
        <w:rPr>
          <w:rtl w:val="true"/>
        </w:rPr>
        <w:t>:</w:t>
      </w:r>
      <w:bookmarkEnd w:id="126"/>
    </w:p>
    <w:p>
      <w:pPr>
        <w:pStyle w:val="BookText"/>
        <w:rPr/>
      </w:pPr>
      <w:r>
        <w:rPr>
          <w:rFonts w:ascii="Amiri" w:hAnsi="Amiri" w:eastAsia="Amiri" w:cs="Amiri"/>
          <w:color w:val="111111"/>
          <w:sz w:val="28"/>
          <w:sz w:val="28"/>
          <w:szCs w:val="28"/>
          <w:rtl w:val="true"/>
          <w:lang w:bidi="ar-SA"/>
        </w:rPr>
        <w:t xml:space="preserve">في ضوء ما تعطيه اللغة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تحدده بالترقب والتوقع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علينا أن نعيش في فترة الغيبة مترقبين لليوم الموعود الذي يبلؤه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على الكفر ، وبالقيام بتطبيق الإسلام لتعيش الحياة تحت ظلاله في دعة وأمان ، غير متوفرين على القيام بمسؤولية تحكيم الإسلام في حياتنا وفي كل مجالاتها ، وبخاصة مجالها السياسي بدافع من إيماننا بأن مسؤولية تحكيم الإسلام في كل مجالات الحياة هي وظيفة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فلسنا بمكلفين بها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بأنها من عقيدة الشيعة ، فتحول عقيدتنا بالإمام المنتظر فكرة تخدير عن القيام بالمسؤولية المذكورة بسبب هذا التوهم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متى حاولنا تجلية واقع الأمر بما يرفع أمثال هذه الألوان من التوهم ، نجد أن منشأ هذه المفارقة هو محاولة عدم الفهم ، أو سوء الفهم في الواقع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لأن ما يفاد من الانتظار في إطار واقعه کلازم من لوازم الاعتقاد بالإمام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يتنافي وهذه الألوان من التوهم تمام المنافاة ، لأنه يتنافي وواقع العقيدة الإسلامية التي تضم عقيدة الإمامة كجزء مهم من أجزائها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المظفر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يجدر أن نعرفه في هذا الصدد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معنیانتظار هذا المصلح المنقذ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يقف المسلمون مكتوفي الأيدي فيا يعود إلى الحق من دينهم ، وما يجب عليهم من </w:t>
      </w:r>
    </w:p>
    <w:p>
      <w:pPr>
        <w:pStyle w:val="BookText"/>
        <w:rPr/>
      </w:pPr>
      <w:r>
        <w:rPr>
          <w:rFonts w:ascii="Amiri" w:hAnsi="Amiri" w:eastAsia="Amiri" w:cs="Amiri"/>
          <w:color w:val="111111"/>
          <w:sz w:val="28"/>
          <w:sz w:val="28"/>
          <w:szCs w:val="28"/>
          <w:rtl w:val="true"/>
          <w:lang w:bidi="ar-SA"/>
        </w:rPr>
        <w:t>نصرته ، والجهاد في سبيله ، والأخذ بأحكامه ، والأمر بالمعروف والنهي عن المنكر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المسلم أبدأ مكلف بالعمل بما أنزل من الأحكام الشرعية ، وواجب عليه السعي لمعرفتها على وجهها الصحيح بالطرق الموصلة اليها حقيقة ، وواجب عليه أن يأمر بالمعروف و نهی عن المنكر ، ما تمكن من ذلك وبلغت اليه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كلكم راع وكلكم مسؤول عن رعيته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يجوز له التأخر عن واجباته بمجرد الانتظار للمصلح المهدی والمبشر الهادي ، فان هذا لا يسقط تکليفة ، ولا يؤجل عملا ، ولا يجعل الناس هم السوائم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الصافي الكلبايكاني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وليعلم أن معنى الانتظار ليس تخلية سبيل الكفار والأشرار ، وتسليم الأمور اليهم ، والمراهنة معهم ، وترك الأمر بالمعروف والنهي عن المنكر ، والاقدامات الإصلاحية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كيف يجوز إيكال الأمور إلى الأشرار مع التمكن من دفعهم عن ذلك ، والمراهنة معهم ، وترك الأمر بالمعروف والنهي عن المنكر ، وغيرها من المعاصي التي دل عليها العقل والنقل وإجماع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أحد من العلماء وغيرهم باسقاط التكاليف قبل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يرى منه عين ولا أثر في الأخبار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الآيات والأحاديث الكثيرة على خلاف ذلك ، بل تدل على تأكد الواجبات والتكاليف والترغيب الى مزبد الاهتمام في </w:t>
      </w:r>
      <w:bookmarkStart w:id="127" w:name="pg803_9405"/>
    </w:p>
    <w:p>
      <w:pPr>
        <w:pStyle w:val="BookText"/>
        <w:rPr/>
      </w:pPr>
      <w:bookmarkEnd w:id="127"/>
      <w:r>
        <w:rPr>
          <w:rFonts w:ascii="Amiri" w:hAnsi="Amiri" w:eastAsia="Amiri" w:cs="Amiri"/>
          <w:color w:val="111111"/>
          <w:sz w:val="28"/>
          <w:sz w:val="28"/>
          <w:szCs w:val="28"/>
          <w:rtl w:val="true"/>
          <w:lang w:bidi="ar-SA"/>
        </w:rPr>
        <w:t xml:space="preserve">العمل بالوظائف الدينية كلها في عصر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توهم لا يتوهمه إلا من لم يكن له قليل من البصيرة والعلم بالأحاديث والروايات </w:t>
      </w:r>
      <w:r>
        <w:rPr>
          <w:rStyle w:val="FootnoteAnchor"/>
          <w:rtl w:val="true"/>
        </w:rPr>
        <w:footnoteReference w:id="51"/>
      </w:r>
    </w:p>
    <w:p>
      <w:pPr>
        <w:pStyle w:val="Heading3"/>
        <w:numPr>
          <w:ilvl w:val="2"/>
          <w:numId w:val="1"/>
        </w:numPr>
        <w:rPr/>
      </w:pPr>
      <w:bookmarkStart w:id="128" w:name="__RefHeading___Toc6585955_211673320"/>
      <w:bookmarkStart w:id="129" w:name="_Toc44"/>
      <w:bookmarkEnd w:id="128"/>
      <w:r>
        <w:rPr>
          <w:rtl w:val="true"/>
        </w:rPr>
        <w:t>فإذن ما هو الانتظار؟</w:t>
      </w:r>
      <w:r>
        <w:rPr>
          <w:rtl w:val="true"/>
        </w:rPr>
        <w:t>:</w:t>
      </w:r>
      <w:bookmarkEnd w:id="129"/>
    </w:p>
    <w:p>
      <w:pPr>
        <w:pStyle w:val="BookText"/>
        <w:rPr/>
      </w:pPr>
      <w:r>
        <w:rPr>
          <w:rFonts w:ascii="Amiri" w:hAnsi="Amiri" w:eastAsia="Amiri" w:cs="Amiri"/>
          <w:color w:val="111111"/>
          <w:sz w:val="28"/>
          <w:sz w:val="28"/>
          <w:szCs w:val="28"/>
          <w:rtl w:val="true"/>
          <w:lang w:bidi="ar-SA"/>
        </w:rPr>
        <w:t xml:space="preserve">إن الذي يفاد من الروايات في هذا المجال ، هو أن المراد من الانتظار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التمهيد والتوطئة لظهور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رجل يوطىء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محمد ، کیا مگنت قریش لرسول الله ، وجب على كل مؤمن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إجابته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النبي و أيضأ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ناس من المشرق فيوطئون للمهدي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عنه و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قوم من قبل المشرق ، ومعهم رايات سود ، فيسألون الخير فلا يعطونه ، فيقاتلون فينصرون ، فيعطون ما سألوه ، فلا يقبلونه حتى يدفعوها الى رجل من أهل بيتي، فيملاها قسطأ ، کہا ملأوهاجورة ، فمن أدرك ذلك منكم فليأتهم ؛ ولو حبوا على الثلج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والروايتان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والثالثة ، صريحتان في ذلك حيث تفیدانه منطوقها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الثانية ، فالذي يبدو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نستطيع استفادة ذلك منها من مدح النبي ة للموطئين للامام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ويستفاد من الرواية الثالثة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التوطئة لظهور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بالعمل السياسي ، عن طريق إثارة الوعي السياسي ، والقيام بالثورة المسلحة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 أن التوطئة لظهور إمام مصلح يؤسس مجتمعة جديدة ، ويقيم دولة جديدة ، تفيد معنى غير العمل السياسي ، اما بإثارة الوعي السياسي وحده ، حيث لا يقدر على الثورة المسلحة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الثورة حين يكون مجالها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ما تقدم ننتهي إلى النتيجة التالية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الانتظار ليس هو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هو واجب آخر يضاف الى قائمة الواجبات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يثار تساؤل وجيه ،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عقيدتنا بأن الامام المعصوم هو الحاكم الأعلى للدولة الإسلامية ، وهو الآن 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انتهينا اليه من نتيجة وهي أن الواجبات لا تزال قائمة زمن الغيبة ، ولانزال مكلفين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هو الحاكم الأعلى ، نيابة عن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هو شكل حكومته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ضرورية الحكم الإسلامي زمن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أجيب على هذين السؤالين ، أود أن أشير الى مفارقة منهجية في بعض البحوث التي دونت حول موضوع الحكم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محاولة الاستدلال على وجوب قيام حكومة إسلامية زمن الغيبة ، وبخاصة عند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بحث العلامة الكبير السيد محمد حسين الطباطبائي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 الوقت الذي يعتبر وجوب قيام حكم إسلامي زمن الغيبة من ضروریات الدين التي لا تحتاج إلى محاولة إثبات أو تجشم 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الفيض الكاشاني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فوجوب الجهاد ، والأمر بالمعروف والنهي عن المنكر ، والتعاون على البر والتقوى ، والافتاء ، والحكم بين الناس بالحق ، وإقامة الحدود والتعزیرات ، وسائر السياسات الدينية ، من ضروريات الدين ، وهو القطب الأعظم في الدين ، والمهم الذي ابتعث الله له النبيين ، ولو تركت لعطلت النبوة ، واضمحلت الديانة ، وعمت الفتنة ، وفشت الضلالة ، وشاعت الجهالة ، وخربت البلاد ، وهلك العباد ، نعوذ بالله من ذلك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صاحب الجوهر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من الواضحات التي لا تحتاج الى أدلة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السيد البرو جردي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الخاصة والعامة على أن يلزم في محيط الإسلام وجود سائس وزعيم يدير أمور المسلمين ، بل هو من ضروريات الإسلام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ما يترتب على ترك امتثال هذا الوجوب من محاذير شرعية، يكفي في لفت النظر الى ضروريته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أهمها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 التشريع الإسلامي في أهم جوانبه، وهو الجانب السياسي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وحرمته من الوضوح بمكان ؛ نظرا إلى أنه تشریع عطل ؛ والى ما ينجم عن تعطيله من ارتكاب المحارم ، وانتشار الجرائم ، وشيوع الموبقات وأمثالها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العلامة ، في تعطيل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فرع من فروع التشريع السياسي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تعطيل الحدود يفضي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المحارم ، وانتشار المفاسد ؛ وذلك مطلوب الترك في نظر الشرع</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الشهيد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إقامة الحدود ضرب من الحكم ، وفيه مصلحة كلية ، ولطف في ترك المحارم ، وحسم لانتشار المفاسد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الخضوع للحكم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ينجم عن تعطيل التشريع السياسي الإسلامي أيضأ، وأفردته بالذكر هنا نظرا لأهميته ولوضوحه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ليس وراء عدم الخضوع للحكم الإسلامي ممن يعيش في </w:t>
      </w:r>
    </w:p>
    <w:p>
      <w:pPr>
        <w:pStyle w:val="BookText"/>
        <w:rPr/>
      </w:pPr>
      <w:r>
        <w:rPr>
          <w:rFonts w:ascii="Amiri" w:hAnsi="Amiri" w:eastAsia="Amiri" w:cs="Amiri"/>
          <w:color w:val="111111"/>
          <w:sz w:val="28"/>
          <w:sz w:val="28"/>
          <w:szCs w:val="28"/>
          <w:rtl w:val="true"/>
          <w:lang w:bidi="ar-SA"/>
        </w:rPr>
        <w:t xml:space="preserve">بقعة جغرافية سياسية ، إلا الخضوع للحكم الكافر ، لأنه لا ثالث للإسلام والكفر ؛ إذ الحكم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وحكم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اتخاذ القدامى من فقهائنا هذا المنهج من الاستدلال ، إنما هو لما حكي عما يستظهر من السيد ابن زهرة الحلبي ، والشيخ ابن إدريس الحلي ، من ذهابها إلى عدم وجوب إقامة الحدود زمن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الوقوف على وجهة نظر هذين العلمين حول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حرره الفقيه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خلاف ما حكي عن ظاهرهما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أجد فيه خلافا إلا ما يحكي عن ظاهر ابني زهرة وادريس ، ولم نتحققه ، بل لعل المتحقق خلافه ، إذ قد سمعت سابقأ معقد إجماع 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اندراج الفقيه في الحكام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حينئذ إجماعه عليه ، لا على خلافه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والذي يشير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سمعت سابقأ ، هو ما يحكيه عن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ابن زهرة ، 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ابن ادریس ، في موضوع عدم جواز إقامة الحدود إلا من قبل الإمام ، أو من نصبه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أجده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بل عن الغنية والسرائر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عليه ، بل في المحكي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من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bookmarkStart w:id="130" w:name="pg803_9410"/>
    </w:p>
    <w:p>
      <w:pPr>
        <w:pStyle w:val="BookText"/>
        <w:rPr/>
      </w:pPr>
      <w:bookmarkEnd w:id="130"/>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والإجماع حاصل منعقد من أصحابنا ، ومن المسلمين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إقامة الحدود ، ولا المخاطب بها إلا الأئمة ، والحكام القائمون باذنهم في ذلك</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توجيه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والذي أخاله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يتوهم ذهابه من الفقهاء إلى إنكار الوجوب ، إنما هو نتيجة سوء فهم لما يريده ، إذ ربما كان ذلك الفقيه يقصد سقوط امتثال الوجوب لا إنكار الوجوب ، وذلك لعدم القدرة على القيام بامتثاله بسبب وجود موانع سیاسية أو 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أنه لا يحتمل ذهاب فقيه الى القول بانکار الوجوب ؛ لأنه قول بما يخالف الضرورة من الدين ، ولاستلزامه جواز الخضوع للحكم الكافر ، وهو محرم بالضرورة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وسيقف القاريء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محاولة عرض معالجةأمثال هذه الموانع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کمشكلة من مشاكل تطبيق النظام </w:t>
      </w:r>
      <w:r>
        <w:rPr>
          <w:rFonts w:eastAsia="IRNazanin" w:cs="IRNazanin"/>
          <w:color w:val="111111"/>
          <w:sz w:val="28"/>
          <w:szCs w:val="28"/>
          <w:rtl w:val="true"/>
          <w:lang w:bidi="fa-IR"/>
        </w:rPr>
        <w:t>.</w:t>
      </w:r>
    </w:p>
    <w:p>
      <w:pPr>
        <w:pStyle w:val="Heading3"/>
        <w:numPr>
          <w:ilvl w:val="2"/>
          <w:numId w:val="1"/>
        </w:numPr>
        <w:rPr/>
      </w:pPr>
      <w:bookmarkStart w:id="131" w:name="__RefHeading___Toc6585957_211673320"/>
      <w:bookmarkStart w:id="132" w:name="_Toc45"/>
      <w:bookmarkEnd w:id="131"/>
      <w:r>
        <w:rPr>
          <w:rtl w:val="true"/>
        </w:rPr>
        <w:t xml:space="preserve">فصل الدين عن السياسة </w:t>
      </w:r>
      <w:r>
        <w:rPr>
          <w:rtl w:val="true"/>
        </w:rPr>
        <w:t>:</w:t>
      </w:r>
      <w:bookmarkEnd w:id="132"/>
    </w:p>
    <w:p>
      <w:pPr>
        <w:pStyle w:val="BookText"/>
        <w:rPr/>
      </w:pPr>
      <w:r>
        <w:rPr>
          <w:rFonts w:ascii="Amiri" w:hAnsi="Amiri" w:eastAsia="Amiri" w:cs="Amiri"/>
          <w:color w:val="111111"/>
          <w:sz w:val="28"/>
          <w:sz w:val="28"/>
          <w:szCs w:val="28"/>
          <w:rtl w:val="true"/>
          <w:lang w:bidi="ar-SA"/>
        </w:rPr>
        <w:t xml:space="preserve">وأود أن أنبه إلى شيء آخر أيضأ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ربما 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منهجية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 تعانيه اليوم من انتشار الذهنية الغربية التي تؤمن بفصل الدين عن السياسة لدى الكثير من أبناء أمتنا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عدنا ملزمين بأن نشير في مداخل بحوثنا حول الحكم الإسلامي إلى ما في هذه النظرة من مفارقة تبعدنا تماما عن واقع </w:t>
      </w:r>
    </w:p>
    <w:p>
      <w:pPr>
        <w:pStyle w:val="BookText"/>
        <w:rPr/>
      </w:pPr>
      <w:r>
        <w:rPr>
          <w:rFonts w:ascii="Amiri" w:hAnsi="Amiri" w:eastAsia="Amiri" w:cs="Amiri"/>
          <w:color w:val="111111"/>
          <w:sz w:val="28"/>
          <w:sz w:val="28"/>
          <w:szCs w:val="28"/>
          <w:rtl w:val="true"/>
          <w:lang w:bidi="ar-SA"/>
        </w:rPr>
        <w:t xml:space="preserve">الإسلام الذي لا يعترف بفصل الدين عن السياسة ، وإنما يعتبر السياسة جزء من الدين ، والذي يعد ذلك من ضرورياته التي لا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أكثر من الالتفات والتنبه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نلمسه من واقع ذلك باستقراء التشريع الإسلامي ، وبقراءة تاريخ الحكومات الإسلامية كاف في لفت النظر اليه ، وفي التنبه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فقهاءنا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المعاصرين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أكدوا كثيرا على جانبي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اشتمال الإسلام على النظم الكاملة التي منها النظام السياسي ، ولزوم القيام بتطبيقها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لما يرونه من شيوع هذه الذهنية الغربية لدى أبناء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الحكيم جوابأ للسؤال التالي الذي وجه لجملة من مراجع التقليد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حاول أعداء الإسلام إثارة الغبار حول توفر الإسلام على نظام كامل للحياة ، مستغلين فرصة عدم تطبيقه ، وعدم فهم الأمة له نتيجة فصله عن الدولة ، وإبعاده عن مناهج التربية والتعليم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والسؤال هو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في الإسلام نظام متكامل شامل ، يتناول جميع مظاهر الحياة بالتنظيم ، وجميع مشاكل الإنسان بالحل الصحيح الناجع ، ويعني بشؤون الفرد والمجتمع عناية تامة في مختلف وشتى مجالات الاقتصاد والسياسة والاجتماع وغيرها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الدعوة إلى تطبيق هذا النظام الإسلامي واجبة على المسلمين ؟</w:t>
      </w:r>
      <w:r>
        <w:rPr>
          <w:rFonts w:eastAsia="Amiri" w:cs="Amiri" w:ascii="Amiri" w:hAnsi="Amiri"/>
          <w:color w:val="111111"/>
          <w:sz w:val="28"/>
          <w:szCs w:val="28"/>
          <w:rtl w:val="true"/>
          <w:lang w:bidi="ar-SA"/>
        </w:rPr>
        <w:t>.. »</w:t>
      </w:r>
      <w:r>
        <w:rPr>
          <w:rStyle w:val="FootnoteAnchor"/>
          <w:rtl w:val="true"/>
        </w:rPr>
        <w:footnoteReference w:id="6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النظام الكامل على النهج المذكور في السؤال ، ويتضح ذلك بالسبر والنظر في الأوضاع التي كان عليها المسلمون في العصور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الدعوة إلى هذا التطبيق</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ويقول السيد ميرزا عبد الهادي الشيرازي جوابا للسؤال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أن دين الإسلام هر النظام الأتم الأكمل ، لما فيه الحل الصحيح لجميع مشاكل الانسان في جميع الأعمار والأدوار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الدعوة إلى تطبيقه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ويقول السيد ميرزا مهدي الشيرازي جوابأ للسؤال المتقدم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نظام متكامل شامل لجميع مظاهر الحياة ، ويحل جميع مشاكل الإنسان ، بأفضل حل ، لم يسبقه في ذلك سابق ، ولا يلحقه فيه لاحق ، صالح للتطبيق في جميع الأزمنة والأمكنة ،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أكملت لكم دينكم وأتممت علیکم نعمتي ورضيت لكم الإسلام دينا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إلى تطبيق الإسلام واجبة على جميع المسلمين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السيد البروجردي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يبقى شك لمن تتبع قوانين الإسلام وضوابطه ، في أنه دین سیاسی اجتماعي ، وليست أحكامه مقصورة على العباديات المحضة المشروعة لتكميل الأفراد ، وتأمين </w:t>
      </w:r>
    </w:p>
    <w:p>
      <w:pPr>
        <w:pStyle w:val="BookText"/>
        <w:rPr/>
      </w:pPr>
      <w:r>
        <w:rPr>
          <w:rFonts w:ascii="IRNazanin" w:hAnsi="IRNazanin" w:eastAsia="IRNazanin"/>
          <w:color w:val="111111"/>
          <w:sz w:val="28"/>
          <w:sz w:val="28"/>
          <w:szCs w:val="28"/>
          <w:rtl w:val="true"/>
          <w:lang w:bidi="fa-IR"/>
        </w:rPr>
        <w:t xml:space="preserve">السعادة في الآخرة ، بل يكون أكثر أحكامه مربوطة بسياسة المدن ، وتنظيم الاجتماع ، وتأمين سعادة هذه النشأة ، أو جامعة الحسينين ، ومرتبطة بالنشأتين ، وذلك كأحكام المعاملات والسياسات من الحدود والقصاص والديات والأحكام القضائية المشروعة لفصل الخصومات ، والأحكام الكثيرة الواردة لتأمين الماليات التي يتوقف عليها حفظ دولة الإسلام کالأخماس والزكوات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اتفق الخاصة والعامة على أنه يلزم في محيط الإسلام وجود سائس وزعيم يدبر أمور المسلمين ، بل هو من ضروريات الإسلام</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سياسة المدن وتأمين الجهات الاجتماعية في دين الإسلام لم تكن منحازة عن الجهات الروحانية ، والشؤون المربوطة بتبليغ الأحكام و إرشاد المسلمين ، بل كانت السياسة فيه من الصدر الأول مختلطة بالديانة ومن شؤونها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يدبر أمور المسلمين ، ويسوسهم ، ويرجع اليه في فصل الخصومات ، وينصب الحكام للولايات ، ويطلب منهم الأخماس والزكوات ونحوهما من الماليات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كانت سيرة الخلفاء من بعده من الراشدين وغيرهم ، حتى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بعدما تصدى للخلافة الظاهرية ، كان يقوم بأمر المسلمين ، وينصب الحكام والقضاة اللولايات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في باديء الأمر يعملون بوظائف السياسة في مراكز الإرشاد والهداية كالمساجد ، فكان إمام المسجد بنفسه أميرة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ذلك كانوا يبنون المسجد الجامع قرب دار الإمارة ، وكان الخلفاء والأمراء بأنفسهم يقيمون الجمعات والأعياد ، بل ويدبرون أمر الحج أيضا ، حيث أن العبادات الثلاث مع كونها عبادات قد احتوت على فوائد سياسية ، لا يوجد نظيرها في غيرها كما لا يخفى على من تدبر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النحو من الخلط بين الجهات الروحية والفوائد السياسية من خصائص دین الاسلام و امتیازاته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33" w:name="pg803_9415"/>
    </w:p>
    <w:p>
      <w:pPr>
        <w:pStyle w:val="Heading2"/>
        <w:numPr>
          <w:ilvl w:val="1"/>
          <w:numId w:val="1"/>
        </w:numPr>
        <w:rPr/>
      </w:pPr>
      <w:bookmarkStart w:id="134" w:name="__RefHeading___Toc6585959_211673320"/>
      <w:bookmarkStart w:id="135" w:name="_Toc46"/>
      <w:bookmarkEnd w:id="133"/>
      <w:bookmarkEnd w:id="134"/>
      <w:r>
        <w:rPr>
          <w:rtl w:val="true"/>
        </w:rPr>
        <w:t>رئيس الدولة</w:t>
      </w:r>
      <w:bookmarkEnd w:id="135"/>
    </w:p>
    <w:p>
      <w:pPr>
        <w:pStyle w:val="Heading3"/>
        <w:numPr>
          <w:ilvl w:val="2"/>
          <w:numId w:val="1"/>
        </w:numPr>
        <w:rPr/>
      </w:pPr>
      <w:bookmarkStart w:id="136" w:name="__RefHeading___Toc6585961_211673320"/>
      <w:bookmarkStart w:id="137" w:name="_Toc47"/>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إن أولى الناس بالأنبياء أعلمهم بما جاءوا 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803_9417"/>
      <w:bookmarkStart w:id="139" w:name="pg803_9417"/>
      <w:bookmarkEnd w:id="139"/>
    </w:p>
    <w:p>
      <w:pPr>
        <w:pStyle w:val="Heading3"/>
        <w:numPr>
          <w:ilvl w:val="2"/>
          <w:numId w:val="1"/>
        </w:numPr>
        <w:rPr/>
      </w:pPr>
      <w:bookmarkStart w:id="140" w:name="pg803_9417"/>
      <w:bookmarkStart w:id="141" w:name="__RefHeading___Toc6585963_211673320"/>
      <w:bookmarkStart w:id="142" w:name="_Toc48"/>
      <w:bookmarkEnd w:id="140"/>
      <w:bookmarkEnd w:id="141"/>
      <w:r>
        <w:rPr>
          <w:rtl w:val="true"/>
        </w:rPr>
        <w:t xml:space="preserve">نائب الإمام </w:t>
      </w:r>
      <w:r>
        <w:rPr>
          <w:rtl w:val="true"/>
        </w:rPr>
        <w:t xml:space="preserve">( </w:t>
      </w:r>
      <w:r>
        <w:rPr>
          <w:rtl w:val="true"/>
        </w:rPr>
        <w:t xml:space="preserve">أو الحاكم الأعلى زمن الغيبة </w:t>
      </w:r>
      <w:r>
        <w:rPr>
          <w:rtl w:val="true"/>
        </w:rPr>
        <w:t>)</w:t>
      </w:r>
      <w:bookmarkEnd w:id="142"/>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انتهيت من الحديث حول المفارقة المنهجية التي أشرت اليها ، يأتي دور الاجابة على أول السؤالين المتقدمين ، التعرف على الحاكم الأعلى للدولة الإسلامية ، الذي يقوم بوظيفة النيابة عن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فترة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منى حاولت أن أبحث المسألة بحثا موضوعية لأعطي الجواب صورة تامة المعالم والملامح ، أراني ملزمة من ناحية منهجية بعرض جميع الأقوال في المسألة ، فالاشارة الى دليل كل منها ، محاولا المقارنة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كانت الأقوال في النيابة عن الإمام ، أو في الحاكم الأعلى عصر الغيبة ، ترجع إلى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يعينه المسلمون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العادل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انتظار الإمام </w:t>
      </w:r>
      <w:bookmarkStart w:id="143" w:name="pg803_9418"/>
    </w:p>
    <w:p>
      <w:pPr>
        <w:pStyle w:val="BookText"/>
        <w:rPr/>
      </w:pPr>
      <w:bookmarkEnd w:id="14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الأعلى هو من يعينه المسلمون</w:t>
      </w:r>
    </w:p>
    <w:p>
      <w:pPr>
        <w:pStyle w:val="Heading3"/>
        <w:numPr>
          <w:ilvl w:val="2"/>
          <w:numId w:val="1"/>
        </w:numPr>
        <w:rPr/>
      </w:pPr>
      <w:bookmarkStart w:id="144" w:name="__RefHeading___Toc6585965_211673320"/>
      <w:bookmarkStart w:id="145" w:name="_Toc49"/>
      <w:bookmarkEnd w:id="144"/>
      <w:r>
        <w:rPr>
          <w:rtl w:val="true"/>
        </w:rPr>
        <w:t xml:space="preserve">ويناقش هذا الاستدلال بما خلاصته </w:t>
      </w:r>
      <w:r>
        <w:rPr>
          <w:rtl w:val="true"/>
        </w:rPr>
        <w:t>:</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بما أنهي اليه إلا عند عدم ثبوت نيابة الفقيه العادل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ثبوت حكومة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الثالث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 ثبوت نيابة الفقيه العادل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حكومة الأعلم ، حيث يسد مجال التكليف بقيامه بمسؤولية الحكم ، فيؤخذ بما أنهي اليه الدليل المذكور عند عدم وجود الفقيه العادل أو الأعلم فقط ، كما هو الأمر في النبي ة ،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فيلتقي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يفيده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يلزم بقيام عدول المؤمنين بتطبيق النظام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وعلى أقل تقدير فيما يفيده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قيامهم بتطبيقه في المجالات التي يتوقف عليها تقویم وحفظ كيان المجتمع الإسلامي ، والذي يقطع بغضب الله تعالى وسخطه عند تعطيله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الطريقة التي يتبعها المسلمون في تعيين الحاكم الأعلى لم تبين بلسان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العقل وما يحكم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طريقة تعيين الحاكم الأعلى من قبل المسلمين هنا منحصرة في 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الاتفاق الكامل من جميع المسلمين متعذر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أن يرجح أي لون من ألوانالانتخاب المحتملة ، أمثال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الأخذ برأي الأكثرية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احتال الأخذ برأي الأقلية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إشراك النساء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عدم إشراكهن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شاكل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لتكافؤ الاحتمالات ، وعدم وجود قدر متيقن في البين، غير الاتفاق الكامل ، وهو متعذر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أشرت إليه</w:t>
      </w:r>
      <w:r>
        <w:rPr>
          <w:rFonts w:eastAsia="Amiri" w:cs="Amiri" w:ascii="Amiri" w:hAnsi="Amiri"/>
          <w:color w:val="111111"/>
          <w:sz w:val="28"/>
          <w:szCs w:val="28"/>
          <w:rtl w:val="true"/>
          <w:lang w:bidi="ar-SA"/>
        </w:rPr>
        <w:t xml:space="preserve">-. </w:t>
      </w:r>
      <w:bookmarkStart w:id="146" w:name="pg803_9420"/>
    </w:p>
    <w:p>
      <w:pPr>
        <w:pStyle w:val="BookText"/>
        <w:rPr/>
      </w:pPr>
      <w:bookmarkEnd w:id="14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الأعلى هو الفقيه العادل</w:t>
      </w:r>
    </w:p>
    <w:p>
      <w:pPr>
        <w:pStyle w:val="Heading3"/>
        <w:numPr>
          <w:ilvl w:val="2"/>
          <w:numId w:val="1"/>
        </w:numPr>
        <w:rPr/>
      </w:pPr>
      <w:bookmarkStart w:id="147" w:name="__RefHeading___Toc6585967_211673320"/>
      <w:bookmarkStart w:id="148" w:name="_Toc50"/>
      <w:bookmarkEnd w:id="147"/>
      <w:r>
        <w:rPr>
          <w:rtl w:val="true"/>
        </w:rPr>
        <w:t xml:space="preserve">حصيلة الاستدلال </w:t>
      </w:r>
      <w:r>
        <w:rPr>
          <w:rtl w:val="true"/>
        </w:rPr>
        <w:t>:</w:t>
      </w:r>
      <w:bookmarkEnd w:id="148"/>
    </w:p>
    <w:p>
      <w:pPr>
        <w:pStyle w:val="BookText"/>
        <w:rPr/>
      </w:pPr>
      <w:r>
        <w:rPr>
          <w:rFonts w:ascii="Amiri" w:hAnsi="Amiri" w:eastAsia="Amiri" w:cs="Amiri"/>
          <w:color w:val="111111"/>
          <w:sz w:val="28"/>
          <w:sz w:val="28"/>
          <w:szCs w:val="28"/>
          <w:rtl w:val="true"/>
          <w:lang w:bidi="ar-SA"/>
        </w:rPr>
        <w:t xml:space="preserve">وحصيلة الاستدلال على هذا القول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الآيات القرآنية الكريمة التي تضمنت الأوامر الإلهية بتطبيق</w:t>
      </w:r>
    </w:p>
    <w:p>
      <w:pPr>
        <w:pStyle w:val="BookText"/>
        <w:rPr/>
      </w:pPr>
      <w:r>
        <w:rPr>
          <w:rFonts w:ascii="Amiri" w:hAnsi="Amiri" w:eastAsia="Amiri" w:cs="Amiri"/>
          <w:color w:val="111111"/>
          <w:sz w:val="28"/>
          <w:sz w:val="28"/>
          <w:szCs w:val="28"/>
          <w:rtl w:val="true"/>
          <w:lang w:bidi="ar-SA"/>
        </w:rPr>
        <w:t xml:space="preserve">النظام الإسلامي ، تعمم الخطاب إلى المسلمين كافة ، أمثال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وأنفقوا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الى الخير ويأمرون بالمعروف وينهون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فاقطعوا أيديها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الشهادة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أقيموا الدين ولا تتفرقوا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محمد إلا رسول قد خلت من قبله الرسل أفإن مات أو قتل </w:t>
      </w:r>
    </w:p>
    <w:p>
      <w:pPr>
        <w:pStyle w:val="BookText"/>
        <w:rPr/>
      </w:pPr>
      <w:r>
        <w:rPr>
          <w:rFonts w:ascii="Amiri" w:hAnsi="Amiri" w:eastAsia="Amiri" w:cs="Amiri"/>
          <w:color w:val="111111"/>
          <w:sz w:val="28"/>
          <w:sz w:val="28"/>
          <w:szCs w:val="28"/>
          <w:rtl w:val="true"/>
          <w:lang w:bidi="ar-SA"/>
        </w:rPr>
        <w:t xml:space="preserve">انقلبتم على أعقابكم ، ومن ينقلب على عقبيه فلن يضر الله شيئا ، وسيجزي الله الشاكرين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يضاف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المستفاد من جميع الأيات المذكورة أعلاه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صبغة اجتماعية ، حمله الله على الناس ، ولا يرضى لعباده الكفر ، ولم يرد إقامته إلا منهم بأجمعهم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زمان النبي و حيث أنيطت المسؤولية الأولى لتطبيق النظام به ، وامتثل هذا التكليف من قبله ، وتحققت الغاية من تشریعه ، سد مجال التكليف</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زمان حضور الإمام المعصوم ، وبخاصة عند توليه السلطة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يسد مجال التكليف من قبل الإمام المعصوم المنصوص عليه ، وهو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لغيبته ، يبقى الامتثال مفروضأ على عامة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الحكومة الإسلامية بعد النبي ة ، وبعد غيبة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زماننا الحاضر الى المسلمين من غير إشكال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أن يستفاد من الكتاب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عليهم تعيين الحاكم في المجتمع على سيرة رسول الله ، وهي سنة الإمامة ، </w:t>
      </w:r>
      <w:bookmarkStart w:id="149" w:name="pg803_9422"/>
    </w:p>
    <w:p>
      <w:pPr>
        <w:pStyle w:val="BookText"/>
        <w:rPr/>
      </w:pPr>
      <w:bookmarkEnd w:id="149"/>
      <w:r>
        <w:rPr>
          <w:rFonts w:ascii="Amiri" w:hAnsi="Amiri" w:eastAsia="Amiri" w:cs="Amiri"/>
          <w:color w:val="111111"/>
          <w:sz w:val="28"/>
          <w:sz w:val="28"/>
          <w:szCs w:val="28"/>
          <w:rtl w:val="true"/>
          <w:lang w:bidi="ar-SA"/>
        </w:rPr>
        <w:t xml:space="preserve">دون الملوكية والامبراطورية ، والسير فيهم بحفاظة الأحكام من غير تغيير ، والتولي بالشورى في غير الأحكام من حوادث الوقت والمحل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على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ما تقدم من الأيات في ولاية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وأطيعوا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التحكم بين الناس بما أراك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کنتم تحبون الله فاتبعوني يحببكم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الطباطبائی ،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كان لكم في رسول الله أسوة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0" w:name="__RefHeading___Toc6585969_211673320"/>
      <w:bookmarkStart w:id="151" w:name="_Toc51"/>
      <w:bookmarkEnd w:id="150"/>
      <w:r>
        <w:rPr>
          <w:rtl w:val="true"/>
        </w:rPr>
        <w:t>منهج البحث لدى الفقهاء</w:t>
      </w:r>
      <w:r>
        <w:rPr>
          <w:rtl w:val="true"/>
        </w:rPr>
        <w:t>:</w:t>
      </w:r>
      <w:bookmarkEnd w:id="151"/>
    </w:p>
    <w:p>
      <w:pPr>
        <w:pStyle w:val="BookText"/>
        <w:rPr/>
      </w:pPr>
      <w:r>
        <w:rPr>
          <w:rFonts w:ascii="Amiri" w:hAnsi="Amiri" w:eastAsia="Amiri" w:cs="Amiri"/>
          <w:color w:val="111111"/>
          <w:sz w:val="28"/>
          <w:sz w:val="28"/>
          <w:szCs w:val="28"/>
          <w:rtl w:val="true"/>
          <w:lang w:bidi="ar-SA"/>
        </w:rPr>
        <w:t xml:space="preserve">منهج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حول موضوع الحكم الإسلامي في عصر الغيبة الى جانبين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حول أصل مسألة الحكم الإسلامي زمن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حول نيابة الفقيه العادل عن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الحق الشرعي في رئاسة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ذلك تمشيأ على ضوء طريقتهم المنهجية المتبعة في البحث الفقهي الاستدلالي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المسألة ، فالبحث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تفريعاتها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كانت في مقابل من يتوهم منه الانكار لأصل المسألة كما ألمحت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كانت دواعيهم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أراه مناسبا هو استعراض المسالة على ضوء منهجهم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المنهجة الأصيلة تأبى ذلك ، وتعتبره مفارقة منهجية ، بعد ثبوت المسألة بالضرورة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أشرت اليه في مدخل البحث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أني سأحاول إدخالها في قائمة الأدلة على الجانب الثاني من البحث ، وهو نیابة الفقيه العادل ، لصلاحيتها للاستدلال بها على ذلك ، ولأجل المحافظة على أصالة المنهج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أدلته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الاجتماعي التاريخي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الدليل الذي استدل به على لزوم قيام حكومة إسلامية في مجتمع المسلمين زمن الحضور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الحكومة ظاهرة اجتماعية ، فرضتها حاجة المجتمع إلى الأمن وحفظ الحقوق وإشاعة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المجتمع الإسلامي ليس بدعة من المجتمعات البشرية في طبيعة ما يستلزمه تنظيم علاقاته من تشريع نظام اجتماعي بغية تحقيق الأمن وحفظ الحقوق وإشاعة العدالة بين أفراده ، وقيام حكومة تقوم على تنفيذ ذلك النظام لتحقيق الغاية من تشريعه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مجتمع المسلمين يختلف عنها في طبيعة حاجته إلى ذلك ، لكان النبي ة أو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وألزم ببيان ذلك والتنبيه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ينبها على ذلك ، فهو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مجتمع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المجتمعات البشرية في لزوم قيام حكومة فيه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الدليل نفسه يستدل على وجوب إقامة دولة إسلامية زمن الغيبة ، على اعتبار أن مجتمع المسلمين زمن الغيبة هو الأخر لا يختلف عن المجتمعات البشرية في طبيعة حاجته الى النظام ، والى الحكومة ، لتقوم على تنفيذه لتحقيق الغاية من تشريعه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السيد البروجردي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الاجتماع أمور لا تكون من وظائف الأفراد ولا ترتبط بهم ، بل تكون من الأمور العامة الاجتماعية التي يتوقف عليها حفظ نظام الاجتماع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 و ولاية الغيب والقصر، وبيان مصرف اللقطة والمجهول المالك ، وحفظ الانتظامات الداخلية ، وسد الثغور، والأمر بالجهاد والدفاع عند هجوم الأعداء ، ونحو ذلك مما يرتبط بسياسة المدن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فليست هذه الأمور مما يتصدى لها كل أحد، بل تكون من وظائف قيم الاجتماع ، ومن بيده أزمة الأمور الاجتماعية ، وعليه أعباء الرياسة والخلافة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العقل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هذه المقدمة المذكورة لثبوتها بما برهن عليه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لزوم حاجة المجتمع المسلم إلى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حكومة إسلامية أو قيام حكومة كافرة لأنه لا ثالث للكفروالإسلام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فيتفرع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قيام حكومة إسلامية لحرمة الخضوع للحكم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سيأتي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يحكم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بدوران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وجوب قیام حكومة 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اعتبار الحاكم هو من تختاره الأمة مطلقة ، وبين الفقيه العادل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اعتبار الفقيه العادل حاکم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 من تختاره الأمة حاكما موضع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يتعين اعتبار الفقيه العادلكما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الدليل العقائدي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العقيدة الإسلامية تملي على المسلم وجوب القيام بتطبيق الإسلام في حياته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 يستفاد من استقراء أحكامه وتشريعاته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کامل محتو على جميع التشريعات التي تتطلبها الحياة في مختلف مجالاتها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فردية وجماعية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اقتصادية واجتماعية وسياسية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البديهي أن نسأ من هذه التشريعات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التشريعات الاجتماعية والاقتصادية والسياسية ، لا يتم تطبيقها إلا عن طريق السلطة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قيام دولة إسلامية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عادت الحكومة الإسلامية من ضروريات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تدور بين أن يعود أمر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الأمة والى 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الى الفقيه العادل نيابة عن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الحق الشرعي في رئاسة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ثبت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وموجزه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العقل الحاكم بلزوم نصب الإمام حاكمة للدولة الإسلامية والرئاسة العامة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حفظ الإسلام بصفته مبدأ ، ورعاية شؤون المسلمين بصفتهم أمة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نفسه يحكم بلزوم نصب من يقوم مقامه حال غيبة للغاية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هو إلا الفقيه العادل لثبوت نیابته عن الإمام کها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صاحب الجواهر في الاستدلال على وجوب إقامة الحدود من قبل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المقتضي لإقامة الحد قائم في صورتي حضور الإمام وغيبته ، وليست الحكمة عائدة إلى مقيمه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قطعأ ، فتكون عائدة إلى مستحقه ، والى نوع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بد من إقامته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وثبوت النيابة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المواضع على وجه يظهر منه عدم الفرق بين مناصب الإمام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دعوى المفر وغية منه بين الأصحاب ؛ فان كتبهم مملوة بالرجوع إلى الحاكم ، المراد به نائب الغيبة في سائر المواضع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من رسالته التي ألفها في صلاة الجمعة </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أصحابنا على أن الفقيه العادل الأمين الجامع الشرائط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بالمجتهد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من قبل أئمة الهدى في حال الغيبة في جميع ما للنيابة فيه مدخل</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على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نلتزم بثبوت حكم العقل بلزوم نصب حاكم عام للدولة الإسلامية زمن الغيبة ، يكون الدليل المشار اليه قاصرة عن إثبات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عليه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دليل الإمامة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برجوع أمر الحكومة في غير موارد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زمن الغيبة الى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من نصيب الإمام بعد النبيو عقلا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الإمام بمهمة إتمام عملية التغيير الاجتماعي الشامل الذي استهدفه الإسلام بصفته حركة اجتماعية ثورية ؛ وذلك لانهاء فترة الانتقال حيث تتم فيها عملية التغيير الاجتماعي الشامل إن تم دليل هذا الرأي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ضوئه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يعود أمر تشریع قضية الحكومة إلى الإمام الذي ستنتهي على يديه فترة الانتقال بانهاء عملية التغيير الاجتماعي الشامل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 حيث لم توات الظروف التاريخية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بمهمة إنهاء فترة الانتقال يعود الأمر إلى التماس الحكم من النصوص 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فمن العقل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تراجع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محاضراته في التاريخ الإسلامي على طلبة كلية الفقه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الدليل العقلي المشار إليه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مبرهن عليه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الأخذ بما ينهي إليه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بلزوم نصب </w:t>
      </w:r>
    </w:p>
    <w:p>
      <w:pPr>
        <w:pStyle w:val="BookText"/>
        <w:rPr/>
      </w:pPr>
      <w:r>
        <w:rPr>
          <w:rFonts w:ascii="Amiri" w:hAnsi="Amiri" w:eastAsia="Amiri" w:cs="Amiri"/>
          <w:color w:val="111111"/>
          <w:sz w:val="28"/>
          <w:sz w:val="28"/>
          <w:szCs w:val="28"/>
          <w:rtl w:val="true"/>
          <w:lang w:bidi="ar-SA"/>
        </w:rPr>
        <w:t xml:space="preserve">حاكم عام للمسلمين زمن الغيبة ؛ وليس هو إلا الفقيه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لدوران الأمر بين عدم النصب أونصب الفقيه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ثبت بطلان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العقلي المشار اليه، يتعين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نصب الفقيه العادل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الدليل النقلي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بنصوص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استدل بأن الخطابات القرآنية الواردة في أمثال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فاجلدوا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آية حد الزنی </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فاقطعوا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آية حد السرقة</w:t>
      </w:r>
      <w:r>
        <w:rPr>
          <w:rStyle w:val="FootnoteAnchor"/>
          <w:rtl w:val="true"/>
        </w:rPr>
        <w:footnoteReference w:id="71"/>
      </w:r>
      <w:r>
        <w:rPr>
          <w:rFonts w:ascii="Amiri" w:hAnsi="Amiri" w:eastAsia="Amiri" w:cs="Amiri"/>
          <w:color w:val="111111"/>
          <w:sz w:val="28"/>
          <w:sz w:val="28"/>
          <w:szCs w:val="28"/>
          <w:rtl w:val="true"/>
          <w:lang w:bidi="ar-SA"/>
        </w:rPr>
        <w:t xml:space="preserve">، مطلقة تشمل زماني الحضور والغيبة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ولم يرد ما يدل على تقييدها بزمن الحضور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فاذن على عامة المسلمين امتثالها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مع صدور الإذن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للفقهاء بتطبيق كثير من جوانب النظام الاجتماعي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وظائف وصلاحيات الحاكم العام</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يفاد منه الإذن بالجميع ؛ وذلك للقطع الذي يستفاد من سيرة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وحرصهم </w:t>
      </w:r>
    </w:p>
    <w:p>
      <w:pPr>
        <w:pStyle w:val="BookText"/>
        <w:rPr/>
      </w:pPr>
      <w:r>
        <w:rPr>
          <w:rFonts w:ascii="Amiri" w:hAnsi="Amiri" w:eastAsia="Amiri" w:cs="Amiri"/>
          <w:color w:val="111111"/>
          <w:sz w:val="28"/>
          <w:sz w:val="28"/>
          <w:szCs w:val="28"/>
          <w:rtl w:val="true"/>
          <w:lang w:bidi="ar-SA"/>
        </w:rPr>
        <w:t xml:space="preserve">الشديد على القيام بأداء مسؤوليتهم من تبليغ الأحكام وتطبيقها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علىالفقهاء القيام بامتثالها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الفقيه العادل حاكمة عامة للمسلمين من قبل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يقول الفيض الكاشاني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وكذا إقامة الحدود والتعزیرات وسائر السياسات الدينية ، فان للفقهاء المؤمنين إقامتها في الغيبة بحق النيابة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لأنهم مأذونون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أمثالها كالقضا والإفتاء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ولاطلاق أدلة وجوبها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دليل على توقفه على حضوره عليه السلام</w:t>
      </w:r>
      <w:r>
        <w:rPr>
          <w:rStyle w:val="FootnoteAnchor"/>
          <w:rtl w:val="true"/>
        </w:rPr>
        <w:footnoteReference w:id="7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السيد البروجردي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كان هذه الأمور والحوائج الاجتماعية مما يبتلى بها الجميع مدة عمرهم غالبأ ، ولم يكن الشيعة في عصر الأئمة متمكنين من الرجوع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الحالات ، كما يشهد بذلك مضافأ الى تفرقهم في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الأئمة مبسوطي اليد ، بحيث يرجع إليهم في كل وقت ، لأي حجة اتفقت ، فلا محالة يحصل لنا القطع بأن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 ومحمد بن مسلم ، وغيرهما من خواص الأئمة ، سألوهم عمن يرجع اليه في مثل تلك الأمور العامة البلوى ، التي لا يرضى الشارع بإهاها ، بل نصبوا لها من يرجع اليه شيعتهم إذا لم يتمكنوا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سبا مع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تمكن أغلب الشيعة من الرجوع اليهم ، بل عدم تمكن الجميع في عصر غيبتهم التي كانوا يخبرون عنها </w:t>
      </w:r>
    </w:p>
    <w:p>
      <w:pPr>
        <w:pStyle w:val="BookText"/>
        <w:rPr/>
      </w:pPr>
      <w:r>
        <w:rPr>
          <w:rFonts w:ascii="IRNazanin" w:hAnsi="IRNazanin" w:eastAsia="IRNazanin"/>
          <w:color w:val="111111"/>
          <w:sz w:val="28"/>
          <w:sz w:val="28"/>
          <w:szCs w:val="28"/>
          <w:rtl w:val="true"/>
          <w:lang w:bidi="fa-IR"/>
        </w:rPr>
        <w:t>غالبأ ، ويهيئون شیعتهم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لأحد أن يحتمل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شيعتهم عن الرجوع الى الطواغيت وقضاة الجور ، ومع ذلك أهملوا لهم هذه الأمور ، ولم يعينوا من يرجع اليه الشيعة في فصل الخصومات ، والتصرف في أموال الغيب والقصر، والدفاع عن حوزة الإسلام ، ونحو ذلك من الأمور المهمة ، التي لا يرضى الشارع باهيا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نقطع بأن صحابة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سألوهم عمن يرجع اليه الشيعة في تلك الأمور مع 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أجابوهم بذلك ، ونصبوا للشيعة مع عدم التمكن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أشخاصة يتمكنون منهم إذا احتاجوا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سقوط تلك الأسئلة والأجوبة من الجوامع التي بأيدينا ، ولم يصل الينا إلا ما رواه عمر بن حنظلة وأبو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بهذا البيان النصب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وانهم لم يهملوا هذه الأمور المهمة ، التي لا يرضى الشارع باهمالها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سيا مع إحاطتهم بحوائج شيعتهم 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يتعين الفقيه لذلك إذا لم يقل أحد بنصب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يدور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عدم 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نصب الفقيه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بطلان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نصب الفقيه مقطوعا 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ويصير مقبولة ابن حنظلة من شواهد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ترتيب ذلك على النظم القياسي ، فصورته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أنه لم ينصب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أحدة لهذه الأمور العامة البلوي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نصبوا الفقيه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الأول باطل ، فثبت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قياس استثنائي مؤلف من قضية منفصلة حقيقية ، وحملية دلت على رفع المقدم ، فينتج وضع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المطلوب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ويناقش بما خلاصته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الإذن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للفقهاء ببعض التصرفات العامة لا يستلزم الإذن بالجمعي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في مناقشة هذا الرأي بصورة عامة ، من 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يستبعد نصب كل فقيه عادل الرئاسة الدولة لما يترتب عليه من 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بروايات عدة ، وعلى طوائف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أهمها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 وهي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أصحابنا يكون بينهما منازعة في دين أو میراث ، فتحاكيا إلى السلطان أو الى القضاة ، أيحل ذلك ؟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الى الطاغوت فحكم له ، فانما يأخذ سحتأ ، وإن كان حقه ثابتأ ؛ لأنه أخذ بحكم الطاغوت ، وقد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w:t>
      </w:r>
      <w:bookmarkStart w:id="152" w:name="pg803_9432"/>
    </w:p>
    <w:p>
      <w:pPr>
        <w:pStyle w:val="BookText"/>
        <w:rPr/>
      </w:pPr>
      <w:bookmarkEnd w:id="152"/>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يكفر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كان منكم قد روى حديثنا ، ونظر في حلالنا وحرامنا ، وعرف أحكامنا ، فارضوا به حك ، فاني قد جعلته عليكم حاكأ ، فاذا حكم بحكمنا فلم يقبل منه ، فانما بحكم الله استخف ، وعلينا رد ، والراد علينا راد على الله ، وهو على حد الشرك بالله</w:t>
      </w:r>
      <w:r>
        <w:rPr>
          <w:rFonts w:eastAsia="Amiri" w:cs="Amiri" w:ascii="Amiri" w:hAnsi="Amiri"/>
          <w:color w:val="111111"/>
          <w:sz w:val="28"/>
          <w:szCs w:val="28"/>
          <w:rtl w:val="true"/>
          <w:lang w:bidi="ar-SA"/>
        </w:rPr>
        <w:t>»</w:t>
      </w:r>
      <w:r>
        <w:rPr>
          <w:rStyle w:val="FootnoteAnchor"/>
          <w:rtl w:val="true"/>
        </w:rPr>
        <w:footnoteReference w:id="76"/>
      </w:r>
    </w:p>
    <w:p>
      <w:pPr>
        <w:pStyle w:val="Heading3"/>
        <w:numPr>
          <w:ilvl w:val="2"/>
          <w:numId w:val="1"/>
        </w:numPr>
        <w:rPr/>
      </w:pPr>
      <w:bookmarkStart w:id="153" w:name="__RefHeading___Toc6585971_211673320"/>
      <w:bookmarkStart w:id="154" w:name="_Toc52"/>
      <w:bookmarkEnd w:id="153"/>
      <w:r>
        <w:rPr>
          <w:rtl w:val="true"/>
        </w:rPr>
        <w:t xml:space="preserve">وخلاصة الاستدلال بها </w:t>
      </w:r>
      <w:r>
        <w:rPr>
          <w:rtl w:val="true"/>
        </w:rPr>
        <w:t>:</w:t>
      </w:r>
      <w:bookmarkEnd w:id="154"/>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فإني قد جعلته عليكم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إعطاء الولاية العامة للفقيه العادل ، وذلك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نصب الفقيه العادل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حاكأ ، ظاهر في إفادة الولاية العامة لمختلف المجالات والشؤون الاجتماعية العامة ، حيث أن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يفهم من مدلول الكلمة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الذي يرجع اليه في جميع الأمور العامة الاجتماعية التي لا تكون من وظائف الأفراد ، ولا يرضى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باهمالها ، ولو في عصر الغيبة ، وعدم التمكن من الأئمة عليهم السلام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55" w:name="pg803_9433"/>
    </w:p>
    <w:p>
      <w:pPr>
        <w:pStyle w:val="Heading3"/>
        <w:numPr>
          <w:ilvl w:val="2"/>
          <w:numId w:val="1"/>
        </w:numPr>
        <w:rPr/>
      </w:pPr>
      <w:bookmarkStart w:id="156" w:name="__RefHeading___Toc6585973_211673320"/>
      <w:bookmarkStart w:id="157" w:name="_Toc53"/>
      <w:bookmarkEnd w:id="155"/>
      <w:bookmarkEnd w:id="156"/>
      <w:r>
        <w:rPr>
          <w:rtl w:val="true"/>
        </w:rPr>
        <w:t xml:space="preserve">ويناقش بما حاصله </w:t>
      </w:r>
      <w:r>
        <w:rPr>
          <w:rtl w:val="true"/>
        </w:rPr>
        <w:t>:</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الرواية واردة في القضاء ، كما هو ظاهر السؤال حيث أنه يدور حول المنازعة في دين أو ميراث ، فتعميم مدلولها إلى القضاء وسائر شؤون الحكم يفتقر الى دليل ؛ وبخاصة وأن الرواية في ملابساتها التاريخية واردة في نوع من القضايا التي تقع زمن الحضور من الأمور التي يستطيع الشيعة أن يستقلوا بها عن الرجوع إلى القضاة الرسميين والحكام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فالتفكير من قبل الشيعة بأن يستقلوا بحكومة خاصة يرأسها الفقيه العادل بعيد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ولعوامل أخر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يبدو من الملابسات التاريخية للسؤال ، حيث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أمر واقع من نفوذ سلطان الحكومات القائمة آنذاك ، الشيء الذي يدعوهم إلى محاولة التخلص والخروج من عهدة التكليف ولو بهذه الصورة التجزيئية من التطبيق</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6585975_211673320"/>
      <w:bookmarkStart w:id="159" w:name="_Toc54"/>
      <w:bookmarkEnd w:id="158"/>
      <w:r>
        <w:rPr>
          <w:rtl w:val="true"/>
        </w:rPr>
        <w:t xml:space="preserve">وأجيب عنه </w:t>
      </w:r>
      <w:r>
        <w:rPr>
          <w:rtl w:val="true"/>
        </w:rPr>
        <w:t>:</w:t>
      </w:r>
      <w:bookmarkEnd w:id="159"/>
    </w:p>
    <w:p>
      <w:pPr>
        <w:pStyle w:val="BookText"/>
        <w:rPr/>
      </w:pPr>
      <w:r>
        <w:rPr>
          <w:rFonts w:ascii="Amiri" w:hAnsi="Amiri" w:eastAsia="Amiri" w:cs="Amiri"/>
          <w:color w:val="111111"/>
          <w:sz w:val="28"/>
          <w:sz w:val="28"/>
          <w:szCs w:val="28"/>
          <w:rtl w:val="true"/>
          <w:lang w:bidi="ar-SA"/>
        </w:rPr>
        <w:t xml:space="preserve">بأن التشريع الإسلامي لا يفصل بين السلطات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التشريعية والتنفيذية والقضائية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رأينا النبي صلى الله عليه وسلم ، ورأينا خلفاءه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بين السلطات الثلاث ، كما يثبت التاريخ ذلك ، وكما هو ظاهرا من بعض الأخبار أنه كان شغل القضاء ملازم عرفة لتصدي سائر الأمور العامة البلوى ، كما في خبر اسماعيل بن سعد عن الرضا عليه السلام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انتظار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يموت بغير وصية وله ورثة صغار وكبار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شراء خدمه ومتاعه من غير أن يتولى القاضي بيع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الرواية على إرادة القضاء ، وحده يتطلب إثبات استقلال السلطة القضائية عن السلطة التنفيذية ، وذلك بعيد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أنه 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التشريع الإسلامي لا يفصل بين السلطات في منصب الخلافة ، على اعتبار أن الجمع بين السلطات من حق الخليفة بصفته خليفة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القاضي أو الفقيه العادل الذي نحاول إثبات نیابته العامة بأمثال هذه الرواية لا نستطيع الذهاب إلى أن التشريع الإسلامي لا يفصل بين السلطات في منصبه على اعتبار أنها من حقوقه بصفته قاضية أو فقيها ؛ لأنه لا دليل علىذلك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لعل ما يفيده التاريخ الإسلامي هو استقلال القاضي بوظيفة القضاء وحده ، أو بها وببعض الأمور التنفيذية التي ترتبط إلى حد كبير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أشير اليها في خبر اسماعيل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سيرة القضاة المنصوبين من قبل الخلفاء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الظاهر من الحاكم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وظيفة الحكم بين الناس ، فيختص بفصل الخصومة ، أو مطلقة فيشمل الفتوى ، كما يناسبه العدول عن التعبير بالحكم الى التعبير بالحاكم ، حيث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فليرضوا به حکم ، فاني قد جعلته عليكم حاكما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bookmarkStart w:id="160" w:name="pg803_9435"/>
    </w:p>
    <w:p>
      <w:pPr>
        <w:pStyle w:val="BookText"/>
        <w:rPr/>
      </w:pPr>
      <w:bookmarkEnd w:id="160"/>
      <w:r>
        <w:rPr>
          <w:rFonts w:ascii="Amiri" w:hAnsi="Amiri" w:eastAsia="Amiri" w:cs="Amiri"/>
          <w:color w:val="111111"/>
          <w:sz w:val="28"/>
          <w:sz w:val="28"/>
          <w:szCs w:val="28"/>
          <w:rtl w:val="true"/>
          <w:lang w:bidi="ar-SA"/>
        </w:rPr>
        <w:t xml:space="preserve">وبخاصة وأن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استعمالها بمدلولها الواسع زمن صدور الرواية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أو مشهورة أبي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أن يحاكم بعضكم بعضا إلى أهل الجور ، ولكن انظروا إلى رجل منكم يعلم شيئا من قضائنا ، فاجعلوه بينكم ، فاني قد جعلته قاضية فتحاكموا اليه </w:t>
      </w:r>
      <w:r>
        <w:rPr>
          <w:rFonts w:eastAsia="Amiri" w:cs="Amiri" w:ascii="Amiri" w:hAnsi="Amiri"/>
          <w:color w:val="111111"/>
          <w:sz w:val="28"/>
          <w:szCs w:val="28"/>
          <w:rtl w:val="true"/>
          <w:lang w:bidi="ar-SA"/>
        </w:rPr>
        <w:t>»</w:t>
      </w:r>
      <w:r>
        <w:rPr>
          <w:rStyle w:val="FootnoteAnchor"/>
          <w:rtl w:val="true"/>
        </w:rPr>
        <w:footnoteReference w:id="80"/>
      </w:r>
    </w:p>
    <w:p>
      <w:pPr>
        <w:pStyle w:val="Heading3"/>
        <w:numPr>
          <w:ilvl w:val="2"/>
          <w:numId w:val="1"/>
        </w:numPr>
        <w:rPr/>
      </w:pPr>
      <w:bookmarkStart w:id="161" w:name="__RefHeading___Toc6585977_211673320"/>
      <w:bookmarkStart w:id="162" w:name="_Toc55"/>
      <w:bookmarkEnd w:id="161"/>
      <w:r>
        <w:rPr>
          <w:rtl w:val="true"/>
        </w:rPr>
        <w:t xml:space="preserve">وأستدل بها </w:t>
      </w:r>
      <w:r>
        <w:rPr>
          <w:rtl w:val="true"/>
        </w:rPr>
        <w:t>:</w:t>
      </w:r>
      <w:bookmarkEnd w:id="162"/>
    </w:p>
    <w:p>
      <w:pPr>
        <w:pStyle w:val="BookText"/>
        <w:rPr/>
      </w:pPr>
      <w:r>
        <w:rPr>
          <w:rFonts w:ascii="IRNazanin" w:hAnsi="IRNazanin" w:eastAsia="IRNazanin"/>
          <w:color w:val="111111"/>
          <w:sz w:val="28"/>
          <w:sz w:val="28"/>
          <w:szCs w:val="28"/>
          <w:rtl w:val="true"/>
          <w:lang w:bidi="fa-IR"/>
        </w:rPr>
        <w:t xml:space="preserve">واستدل بها على نصب الفقيه العادل حاکيأ عاما من قبل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تضمنته من تحذير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ونهيه أن يتحاكم الى أهل الجور ، ومن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إلى الفقيه ، وبتصريحه بجعله قاضيا ليتحاكم اليه ، ولا فصل بين القضاء وبقية شؤون الحكم الأخرى في التشريع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قاضية لا يعني إرادةالقضاء وحده، بعد علمنا بعدم الفصل بين سلطتي القضاء والتنفيذ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585979_211673320"/>
      <w:bookmarkStart w:id="164" w:name="_Toc56"/>
      <w:bookmarkEnd w:id="163"/>
      <w:r>
        <w:rPr>
          <w:rtl w:val="true"/>
        </w:rPr>
        <w:t xml:space="preserve">ونوقش بما يلي </w:t>
      </w:r>
      <w:r>
        <w:rPr>
          <w:rtl w:val="true"/>
        </w:rPr>
        <w:t>:</w:t>
      </w:r>
      <w:bookmarkEnd w:id="16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الجمع بين السلطات من حقوق الخليفة ، وليس من حقوق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مناقشة الرواية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الفقيه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يقتضي أن يكون له وظيفة القضاة من فصل الخصومة فقط ، أو ما يعمه وبعض الأمور الأخر، مثل الولاية على أخذ الحق من المماطل ، وحبسه ، وبيع ماله ، والتصرف في مال القصير ، ونصب القيم عليه، </w:t>
      </w:r>
      <w:bookmarkStart w:id="165" w:name="pg803_9436"/>
    </w:p>
    <w:p>
      <w:pPr>
        <w:pStyle w:val="BookText"/>
        <w:rPr/>
      </w:pPr>
      <w:bookmarkEnd w:id="165"/>
      <w:r>
        <w:rPr>
          <w:rFonts w:ascii="Amiri" w:hAnsi="Amiri" w:eastAsia="Amiri" w:cs="Amiri"/>
          <w:color w:val="111111"/>
          <w:sz w:val="28"/>
          <w:sz w:val="28"/>
          <w:szCs w:val="28"/>
          <w:rtl w:val="true"/>
          <w:lang w:bidi="ar-SA"/>
        </w:rPr>
        <w:t>ونحو ذلك مما ثبت كونه من وظائف القضاة في عصر صدور الرواية المذكورة</w:t>
      </w:r>
      <w:r>
        <w:rPr>
          <w:rStyle w:val="FootnoteAnchor"/>
          <w:rtl w:val="true"/>
        </w:rPr>
        <w:footnoteReference w:id="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الشريف الصادر من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الحوادث الواقعة فارجعوا فيها إلى رواة حديثنا ، فانهم حجتي عليكم وأنا حجة الله تعالى</w:t>
      </w:r>
      <w:r>
        <w:rPr>
          <w:rStyle w:val="FootnoteAnchor"/>
          <w:rtl w:val="true"/>
        </w:rPr>
        <w:footnoteReference w:id="82"/>
      </w:r>
    </w:p>
    <w:p>
      <w:pPr>
        <w:pStyle w:val="Heading3"/>
        <w:numPr>
          <w:ilvl w:val="2"/>
          <w:numId w:val="1"/>
        </w:numPr>
        <w:rPr/>
      </w:pPr>
      <w:bookmarkStart w:id="166" w:name="__RefHeading___Toc6585981_211673320"/>
      <w:bookmarkStart w:id="167" w:name="_Toc57"/>
      <w:bookmarkEnd w:id="166"/>
      <w:r>
        <w:rPr>
          <w:rtl w:val="true"/>
        </w:rPr>
        <w:t xml:space="preserve">وملخص الاستدلال به </w:t>
      </w:r>
      <w:r>
        <w:rPr>
          <w:rtl w:val="true"/>
        </w:rPr>
        <w:t>:</w:t>
      </w:r>
      <w:bookmarkEnd w:id="167"/>
    </w:p>
    <w:p>
      <w:pPr>
        <w:pStyle w:val="BookText"/>
        <w:rPr/>
      </w:pPr>
      <w:r>
        <w:rPr>
          <w:rFonts w:ascii="Amiri" w:hAnsi="Amiri" w:eastAsia="Amiri" w:cs="Amiri"/>
          <w:color w:val="111111"/>
          <w:sz w:val="28"/>
          <w:sz w:val="28"/>
          <w:szCs w:val="28"/>
          <w:rtl w:val="true"/>
          <w:lang w:bidi="ar-SA"/>
        </w:rPr>
        <w:t xml:space="preserve">إن الرواية ظاهرة في إرادة كون الفقيه حجة فيما فيه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على المسلمين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شؤون الحكم العامة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هذا على المشهور من متن الرواية المتضمن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حجتي </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ما في بعض الكتب حيث تضمنت الرواية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ظهورة، ضرورة معلومية كون المراد من الخليفة عموم الولاية عرفة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انا جعلناك خليفة في الأرض فاحكم بين الناس بالحق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ونوقش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الحوادث المسؤول عنها مانع من التمسك به ، إذ من المحتمل أن يكون المراد منها الحوادث المجهولة الحكم</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والذي يؤخذ على هذا القول بصورة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أن الاطلاقات القرآنية التي استدل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أكثر من وجوب تطبيق النظام من قبل عامة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النصوص التي استدل بها على نصب الفقيه العادل لتكون مقيدة لاطلاقات القرآن غير وافية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نصوص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دلالتها على نصب الفقيه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نصب مطلق الفقيه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رئاسة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كل فقيه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أمر أقل ما ينجم عنه الفوضى في إشغال المنصب والقيام بالتطبيق کا سالح اليه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الأدلة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والعقائدي والاجتماعي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أكثر من لزوم وجود حكومة إسلامية زمن الغيبة ، لما فيها من إطلاق يشمل زماني الحضور والغيبة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اعتبار الفقيه العادل حاكما موقوف على تنامية دلالة ما استدل به من نصوص السنة على ذلك ، لتكون مفيدة لذلك </w:t>
      </w:r>
    </w:p>
    <w:p>
      <w:pPr>
        <w:pStyle w:val="BookText"/>
        <w:rPr/>
      </w:pPr>
      <w:r>
        <w:rPr>
          <w:rFonts w:ascii="Amiri" w:hAnsi="Amiri" w:eastAsia="Amiri" w:cs="Amiri"/>
          <w:color w:val="111111"/>
          <w:sz w:val="28"/>
          <w:sz w:val="28"/>
          <w:szCs w:val="28"/>
          <w:rtl w:val="true"/>
          <w:lang w:bidi="ar-SA"/>
        </w:rPr>
        <w:t xml:space="preserve">الإطلاق ، وهي غير ناهضة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ظهورها في إعطاء الولاية العامة للفقيه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يرد عليها من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أشرت اليه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التماس مقيد لتلكم الاطلاقات ينهض بتعيين الحاكم الأعلى للدولة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سنقف عليه في القول الأتي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الأعلى هو الأعلم</w:t>
      </w:r>
    </w:p>
    <w:p>
      <w:pPr>
        <w:pStyle w:val="BookText"/>
        <w:rPr/>
      </w:pPr>
      <w:r>
        <w:rPr>
          <w:rFonts w:ascii="Amiri" w:hAnsi="Amiri" w:eastAsia="Amiri" w:cs="Amiri"/>
          <w:color w:val="111111"/>
          <w:sz w:val="28"/>
          <w:sz w:val="28"/>
          <w:szCs w:val="28"/>
          <w:rtl w:val="true"/>
          <w:lang w:bidi="ar-SA"/>
        </w:rPr>
        <w:t xml:space="preserve">يعني بالأعلم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المطلق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توفره على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شرط أساسي في أمثال منصب الرئاسة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استدل به لهذا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إطلاق الأدلة الأربعة المتقدمة في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التاريخي ، والعقائدي ، والعقلي ، والاطلاقات القرآنية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مر ثبوت تمامية دلالتها على إلزام المسلمين بإيجاد حكومة إسلامية زمن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إطلاقها يقيد بالنص الوارد عن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يفيد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حاك عاما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أولى الناس بالأنبياء أعلمهم بما جاءوا به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ونوقش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الأولوية في النص مجملة فلا يستطاع الأخذ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ظاهرة في قيام الأعلم مقام الأنبياء في منصب رئاسة الأمة ، لمناسبة الحكم للموضوع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 إذا لم يتوقف على نص خاص يوضح للمسلمين كيفية امتثال هذا التكليف ، يرجع في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 التي يراها العقل 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الامتثال من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الامتثال من كل فرد من أفراد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كل فرد من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الامتثال من البعض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الصورة الأخيرة تتفرع الى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يسند الامتثال من يختاره المسلمون عامة ؛ لأن الخطاب بالامتثال موجه اليهم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القول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يسند الامتثال إلى الفقيه العادل لثبوت نیابته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القول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يسند الامتثال إلى الأعلم، لأنه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وهوالقول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الامتثال ، إما لاستحالته من الجميع، أو لعسره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 ما ينجم عن الامتثال من محذور يمنع من تحققه هو شيوع الفوضى،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الفرع الأول من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عليه ما تقدم في المناقشة حوله عند الحديث عن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الفرع الثاني من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عليه ما سلف في المناقشة حوله عند الحديث عن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الفرع الثالث لبطلان ما عداه ، وانحصار الامتثل به، بوصفه قدرة متيقنة في البين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ويدعمه الدليل العقلي الذي يلزم بتقليد الأعلم للاطمئنان بتوفر المؤمن والمعذر بالرجوع اليه</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803_9443"/>
      <w:bookmarkStart w:id="169" w:name="pg803_9443"/>
      <w:bookmarkEnd w:id="169"/>
    </w:p>
    <w:p>
      <w:pPr>
        <w:pStyle w:val="Heading2"/>
        <w:numPr>
          <w:ilvl w:val="1"/>
          <w:numId w:val="1"/>
        </w:numPr>
        <w:rPr/>
      </w:pPr>
      <w:bookmarkStart w:id="170" w:name="pg803_9443"/>
      <w:bookmarkStart w:id="171" w:name="__RefHeading___Toc6585983_211673320"/>
      <w:bookmarkStart w:id="172" w:name="_Toc58"/>
      <w:bookmarkEnd w:id="170"/>
      <w:bookmarkEnd w:id="171"/>
      <w:r>
        <w:rPr>
          <w:rtl w:val="true"/>
        </w:rPr>
        <w:t>تكوين الدولة</w:t>
      </w:r>
      <w:bookmarkEnd w:id="172"/>
    </w:p>
    <w:p>
      <w:pPr>
        <w:pStyle w:val="Heading3"/>
        <w:numPr>
          <w:ilvl w:val="2"/>
          <w:numId w:val="1"/>
        </w:numPr>
        <w:rPr/>
      </w:pPr>
      <w:bookmarkStart w:id="173" w:name="__RefHeading___Toc6585985_211673320"/>
      <w:bookmarkStart w:id="174" w:name="_Toc59"/>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وأعظم ما افترض سبحانه من تلك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الوالي على الرعية ، وحق الرعية على الوالي ، فريضة فرضها الله سبحانه لكل على كل ، فجعلها نظام لالفتهم ، وعزأ لدينهم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فليست تصلح الرعية إلا بصلاح الولاة ، ولا تصلح الولاة إلا باستقامة الرعية ، فاذا أدت الرعية الى الوالي حقه ، وأدى الوالي اليها حقها ، عز الحق بينهم ، وقامت مناهج الدين ، واعتدلت معالم العدل ، وجرت على إذلالها السنن ، فصلح بذلك الزمان ، وطمع في بقاء الدولة ، ويئست مطامع الأعداء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تشكيلات الحكومة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أعنيه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سيدور حوله الحديث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هذا هو أحد معني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تطرقت عابرة في خاتمة الحديث إلى معناها الآخر،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والأمة والحكومة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ربما انتظرنا من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يزودنا بتفاصيل</w:t>
      </w:r>
    </w:p>
    <w:p>
      <w:pPr>
        <w:pStyle w:val="BookText"/>
        <w:rPr/>
      </w:pPr>
      <w:r>
        <w:rPr>
          <w:rFonts w:ascii="Amiri" w:hAnsi="Amiri" w:eastAsia="Amiri" w:cs="Amiri"/>
          <w:color w:val="111111"/>
          <w:sz w:val="28"/>
          <w:sz w:val="28"/>
          <w:szCs w:val="28"/>
          <w:rtl w:val="true"/>
          <w:lang w:bidi="ar-SA"/>
        </w:rPr>
        <w:t xml:space="preserve">وافية عن تشكيلات الحكومة في عصر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حينا نفهم أن التشكيلات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الوسائل والأساليب التي تتخذ وتتبع في إدارة ورعاية شؤون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نفهم أنها موضوع وليست بحكم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 أن الأساليب أنواع من سلوك الإنسان وأعماله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سلوك الإنسان وأعماله هي موضوعات توجه إليها الأحكام ، لتوجيه السلوك الإنساني في الوجهة التي ينبغي أن يسير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 الوسائل وسائط في تحقيق الامتثالات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لا أحكام ، لأنها لا تختلف في مجال تحقيق الامتثال عن الأساليب ، إلا بما يتنوع به السلوك من صدوره عن الإنسان بلا مساعد ومباشرة ، ومن صدوره مساعد ومن غير مباشرة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الوسائل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متمم لما يحقق الامتثال في المجال الذي يفتقر فيه إلى الواسطة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ينتظر من التشريع أن يحدد لنا تشكيلات الحكومة ، فيعين الوسائل والأساليب ، وذلك أن تحديد الموضوعات لا يعود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الأحكام المناسبة للموضوعات بما يحقق المصلحة للناس ، ويبعد المفسدة عنهم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يضاف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خضوع الموضوعات للتغيرات الزمانية والمكانية، وللتطورات الحضارية والمدنية ، مما يقف دون إعطاء تحديد ثابت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 العام للحكومة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شيء ينتظر من التشريع أن يقوله ، لأنه يتمشى مع طبيعة الموضوعات في مختلف تطوراتها وتغيراتها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حكم يحدد نوعية الوسائل والأساليب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ألصق بالحديث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خط عام للحكومة في تشكيلاتها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اللون من الحكم لا نعدمه في التشريع الإسلامي ، فقد فرض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بصفتهم مجتمعة ودولة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يتخذوا الوسائل ويتهجوا الأساليب في إطار الأحكام الإسلامية العامة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فرض عليهم تحديد الموضوع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كان أو </w:t>
      </w:r>
      <w:bookmarkStart w:id="175" w:name="pg803_9447"/>
    </w:p>
    <w:p>
      <w:pPr>
        <w:pStyle w:val="BookText"/>
        <w:rPr/>
      </w:pPr>
      <w:bookmarkEnd w:id="175"/>
      <w:r>
        <w:rPr>
          <w:rFonts w:ascii="Amiri" w:hAnsi="Amiri" w:eastAsia="Amiri" w:cs="Amiri"/>
          <w:color w:val="111111"/>
          <w:sz w:val="28"/>
          <w:sz w:val="28"/>
          <w:szCs w:val="28"/>
          <w:rtl w:val="true"/>
          <w:lang w:bidi="ar-SA"/>
        </w:rPr>
        <w:t xml:space="preserve">أسلوبا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حكمه الشرعي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ما حدد الموضوع والتمس حكمه المسوغ لاتخاذه أو اتباعه ، عد وسيلة إسلامية أو أسلوبا 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ذلك بالبداهة والعكس بالعكس من طبيعة التشريع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هدیه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يلاحظ دائمأ في وضع تشكيلات الحكومة متطلبات الظروف والملابسات المحيطة بالدولة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وحكومة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ما يحقق لها المصلحة العامة ، وفي إطار الأحكام الإسلامية العامة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6585987_211673320"/>
      <w:bookmarkStart w:id="177" w:name="_Toc60"/>
      <w:bookmarkEnd w:id="176"/>
      <w:r>
        <w:rPr>
          <w:rtl w:val="true"/>
        </w:rPr>
        <w:t xml:space="preserve">مستثنیات </w:t>
      </w:r>
      <w:r>
        <w:rPr>
          <w:rtl w:val="true"/>
        </w:rPr>
        <w:t>:</w:t>
      </w:r>
      <w:bookmarkEnd w:id="177"/>
    </w:p>
    <w:p>
      <w:pPr>
        <w:pStyle w:val="BookText"/>
        <w:rPr/>
      </w:pP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استشي التشريع الإسلامي بعض الوسائل والأساليب فحددها بصورة 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المسؤول العام للدولة من قبل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لمسناه في موضوع رئيس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أعطى التشريع الإسلامي كلمته فيه ، وأناط به المسؤولية الكبرى في مجال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الدولة بدستور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تعيين الحكام بتوفر شروط معينة فيهم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الكفاة والعدالة ، </w:t>
      </w:r>
      <w:r>
        <w:rPr>
          <w:rStyle w:val="FootnoteAnchor"/>
          <w:rtl w:val="true"/>
        </w:rPr>
        <w:footnoteReference w:id="88"/>
      </w:r>
      <w:r>
        <w:rPr>
          <w:rFonts w:ascii="Amiri" w:hAnsi="Amiri" w:eastAsia="Amiri" w:cs="Amiri"/>
          <w:color w:val="111111"/>
          <w:sz w:val="28"/>
          <w:sz w:val="28"/>
          <w:szCs w:val="28"/>
          <w:rtl w:val="true"/>
          <w:lang w:bidi="ar-SA"/>
        </w:rPr>
        <w:t xml:space="preserve">وغيرهما من إمكانيات الحكم وضماناته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طبيعة الاحتياط فيا يجعل التشكيلات الحكومية تحقق </w:t>
      </w:r>
    </w:p>
    <w:p>
      <w:pPr>
        <w:pStyle w:val="BookText"/>
        <w:rPr/>
      </w:pPr>
      <w:r>
        <w:rPr>
          <w:rFonts w:ascii="Amiri" w:hAnsi="Amiri" w:eastAsia="Amiri" w:cs="Amiri"/>
          <w:color w:val="111111"/>
          <w:sz w:val="28"/>
          <w:sz w:val="28"/>
          <w:szCs w:val="28"/>
          <w:rtl w:val="true"/>
          <w:lang w:bidi="ar-SA"/>
        </w:rPr>
        <w:t xml:space="preserve">للأمة والحكومة مصلحتها العامة تفرض ذلك فرضأ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نستطيع أن ندرك مدى اهتمام التشريع الإسلامي للمسألة ، حيث حسب للتطور كل الحساب ، وأخذه بنظر الاعتبار التام ، فلم يضع التفاصيل لئلا تصطدم بالتطور ، ولم يهمل وضع التعاميم احتیاطأ عن انحراف القضية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السلطات الثلاث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ضوء ما انتهينا اليه من اعتبار الفقيه الأعلم حاكما عامأ للمسلمين ، ورئيسة أكبر للدولة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التشكيلات الحكومية تعود الى طبيعة متطلبات الظروف ومقتضيات الأحوال المحيطة بالأمة والحكومة والملابسة لهما يكون توزيع السلطات الثلاث ، بالشكل الذي يعطي المخطط العام للحكومة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التشريعية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تعود إلى الفقهاء العدول ، تحت إشراف الفقيه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الدولة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فتشكل اللجان والهيئات التشريعية منهم وباشرافه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ووظيفتها تتلخص بما يأتي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الأحكام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شرعت بنص خاص من الكتاب والسنة أو </w:t>
      </w:r>
    </w:p>
    <w:p>
      <w:pPr>
        <w:pStyle w:val="BookText"/>
        <w:rPr/>
      </w:pPr>
      <w:r>
        <w:rPr>
          <w:rFonts w:ascii="Amiri" w:hAnsi="Amiri" w:eastAsia="Amiri" w:cs="Amiri"/>
          <w:color w:val="111111"/>
          <w:sz w:val="28"/>
          <w:sz w:val="28"/>
          <w:szCs w:val="28"/>
          <w:rtl w:val="true"/>
          <w:lang w:bidi="ar-SA"/>
        </w:rPr>
        <w:t xml:space="preserve">ثبتت بالضرورة من الدين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الزكاة والخمس وتعيين مصارفها ، وإعداد القوة قدر المستطاع لارهاب عدو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أن نصطلح عليها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التعاليم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الأحكام التي لم تشرع بنص خاص ، وإنما أوكل أمر استنباطها إلى اجتهاد الفقهاء داخل إطار الأحكام الإسلامية العامة ، نظرا لتطورها ، تبعا لتغير الظروف والأحوال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التدريب العسكري في هذا العصر، نظرا لتطور وسائله وأساليبه إلى ما يفرض ذلك من باب المقدمة للدفاع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مقدار ضريبة الخراج والجزية وما شاكل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أن نصطلح عليها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التنفيذية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تعود الى الأمناء من أبناء الأمة ، ممن تتوفر فيهم إمكانيات القيام مسؤولية التنفيذ وضماناته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ويرجع أمر تعيينهم الى رئيس الدولة ، واللجان التي أعدها وشكلها لذلك ، ممن تتوفر فيهم الخبرة الكافية للقيام بمثل هذا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ووظيفتها تلخص بما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بتطبيق الدستور والأنظمة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لجان وهيئات علمية ، تختار أفرادها من مختلف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انتظار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الاختصاصيين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سياسيين واقتصاديين وعسكريين وتربويين واجتماعيين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تتوفر فيهم الضمانات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توكل اليهم مهمة القيام بدراسة مجالات التطبيق ، ومعرفتها معرفة كاملة بشتی ظروفها وملابساتها وأحوالها وجميع علاقاتها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وبتقديم نتائج الدراسة الى السلطة التشريعية ، لتقوم هي بدورها بتزويد السلطة التنفيذية بالأحكام الخاصة لهذه الموضوعات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علاقات سياسية مع دولة أخرى ، أو عقد اتفاقية تجارية ، أو فتح مشاريع زراعية وصناعية وثقافية وصحية واجتماعية وما شاكلها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لتقوم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السلطة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أخذ أحكامها من السلطة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بدورها في تطبيقها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القضائية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وتعود الى الفقهاء أيضأ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أمر تعيينهم إلى رئاسة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ووظيفتها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القضاء بين المواطنين ، وحل الخصومات ، سواء كانت قائمة في نطاق ما يسمى اليوم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في غيره من نطاقات الحياة المختلفة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الإسلام لا يحتوي نوعين من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مدنية وشرعية ، وما كل القضايا من وجهة نظره ، سواء كانت من نوع ما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bookmarkStart w:id="178" w:name="pg803_9451"/>
    </w:p>
    <w:p>
      <w:pPr>
        <w:pStyle w:val="BookText"/>
        <w:rPr/>
      </w:pPr>
      <w:bookmarkEnd w:id="1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بالقضايا المدنية أو القضايا الشرعية ، يعود أمر حلها إلى القانون الإسلامي ووفق أحكامه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القوانين المدنية من وجهة نظر الإسلام لا تعتبر قوانین للتطبيق ، ولا يسوغ بحال من الأحوال الأخذ بها </w:t>
      </w:r>
      <w:r>
        <w:rPr>
          <w:rFonts w:eastAsia="IRNazanin" w:cs="IRNazanin"/>
          <w:color w:val="111111"/>
          <w:sz w:val="28"/>
          <w:szCs w:val="28"/>
          <w:rtl w:val="true"/>
          <w:lang w:bidi="fa-IR"/>
        </w:rPr>
        <w:t>.</w:t>
      </w:r>
    </w:p>
    <w:p>
      <w:pPr>
        <w:pStyle w:val="Heading3"/>
        <w:numPr>
          <w:ilvl w:val="2"/>
          <w:numId w:val="1"/>
        </w:numPr>
        <w:rPr/>
      </w:pPr>
      <w:bookmarkStart w:id="179" w:name="__RefHeading___Toc6585989_211673320"/>
      <w:bookmarkStart w:id="180" w:name="_Toc61"/>
      <w:bookmarkEnd w:id="179"/>
      <w:r>
        <w:rPr>
          <w:rtl w:val="true"/>
        </w:rPr>
        <w:t xml:space="preserve">شكل الحكومة </w:t>
      </w:r>
      <w:r>
        <w:rPr>
          <w:rtl w:val="true"/>
        </w:rPr>
        <w:t>:</w:t>
      </w:r>
      <w:bookmarkEnd w:id="180"/>
    </w:p>
    <w:p>
      <w:pPr>
        <w:pStyle w:val="BookText"/>
        <w:rPr/>
      </w:pPr>
      <w:r>
        <w:rPr>
          <w:rFonts w:ascii="Amiri" w:hAnsi="Amiri" w:eastAsia="Amiri" w:cs="Amiri"/>
          <w:color w:val="111111"/>
          <w:sz w:val="28"/>
          <w:sz w:val="28"/>
          <w:szCs w:val="28"/>
          <w:rtl w:val="true"/>
          <w:lang w:bidi="ar-SA"/>
        </w:rPr>
        <w:t xml:space="preserve">ونستطيع بعده أن نخلص إلى أن شكل الحكومة الإسلامية زمن الغيبة هو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دستورية ، يرأسها الفقيه الأعلم العادل ، وتدار من قبل أجهزة كافية من الاختصاصيين العدول ، وباشراف الرئاسة العادلة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585991_211673320"/>
      <w:bookmarkStart w:id="182" w:name="_Toc62"/>
      <w:bookmarkEnd w:id="181"/>
      <w:r>
        <w:rPr>
          <w:rtl w:val="true"/>
        </w:rPr>
        <w:t xml:space="preserve">مبدأ الحق الإلهي </w:t>
      </w:r>
      <w:r>
        <w:rPr>
          <w:rtl w:val="true"/>
        </w:rPr>
        <w:t>:</w:t>
      </w:r>
      <w:bookmarkEnd w:id="182"/>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أشير الى مفارقة وقع فيها بعض الكتاب حول الموضوع ، وهي اعتبارهم أمثال هذا الحكم من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المفارقة هو عدم التفرقة بين الحق الإلهي ، الفكرة المعروفة في التاريخ ، والتي تمثلت في حكم الفراعنة مصر القديمة ، وفي حكم الملوك في القرنين السابع عشر والثامن عشر في أوربا ، وخاصة في فرنسا</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الحق الإلهي الذي يتبناه التشريع الإسلامي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 الأولى تؤمن بالحق الإلهي تكوينا </w:t>
      </w:r>
      <w:r>
        <w:rPr>
          <w:rFonts w:eastAsia="Amiri" w:cs="Amiri" w:ascii="Amiri" w:hAnsi="Amiri"/>
          <w:color w:val="111111"/>
          <w:sz w:val="28"/>
          <w:szCs w:val="28"/>
          <w:rtl w:val="true"/>
          <w:lang w:bidi="ar-SA"/>
        </w:rPr>
        <w:t xml:space="preserve">.. </w:t>
      </w:r>
      <w:bookmarkStart w:id="183" w:name="pg803_9452"/>
    </w:p>
    <w:p>
      <w:pPr>
        <w:pStyle w:val="BookText"/>
        <w:rPr/>
      </w:pPr>
      <w:bookmarkEnd w:id="183"/>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إن لم يكن إلهأ كالفراعنة يتصرف بمربوبيه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سلطه على الناس بالشكل الذي لا يسوغ لهم بحال من الأحوالمحاسبته أو معارضته ، لأن تسلطه شيء لا بد وأن يقع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ولعلنا ندرك ذلك أيضأ من تسميته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الإسلام يؤمن بالحق الإلهي تشريعأ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مشرعة للدستور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الحاكم نبيا أو إمامة أو غيرهما ممن تتوفر فيه شروط الحاكم المسلم حق الحكم بين الناس قانونية و التحكم بين الناس بما أراك الل</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فرض التشريع الإسلامي على الأمة مراقبة الحاكم المراقبة التامة ، ومحاسبته المحاسبة الشديدة ، وعزله حين المخالفة والإصرار عليها ، يفهم بذلك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الإسلامي مملوء بوفرة من شواهد محاسبة الأمة للحكام المسلمين </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184" w:name="__RefHeading___Toc6585993_211673320"/>
      <w:bookmarkStart w:id="185" w:name="_Toc63"/>
      <w:bookmarkEnd w:id="184"/>
      <w:r>
        <w:rPr>
          <w:rtl w:val="true"/>
        </w:rPr>
        <w:t xml:space="preserve">دور الأمة في المراقبة </w:t>
      </w:r>
      <w:r>
        <w:rPr>
          <w:rtl w:val="true"/>
        </w:rPr>
        <w:t>:</w:t>
      </w:r>
      <w:bookmarkEnd w:id="185"/>
    </w:p>
    <w:p>
      <w:pPr>
        <w:pStyle w:val="BookText"/>
        <w:rPr/>
      </w:pPr>
      <w:r>
        <w:rPr>
          <w:rFonts w:ascii="Amiri" w:hAnsi="Amiri" w:eastAsia="Amiri" w:cs="Amiri"/>
          <w:color w:val="111111"/>
          <w:sz w:val="28"/>
          <w:sz w:val="28"/>
          <w:szCs w:val="28"/>
          <w:rtl w:val="true"/>
          <w:lang w:bidi="ar-SA"/>
        </w:rPr>
        <w:t xml:space="preserve">أما دور الأمة في مراقبة الحكومة ومحاسبتها وعزلها ، فنستطيع أن نوجزه بما يأتي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الجهاز الحاكم في مجالات التشريع والتنفيذ والقضاء ، الملاحظة المستوعبة والدقيقة ، فمحاسبته </w:t>
      </w:r>
    </w:p>
    <w:p>
      <w:pPr>
        <w:pStyle w:val="BookText"/>
        <w:rPr/>
      </w:pPr>
      <w:r>
        <w:rPr>
          <w:rFonts w:ascii="Amiri" w:hAnsi="Amiri" w:eastAsia="Amiri" w:cs="Amiri"/>
          <w:color w:val="111111"/>
          <w:sz w:val="28"/>
          <w:sz w:val="28"/>
          <w:szCs w:val="28"/>
          <w:rtl w:val="true"/>
          <w:lang w:bidi="ar-SA"/>
        </w:rPr>
        <w:t xml:space="preserve">عند وقوع أي خطأ تشريعيأ كان أو تنفيذية أو قضائيأ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w:t>
      </w:r>
      <w:r>
        <w:rPr>
          <w:rFonts w:eastAsia="Amiri" w:cs="Amiri" w:ascii="Amiri" w:hAnsi="Amiri"/>
          <w:color w:val="111111"/>
          <w:sz w:val="28"/>
          <w:szCs w:val="28"/>
          <w:rtl w:val="true"/>
          <w:lang w:bidi="ar-SA"/>
        </w:rPr>
        <w:t>»</w:t>
      </w:r>
      <w:r>
        <w:rPr>
          <w:rStyle w:val="FootnoteAnchor"/>
        </w:rPr>
        <w:footnoteReference w:id="93"/>
      </w:r>
      <w:r>
        <w:rPr>
          <w:rFonts w:eastAsia="Times New Roman" w:cs="Times New Roman" w:ascii="Times New Roman" w:hAnsi="Times New Roman"/>
          <w:color w:val="111111"/>
          <w:sz w:val="28"/>
          <w:szCs w:val="28"/>
          <w:lang w:val="en-US" w:bidi="en-US"/>
        </w:rPr>
        <w:t>0</w:t>
      </w:r>
    </w:p>
    <w:p>
      <w:pPr>
        <w:pStyle w:val="BookText"/>
        <w:rPr/>
      </w:pPr>
      <w:r>
        <w:rPr>
          <w:rFonts w:ascii="Amiri" w:hAnsi="Amiri" w:eastAsia="Amiri" w:cs="Amiri"/>
          <w:color w:val="111111"/>
          <w:sz w:val="28"/>
          <w:sz w:val="28"/>
          <w:szCs w:val="28"/>
          <w:rtl w:val="true"/>
          <w:lang w:bidi="ar-SA"/>
        </w:rPr>
        <w:t xml:space="preserve">والأسلوب الذي تتبعه الأمة في المحاسبة والعزل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تتبع الأساليب اللاعنفية ، ومعالجة القضية بالطرق السلمية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الجدوى تتبع الأساليب العنفية ، وتعالج القضية بالطرق الثورية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ويراعى في اتباع الطرق الثورية الاحتياط التام في وقوع الضرر الأقل ، ومقدار ما تقتضيه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في مجالها الواسع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لأفي بما وعدته من التطرق عابرة الى الدولة في مجالها الواسع ،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والتي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 والتي يريدون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والحكومة ، والتي يقصدون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فالأرض أو الوطن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بقعة من الأرض كانت خاضعة سياسية إلى حكم إسلامي ، سواء بقيت بأيدي المسلمين ، أو سلبت منهم كفلسطين واسبانيا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قيامها في أي بقعة من الأرض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استرجاع ذلك الوطن الإسلامي ،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بأيدي المسلمين ، والمسلوب منهم ، وإخضاعه للنفوذ السياسي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بالأمة أو المواطنين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توفرت فيه شروط المواطنة،وفق تعليات التشريع الإسلامي في المجال السياسي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الحكومة أو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الحديث عنها</w:t>
      </w:r>
      <w:r>
        <w:rPr>
          <w:rFonts w:eastAsia="Amiri" w:cs="Amiri" w:ascii="Amiri" w:hAnsi="Amiri"/>
          <w:color w:val="111111"/>
          <w:sz w:val="28"/>
          <w:szCs w:val="28"/>
          <w:rtl w:val="true"/>
          <w:lang w:bidi="ar-SA"/>
        </w:rPr>
        <w:t xml:space="preserve">. </w:t>
      </w:r>
      <w:bookmarkStart w:id="186" w:name="pg803_9455"/>
    </w:p>
    <w:p>
      <w:pPr>
        <w:pStyle w:val="Heading2"/>
        <w:numPr>
          <w:ilvl w:val="1"/>
          <w:numId w:val="1"/>
        </w:numPr>
        <w:rPr/>
      </w:pPr>
      <w:bookmarkStart w:id="187" w:name="__RefHeading___Toc6585995_211673320"/>
      <w:bookmarkStart w:id="188" w:name="_Toc64"/>
      <w:bookmarkEnd w:id="186"/>
      <w:bookmarkEnd w:id="187"/>
      <w:r>
        <w:rPr>
          <w:rtl w:val="true"/>
        </w:rPr>
        <w:t>الدعوة الى الدولة</w:t>
      </w:r>
      <w:bookmarkEnd w:id="188"/>
    </w:p>
    <w:p>
      <w:pPr>
        <w:pStyle w:val="Heading3"/>
        <w:numPr>
          <w:ilvl w:val="2"/>
          <w:numId w:val="1"/>
        </w:numPr>
        <w:rPr/>
      </w:pPr>
      <w:bookmarkStart w:id="189" w:name="__RefHeading___Toc6585997_211673320"/>
      <w:bookmarkStart w:id="190" w:name="_Toc65"/>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من واجب حقوق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بمبلغ جهدهم ، والتعاون على إقامة الحق بينهم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803_9457"/>
      <w:bookmarkStart w:id="192" w:name="pg803_9457"/>
      <w:bookmarkEnd w:id="192"/>
    </w:p>
    <w:p>
      <w:pPr>
        <w:pStyle w:val="Heading3"/>
        <w:numPr>
          <w:ilvl w:val="2"/>
          <w:numId w:val="1"/>
        </w:numPr>
        <w:rPr/>
      </w:pPr>
      <w:bookmarkStart w:id="193" w:name="pg803_9457"/>
      <w:bookmarkStart w:id="194" w:name="__RefHeading___Toc6585999_211673320"/>
      <w:bookmarkStart w:id="195" w:name="_Toc66"/>
      <w:bookmarkEnd w:id="193"/>
      <w:bookmarkEnd w:id="194"/>
      <w:r>
        <w:rPr>
          <w:rtl w:val="true"/>
        </w:rPr>
        <w:t xml:space="preserve">وجوب الدعوة </w:t>
      </w:r>
      <w:r>
        <w:rPr>
          <w:rtl w:val="true"/>
        </w:rPr>
        <w:t>:</w:t>
      </w:r>
      <w:bookmarkEnd w:id="195"/>
    </w:p>
    <w:p>
      <w:pPr>
        <w:pStyle w:val="BookText"/>
        <w:rPr/>
      </w:pPr>
      <w:r>
        <w:rPr>
          <w:rFonts w:ascii="Amiri" w:hAnsi="Amiri" w:eastAsia="Amiri" w:cs="Amiri"/>
          <w:color w:val="111111"/>
          <w:sz w:val="28"/>
          <w:sz w:val="28"/>
          <w:szCs w:val="28"/>
          <w:rtl w:val="true"/>
          <w:lang w:bidi="ar-SA"/>
        </w:rPr>
        <w:t xml:space="preserve">إن وجوب الدعوة إلى إقامة دولة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من الوضوح بالموضع الذي لا يحتاج إلى مزيد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عدنا نقرأ مرة ثانية ما سبق من الحديث عن ذلك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ألفيتنا غير مفتقرين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منهجية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العودة إلى استعراض المسألة مرة أخرى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6586001_211673320"/>
      <w:bookmarkStart w:id="197" w:name="_Toc67"/>
      <w:bookmarkEnd w:id="196"/>
      <w:r>
        <w:rPr>
          <w:rtl w:val="true"/>
        </w:rPr>
        <w:t xml:space="preserve">أسلوب الدعوة </w:t>
      </w:r>
      <w:r>
        <w:rPr>
          <w:rtl w:val="true"/>
        </w:rPr>
        <w:t>:</w:t>
      </w:r>
      <w:bookmarkEnd w:id="197"/>
    </w:p>
    <w:p>
      <w:pPr>
        <w:pStyle w:val="BookText"/>
        <w:rPr/>
      </w:pPr>
      <w:r>
        <w:rPr>
          <w:rFonts w:ascii="Amiri" w:hAnsi="Amiri" w:eastAsia="Amiri" w:cs="Amiri"/>
          <w:color w:val="111111"/>
          <w:sz w:val="28"/>
          <w:sz w:val="28"/>
          <w:szCs w:val="28"/>
          <w:rtl w:val="true"/>
          <w:lang w:bidi="ar-SA"/>
        </w:rPr>
        <w:t xml:space="preserve">أما أسلوب الدعوة أو أسلوب العمل من أجل إقامة دولة إسلامية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شأن أي أسلوب آخر يهدف من ورائه الى إقامة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نوعين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ويعنى بها الثورة المسلحة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القوة في القضاء على الحكم الكافر في الوطن الإسلامي واستبداله بالحكم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بتوفر شروطها وتهيؤ أجوائها ومجالاتها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التدرج</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ويعنی به اتباع الطرق السلمية ،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بتوعية الأمة سياسية ، وتثقيفها فردية وجماعية ، خاصة وعامة، فنقوم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المدارس في مختلف مراحلها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والابتدائية والثانوية والعالية ، وللجنسين ، شريطة أن تكون مناهجها وكتبها إسلامية خالصة ، تستمد من حضارتنا الأصيلة النقية ، هادفين منها إلى تغذية أبنائنا بالثقافة الإسلامية البناءة التي تحول من المسلم حركية فعالة في طريق تكوين المجتمع الإسلامي ، وأن يكون القائمون على الإدارة والتربية فيها مسلمين مبدئيين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باصدار المجلات والصحف بمختلف ألوانها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يومية وأسبوعية وشهرية وفصلية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شعبية وخاصة ، شريطة أن تمون بالفکر الإسلامي الخلاق الهادف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الكتب مفردة ومتسلسلة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شعبية وخاصة ، ناشدين من ورائها تعميم الثقافة الإسلامية المبدعة الهادفة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بايجاد المكتبات بأقسامها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المتجولة والثابتة ، والريفية والمدنية ، مزودة بجميع ما تتطلبه مستوياتها ومجالاتها من الكتب والمؤلفات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بتأسيس النوادي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ثقافية ورياضية ، شريطة أن تكون جادة ، وفي صدد غرس الروح الإسلامية وتنميتها وإثارها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بتكوين الجمعيات للخدمات الاجتماعية على ضوء ما يأمر به الإسلام من أعمال البر والإحسان والتكافل ، وما شاكلها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التكتل السياسي ، شريطة أن تتبع الأساليب في إطار الأحكام الإسلامية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يماثلها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أن تستيقظ الأمة ، وتدرك بسبب مفعول التثقيف أن مسؤوليتها أمام الله تعالى في أن تطبق الإسلام، وأن سعادتها في تطبيقه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لا يتأتى إلا عن طريق إقامة الدولة الإسلامية، تحقق ذلك وبيسر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أود أن أقف قليلا عند شبهة ، كثيرا ما تثار حول العمل عن طريق التكتل السياسي ، محاولا كشف المفارقة فيها، بغية إزالتها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تتلخص في أن الإسلام لا يقر العمل الحزبي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والتكتل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عن كونه عملا حزبية ، سواء كان علنية أو سرية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التخدير الاستعماري الذي لعب دوره الفعال في تعميق فكرة فصل الدين عن السياسة بأذهان أبناء أمتنا الإسلامية ، حتى عاد كل ما يتصل بالسياسة ليس من الإسلام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أننا متى حاولنا فهم معنى الحزب ، وما تعنيه الكلمة في لغة القانون والسياسة تتبين المفارقة فتزول الشبهة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مفهوم حزب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المنظمة السياسية التي تعمل وفق أيديولوجية معينه ، هادفة إلى تسلم السلطة، فتحقيق غاياتها المتوخاة عن وسيلنها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المفهوم للحزب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الحزب ما هو إلا وسيلة أو أسلوب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أن أوضحت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الوسائل والأساليب موضوعات وليست بأحكام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أحكامها باختلاف ظروفها وأحوالها ، وتتبدل بتغيرها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يكون الحزب في ظرف معين أو حال معين محكومة بالحرمة، کا لوكان الحكم الإسلامي قائيأ وعادلا ، كما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يكون الحزب في ظرف معين آخر وحال معين كذلك محكومة بالوجوب ، كما لو كان مقدمة لواجب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وإرشاد الجاهل ، وإقامة الحكم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كانت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Style w:val="FootnoteAnchor"/>
          <w:rtl w:val="true"/>
        </w:rPr>
        <w:footnoteReference w:id="98"/>
      </w:r>
      <w:r>
        <w:rPr>
          <w:rFonts w:ascii="Amiri" w:hAnsi="Amiri" w:eastAsia="Amiri" w:cs="Amiri"/>
          <w:color w:val="111111"/>
          <w:sz w:val="28"/>
          <w:sz w:val="28"/>
          <w:szCs w:val="28"/>
          <w:rtl w:val="true"/>
          <w:lang w:bidi="ar-SA"/>
        </w:rPr>
        <w:t xml:space="preserve">ترشد الى ذلك ، حيث تعطي أن حزب الله تعالى وهم الجماعة المناصرة الله في الغالبة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تتأتى إلا نتيجة صراع ، والصراع كما يكون حول قضايا نظرية ، وأخرى عملية ، من نوع غیر سیاسي ، يكون حول أمثالها من نوع سياسي ، ومنها قضية الحكم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قام على أساس من أيديولوجية إسلامية إلا تلك الجماعة التي تشير اليها الآية الكريمة </w:t>
      </w:r>
      <w:r>
        <w:rPr>
          <w:rFonts w:eastAsia="Amiri" w:cs="Amiri" w:ascii="Amiri" w:hAnsi="Amiri"/>
          <w:color w:val="111111"/>
          <w:sz w:val="28"/>
          <w:szCs w:val="28"/>
          <w:rtl w:val="true"/>
          <w:lang w:bidi="ar-SA"/>
        </w:rPr>
        <w:t xml:space="preserve">. </w:t>
      </w:r>
      <w:bookmarkStart w:id="198" w:name="pg803_9461"/>
    </w:p>
    <w:p>
      <w:pPr>
        <w:pStyle w:val="BookText"/>
        <w:rPr/>
      </w:pPr>
      <w:bookmarkEnd w:id="198"/>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مسألة الحزب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مسألة موضوع يرتبط بما ينهي نهاد المفتي من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كان أو وجوبا أو غيرها ، منی مناه لديه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وليست هي مسألة تهويلات المضللين من أتباع الأحزاب الكافرة ، وأذناب المستعمر الكافر ، ومن سار في ركابها شاعرة أو مخدوعة </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6586003_211673320"/>
      <w:bookmarkStart w:id="200" w:name="_Toc68"/>
      <w:bookmarkEnd w:id="199"/>
      <w:r>
        <w:rPr>
          <w:rtl w:val="true"/>
        </w:rPr>
        <w:t xml:space="preserve">تقييد الدعوة </w:t>
      </w:r>
      <w:r>
        <w:rPr>
          <w:rtl w:val="true"/>
        </w:rPr>
        <w:t>:</w:t>
      </w:r>
      <w:bookmarkEnd w:id="200"/>
    </w:p>
    <w:p>
      <w:pPr>
        <w:pStyle w:val="BookText"/>
        <w:rPr/>
      </w:pPr>
      <w:r>
        <w:rPr>
          <w:rFonts w:ascii="Amiri" w:hAnsi="Amiri" w:eastAsia="Amiri" w:cs="Amiri"/>
          <w:color w:val="111111"/>
          <w:sz w:val="28"/>
          <w:sz w:val="28"/>
          <w:szCs w:val="28"/>
          <w:rtl w:val="true"/>
          <w:lang w:bidi="ar-SA"/>
        </w:rPr>
        <w:t>ويقيد جماعة من فقهائنا الدعوة إلى إقامة حكم إسلامي بالأمن من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وفق هذا الرأي يلزمناعادة بتحديد موضوع هذا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أمثال هذا التقييد لا يتأتى مع اتباع أسلوب الثورة ، وذلك لتوفر القوة الكافية التي تبعد وقوع الخطر الذي يشير اليه القيد ، والذي لا ينهي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تحقيق واجب آخر أهم من التضحية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لا يتأتى هذا التقييد مع اتباع أسلوب التدرج ، لا في مراحله الأولى ، لأن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بطبيعة أيديولوجيته التنظيمية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يهدف الى صراع سياسي ولا يقوم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مراحله النهائية ، لأن العمل يبلغ فيها استکاله القوة الكافية اجتماعية وسياسية ، الى التوصل إلى تحقيق الواجب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يتأتي هذا التقييد في اتباع أسلوب الثورة قبل استجاع القوة الكافية ، وفي اتباع أسلوب التدرج حينها يقوم العمل بالمراع السياسي في المراحل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التضحية كوسيلة نهائية حاسمة في الاحتجاج أمام الكفر والانحراف</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أننا إذا لاحظنا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واجب الأمر بالمعروف والنهي عن المنكر ، ينقسم باعتبار ظروفه الى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وجود حكم إسلامي 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وجود حكم كافر ، أو حكم إسلامي منحرف لا يقضى عليه إلا بالتضحية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هناك من فقهائنا الأعلام من يذهب إلى أن خوف الضرر الذي هو أحد شروط الأمر بالمعروف والنهي عن المنكر ، يقتصر اشتراطه على الأمر بالمعروف والنهي عن المنكر من نوع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الأمر بالمعروف والنهي عن المنكر من نوع القسم الثاني ، فيسقط هذا الشرط ، وتلزم التضحية بالنفس والمال للاطاحة بالحكم الكافر ، أو المنحرف ، وإقامة الحكم الإسلامي</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رسالتكم العملية في باب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يلزم من الأمر بالمعروف والنهي عن المنكر ضرر في النفس أو في العرض أو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رأينا جملة من المؤمنين الصالحين العاملين قد أمروا معروف ونهوا عن منكر ، وقد لاقوا ما لاقوه من قوى الشر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عملهم هذا غير صحيح؟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شروط الأمر بالمعروف والنهي عن المنكر التي ذكرناها وذكرها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شرائط للنهي عن المنكرات المتعارفة ، كترك الصلاة وشرب الخمر وأكل أموال الناس أو أعراضهم ، ونحو ذلك ، مما لا يمس أساس الدين وبيضة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المنكرات التي يخشى من وقوعها على أساس الدين ، فيجب مكافحتها والتضحية في سبيل المحافظة على أصل الدين وأساسه بكل غال و رخيص ، و بالنفس والنفيس ، کما وجب الجهاد في كثير من الأعمار والأمصار ، حفظ البيضة الاسلام وكيان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قام به هؤلاء المؤمنون الصالحون من تضحيات ، وما لاقوه من قوى الشر والضلال ، من هذا النوع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الأضواء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شريطة أن تؤثر</w:t>
      </w:r>
      <w:bookmarkStart w:id="201" w:name="pg803_9463"/>
    </w:p>
    <w:p>
      <w:pPr>
        <w:pStyle w:val="BookText"/>
        <w:rPr/>
      </w:pPr>
      <w:bookmarkEnd w:id="201"/>
      <w:r>
        <w:rPr>
          <w:rFonts w:ascii="Amiri" w:hAnsi="Amiri" w:eastAsia="Amiri" w:cs="Amiri"/>
          <w:color w:val="111111"/>
          <w:sz w:val="28"/>
          <w:sz w:val="28"/>
          <w:szCs w:val="28"/>
          <w:rtl w:val="true"/>
          <w:lang w:bidi="ar-SA"/>
        </w:rPr>
        <w:t xml:space="preserve">التضحية ، ولو تأثيرة ضئيلا إذا كان مما يعند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لاحظنا ذلك يضيق مجال ذلكم التقييد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 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يشترط الأمن من الخطر من الفقهاء ، لا يلزم به من يقطع بأن أمثال هذه التضحيات تنهي إلى تحقيق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الى هذا ، بعد أن أثبت تاريخ الشهداء ، وتاريخ مختلف الأحزاب السياسية ، أن التضحيات في سبيل الاطاحة بحكم وإقامة حكم آخر على أنقاضه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6586005_211673320"/>
      <w:bookmarkStart w:id="203" w:name="_Toc69"/>
      <w:bookmarkEnd w:id="202"/>
      <w:r>
        <w:rPr>
          <w:rtl w:val="true"/>
        </w:rPr>
        <w:t xml:space="preserve">شبهة أخرى </w:t>
      </w:r>
      <w:r>
        <w:rPr>
          <w:rtl w:val="true"/>
        </w:rPr>
        <w:t>:</w:t>
      </w:r>
      <w:bookmarkEnd w:id="203"/>
    </w:p>
    <w:p>
      <w:pPr>
        <w:pStyle w:val="BookText"/>
        <w:rPr/>
      </w:pPr>
      <w:r>
        <w:rPr>
          <w:rFonts w:ascii="Amiri" w:hAnsi="Amiri" w:eastAsia="Amiri" w:cs="Amiri"/>
          <w:color w:val="111111"/>
          <w:sz w:val="28"/>
          <w:sz w:val="28"/>
          <w:szCs w:val="28"/>
          <w:rtl w:val="true"/>
          <w:lang w:bidi="ar-SA"/>
        </w:rPr>
        <w:t xml:space="preserve">وهي شبهة تقتضيني منهجة البحث أن أقف عندها ولو قليلا ، كشف موضع المفارقة فيها ، محاولا رفع الالتباس ، لأنها تدور حول سقوط الدعوة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يبدو للبعض أن قضية الدعوة إلى إقامة دولة إسلامية ، تدور بين أمرين كل منهما مسقط لوجوب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أن تكون البشرية الآن ، على استعداد تام لتقبل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تكون على استعداد تام لتقبل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البشرية الآن على استعداد تام لتقبل الإسلام ، فلا بد حينئذ من ظهور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مثل هذا الظرف بما فيه من استعداد تام يحتم عليه الظهور ، وعند ظهوره فأمر الدعوة يعود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البشرية ليست على استعداد تام لتقبل الإسلام ، فسيكون نصيب الدعوة إلى إقامة دولة إسلامية عدم النجاح ، فلا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والمفارقة في هذا الرأي تكمن في أنه ينطوي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خلط بين الدولة التي أنيطت مسؤولية إيجادها بالإمام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الدولة التي ألقيت مسؤولية العمل من أجل قيامها على عاتق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دولة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من أبرز</w:t>
      </w:r>
    </w:p>
    <w:p>
      <w:pPr>
        <w:pStyle w:val="BookText"/>
        <w:rPr/>
      </w:pPr>
      <w:r>
        <w:rPr>
          <w:rFonts w:ascii="Amiri" w:hAnsi="Amiri" w:eastAsia="Amiri" w:cs="Amiri"/>
          <w:color w:val="111111"/>
          <w:sz w:val="28"/>
          <w:sz w:val="28"/>
          <w:szCs w:val="28"/>
          <w:rtl w:val="true"/>
          <w:lang w:bidi="ar-SA"/>
        </w:rPr>
        <w:t xml:space="preserve">خصائصها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لا يشترط فيها أن تكون عالمية حيث لم يدل على ذلك</w:t>
      </w:r>
    </w:p>
    <w:p>
      <w:pPr>
        <w:pStyle w:val="BookText"/>
        <w:rPr/>
      </w:pPr>
      <w:r>
        <w:rPr>
          <w:rFonts w:ascii="Amiri" w:hAnsi="Amiri" w:eastAsia="Amiri" w:cs="Amiri"/>
          <w:color w:val="111111"/>
          <w:sz w:val="28"/>
          <w:sz w:val="28"/>
          <w:szCs w:val="28"/>
          <w:rtl w:val="true"/>
          <w:lang w:bidi="ar-SA"/>
        </w:rPr>
        <w:t xml:space="preserve">دليل من النصوص الشرعية ، ولا من العقل مع عدم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متي التفتنا الى موضع المفارقة في هذا الرأي ، وهو ذلكم الخلط بين دولة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أوليات شروطها انها 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وبينالدولة التي يجب على المسلمين العمل من أجل إقامتها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التفتنا إلى موضع المفارقة سهل علينا معرفة موقع </w:t>
      </w:r>
      <w:bookmarkStart w:id="204" w:name="pg803_9465"/>
    </w:p>
    <w:p>
      <w:pPr>
        <w:pStyle w:val="BookText"/>
        <w:rPr/>
      </w:pPr>
      <w:bookmarkEnd w:id="204"/>
      <w:r>
        <w:rPr>
          <w:rFonts w:ascii="Amiri" w:hAnsi="Amiri" w:eastAsia="Amiri" w:cs="Amiri"/>
          <w:color w:val="111111"/>
          <w:sz w:val="28"/>
          <w:sz w:val="28"/>
          <w:szCs w:val="28"/>
          <w:rtl w:val="true"/>
          <w:lang w:bidi="ar-SA"/>
        </w:rPr>
        <w:t xml:space="preserve">الالتباس في أمثال هذه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يحتمل أن فقيه ما ، لا يفتي بوجوب قيام دولة إسلامية في قطر ما ، إذا كان ذلك القطر مستعدأ ومهيئة لقيامها نتيجة الوعي السياسي الإسلامي الذي شمله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ما يقول من يرسل مثل هذا الرأي ، لو قدر أن بلاد ما ، من بلدان المسلمين سادها الوعي السياسي الإسلامي ، وامتلك أهلها زمام أمورهم السياسية ، ورفعوا أمرهم إلى الفقيه المتوفر على شروط الحاكم المسلم ،يطلبون منه أن يحكمهم بالإسلام ، وكان الأمر في وضعية من الخطورة بحيث إذا لم يحكمهم ، ويوكل الموضوع اليهم أنفسهم ، يقعون في مخالفات شرعية كثيرة ، لجهلهم بالأحكام ومواضع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أيؤمن بشيء آخر غير إجابة الفقيه لهؤلاء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أحتمل أن أحدا ممن له أدنى معرفة بالتشريع الإسلامي يحتمل عدم جواز الإجابة </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6586007_211673320"/>
      <w:bookmarkStart w:id="206" w:name="_Toc70"/>
      <w:bookmarkEnd w:id="205"/>
      <w:r>
        <w:rPr>
          <w:rtl w:val="true"/>
        </w:rPr>
        <w:t xml:space="preserve">أحاديث قيام دولة قبل الإمام </w:t>
      </w:r>
      <w:r>
        <w:rPr>
          <w:rtl w:val="true"/>
        </w:rPr>
        <w:t>:</w:t>
      </w:r>
      <w:bookmarkEnd w:id="206"/>
    </w:p>
    <w:p>
      <w:pPr>
        <w:pStyle w:val="BookText"/>
        <w:rPr/>
      </w:pPr>
      <w:r>
        <w:rPr>
          <w:rFonts w:ascii="Amiri" w:hAnsi="Amiri" w:eastAsia="Amiri" w:cs="Amiri"/>
          <w:color w:val="111111"/>
          <w:sz w:val="28"/>
          <w:sz w:val="28"/>
          <w:szCs w:val="28"/>
          <w:rtl w:val="true"/>
          <w:lang w:bidi="ar-SA"/>
        </w:rPr>
        <w:t xml:space="preserve">يضاف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هناك من الأحاديث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سبق وأن استعرضتها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الى قيام دولة إسلامية غير عالمية ، قبل ظهور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يسلمها أصحابها إلى الإمام عند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ما يلقي الضوء على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قوم من قبل المشرق ، ومعهم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انتظار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07" w:name="pg803_9466"/>
    </w:p>
    <w:p>
      <w:pPr>
        <w:pStyle w:val="BookText"/>
        <w:rPr/>
      </w:pPr>
      <w:bookmarkEnd w:id="207"/>
      <w:r>
        <w:rPr>
          <w:rFonts w:ascii="IRNazanin" w:hAnsi="IRNazanin" w:eastAsia="IRNazanin"/>
          <w:color w:val="111111"/>
          <w:sz w:val="28"/>
          <w:sz w:val="28"/>
          <w:szCs w:val="28"/>
          <w:rtl w:val="true"/>
          <w:lang w:bidi="fa-IR"/>
        </w:rPr>
        <w:t xml:space="preserve">رايات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فيسألون الخير فلا يعطونه ، فيقاتلون فينصرون ، فيعطون ما سألوه ، فلا يقبلونه حتى يدفعوها إلى رجل من أهل بيتي ، فيملأها قسطا كيا ملاوها جورة ، فمن أدرك ذلك منکم فليأتهم ولو حبوا على الثلج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بقوم قد خرجوا بالمشرق ، يطلبون الحق فلا يعطونه ، ثم يطلبونه فلا يعطونه ، فاذا رأوا ذلكوضعوا سيوفهم على عواتقهم ، فيعطون ما سألوا ، فلا يقبلونه حتى يقيموا ، ولا يدفعونها إلا الى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قتلاهم شهداء </w:t>
      </w:r>
      <w:r>
        <w:rPr>
          <w:rFonts w:eastAsia="Amiri" w:cs="Amiri" w:ascii="Amiri" w:hAnsi="Amiri"/>
          <w:color w:val="111111"/>
          <w:sz w:val="28"/>
          <w:szCs w:val="28"/>
          <w:rtl w:val="true"/>
          <w:lang w:bidi="ar-SA"/>
        </w:rPr>
        <w:t>» .</w:t>
      </w:r>
    </w:p>
    <w:p>
      <w:pPr>
        <w:pStyle w:val="Heading3"/>
        <w:numPr>
          <w:ilvl w:val="2"/>
          <w:numId w:val="1"/>
        </w:numPr>
        <w:rPr/>
      </w:pPr>
      <w:bookmarkStart w:id="208" w:name="__RefHeading___Toc6586009_211673320"/>
      <w:bookmarkStart w:id="209" w:name="_Toc71"/>
      <w:bookmarkEnd w:id="208"/>
      <w:r>
        <w:rPr>
          <w:rtl w:val="true"/>
        </w:rPr>
        <w:t xml:space="preserve">رفع التباس </w:t>
      </w:r>
      <w:r>
        <w:rPr>
          <w:rtl w:val="true"/>
        </w:rPr>
        <w:t>:</w:t>
      </w:r>
      <w:bookmarkEnd w:id="209"/>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يبدو للبعض أن قيام مثل هذه الدولة يكون مجالا الظهور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يكون ذلك فيما إذا كانت الدولة متوفرة على شروط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 وهو فيما إذا كانت غير متوفرة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فتسهم في هذه الحال بالتمهيد لخروجه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 الله تعالی فرجه ، ورزقنا نصرته ، والشهادة بين يديه ، إنه سميع مجيب </w:t>
      </w:r>
      <w:r>
        <w:rPr>
          <w:rFonts w:eastAsia="IRNazanin" w:cs="IRNazanin"/>
          <w:color w:val="111111"/>
          <w:sz w:val="28"/>
          <w:szCs w:val="28"/>
          <w:rtl w:val="true"/>
          <w:lang w:bidi="fa-IR"/>
        </w:rPr>
        <w:t xml:space="preserve">. </w:t>
      </w:r>
      <w:bookmarkStart w:id="210" w:name="pg803_9467"/>
    </w:p>
    <w:p>
      <w:pPr>
        <w:pStyle w:val="Heading2"/>
        <w:numPr>
          <w:ilvl w:val="1"/>
          <w:numId w:val="1"/>
        </w:numPr>
        <w:rPr/>
      </w:pPr>
      <w:bookmarkStart w:id="211" w:name="__RefHeading___Toc6586011_211673320"/>
      <w:bookmarkStart w:id="212" w:name="_Toc72"/>
      <w:bookmarkEnd w:id="210"/>
      <w:bookmarkEnd w:id="211"/>
      <w:r>
        <w:rPr>
          <w:rtl w:val="true"/>
        </w:rPr>
        <w:t>وفي الختام</w:t>
      </w:r>
      <w:bookmarkEnd w:id="212"/>
    </w:p>
    <w:p>
      <w:pPr>
        <w:pStyle w:val="Heading3"/>
        <w:numPr>
          <w:ilvl w:val="2"/>
          <w:numId w:val="1"/>
        </w:numPr>
        <w:rPr/>
      </w:pPr>
      <w:bookmarkStart w:id="213" w:name="__RefHeading___Toc6586013_211673320"/>
      <w:bookmarkStart w:id="214" w:name="_Toc73"/>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803_9469"/>
      <w:bookmarkStart w:id="216" w:name="pg803_9469"/>
      <w:bookmarkEnd w:id="216"/>
    </w:p>
    <w:p>
      <w:pPr>
        <w:pStyle w:val="Heading3"/>
        <w:numPr>
          <w:ilvl w:val="2"/>
          <w:numId w:val="1"/>
        </w:numPr>
        <w:rPr/>
      </w:pPr>
      <w:bookmarkStart w:id="217" w:name="pg803_9469"/>
      <w:bookmarkStart w:id="218" w:name="__RefHeading___Toc6586015_211673320"/>
      <w:bookmarkStart w:id="219" w:name="_Toc74"/>
      <w:bookmarkEnd w:id="217"/>
      <w:bookmarkEnd w:id="218"/>
      <w:r>
        <w:rPr>
          <w:rtl w:val="true"/>
        </w:rPr>
        <w:t>رجاء</w:t>
      </w:r>
      <w:r>
        <w:rPr>
          <w:rtl w:val="true"/>
        </w:rPr>
        <w:t>:</w:t>
      </w:r>
      <w:bookmarkEnd w:id="219"/>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قارئي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راجيا أن أجد في ملاحظاتك القيمة ، ما يساعدني على العودة إلى الحديث مرة ثانية ، وبلورته وتنقيحه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ورافعة كف الضراعة اليه تعالى ب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586017_211673320"/>
      <w:bookmarkStart w:id="221" w:name="_Toc75"/>
      <w:bookmarkEnd w:id="220"/>
      <w:r>
        <w:rPr>
          <w:rtl w:val="true"/>
        </w:rPr>
        <w:t xml:space="preserve">دعاء المناسبة </w:t>
      </w:r>
      <w:r>
        <w:rPr>
          <w:rtl w:val="true"/>
        </w:rPr>
        <w:t>:</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نرغب إليك في دولة كريمة ، تعز بها الإسلام وأهله ، وتذل بها النفاق وأهله ، وتجعلنا فيها من الدعاة إلى طاعتك ، والقادة إلى سبيلك ، وترزقنا بها كرامة الدنيا والآخرة </w:t>
      </w:r>
      <w:r>
        <w:rPr>
          <w:rFonts w:eastAsia="Amiri" w:cs="Amiri" w:ascii="Amiri" w:hAnsi="Amiri"/>
          <w:color w:val="111111"/>
          <w:sz w:val="28"/>
          <w:szCs w:val="28"/>
          <w:rtl w:val="true"/>
          <w:lang w:bidi="ar-SA"/>
        </w:rPr>
        <w:t>» .</w:t>
      </w:r>
    </w:p>
    <w:p>
      <w:pPr>
        <w:pStyle w:val="Heading3"/>
        <w:numPr>
          <w:ilvl w:val="2"/>
          <w:numId w:val="1"/>
        </w:numPr>
        <w:rPr/>
      </w:pPr>
      <w:bookmarkStart w:id="222" w:name="__RefHeading___Toc6586019_211673320"/>
      <w:bookmarkStart w:id="223" w:name="_Toc76"/>
      <w:bookmarkEnd w:id="222"/>
      <w:r>
        <w:rPr>
          <w:rtl w:val="true"/>
        </w:rPr>
        <w:t xml:space="preserve">تنبيه </w:t>
      </w:r>
      <w:r>
        <w:rPr>
          <w:rtl w:val="true"/>
        </w:rPr>
        <w:t>:</w:t>
      </w:r>
      <w:bookmarkEnd w:id="223"/>
    </w:p>
    <w:p>
      <w:pPr>
        <w:pStyle w:val="BookText"/>
        <w:rPr/>
      </w:pPr>
      <w:r>
        <w:rPr>
          <w:rFonts w:ascii="Amiri" w:hAnsi="Amiri" w:eastAsia="Amiri" w:cs="Amiri"/>
          <w:color w:val="111111"/>
          <w:sz w:val="28"/>
          <w:sz w:val="28"/>
          <w:szCs w:val="28"/>
          <w:rtl w:val="true"/>
          <w:lang w:bidi="ar-SA"/>
        </w:rPr>
        <w:t xml:space="preserve">أغفلت الإشارة إلى مصادر بعض الأحاديث في هامش الكتاب لأنها لا تخرج من المراجع المذكورة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النجف الأشرف </w:t>
      </w:r>
      <w:r>
        <w:rPr>
          <w:rFonts w:eastAsia="Amiri" w:cs="Amiri" w:ascii="Amiri" w:hAnsi="Amiri"/>
          <w:color w:val="111111"/>
          <w:sz w:val="28"/>
          <w:szCs w:val="28"/>
          <w:lang w:bidi="ar-SA"/>
        </w:rPr>
        <w:t>1384/5/1</w:t>
      </w:r>
      <w:r>
        <w:rPr>
          <w:rFonts w:ascii="Amiri" w:hAnsi="Amiri" w:eastAsia="Amiri" w:cs="Amiri"/>
          <w:color w:val="111111"/>
          <w:sz w:val="28"/>
          <w:sz w:val="28"/>
          <w:szCs w:val="28"/>
          <w:rtl w:val="true"/>
          <w:lang w:bidi="ar-SA"/>
        </w:rPr>
        <w:t xml:space="preserve">ه عبد الهادي الفضلي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803_9471"/>
      <w:bookmarkStart w:id="225" w:name="pg803_9471"/>
      <w:bookmarkEnd w:id="225"/>
    </w:p>
    <w:p>
      <w:pPr>
        <w:pStyle w:val="Heading2"/>
        <w:numPr>
          <w:ilvl w:val="1"/>
          <w:numId w:val="1"/>
        </w:numPr>
        <w:rPr/>
      </w:pPr>
      <w:bookmarkStart w:id="226" w:name="pg803_9471"/>
      <w:bookmarkStart w:id="227" w:name="__RefHeading___Toc6586021_211673320"/>
      <w:bookmarkStart w:id="228" w:name="_Toc77"/>
      <w:bookmarkEnd w:id="226"/>
      <w:bookmarkEnd w:id="227"/>
      <w:r>
        <w:rPr>
          <w:rtl w:val="true"/>
        </w:rPr>
        <w:t>المراجع</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الرابع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الألباني ، محمد ناصر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الضعيفة والموضوعة وأثرها السيء في الأمة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المجلد الأول ، الجزء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 العاملي ، السيد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كرم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 الجزء الثاني ، القسم 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 السيد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عالیان مشهدی ، حجر، الأصفهاني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 دكتور محمد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ودكتور محمد طلعت الغنيمي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السياسية والاجتماعية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البروجردي ، الحاج اقا حسين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الزاهر في صلاة الجمعة والمسافر و تقریرات بحثه بقلم تلميذه حسینعلي المنتظري النجف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الحكمة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تفصيل أحكامالشريعة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الثالث ، کتاب القضاء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 السيد محسن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الحكيم يوضح مراتب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الأضواء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لدى المؤلف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الحكيم ،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دار الأندلس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التاريخ الإسلامي على طلبة كلية الفقه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 البغدادية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 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الدكتور أحمد أمين في حديث المهدي والمهدوية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التأليف والنشر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السبز واری ، المولى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مكتبة كلية الفقه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الشهيد الثاني ، زين الدين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الأفهام إلى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الأمر بالمعروف والنهي عن المنكر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الشيرازي ، السيد ميرزا عبد الهاديالحسيني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لدى المؤلف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الشيرازي ، السيد ميرزا مهدي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لدى المؤلف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الجواهر، الشيخ محمد حسن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الخونساري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الأمر بالمعروف والنهي عن المنكر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الصافي ، لطف الله الكلبايكاني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في الامام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بوذر جمهري مصطفوی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 السيد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النعمان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 السيد صدر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عالي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الطباطبائي ، السيد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العسكري ، نجم الدين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الحلي ، الحسن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في أحكام الشريعة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الأمر بالمعروف والنهي عن المنكر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الفضلي ، عبد الهادي ، أهداف و وسائل ثورة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حضارتنا في ميدان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الفيض الكاشاني ، محمد بن مرتضى المدعو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الشرائع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مكتبة كلية الفقه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المقتطف ، المصرية ، المجلد التاسع والخمسون ، الجزء الثالث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المراغي ، السيد فتاح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و الأر وجني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 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المفيد ،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الكيلاني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المودودي ، أبو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عاصم الحداد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النائيني ، محمد حسين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الأمة وتنزيه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مكتبة كلية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تايب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آبادي ، حسينعلي المنتظري ، البدر الزاهر في صلاة الجمعة والمسافر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نشرة ، الأضواء ،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النعاني ، محمد بن ابراهيم المعروف بابن أبي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کتابفروشي صابري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29" w:name="pg803_9475"/>
    </w:p>
    <w:p>
      <w:pPr>
        <w:pStyle w:val="Heading2"/>
        <w:numPr>
          <w:ilvl w:val="1"/>
          <w:numId w:val="1"/>
        </w:numPr>
        <w:rPr/>
      </w:pPr>
      <w:bookmarkStart w:id="230" w:name="__RefHeading___Toc6586023_211673320"/>
      <w:bookmarkStart w:id="231" w:name="_Toc78"/>
      <w:bookmarkEnd w:id="229"/>
      <w:bookmarkEnd w:id="230"/>
      <w:r>
        <w:rPr>
          <w:rtl w:val="true"/>
        </w:rPr>
        <w:t>الفهرس</w:t>
      </w:r>
      <w:bookmarkEnd w:id="231"/>
    </w:p>
    <w:p>
      <w:pPr>
        <w:pStyle w:val="BookText"/>
        <w:rPr/>
      </w:pPr>
      <w:r>
        <w:rPr>
          <w:rFonts w:ascii="Amiri" w:hAnsi="Amiri" w:eastAsia="Amiri" w:cs="Amiri"/>
          <w:color w:val="111111"/>
          <w:sz w:val="28"/>
          <w:sz w:val="28"/>
          <w:szCs w:val="28"/>
          <w:rtl w:val="true"/>
          <w:lang w:bidi="ar-SA"/>
        </w:rPr>
        <w:t>الصورة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7"/>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0"/>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الأقوال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الصدر، محاضرات في تفسير القرآن الكريم،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زين الدين، مع الدكتور أحمد أمين في حديث المهدي والمهدوية،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سيرة الإمام المنتظر عليه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متون الأحاديث في جميع هذه الطوائف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صدر الدين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والمودودي،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إسماعيل الصدر،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الأصول العامة للفة المقارن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زين الدين،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المصلح المنتظر في أحاديث الأديان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الصدر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الشريف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والوصية،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الصدر،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ويراجع المصدر نفسه لمعرفة من يرويها من أكابر حفاظ أهل السنة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في الإمام الثاني عشر عليه السلام،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الأمين،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الدين الألباني، سلسلة الأحاديث الضعيفة والموضوعة،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المودودي،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إلى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صدر الدين الصدر،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الأمين ،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للاستزادة ، يقرا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زين الدين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الصف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المقتطف ، هل يخلد الانسان في الدنيا ، مج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صدر الدين الصدر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المقتطف ، هل يخلد الانسان في الدنيا ، مج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صدر الدين الصدر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الثورة البغدادية ، العدد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تقي الحكيم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الشيعة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الامام الثاني عشر عليه السلام ،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کتاب الغيبة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 ، باب الأمر بالمعروف والنهي عن المنكر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الاسلام ، کتاب الأمر بالمعروف والنهي عن المنكر،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 ، كتاب الأمر بالمعروف والنهي عن المنكر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الى شرح شرائع الاسلام ، کتاب الأمر بالمعروف والنهي عن المنكر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لدى المؤلم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لدى المؤلف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لدى المؤلف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 الميزان في تفسير القرآن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الأيات هي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المشار اليه لأستاذي الجليل العلامة المحقق السيد محمد تقي الحكيم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للتعرف على تلك الموارد المأذون فيها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المراغي،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آل بحر العلوم ،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 وسائل الشيعة إلى تفصيل أحكام الشريعة ، 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القضاء ، باب أنه يشترط فيه الايمان والعدالة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البروجردي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الحكيم ، نهج الفقاهة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 المصدر السابق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الحكيم ، المصدر السابق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 يرويه السيد صدر الدين الصدر ، وأن حجة الله عليهم ،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الحكيم ،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تقبلن في استعمال عالك وأمرائك شفاعة إلا شفاعة الكفاية والأمانة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محمد طه بدوی ودكتور محمد طلعت الغنيمي ، النظم السياسية والاجتماعية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للاطلاع على بعض الشواهد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النائيني ، تنبيه الأمة وتنزيه الملة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معنى هذين المصطلحين أكثر،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 ثورةالحسين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معنى هذين المصطلحين أكثر،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 ثورةالحسين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حضارتنا في ميدان الصراع ،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حضارتنا في ميدان الصراع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أهداف و وسائل ثورة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الأضواء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الرأي للفقيه الأكبر مرجع المسلمين العام السيد محسن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العالي جاء جوابا للسؤال التالي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3.jpeg"/><Relationship Id="rId145" Type="http://schemas.openxmlformats.org/officeDocument/2006/relationships/image" Target="media/image3.jpeg"/><Relationship Id="rId146" Type="http://schemas.openxmlformats.org/officeDocument/2006/relationships/footer" Target="footer139.xml"/><Relationship Id="rId147" Type="http://schemas.openxmlformats.org/officeDocument/2006/relationships/image" Target="media/image4.jpeg"/><Relationship Id="rId148" Type="http://schemas.openxmlformats.org/officeDocument/2006/relationships/image" Target="media/image4.jpeg"/><Relationship Id="rId149" Type="http://schemas.openxmlformats.org/officeDocument/2006/relationships/footer" Target="footer140.xml"/><Relationship Id="rId150" Type="http://schemas.openxmlformats.org/officeDocument/2006/relationships/image" Target="media/image5.jpeg"/><Relationship Id="rId151" Type="http://schemas.openxmlformats.org/officeDocument/2006/relationships/image" Target="media/image5.jpeg"/><Relationship Id="rId152" Type="http://schemas.openxmlformats.org/officeDocument/2006/relationships/footer" Target="footer141.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2.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20588</Words>
  <Characters>86117</Characters>
  <CharactersWithSpaces>105697</CharactersWithSpaces>
  <Paragraphs>1300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2026-08-16T08:45:44Z</dcterms:created>
  <dc:creator>ghaemiyeh.com</dc:creator>
  <dc:description/>
  <dc:language>en-US</dc:language>
  <cp:lastModifiedBy/>
  <dcterms:modified xsi:type="dcterms:W3CDTF">2026-08-16T12:15:48Z</dcterms:modified>
  <cp:revision>1</cp:revision>
  <dc:subject/>
  <dc:title>فی انتظار الامام علیه السلام</dc:title>
</cp:coreProperties>
</file>

<file path=docProps/custom.xml><?xml version="1.0" encoding="utf-8"?>
<Properties xmlns="http://schemas.openxmlformats.org/officeDocument/2006/custom-properties" xmlns:vt="http://schemas.openxmlformats.org/officeDocument/2006/docPropsVTypes"/>
</file>