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لوح ائمه هدی در لوح فاطمه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1646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93164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31650_211673320">
            <w:r>
              <w:rPr>
                <w:webHidden/>
                <w:rStyle w:val="IndexLink"/>
                <w:rtl w:val="true"/>
              </w:rPr>
              <w:t>فهرست نگاشته ها</w:t>
            </w:r>
            <w:r>
              <w:rPr>
                <w:rStyle w:val="IndexLink"/>
                <w:rtl w:val="true"/>
              </w:rPr>
              <w:tab/>
            </w:r>
            <w:r>
              <w:rPr>
                <w:rStyle w:val="IndexLink"/>
              </w:rPr>
              <w:t>8</w:t>
            </w:r>
          </w:hyperlink>
        </w:p>
        <w:p>
          <w:pPr>
            <w:pStyle w:val="Contents2"/>
            <w:tabs>
              <w:tab w:val="clear" w:pos="8743"/>
              <w:tab w:val="right" w:pos="9026" w:leader="dot"/>
            </w:tabs>
            <w:rPr/>
          </w:pPr>
          <w:hyperlink w:anchor="__RefHeading___Toc5931652_2116733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931654_211673320">
            <w:r>
              <w:rPr>
                <w:webHidden/>
                <w:rStyle w:val="IndexLink"/>
                <w:rtl w:val="true"/>
              </w:rPr>
              <w:t xml:space="preserve">مقدمه اوّل </w:t>
            </w:r>
            <w:r>
              <w:rPr>
                <w:rStyle w:val="IndexLink"/>
                <w:rtl w:val="true"/>
              </w:rPr>
              <w:t xml:space="preserve">: </w:t>
            </w:r>
            <w:r>
              <w:rPr>
                <w:rStyle w:val="IndexLink"/>
                <w:rtl w:val="true"/>
              </w:rPr>
              <w:t>مأخذ حديث لوح</w:t>
            </w:r>
            <w:r>
              <w:rPr>
                <w:rStyle w:val="IndexLink"/>
                <w:rtl w:val="true"/>
              </w:rPr>
              <w:tab/>
            </w:r>
            <w:r>
              <w:rPr>
                <w:rStyle w:val="IndexLink"/>
              </w:rPr>
              <w:t>26</w:t>
            </w:r>
          </w:hyperlink>
        </w:p>
        <w:p>
          <w:pPr>
            <w:pStyle w:val="Contents2"/>
            <w:tabs>
              <w:tab w:val="clear" w:pos="8743"/>
              <w:tab w:val="right" w:pos="9026" w:leader="dot"/>
            </w:tabs>
            <w:rPr/>
          </w:pPr>
          <w:hyperlink w:anchor="__RefHeading___Toc5931656_211673320">
            <w:r>
              <w:rPr>
                <w:webHidden/>
                <w:rStyle w:val="IndexLink"/>
                <w:rtl w:val="true"/>
              </w:rPr>
              <w:t xml:space="preserve">مقدمه دوم </w:t>
            </w:r>
            <w:r>
              <w:rPr>
                <w:rStyle w:val="IndexLink"/>
                <w:rtl w:val="true"/>
              </w:rPr>
              <w:t xml:space="preserve">: </w:t>
            </w:r>
            <w:r>
              <w:rPr>
                <w:rStyle w:val="IndexLink"/>
                <w:rtl w:val="true"/>
              </w:rPr>
              <w:t>راويان حديث لوح</w:t>
            </w:r>
            <w:r>
              <w:rPr>
                <w:rStyle w:val="IndexLink"/>
                <w:rtl w:val="true"/>
              </w:rPr>
              <w:tab/>
            </w:r>
            <w:r>
              <w:rPr>
                <w:rStyle w:val="IndexLink"/>
              </w:rPr>
              <w:t>29</w:t>
            </w:r>
          </w:hyperlink>
        </w:p>
        <w:p>
          <w:pPr>
            <w:pStyle w:val="Contents2"/>
            <w:tabs>
              <w:tab w:val="clear" w:pos="8743"/>
              <w:tab w:val="right" w:pos="9026" w:leader="dot"/>
            </w:tabs>
            <w:rPr/>
          </w:pPr>
          <w:hyperlink w:anchor="__RefHeading___Toc5931658_211673320">
            <w:r>
              <w:rPr>
                <w:webHidden/>
                <w:rStyle w:val="IndexLink"/>
                <w:rtl w:val="true"/>
              </w:rPr>
              <w:t xml:space="preserve">مقدمه سوم </w:t>
            </w:r>
            <w:r>
              <w:rPr>
                <w:rStyle w:val="IndexLink"/>
                <w:rtl w:val="true"/>
              </w:rPr>
              <w:t>:</w:t>
            </w:r>
            <w:r>
              <w:rPr>
                <w:rStyle w:val="IndexLink"/>
                <w:rtl w:val="true"/>
              </w:rPr>
              <w:t>نکاتی در باب حدیث لوح</w:t>
            </w:r>
            <w:r>
              <w:rPr>
                <w:rStyle w:val="IndexLink"/>
                <w:rtl w:val="true"/>
              </w:rPr>
              <w:tab/>
            </w:r>
            <w:r>
              <w:rPr>
                <w:rStyle w:val="IndexLink"/>
              </w:rPr>
              <w:t>32</w:t>
            </w:r>
          </w:hyperlink>
        </w:p>
        <w:p>
          <w:pPr>
            <w:pStyle w:val="Contents2"/>
            <w:tabs>
              <w:tab w:val="clear" w:pos="8743"/>
              <w:tab w:val="right" w:pos="9026" w:leader="dot"/>
            </w:tabs>
            <w:rPr/>
          </w:pPr>
          <w:hyperlink w:anchor="__RefHeading___Toc5931660_211673320">
            <w:r>
              <w:rPr>
                <w:webHidden/>
                <w:rStyle w:val="IndexLink"/>
                <w:rtl w:val="true"/>
              </w:rPr>
              <w:t xml:space="preserve">گفتار اوّل </w:t>
            </w:r>
            <w:r>
              <w:rPr>
                <w:rStyle w:val="IndexLink"/>
                <w:rtl w:val="true"/>
              </w:rPr>
              <w:t xml:space="preserve">: </w:t>
            </w:r>
            <w:r>
              <w:rPr>
                <w:rStyle w:val="IndexLink"/>
                <w:rtl w:val="true"/>
              </w:rPr>
              <w:t>متن حدیث لوح</w:t>
            </w:r>
            <w:r>
              <w:rPr>
                <w:rStyle w:val="IndexLink"/>
                <w:rtl w:val="true"/>
              </w:rPr>
              <w:tab/>
            </w:r>
            <w:r>
              <w:rPr>
                <w:rStyle w:val="IndexLink"/>
              </w:rPr>
              <w:t>35</w:t>
            </w:r>
          </w:hyperlink>
        </w:p>
        <w:p>
          <w:pPr>
            <w:pStyle w:val="Contents2"/>
            <w:tabs>
              <w:tab w:val="clear" w:pos="8743"/>
              <w:tab w:val="right" w:pos="9026" w:leader="dot"/>
            </w:tabs>
            <w:rPr/>
          </w:pPr>
          <w:hyperlink w:anchor="__RefHeading___Toc5931662_211673320">
            <w:r>
              <w:rPr>
                <w:webHidden/>
                <w:rStyle w:val="IndexLink"/>
                <w:rtl w:val="true"/>
              </w:rPr>
              <w:t xml:space="preserve">گفتار دوم </w:t>
            </w:r>
            <w:r>
              <w:rPr>
                <w:rStyle w:val="IndexLink"/>
                <w:rtl w:val="true"/>
              </w:rPr>
              <w:t xml:space="preserve">: </w:t>
            </w:r>
            <w:r>
              <w:rPr>
                <w:rStyle w:val="IndexLink"/>
                <w:rtl w:val="true"/>
              </w:rPr>
              <w:t xml:space="preserve">برگردان </w:t>
            </w:r>
            <w:r>
              <w:rPr>
                <w:rStyle w:val="IndexLink"/>
                <w:rtl w:val="true"/>
              </w:rPr>
              <w:t>(</w:t>
            </w:r>
            <w:r>
              <w:rPr>
                <w:rStyle w:val="IndexLink"/>
                <w:rtl w:val="true"/>
              </w:rPr>
              <w:t>ترجمه</w:t>
            </w:r>
            <w:r>
              <w:rPr>
                <w:rStyle w:val="IndexLink"/>
                <w:rtl w:val="true"/>
              </w:rPr>
              <w:t xml:space="preserve">) </w:t>
            </w:r>
            <w:r>
              <w:rPr>
                <w:rStyle w:val="IndexLink"/>
                <w:rtl w:val="true"/>
              </w:rPr>
              <w:t>حدیث لوح</w:t>
            </w:r>
            <w:r>
              <w:rPr>
                <w:rStyle w:val="IndexLink"/>
                <w:rtl w:val="true"/>
              </w:rPr>
              <w:tab/>
            </w:r>
            <w:r>
              <w:rPr>
                <w:rStyle w:val="IndexLink"/>
              </w:rPr>
              <w:t>36</w:t>
            </w:r>
          </w:hyperlink>
        </w:p>
        <w:p>
          <w:pPr>
            <w:pStyle w:val="Contents2"/>
            <w:tabs>
              <w:tab w:val="clear" w:pos="8743"/>
              <w:tab w:val="right" w:pos="9026" w:leader="dot"/>
            </w:tabs>
            <w:rPr/>
          </w:pPr>
          <w:hyperlink w:anchor="__RefHeading___Toc5931664_211673320">
            <w:r>
              <w:rPr>
                <w:webHidden/>
                <w:rStyle w:val="IndexLink"/>
                <w:rtl w:val="true"/>
              </w:rPr>
              <w:t>خاتمه</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_6992"/>
      <w:bookmarkStart w:id="1" w:name="pg705_6992"/>
      <w:bookmarkEnd w:id="1"/>
    </w:p>
    <w:p>
      <w:pPr>
        <w:pStyle w:val="Heading2"/>
        <w:numPr>
          <w:ilvl w:val="1"/>
          <w:numId w:val="1"/>
        </w:numPr>
        <w:rPr/>
      </w:pPr>
      <w:bookmarkStart w:id="2" w:name="pg705_6992"/>
      <w:bookmarkStart w:id="3" w:name="__RefHeading___Toc5931646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 علی ،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ائمه هدی در لوح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علی لباف ؛ زیرنظر موسسه تحقیقاتی فرهنگی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فرهنگی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تحقیقاتی فرهنگی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جلی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5972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71600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10509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164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أَللّهُمَّ صَلِّ وَ سَلِّمْ وَ زِدْ وَ بارِکْ عَلی صاحِبِ الدَّعْوَهِ النَّبَوِیَّهِ</w:t>
      </w:r>
    </w:p>
    <w:p>
      <w:pPr>
        <w:pStyle w:val="BookText"/>
        <w:rPr/>
      </w:pPr>
      <w:r>
        <w:rPr>
          <w:rFonts w:ascii="Amiri" w:hAnsi="Amiri" w:eastAsia="Amiri" w:cs="Amiri"/>
          <w:color w:val="111111"/>
          <w:sz w:val="28"/>
          <w:sz w:val="28"/>
          <w:szCs w:val="28"/>
          <w:rtl w:val="true"/>
          <w:lang w:bidi="ar-SA"/>
        </w:rPr>
        <w:t>وَ الصَّوْلَهِ الْحَیْدَرِیَّهِ وَ الْعِصْمَهِ الفاطِمیَّهِ وَ الْحِلْمِ الْحَسَنیَّهِ وَ الشُّجاعَهِ الحُسَیْنیِّهِ</w:t>
      </w:r>
    </w:p>
    <w:p>
      <w:pPr>
        <w:pStyle w:val="BookText"/>
        <w:rPr/>
      </w:pPr>
      <w:r>
        <w:rPr>
          <w:rFonts w:ascii="Amiri" w:hAnsi="Amiri" w:eastAsia="Amiri" w:cs="Amiri"/>
          <w:color w:val="111111"/>
          <w:sz w:val="28"/>
          <w:sz w:val="28"/>
          <w:szCs w:val="28"/>
          <w:rtl w:val="true"/>
          <w:lang w:bidi="ar-SA"/>
        </w:rPr>
        <w:t>وَالعِبادَهِ السَّجادِیَّهِ وَ المَآثِرِ الباقِریَّهِ وَ الآثارِ الجَعْفَریَّهِ،</w:t>
      </w:r>
    </w:p>
    <w:p>
      <w:pPr>
        <w:pStyle w:val="BookText"/>
        <w:rPr/>
      </w:pPr>
      <w:r>
        <w:rPr>
          <w:rFonts w:ascii="Amiri" w:hAnsi="Amiri" w:eastAsia="Amiri" w:cs="Amiri"/>
          <w:color w:val="111111"/>
          <w:sz w:val="28"/>
          <w:sz w:val="28"/>
          <w:szCs w:val="28"/>
          <w:rtl w:val="true"/>
          <w:lang w:bidi="ar-SA"/>
        </w:rPr>
        <w:t>وَ الْعُلُومِ الکاظِمیَّهِ وَ الحُجَجِ الرَّضویَّهِ وَ الْجُودِ التَّقَویَّهِ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النَّقاوَهِ النَّقَوِیَّهِ وَ الْهَیْبَهِ الْعَسْکَرِیَّهِ وَ الغَیْبَهِ الإِلهِیَّهِ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5_6996"/>
      <w:bookmarkStart w:id="8" w:name="pg705_6996"/>
      <w:bookmarkEnd w:id="8"/>
    </w:p>
    <w:p>
      <w:pPr>
        <w:pStyle w:val="Heading2"/>
        <w:numPr>
          <w:ilvl w:val="1"/>
          <w:numId w:val="1"/>
        </w:numPr>
        <w:rPr/>
      </w:pPr>
      <w:bookmarkStart w:id="9" w:name="pg705_6996"/>
      <w:bookmarkStart w:id="10" w:name="__RefHeading___Toc5931650_211673320"/>
      <w:bookmarkStart w:id="11" w:name="_Toc3"/>
      <w:bookmarkEnd w:id="9"/>
      <w:bookmarkEnd w:id="10"/>
      <w:r>
        <w:rPr>
          <w:rtl w:val="true"/>
        </w:rPr>
        <w:t>فهرست نگاشته ها</w:t>
      </w:r>
      <w:bookmarkEnd w:id="11"/>
    </w:p>
    <w:p>
      <w:pPr>
        <w:pStyle w:val="BookText"/>
        <w:rPr/>
      </w:pPr>
      <w:r>
        <w:rPr>
          <w:rFonts w:ascii="IRNazanin" w:hAnsi="IRNazanin" w:eastAsia="IRNazanin"/>
          <w:color w:val="111111"/>
          <w:sz w:val="28"/>
          <w:sz w:val="28"/>
          <w:szCs w:val="28"/>
          <w:rtl w:val="true"/>
          <w:lang w:bidi="fa-IR"/>
        </w:rPr>
        <w:t xml:space="preserve">فهرست نگاشته ها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حدیث لوح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لوح</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 باب حدیث لوح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لوح</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حدیث لوح</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5_6998"/>
      <w:bookmarkStart w:id="13" w:name="pg705_6998"/>
      <w:bookmarkEnd w:id="13"/>
    </w:p>
    <w:p>
      <w:pPr>
        <w:pStyle w:val="Heading2"/>
        <w:numPr>
          <w:ilvl w:val="1"/>
          <w:numId w:val="1"/>
        </w:numPr>
        <w:rPr/>
      </w:pPr>
      <w:bookmarkStart w:id="14" w:name="pg705_6998"/>
      <w:bookmarkStart w:id="15" w:name="__RefHeading___Toc5931652_211673320"/>
      <w:bookmarkStart w:id="16" w:name="_Toc4"/>
      <w:bookmarkEnd w:id="14"/>
      <w:bookmarkEnd w:id="15"/>
      <w:r>
        <w:rPr>
          <w:rtl w:val="true"/>
        </w:rPr>
        <w:t>پيشگفتار</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صَلَّى اللَّهُ عَلَیكَ یا صاحِبَ الْعَصْرِ وَ الزَّمانِ</w:t>
      </w:r>
    </w:p>
    <w:p>
      <w:pPr>
        <w:pStyle w:val="BookText"/>
        <w:rPr/>
      </w:pPr>
      <w:r>
        <w:rPr>
          <w:rFonts w:ascii="IRNazanin" w:hAnsi="IRNazanin" w:eastAsia="IRNazanin"/>
          <w:color w:val="111111"/>
          <w:sz w:val="28"/>
          <w:sz w:val="28"/>
          <w:szCs w:val="28"/>
          <w:rtl w:val="true"/>
          <w:lang w:bidi="fa-IR"/>
        </w:rPr>
        <w:t>شناخت، تصدیق و اقتدا به امام الهی، به عنوان بنیادی ترین پایه دین نبوی صلی الله علیه و آله، از جانب پروردگار حكیم وضع گردیده است و انحراف از مسیر معرفت حجت ربوبی در هر دوران، سر آغاز گام نهادن در وادی ظلمت، گمراهی و انحراف از مسیر حق و حقیقت 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سلیم بن قیس الهلالی، عن امیر المومنین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الرَّجُل ضَالاً؟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 مَنْ </w:t>
      </w:r>
    </w:p>
    <w:p>
      <w:pPr>
        <w:pStyle w:val="BookText"/>
        <w:rPr/>
      </w:pPr>
      <w:r>
        <w:rPr>
          <w:rFonts w:ascii="Amiri" w:hAnsi="Amiri" w:eastAsia="Amiri" w:cs="Amiri"/>
          <w:color w:val="111111"/>
          <w:sz w:val="28"/>
          <w:sz w:val="28"/>
          <w:szCs w:val="28"/>
          <w:rtl w:val="true"/>
          <w:lang w:bidi="ar-SA"/>
        </w:rPr>
        <w:t>أَمَرَ اللهُ بِطَاعَتِهِ وفَرَضَ وَلايَتَهُ وجَعَلهُ حُجَّتَهُ فِي أَرْضِهِ وشَاهِدَهُ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لي وفَرَّجْتَ عَنِّي وأَذْهَبْتَ كُل شَكٍّ كَانَ فِي قَلبِي</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هلالی، از امیر مومنان علیه السلام روایت شده است كه سلیم بن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امر كه سبب گمراهی آدمیان می گردد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كسانی را شناسد كه حق تعالی فرمان به فرمانبرداری از آنان داده و ولایتشان را واجب فرموده و آنها را به عنوان حجت بر روی زمین و شاهدی بر آفریدگان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كسانی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همانانی هستند كه پروردگار سبحان آنان را قرین نفس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رسولش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تعالی و رسول و صاحبان امر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 مبارك حضرت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نمودی، و گشایشی برایم حاصل فرمودی و هر گونه شك و ریبی را از قلبم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انسان هادی </w:t>
      </w:r>
      <w:r>
        <w:rPr>
          <w:rStyle w:val="FootnoteAnchor"/>
          <w:rtl w:val="true"/>
        </w:rPr>
        <w:footnoteReference w:id="4"/>
      </w:r>
      <w:r>
        <w:rPr>
          <w:rFonts w:ascii="IRNazanin" w:hAnsi="IRNazanin" w:eastAsia="IRNazanin"/>
          <w:color w:val="111111"/>
          <w:sz w:val="28"/>
          <w:sz w:val="28"/>
          <w:szCs w:val="28"/>
          <w:rtl w:val="true"/>
          <w:lang w:bidi="fa-IR"/>
        </w:rPr>
        <w:t>را نشناسد و نداند كه برای امكان گام نهادن در مسیر عبودیت و رسیدن به سعادت، از چه كسی باید اطاعت كند و ولایتش را بپذیرد، مسلما پیروی از آن حجت الهی برایش میسر نخواهد شد و به قطع و یقین در مسیر زندگی گرفتار امامان ضلالت و گمراهی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او را به سوی آتش می خوانند و از مسیر حق منحرفش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إمامَ النّاسِ کُلِّهِم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صلی اللّه علیه و آله إلَی النّاسِ أجمَعینَ، ولکِن سَیَکونُ مِن بَعدی أئِمَّهٌ عَلَی النّاسِ مِنَ اللّهِ مِن أهلِ بَیتی، یَقومونَ فِیالنّاسِ فَیُکَذَّبونَ، ویَظلِمُهُم أئِمَّهُ الکُفرِ وَالضَّلالِ وأشیاعُهُم، فَمَن والاهُم وَاتَّبَعهُم وصَدَّقَهُم فَهُوَ مِنّی ومَعی وسَیَلقانی، ألا ومَن ظَلَمَهُم وکَذَّبَهُم فَلَیسَ مِنّی ولا مَعی وأنَا مِنهُ بَریءٌ</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روزی كه هر دسته از مردم را به امامشان خوانیم نازل شد، مسلمانان به پیامبر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بر تمامی مردم نیستید؟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الهی به سوی همه مردم فرستاده شدم ام، ولی بعد از من امامانی از </w:t>
      </w:r>
    </w:p>
    <w:p>
      <w:pPr>
        <w:pStyle w:val="BookText"/>
        <w:rPr/>
      </w:pPr>
      <w:r>
        <w:rPr>
          <w:rFonts w:ascii="IRNazanin" w:hAnsi="IRNazanin" w:eastAsia="IRNazanin"/>
          <w:color w:val="111111"/>
          <w:sz w:val="28"/>
          <w:sz w:val="28"/>
          <w:szCs w:val="28"/>
          <w:rtl w:val="true"/>
          <w:lang w:bidi="fa-IR"/>
        </w:rPr>
        <w:t>خاندانم بر مردم منصوب شوند، ایشان در میان مردم قیام نمایند و مردم آنها را تكذیب كنند و امامان كفر و گمراهی و پیروانشان بر ایشان ستم كنند، هر كه آنها را دوست دارد و از آنها پیروی كند و تصدیقشان نماید، از من است و با من است و مرا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ایشان ستم كند و تكذیبشان نماید، از من نیست و با من نیست و من از او بیزارم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اَلْأَئِمَّهَ فِی کِتَابِ اَللَّهِ عَزَّ وَ 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یَهْدُونَ بِأَمْرِنا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لاَ بِأَمْرِ اَلنَّاسِ یُقَدِّمُونَ أَمْرَ اَللَّهِ قَبْلَ أَمْرِهِمْ وَ 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یَدْعُونَ إِلَی اَلنّارِ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كتاب حضرت حق جل و علا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تبارك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امامانی قرار دادیم كه به امر ما هدایت كنند، نه به امر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را بر امر مردم مقدم دارند و حكمش را پیش از حكم مردم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امامانی قرار دادیم كه به سوی دوزخ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مردم را بر امر الهی مقدم دارند و حكم مردم را پیش از حكمش دانند و بر خلاف آنچه در قرآن كریم است، مطابق هوس خویش رفتار كنند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اتمام و اكمال دینش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شامل </w:t>
      </w:r>
    </w:p>
    <w:p>
      <w:pPr>
        <w:pStyle w:val="BookText"/>
        <w:rPr/>
      </w:pPr>
      <w:r>
        <w:rPr>
          <w:rFonts w:ascii="IRNazanin" w:hAnsi="IRNazanin" w:eastAsia="IRNazanin"/>
          <w:color w:val="111111"/>
          <w:sz w:val="28"/>
          <w:sz w:val="28"/>
          <w:szCs w:val="28"/>
          <w:rtl w:val="true"/>
          <w:lang w:bidi="fa-IR"/>
        </w:rPr>
        <w:t xml:space="preserve">كلیّه دستورات الهی در راه نیل به سعادت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و مشروط به تمسك به امامت ولی و حجتش بر بندگان نموده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أَبِیهِ عَلَیْهِ السَّلاَمُ عَنْ عَلِیٍّ أَوِ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خَمْساً وَ لَمْ یَفْتَرِضْ إِلاَّ حَسَناً جَمِیلاً اَلصَّلاَهَ وَ اَلزَّکَاهَ وَ اَلْحَجَّ وَ اَلصِّیَامَ وَ وَلاَیَتَنَا أَهْلَ اَلْبَیْتِ فَعَمِلَ اَلنَّاسُ بِأَرْبَعٍ وَ اِسْتَخَفُّوا بِالْخَامِسَهِ وَ اَللَّهِ لاَ یَسْتَکْمِلُوا اَلْأَرْبَعَ حَتَّی یَسْتَکْمِلُوهَا بِالْخَامِسَةِ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از پدرش علیه السلام، از امام سجاد علیه السلام، یا امام حسن مجتبی علیه السلام نقل می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پنج امر را واجب شمرده است و این در حالی است كه او واجب نفرموده مگر امر نیكو و زیبا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امر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ولایت ما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چهار امر نخستین عمل می كنند و پنجمین آنها را سبك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چهار امر نخست كامل نگردید مگر اینكه امر پنجم آنها را كامل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تنها معبود متعال است كه باب هدایت را به روی بندگان می گشاید و راه ادب ورزی به ساحت قدسش را در پیش روی سالكان طریقتش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حِبْرٌ مِنْ أَحْبَارِ بَنِی إِسْرَائِیلَ حَتَّی صَارَ مِثْلَ اَلْخِلاَلِ فَأَوْحَی اَللَّهُ عَزَّ وَ جَلَّ إِلَی نَبِیِّ زَمَانِهِ قُلْ لَهُ وَ عِزَّتِی وَ جَلاَلِی لَوْ عَبَدْتَنِی حَتَّی تَذُوبَ کَمَا تَذُوبُ اَلْأَلْیَهُ فِی اَلْقِدْرِ مَا قَبِلْتُ مِنْکَ حَتَّی تَأْتِیَنِی مِنَ اَلْبَابِ اَلَّذِی أَمَرْتُکَ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دانشمندی از دانشمندان بنی اسرائیل معبود عز و جل را آن چنان عبادت كرد كه چون چوب خلال لاغر و نحیف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با فر و شكوه به پیامبر زمانش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شكوه و جلال و جبروتم سوگند، اگر تو مرا آن چنان بندگی كنی كه بسان دنبه در دیگ جوشان ذوب شوی، عبادتت را نمی پذیرم مگر اینكه از بابی كه تو را بدان امر كرده ام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كه عبادت ربوبی تنها از طریق ورود به باب معرفت و ولایت امام الهی محقق گشته و اعمال مقبول </w:t>
      </w:r>
      <w:r>
        <w:rPr>
          <w:rStyle w:val="FootnoteAnchor"/>
          <w:rtl w:val="true"/>
        </w:rPr>
        <w:footnoteReference w:id="14"/>
      </w:r>
      <w:r>
        <w:rPr>
          <w:rFonts w:ascii="IRNazanin" w:hAnsi="IRNazanin" w:eastAsia="IRNazanin"/>
          <w:color w:val="111111"/>
          <w:sz w:val="28"/>
          <w:sz w:val="28"/>
          <w:szCs w:val="28"/>
          <w:rtl w:val="true"/>
          <w:lang w:bidi="fa-IR"/>
        </w:rPr>
        <w:t>درگاه حضرتش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 قَالَ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دَانَ اللّهَ بِعِبَادَةٍ یُجْهِدُ فِیهَا نَفْسَهُ وَ لاَ إِمَامَ لَهُ مِنَ اللّهِ ، فَسَعْیُهُ غَیْرُ مَقْبُولٍ ، وَ هُوَ ضَالٌّ مُتَحَیِّرٌ ، وَ اللّهُ شَانِئٌ لاِءَعْمَالِهِ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دینداری حضرت سبحان كند با عبادتی كه خود را در آن به زحمت افكند، ولی پیشوایی از جانب الهی برای خود نگرفته باشد، كوشش او پذیرفته نیست و او گمراه است و سرگردان، و حق تعالی كردار او را ناپسند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 الله علیه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وَلاَیَتُنَا أَهْلَ اَلْبَیْتِ وَ أَهْوَی بِیَدِهِ إِلَی صَدْرِهِ فَمَنْ لَمْ یَتَوَلَّنَا لَمْ یَرْفَعِ اَللَّهُ لَهُ عَمَلاً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راجع به گفتار پروردگار با فر و شكوه كه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پاك به سوی او بالا رود و كار شایسته را بالا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خانواده مقصود است، و با دست اشاره به سینه </w:t>
      </w:r>
    </w:p>
    <w:p>
      <w:pPr>
        <w:pStyle w:val="BookText"/>
        <w:rPr/>
      </w:pPr>
      <w:r>
        <w:rPr>
          <w:rFonts w:ascii="IRNazanin" w:hAnsi="IRNazanin" w:eastAsia="IRNazanin"/>
          <w:color w:val="111111"/>
          <w:sz w:val="28"/>
          <w:sz w:val="28"/>
          <w:szCs w:val="28"/>
          <w:rtl w:val="true"/>
          <w:lang w:bidi="fa-IR"/>
        </w:rPr>
        <w:t>خود نمود و فرمود كسی كه ولایت ما را نداشته باشد، حضرت احدیت هیچ عملی را از او بالا نبرد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كس بمیرید و عارف به آن امام الهی كه تصدیق امامتش موجب هدایت، ائتمامش راه سعادت و ورود از باب ولایتش، عامل قبول عبادت است نباشد، به مرگ جاهلیت مرده است؛ هر چند كه در تمام عمر بی حاصلش از ظاهر اسلام و قرآن، روزه و نماز، مسجد و محراب، حج و زكات و جهاد جدایی نداشته 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چنین فردی مصداق این حدیث </w:t>
      </w:r>
    </w:p>
    <w:p>
      <w:pPr>
        <w:pStyle w:val="BookText"/>
        <w:rPr/>
      </w:pPr>
      <w:r>
        <w:rPr>
          <w:rFonts w:ascii="IRNazanin" w:hAnsi="IRNazanin" w:eastAsia="IRNazanin"/>
          <w:color w:val="111111"/>
          <w:sz w:val="28"/>
          <w:sz w:val="28"/>
          <w:szCs w:val="28"/>
          <w:rtl w:val="true"/>
          <w:lang w:bidi="fa-IR"/>
        </w:rPr>
        <w:t>شریف است كه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كس بمیرد و عارف به امام زمانش نباشد،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از احادیث متواتری </w:t>
      </w:r>
      <w:r>
        <w:rPr>
          <w:rStyle w:val="FootnoteAnchor"/>
          <w:rtl w:val="true"/>
        </w:rPr>
        <w:footnoteReference w:id="20"/>
      </w:r>
      <w:r>
        <w:rPr>
          <w:rFonts w:ascii="IRNazanin" w:hAnsi="IRNazanin" w:eastAsia="IRNazanin"/>
          <w:color w:val="111111"/>
          <w:sz w:val="28"/>
          <w:sz w:val="28"/>
          <w:szCs w:val="28"/>
          <w:rtl w:val="true"/>
          <w:lang w:bidi="fa-IR"/>
        </w:rPr>
        <w:t>است كه مورد اتفاق شیعه و عامه است كه رسول اكرم صلی الله علیه و آله بدان تفوه نموده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 اساس مفاد این روایت اگر كسی بمیرد و امام زمانش را نشناسد و امامت وی را تصدیق نكرده و ولایتش را نپذیرد، به مرگ جاهلیت مرده است، كه مقصود از مردن به گونه جاهلی، مردن به آن حالتی است كه مردمان دوران جاهلیت مرده اند و آن مردن در حالت كفر و الحاد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 ماست تا امام و حجت الهی دره ر دوران را بشناسیم و امامتش را پذیرا باشیم، تا عارف به امام زمان خود بوده و به مقام ایمان نایل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لَیْسَ لَهُ إِمَامٌ فَمَوْتُهُ مِیتَهٌ جَاهِلِیَّهٌ وَ لاَ یُعْذَرُ اَلنَّاسُ حَتَّی یَعْرِفُوا إِمَامَهُمْ، </w:t>
      </w:r>
      <w:r>
        <w:rPr>
          <w:rStyle w:val="FootnoteAnchor"/>
          <w:rtl w:val="true"/>
        </w:rPr>
        <w:footnoteReference w:id="22"/>
      </w:r>
      <w:r>
        <w:rPr>
          <w:rFonts w:ascii="Amiri" w:hAnsi="Amiri" w:eastAsia="Amiri" w:cs="Amiri"/>
          <w:color w:val="111111"/>
          <w:sz w:val="28"/>
          <w:sz w:val="28"/>
          <w:szCs w:val="28"/>
          <w:rtl w:val="true"/>
          <w:lang w:bidi="ar-SA"/>
        </w:rPr>
        <w:t xml:space="preserve">وَ مَنْ مَاتَ وَ هُوَ عَارِفٌ لِإِمَامِهِ لاَ یَضُرُّهُ تَقَدُّمُ هَذَا اَلْأَمْرِ أَوْ تَأَخُّرُهُ وَ مَنْ مَاتَ عَارِفاً لِإِمَامِهِ کَانَ کَمَنْ هُوَ مَعَ اَلْقَائِمِ فِی فُسْطَاطِهِ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فضیل روایت شده است كه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بمیرد و او را امامی نباشد به مرگ جاهلیت مرده است و مردم عذری ندراند مگر آنكه امامشان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عبارت دقیق تر پس از معرفی امام خویش را به امامت و حصول شناخت برای بندگان امامتش را پذیرا و تصدیق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بمیرد و امامش را بشناسد مقدم شدن امر ظهرو و با تاخیرش وی را زیانی نمی رساند و هر كس بمیرد در حالی كه امامش را بشناسد بسان كسی است كه با قائم در خیمه و خرگاهش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مقوله نصوص و روایات فراوانی از جانب قدس احدیت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تصریح به نام یكایك ائمه و معرفی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آن گونه كه از شمارش خارج می باشد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راه هدایت را به روشنی در پیش روی طالبان حقیقت گشوده است، تا با دلایل و براهین آشكار و مستحكم، امامان الهی را بشناسند، امامتشان را پذیرا باشند و در نور ولایتشان وارد شوند، تا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نصوص گرانقدر، حدیث شریف لوح از جمله احادیث قدسی و والا مقامی است كه دلالت تام بر معرفی امامان الهی علیهم السلام دارد و همچون چراغی فروزان در تاریكی جهل و گمراهی، هدایت كننده رهروان به نور ایمان و خارج كننده آنان از ظلمت كفر، ضلالت و نفاق می باشد، تا در این دوران سرگشتگی غیبت، قوت قلبی برای شیعیان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ایتام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راهگشایی برای جستجوگران هدایت گردد</w:t>
      </w:r>
      <w:r>
        <w:rPr>
          <w:rFonts w:eastAsia="IRNazanin" w:cs="IRNazanin"/>
          <w:color w:val="111111"/>
          <w:sz w:val="28"/>
          <w:szCs w:val="28"/>
          <w:rtl w:val="true"/>
          <w:lang w:bidi="fa-IR"/>
        </w:rPr>
        <w:t xml:space="preserve">. </w:t>
      </w:r>
      <w:bookmarkStart w:id="17" w:name="pg705_7014"/>
    </w:p>
    <w:p>
      <w:pPr>
        <w:pStyle w:val="Heading2"/>
        <w:numPr>
          <w:ilvl w:val="1"/>
          <w:numId w:val="1"/>
        </w:numPr>
        <w:rPr/>
      </w:pPr>
      <w:bookmarkStart w:id="18" w:name="__RefHeading___Toc5931654_211673320"/>
      <w:bookmarkStart w:id="19" w:name="_Toc5"/>
      <w:bookmarkEnd w:id="17"/>
      <w:bookmarkEnd w:id="18"/>
      <w:r>
        <w:rPr>
          <w:rtl w:val="true"/>
        </w:rPr>
        <w:t xml:space="preserve">مقدمه اوّل </w:t>
      </w:r>
      <w:r>
        <w:rPr>
          <w:rtl w:val="true"/>
        </w:rPr>
        <w:t xml:space="preserve">: </w:t>
      </w:r>
      <w:r>
        <w:rPr>
          <w:rtl w:val="true"/>
        </w:rPr>
        <w:t>مأخذ حديث لوح</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الاسلام كلینی قدس سره، ابوجعفر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ابوالحسن 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قدس سره، ابوجعفر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و تمام النعمه،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التبصره،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رحمه الله، ابن ابی زینب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الغیبه،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الامه، شیخ مفید قدس سره، ابوعبدالله محمد بن محمد بن نعمان حارثی عكبری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الطائفه طوسی قدس سره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الغیبة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ابو علی احمد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طبرسی رحمه الله ابوالفضل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شیخ 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سبزواری یا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شیخ صدوق قدس سره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ابراهیم بن محمد بن مؤید جوینی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فضائل المرتضی و البتول و السبطین من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شیخ 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قدس سره،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الجامعة لدرر الاخبار الائمة الاطهارعلیهم السلام،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شیخ صدوق شیخ مفید و شیخ طوسی و طبرسی و نعمانی رحمه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اصفهانی رحمه الله، شیخ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المعارف و الاحوال،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احوالات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bookmarkStart w:id="20" w:name="pg705_7017"/>
    </w:p>
    <w:p>
      <w:pPr>
        <w:pStyle w:val="Heading2"/>
        <w:numPr>
          <w:ilvl w:val="1"/>
          <w:numId w:val="1"/>
        </w:numPr>
        <w:rPr/>
      </w:pPr>
      <w:bookmarkStart w:id="21" w:name="__RefHeading___Toc5931656_211673320"/>
      <w:bookmarkStart w:id="22" w:name="_Toc6"/>
      <w:bookmarkEnd w:id="20"/>
      <w:bookmarkEnd w:id="21"/>
      <w:r>
        <w:rPr>
          <w:rtl w:val="true"/>
        </w:rPr>
        <w:t xml:space="preserve">مقدمه دوم </w:t>
      </w:r>
      <w:r>
        <w:rPr>
          <w:rtl w:val="true"/>
        </w:rPr>
        <w:t xml:space="preserve">: </w:t>
      </w:r>
      <w:r>
        <w:rPr>
          <w:rtl w:val="true"/>
        </w:rPr>
        <w:t>راويان حديث لوح</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ثقه الاسلام كلینی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و محمد بن عبد الله، عن عبد الله بن جعفر، عن الحسن بن ظریف، و علی بن محمد، عن صالح بن ابی حماد، عن بكر بن صالح، عن عبد الرحمان بن سالم، عن ابی بصیر،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صالح بن ابی حماد و الحسن بن ظریف معا، عن بكر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سند همچون عیون و كمال الدین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شیخ 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 محمد بن الحسن بن احمد بن الولید،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 عبد الله بن </w:t>
      </w:r>
    </w:p>
    <w:p>
      <w:pPr>
        <w:pStyle w:val="BookText"/>
        <w:rPr/>
      </w:pPr>
      <w:r>
        <w:rPr>
          <w:rFonts w:ascii="IRNazanin" w:hAnsi="IRNazanin" w:eastAsia="IRNazanin"/>
          <w:color w:val="111111"/>
          <w:sz w:val="28"/>
          <w:sz w:val="28"/>
          <w:szCs w:val="28"/>
          <w:rtl w:val="true"/>
          <w:lang w:bidi="fa-IR"/>
        </w:rPr>
        <w:t>جعفر الحمیری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الخیر صالح بن ابی حماد و 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بكر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اندكی در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و محمد بن موسی المتوكل و محمد بن علی ماجیلویه، و احمد بن علی بن ابراهیم بن هاشم و الحسین بن ابراهیم بن تاتانه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زیاد بن جعفر الهمدانی رضی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ابیه، عن بكر بن صالح، عن عبد الرحمان ان بن سالم، عن ابی بصیر،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اندكی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جمیعا، عن صالح بن ابی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التبصره،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سند همچون عیون و كمال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شیخ مفید قدس سره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معقل القرمیسنی، عن ابیه، عن عبد الله بن جعفر الحمیری، عن الحسن بن ظریف، </w:t>
      </w:r>
    </w:p>
    <w:p>
      <w:pPr>
        <w:pStyle w:val="BookText"/>
        <w:rPr/>
      </w:pPr>
      <w:r>
        <w:rPr>
          <w:rFonts w:ascii="Amiri" w:hAnsi="Amiri" w:eastAsia="Amiri" w:cs="Amiri"/>
          <w:color w:val="111111"/>
          <w:sz w:val="28"/>
          <w:sz w:val="28"/>
          <w:szCs w:val="28"/>
          <w:rtl w:val="true"/>
          <w:lang w:bidi="ar-SA"/>
        </w:rPr>
        <w:t>عن بكر بن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سند همچون عیون و كمال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نعمانی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القمی و أبوالقاسم، عن سعد بن عبدالله، عن بكر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الغیبة،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سند همچون عیون و كمال الدین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طوسی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محمد بن سفیان البزوفری، عن أحمد بن ادریس و الحمیری معا، عن صالح بن ابی حماد و الحسن بن ظریف معا، عن بكر بن صالح، عن عبدالرحمان بن سالم، عن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الغیبة،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سند همچون عیون و كمال الدین</w:t>
      </w:r>
      <w:r>
        <w:rPr>
          <w:rFonts w:eastAsia="IRNazanin" w:cs="IRNazanin"/>
          <w:color w:val="111111"/>
          <w:sz w:val="28"/>
          <w:szCs w:val="28"/>
          <w:rtl w:val="true"/>
          <w:lang w:bidi="fa-IR"/>
        </w:rPr>
        <w:t xml:space="preserve">)) </w:t>
      </w:r>
      <w:bookmarkStart w:id="23" w:name="pg705_7020"/>
    </w:p>
    <w:p>
      <w:pPr>
        <w:pStyle w:val="Heading2"/>
        <w:numPr>
          <w:ilvl w:val="1"/>
          <w:numId w:val="1"/>
        </w:numPr>
        <w:rPr/>
      </w:pPr>
      <w:bookmarkStart w:id="24" w:name="__RefHeading___Toc5931658_211673320"/>
      <w:bookmarkStart w:id="25" w:name="_Toc7"/>
      <w:bookmarkEnd w:id="23"/>
      <w:bookmarkEnd w:id="24"/>
      <w:r>
        <w:rPr>
          <w:rtl w:val="true"/>
        </w:rPr>
        <w:t xml:space="preserve">مقدمه سوم </w:t>
      </w:r>
      <w:r>
        <w:rPr>
          <w:rtl w:val="true"/>
        </w:rPr>
        <w:t>:</w:t>
      </w:r>
      <w:r>
        <w:rPr>
          <w:rtl w:val="true"/>
        </w:rPr>
        <w:t>نکاتی در باب حدیث لوح</w:t>
      </w:r>
      <w:bookmarkEnd w:id="25"/>
    </w:p>
    <w:p>
      <w:pPr>
        <w:pStyle w:val="BookText"/>
        <w:rPr/>
      </w:pPr>
      <w:r>
        <w:rPr>
          <w:rFonts w:ascii="IRNazanin" w:hAnsi="IRNazanin" w:eastAsia="IRNazanin"/>
          <w:color w:val="111111"/>
          <w:sz w:val="28"/>
          <w:sz w:val="28"/>
          <w:szCs w:val="28"/>
          <w:rtl w:val="true"/>
          <w:lang w:bidi="fa-IR"/>
        </w:rPr>
        <w:t>این حدیث را امام صادق علیه السلام از قول پدر بزرگوار خود، امام باقرعلیه السلام روایت فرموده اند و متن حدیث دلالتی بر حضور امام صادق علیه السلام در هنگام وقوع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 اصول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امام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ات بنگر تا من آن را برای تو بخوانم، پس جابر در نسخه اش نگریست و پدرم علیه السلام بر او قرائت می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نكته موجد این سوال است كه جابر بن عبدالله انصاری رحمه الله در آن زمان بینا بوده است؛ حال آنكه از برخی كتب چنین استنباط می شود كه وی به هنگام زیارت اربعین سالار شهیدان، حضرت ابی عبدالله الحسین علیه السلام از نعمت بینایی </w:t>
      </w:r>
    </w:p>
    <w:p>
      <w:pPr>
        <w:pStyle w:val="BookText"/>
        <w:rPr/>
      </w:pPr>
      <w:r>
        <w:rPr>
          <w:rFonts w:ascii="IRNazanin" w:hAnsi="IRNazanin" w:eastAsia="IRNazanin"/>
          <w:color w:val="111111"/>
          <w:sz w:val="28"/>
          <w:sz w:val="28"/>
          <w:szCs w:val="28"/>
          <w:rtl w:val="true"/>
          <w:lang w:bidi="fa-IR"/>
        </w:rPr>
        <w:t>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كه آن خبر دلالتی بر نابینایی كامل جابر ندارد، چه ممكن است كه این صحابی بزرگ، چشمانش كم سو بوده و یا از شدت اشك و اندوه توان دیدن نداشته، از این رو به عطیه فرموده تا دستان وی را گرفته بر مزار حضرت امام حسین علیه السلام بگذار و یا به استحسان برخی از صاحب نظران با مستمسك قرار دادن این مطلب كه الشفاء فی تربته علیه السلام در آن زمان چشمانش شفا گرفته و بینایی خود را بازیافته، در نتیجه در زمان امام باقر علیه السلام از نعمت بینایی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نسخی همچون عیون اخبار الرضا علیه السلام این فراز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لوح در این مجموعه بر گرفته از كتاب عیون اخبار الرضا علیه السلام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حدیث لوح با آنچه كه به عنوان حدیث صحیفه در بیان اسامی معصومین علیهم السلام از صدیقه زهرا علیها السلام نقل شده است كاملا متفاوت بوده و بسیار بعید است كه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بتوانیم این دو حدیث را یكی تلقی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شیخ صدوق قدس سره در كتاب شریف كمال الدین برای هر كدام از این دو حدیث بابی مستقل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باب بیست و هفتم از كتابش را چنین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سيِّدة نساء العالمين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الصحيفة وما فيها من أسماء الأئمَّة وأسماء أُمَّهاتهم وأنَّ الثاني عشر منهم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بعدی را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الذي أهداه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فعرضته على جابر بن عبد الله الأنصاري حتَّى قرأه وانتسخه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بعید است نكاتی چند كه پیرامون حدیث اول تذكر داده است و خود شیخ هم در كمال الدین به برخی از این نكات اشاره فرموده است، ارتباطی با حدیث دوم كه مشهور به حدیث لوح است داشته باشد</w:t>
      </w:r>
      <w:r>
        <w:rPr>
          <w:rFonts w:eastAsia="IRNazanin" w:cs="IRNazanin"/>
          <w:color w:val="111111"/>
          <w:sz w:val="28"/>
          <w:szCs w:val="28"/>
          <w:rtl w:val="true"/>
          <w:lang w:bidi="fa-IR"/>
        </w:rPr>
        <w:t xml:space="preserve">. </w:t>
      </w:r>
      <w:bookmarkStart w:id="26" w:name="pg705_7023"/>
    </w:p>
    <w:p>
      <w:pPr>
        <w:pStyle w:val="Heading2"/>
        <w:numPr>
          <w:ilvl w:val="1"/>
          <w:numId w:val="1"/>
        </w:numPr>
        <w:rPr/>
      </w:pPr>
      <w:bookmarkStart w:id="27" w:name="__RefHeading___Toc5931660_211673320"/>
      <w:bookmarkStart w:id="28" w:name="_Toc8"/>
      <w:bookmarkEnd w:id="26"/>
      <w:bookmarkEnd w:id="27"/>
      <w:r>
        <w:rPr>
          <w:rtl w:val="true"/>
        </w:rPr>
        <w:t xml:space="preserve">گفتار اوّل </w:t>
      </w:r>
      <w:r>
        <w:rPr>
          <w:rtl w:val="true"/>
        </w:rPr>
        <w:t xml:space="preserve">: </w:t>
      </w:r>
      <w:r>
        <w:rPr>
          <w:rtl w:val="true"/>
        </w:rPr>
        <w:t>متن حدیث لوح</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الأَوْقاتِ شِئْتَ فَخَلا بِهِ أَبی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أَخْبِرْنِی عَنْ اللَّوْحِ الَّذِی رَأَیْتَهُ فِی یَدِ اُمِّی فاطِمَه بِنْتِ رَسُولَ اللَّهِ صَلَّی اللهُ عَلَیْهِ وَآلِهِ وَما أَخْبَرَتْکَ بِهِ اُمِّی أَنَّ فِی ذلِکَ اللَّوْحِ مَکْتُوباً؟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إِنِّی دَخَلْتُ عَلَی اُمّکَ فاطِمَه فِی حَیاهِ رَسُولَ اللَّهِ صَلَّی اللهُ عَلَیْهِ وَآلِهِ لِاُهَنِّئَها بِوِلادَهِ الحُسَیْنِ عَلَیْهِ السَّلامُ، فَرَأَیْتُ فِی یَدِها لَوْحاً أَخْضَرَ ظَنَنْتُ أَنَّهُ زُمُرُّدٌ، وَرَأَیْتُ فِیهِ کِتاباً أَبْیَضَ شِبْهَ نُورُ الشَّمْسِ، فَقُلْتُ لَها بِأَبِی أَنْتَ وَ </w:t>
      </w:r>
      <w:bookmarkStart w:id="29" w:name="pg705_7024"/>
    </w:p>
    <w:p>
      <w:pPr>
        <w:pStyle w:val="Heading2"/>
        <w:numPr>
          <w:ilvl w:val="1"/>
          <w:numId w:val="1"/>
        </w:numPr>
        <w:rPr/>
      </w:pPr>
      <w:bookmarkStart w:id="30" w:name="__RefHeading___Toc5931662_211673320"/>
      <w:bookmarkStart w:id="31" w:name="_Toc9"/>
      <w:bookmarkEnd w:id="29"/>
      <w:bookmarkEnd w:id="30"/>
      <w:r>
        <w:rPr>
          <w:rtl w:val="true"/>
        </w:rPr>
        <w:t xml:space="preserve">گفتار دوم </w:t>
      </w:r>
      <w:r>
        <w:rPr>
          <w:rtl w:val="true"/>
        </w:rPr>
        <w:t xml:space="preserve">: </w:t>
      </w:r>
      <w:r>
        <w:rPr>
          <w:rtl w:val="true"/>
        </w:rPr>
        <w:t xml:space="preserve">برگردان </w:t>
      </w:r>
      <w:r>
        <w:rPr>
          <w:rtl w:val="true"/>
        </w:rPr>
        <w:t>(</w:t>
      </w:r>
      <w:r>
        <w:rPr>
          <w:rtl w:val="true"/>
        </w:rPr>
        <w:t>ترجمه</w:t>
      </w:r>
      <w:r>
        <w:rPr>
          <w:rtl w:val="true"/>
        </w:rPr>
        <w:t xml:space="preserve">) </w:t>
      </w:r>
      <w:r>
        <w:rPr>
          <w:rtl w:val="true"/>
        </w:rPr>
        <w:t>حدیث لوح</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و او از امام صادق علیه السلام روایت كرده است كه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كاری دارم، چه وقت برای تو آسان تر است كه تو را تنها ببینم و از تو سوال كنم؟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شما اراده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لوحی كه آن را در دستان مادرم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یگانه فرستاده پروردگار عالمیان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آنچه مادرم در این باره به تو فرمود، مرا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گواه می گیرم كه من در زمان حیات رسول اكرم صلی الله علیه و آله شرفیاب محضر مقدس مادرتان فاطمه علیها السلام شدم و حضرتش را به ولادت حسین علیه السلام تبریك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دستانشان لوح سبزی دیدم كه گمان كردم از زمرد است و مكتوبی سفید در آن دیدم كه چون خورشید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عرضه داشتم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 یا بِنْتَ رَسُولِ اللَّهِ صَلَّی اللهُ عَلَیْهِ وَآلِهِ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وَجَلَّ إِلی رَسُولِهِ صَلَّی اللهُ عَلَیْهِ وَآلِهِ فِيهِ اسْمُ أَبِي، وَ اسْمُ بَعْلِي، وَ اسْمُ ابْنَيَّ، وَ أَسْمَاءُ الْأَوْصِيَاءِ مِنْ وُلْدِي، فَأَعْطَانِيهِ أَبِي لِيَسُرَّنِي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عَلَيْهَا السَّلَامُ، فَقَرَأْتُهُ وَ انْتَسَخْتُهُ،فَقَالَ لَهُ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إِلَى أَبِي صَحِيفَةً مِنْ رَقٍّ،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أَنّی هکَذا رَأَیْتُهُ فِی اللَّوْحِ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هذا کِتابٌ مِنَ اللَّهِ الْعَزیزِ الْحَکیمِ لِمُحَمَّدٍ نَبِیِّهِ وَ نُورِهِ وَ سَفیرِهِ وَ حِجابِهِ وَ دَ لیلِهِ، نَزَلَ بِهِ الرُّوحُ الاْءَمینُ مِنْ عِنْدِ رَبِّ الْعالَمینَ، عَظِّمْ یا مُحَمَّدُ أَسْمآئی وَ اشْکُرْ نَعْمآئی وَ لا تَجْحَدْ آلائی، إِنّی أَنَا اللَّهُ لاَ إِلهَ إِلاَّ أَنَا قاصِمُ الجَبّارینِ وَ مُدِیلُ الْمَظْلُومینَ و دَیّانُ الدّینِ،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فدایتان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كه معبود جل و عز آن را به رسولش اهدا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پدرم و نام شوهرم و نام دو پسرم و نامهای اوصیای از فرزندانم نگاشته شده است كه پدرم آن را به عنوان مژدگانی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قرائت كرده و از متن آن نسخه ای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جابر آنچه را كه می گویی در نزدت موجود است، تا بر من عرضه بداری؟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گاه پدرم با او در راه شدند تا بسرای جابر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پدرم صحیفه ای از پوست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شاهد می گیرم كه من در این هنگام همان چیزی را مشاهده كردم كه در آن لوح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كتابی است از جانب معبود عزیز و حكیم نام، برای محمد، نور، سفیر، حجاب و راهنمای به سویش، كه روح الامین آن را از نزد حضرت رب العالمین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نامهای مرا بزرگ شمار، نعمتهایم را سپاس گذار و بخششهایم را انكار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كه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شكننده زورگویان، نابود كننده گردن فرازان، خوار كننده ستمگران، و صاحب دین</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أَنَا اللّهُ لاَ إِلهَ إِلاَّ أَنَا فَمَنْ رَجَا غَیْرَ فَضْلی أَوْ خَافَ غَیْرَ عَدْلی، عَذَّبْتُهُ عَذابًا لاَ أُعَذِّبُ بِهِ أَحَدًا مِنَ الْعالَمینَ، فَإِیّایَ فَاعْبُدْ وَ عَلَیَّ تَوَکَّلْ، إِنّی لَمْ أَبْعَثْ نَبِیًّا فَأُکْمِلَتْ أَیّامُهُ وَ انْقَضَتْ مُدَّتُهُ إِلاَّ جَعَلْتُ لَهُ وَصِیًّا، وَ إِنّی فَضَّلْتُکَ عَلَی الاْءَنْبِیآءِ وَ فَضَّلْتُ وَصِیَّکَ عَلَی الاْءَوْصِیآءِ وَ أَکْرَمْتُکَ بِشِبْلَیْکَ وَ سِبْطَیْکَ حَسَنٍ وَ حُسَیْنٍ، فَجَعَلْتُ حَسَنًا مَعْدِنَ عِلْمی بَعْدَ انْقِضآءِ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سَیِّدُالْعابِدینَ وَ زَیْنُ أَوْلیآئی الماضینَ وَ ابْنُهُ شِبْهُ جَدِّهِ الْمَحْمودِ مُحَمَّدٌ الْباقِرُ عِلْمِی وَ الْمَعْدِنُ لِحِکْمَتی؛ سَیَهْلِکُ الْمُرتابُونَ فی جَعْفَرٍ، الرّادُّ عَلَیْهِ کَالرّادِّ عَلَیَّ، حَقَّ الْقَوْلُ مِنّی لاَءُکْرِمَنَّ مَثْوَی جَعْفَرٍ، وَ لاَءَسُرَّنَهُ فی أَشْیاعِهِ وَ أَنْصارِهِ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الله كه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غیر از فضل و كرم من امید برد، یا از چیزی غیر از عذاب من بترسد، او را آن چنان عذابی كنم كه احدی را عذاب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مرا بپرست و فقط بر من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را مبعوث نكرده ام كه ایامش به سر آمده باشد، مگر اینكه برایش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پیامبران برتری داده و جانشینت را بر جانشینان فضیلت بخشیده و به دو نواده و دو شیر بچه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بعد از سپری شدن دوران پدرش معدن علم خود و حسین را نگهبان گنجینه وحیم قرار دادم، وی را به شهادت گرامی داشته و فرجام كارش را به خیر و سعادت ختم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شهیدان افضل و درجه اش در نزد من از همه آنان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تامه خود را همراه وی قرار دادم و حجت بالغه را در نزد او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كیفرم را با وساطت خاندان او انجام می دهم كه اول آنها علی سرور عابدان و زیور اولیای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كه به جد ستوده اش شبیه است، شكافنده علم و معدن حكمتم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 و تردید دارندگان درباره جعفر هلاك خواهند شد، كسی كه او را نپذیرد، مرا نپذیرفته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أَوْلِیائِهِ؛ أُتِیحَتْ بَعْدَهُ مُوسَی فِتْنَةٌ عَمْیآءُ حِنْدِسٌ لاِءَنَّ خَیْطَ فَرْضِی لایَنْقَطِعُ وَ حُجَّتی لاَتَخْفَی وَ أَنَّ أَوْلیآئی یُسْقَوْنَ بِالکَأْسِ الاْءَوْفَی، مَنْ جَحَدَ واحِدًا مِنْهُمْ فَقَد جَحَدَ نِعْمَتی، وَ مَنْ غَیَّرَ آیَةً مِنْ کِتابی فَقَدِ افْتَرَی عَلَیَّ، وَیْلٌ لِلْمُفْتَرینَ الجاحِدینَ عِنْدَ انْقِضآءِ مُدَّةِ مُوسَی عَبْدِی وَ حَبیبی وَ خِیَرَتی فی عَلیٍّ وَلیِّی و ناصِری وَ مَنْ أَضَعُ عَلَیْهِ أَعْبآءَ النُّبُوَّةِ وَ أَمْتَحِنُهُ بِالاِْضْطِلاعِ بِها؛ یَقْتُلُهُ عِفْریتٌ مُسْتَکْبِرٌ؛ یُدْفَنُ فِی الْمَدینَةِ الَّتی بَناهَا الْعَبْدُ الصّالِحُ إِلَی جَنْبِ شَرِّ خَلْقی، حَقَّ القَوْلُ مِنّی لاَءَسُرَّنَهُ بِمُحَمَّدٍ ابْنِهِ وَ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حتمی و راستین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بسیار گرامی و محترم می دارم، وی را در مورد پیروان، یاوران و دوستانش خوشحال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موسی را برگزیدم و بعد از وی فتنه ای تاریك بر پا می گردد، با اینكه ریسمان امامت پاره نمی شود و حجت من مخفی نمی ماند و اولیای من به شقاوت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یكی از آنها را انكار كند، نعمت مرا انكار كرده و هر كس آیه ای از كتاب مرا تغییر دهد،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افترا زنندگان و منكران، در موقع پایان یافتن مدت بنده، حبیب و برگزیده ام موسی، كسی كه هشتمین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تكذیب كند، همه اولیای مرا تكذیب كرده و علی، ولی و ناصر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كسی است كه زحمتهای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دوشش می گذاردم و قدرت و توانمندی به وی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خبیثی متكبر او را به قتل می رساند و در شهری كه بنده صالح </w:t>
      </w:r>
      <w:r>
        <w:rPr>
          <w:rStyle w:val="FootnoteAnchor"/>
          <w:rtl w:val="true"/>
        </w:rPr>
        <w:footnoteReference w:id="25"/>
      </w:r>
      <w:r>
        <w:rPr>
          <w:rFonts w:ascii="IRNazanin" w:hAnsi="IRNazanin" w:eastAsia="IRNazanin"/>
          <w:color w:val="111111"/>
          <w:sz w:val="28"/>
          <w:sz w:val="28"/>
          <w:szCs w:val="28"/>
          <w:rtl w:val="true"/>
          <w:lang w:bidi="fa-IR"/>
        </w:rPr>
        <w:t xml:space="preserve">آن را بنا نهاده است در كنار بدترین </w:t>
      </w:r>
      <w:r>
        <w:rPr>
          <w:rStyle w:val="FootnoteAnchor"/>
          <w:rtl w:val="true"/>
        </w:rPr>
        <w:footnoteReference w:id="26"/>
      </w:r>
      <w:r>
        <w:rPr>
          <w:rFonts w:ascii="IRNazanin" w:hAnsi="IRNazanin" w:eastAsia="IRNazanin"/>
          <w:color w:val="111111"/>
          <w:sz w:val="28"/>
          <w:sz w:val="28"/>
          <w:szCs w:val="28"/>
          <w:rtl w:val="true"/>
          <w:lang w:bidi="fa-IR"/>
        </w:rPr>
        <w:t>خلقم دفن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حتمی و راستین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جانشین و فرزندش محمّد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خَلیفَتِهِ مِنْ بَعْدِهِ وَ وَارِثِ عِلْمِهِ، فَهُوَ مَعْدِنُ عِلْمی و مَوْضِعُ سِرّی وَ حُجَّتی عَلی خَلْقی، لاَیُؤْمِنُ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لِلْعالَمینَ، عَلَیْهِ کَمالُ مُوسَی وَ بَهآءُ عِیسَی وَ صَبْرُ أَیُّوبَ فَیُذَلُّ أَوْلِیآئی فی زَمانِهِ و تُتَهادَی رُؤُوسُهُمْ کَما تُتَهادَی رُؤُوسُ التُّرکِ وَ الدَّیْلَمِ فَیُقْتَلُونَ وَ یُحْرَقُونَ وَ یَکُونُونَ خَائِفینَ، مَرْعُوبینَ وَجِلینَ، تُصْبَغُ الأَرْضُ بِدِمائِهِمْ وَ یَفْشُوا الْوَیْلُ وَ الرَّنَّةُ فی نِسائِهِمْ أُولآئِکَ أَوْلِیآئی حَقًّا، بِهِمْ أَدْفَعُ کُلَّ فِتْنَةٍ عَمْیآءَ حِنْدِسٍ وَ بِهِمْ أَکْشِفُ الزَّلازِلَ وَ أَدْفَعُ الاْآصارَ وَ الاْءَغْلالَ، أُولآئِکَ عَلَیْهِمْ صَلَواتٌ مِن رَبِّهِمْ وَ رَحْمَةٌ وَ أُولآئِکَ هُمُ الْمُهْتَدُونَ</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خواهم كرد، او وارث علم، معدن حكمت، جایگاه اسرار نهانی و حجت من بر آفریدگان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جایگاه او قرار دادم و شفاعتش را درباره هفتاد نفر از خانواده اش كه مستحق عذاب دوزخ شده اند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فرزندش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ولی، نامی، گواه در میان خلق و امین وحی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ختم به خیر سعادت می كنم، از او فرزندی بوجود خواهم آورد به نام حسن كه مردم را به راهم دعوت می كند و خزانه دار گنجینه علم من است و سپس آن را با فرزندش كه مایه رحمت برای همه عالم است كامل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موسی، نورانیت عیسی و صبر ایوب، همه در وی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من خوار و ذلیل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سرهایشان را چون سرهای ترك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دیگر هدیه می دهند، سوزانیده می شوند و پیوسته در حال رعب و اضطراب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خونشان رنگین و آه و ناله در بین زنانشان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 اولیای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هر فتنه ظلمانی را دفع، تزلزلات و دگرگونیها را برطرف، و سختی ها را مرتفع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باد درود و رحمت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فِی دَهْرِکَ إِلَّا هذَا الْحَدِیثَ لَکَفَاکَ ، فَصُنْهُ إِلَّا عَنْ أَهْلِهِ</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و آنها هستند كه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فرزند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سراسر عمرت جز این حدیث را نشنوده باشی همانا این حدیث تو را كفایت می كند، پس آن را از غیر اهلش دور دار</w:t>
      </w:r>
      <w:r>
        <w:rPr>
          <w:rFonts w:eastAsia="IRNazanin" w:cs="IRNazanin"/>
          <w:color w:val="111111"/>
          <w:sz w:val="28"/>
          <w:szCs w:val="28"/>
          <w:rtl w:val="true"/>
          <w:lang w:bidi="fa-IR"/>
        </w:rPr>
        <w:t xml:space="preserve">. </w:t>
      </w:r>
      <w:bookmarkStart w:id="32" w:name="pg705_7035"/>
    </w:p>
    <w:p>
      <w:pPr>
        <w:pStyle w:val="Heading2"/>
        <w:numPr>
          <w:ilvl w:val="1"/>
          <w:numId w:val="1"/>
        </w:numPr>
        <w:rPr/>
      </w:pPr>
      <w:bookmarkStart w:id="33" w:name="__RefHeading___Toc5931664_211673320"/>
      <w:bookmarkStart w:id="34" w:name="_Toc10"/>
      <w:bookmarkEnd w:id="32"/>
      <w:bookmarkEnd w:id="33"/>
      <w:r>
        <w:rPr>
          <w:rtl w:val="true"/>
        </w:rPr>
        <w:t>خاتمه</w:t>
      </w:r>
      <w:bookmarkEnd w:id="34"/>
    </w:p>
    <w:p>
      <w:pPr>
        <w:pStyle w:val="BookText"/>
        <w:rPr/>
      </w:pPr>
      <w:r>
        <w:rPr>
          <w:rFonts w:ascii="IRNazanin" w:hAnsi="IRNazanin" w:eastAsia="IRNazanin"/>
          <w:color w:val="111111"/>
          <w:sz w:val="28"/>
          <w:sz w:val="28"/>
          <w:szCs w:val="28"/>
          <w:rtl w:val="true"/>
          <w:lang w:bidi="fa-IR"/>
        </w:rPr>
        <w:t>با توجه به این حدیث شریف مشخص می شود كه تعداد ائمه، خلفا و اوصیای الهی بعد از نبی اكرم صلی الله علیه و آله دوازده نفر بوده كه همگی از قریش، از تیره بنی هاشم و از عترت پاك و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حدیث لوح در بردارنده نتیجه چندین دسته از روایات فراوانی است كه از رسول اكرم صلی الله علیه و آله در زمینه راهنمایی به سوی شناخت امامان الهی علیهم السلام رسیده است، كه هر یك به ترتیب، زیر مجموعه دسته دیگر بوده و نهایتا ما را در احادیثی همچون حدیث لوح و یا سایر نصوص وارده بر دوازده امام علیهم السلام به شناخت كامل امامان الهی نایل می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دسته از روایات این مجموعه شامل احادیثی است كه دلالت دارند بر اینكه امامان الهی دوازده نفر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دسته، دلالت دارند بر این كه تعداد آنان به تعداد نقبای بنی اسرائیل و اسباط و حواری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دوازده نفر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دسته شامل روایاتی است كه دلالت دارند بر اینكه امامان الهی دوازده نفرند و اولین آنها علی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روایاتی هستند كه اولین نفر از امامان دوازده گانه را علی علیه السلام و آخرین آنان را مهدی علیه السلام معرفی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 شامل روایاتی است كه آخرین امامان دوازده گانه را مهدی علیه السلام معرفی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ششم شامل روایاتی است كه دلالت دارند بر اینكه امامان الهی دوازده نفر بوده و نه نفر آنها از اولاد حضرت سیدالشهدا، امام حسین علیه السلام می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هفتم شامل روایاتی است كه دلالت دارند بر اینكه امامان الهی دوازده نفر بوده و نه نفر آنها از اولاد حضرت امام حسین علیه السلام بوده و حضرت بقیه الله الاعظم، مهدی صاحب الزمان علیه السلام آخرین </w:t>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دسته روایاتی هستند كه دلالت دارند بر نام یكایك امامان الهی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مجموعه از نصوص و روایات و دقت و تامل در مضامین هر دسته به تنهایی، و نیز سایر روایات وارده در باب امامت، روشن می شود كه جمع آنها جز از طریق احادیثی همچون حدیث لوح امكان پذیر نیست و این نصوص بر هیچ دوازده نفری در امت اسلام 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امیرالمومنین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امام مجتبی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سیدالشهدا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امام زین العابدین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امام باقر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امام صادق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 امام كاظم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امام رضا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جواد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امام هادی علیه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امام عسكری علیه السلام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بن الحسن القائم المهدی، امام زمان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نكرده و جای هیچ گونه تردیدی را در حقانیت فرقه ناجیه یعنی مذهب شیعه امامیه باقی نمی نهد</w:t>
      </w:r>
      <w:r>
        <w:rPr>
          <w:rFonts w:eastAsia="IRNazanin" w:cs="IRNazanin"/>
          <w:color w:val="111111"/>
          <w:sz w:val="28"/>
          <w:szCs w:val="28"/>
          <w:rtl w:val="true"/>
          <w:lang w:bidi="fa-IR"/>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اَوَّلاً وَ آخِراً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هادی و خصوصیاتش 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الائمه هم الهداه،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لا یهتدون الا بهم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ان الائمه فی كتاب الله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هفتاد و سوم سوره اسراء،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ان الائمه فی كتاب الله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الهی مبنی بر وجود چشمه های گل آلود در برابر چشمه های حیات و زندگانی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قهر و غلبه جلوی امامان ضلالت گرفته نمی شود و این اذن غیر از جعل به رضایت الهی است و البته بر بنده متنبه پوشیده نیست كه فعل الهی حكیمانه، و حجت ربوبی بر بندگانش تمام است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اركان دین بر پنج پایه نهاده شده است كه چهار، پایه آن بر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خود اساس تمام شرایع دین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حدیث نخست از این باب را در اینجا یاداور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الصلاه و الزكاه و الصوم و الحج و الولایه، و لم یناد بشی‌ء كما نودی بالولایه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شده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پنج ركن استوار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نماز و زكات و روزه و حج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از نظر اهمیت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ركنی همچون ولایت سفارش نگردیده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تقبل الاعمال الا بالولایه،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نامه ای به مفضل بن عمر مرقوم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صَلَّی وَ زَکَّی وَ حَجَّ وَ اِعْتَمَرَ وَ فَعَلَ ذَلِکَ کُلَّهُ بِغَیْرِ مَعْرِفَهِ مَنِ اِفْتَرَضَ اَللَّهُ عَلَیْهِ طَاعَتَهُ فَلَمْ یَفْعَلْ شَیْئاً مِنْ ذَلِکَ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صَلاَهٌ وَ إِنْ رَکَعَ وَ إِنْ سَجَدَ وَ لاَ لَهُ زَکَاهٌ وَ لاَ حَجٌّ وَ إِنَّمَا ذَلِکَ کُلُّهُ یَکُونُ بِمَعْرِفَهِ رَجُلٍ مَنَّ اَللَّهُ عَلَی خَلْقِهِ بِطَاعَتِهِ وَ أَمَرَ بِالْأَخْذِ عَنْهُ أَطاعَ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كه نماز به پای دارد و زكات مالش دفع نماید و حج بجای آورد و عمره بگذارد و تمامی این اعمال را بدون معرفت امامی كه پروردگار متعال اطاعتش را واجب فرموده، انجام دهد گو اینكه چیزی را انجام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نه نمازی به پای داشته، نه زكاتی دفع كرده، نه حجی انجام داده، نه عمره ای گذارده،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جنابتی پاك شده، و نه حرامی را برای حق تعالی حرام، و نه حلالی را برای ذات اقدسش حلال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پای نداشته هر چند كه به ركوع و سجود رفته است و نه زكاتی دفع كرده و نه حجی گذارده است، چرا كه قبولی تمامی اینها منوط به معرفت مردی است كه از جانب پروردگار عالمیان بر آفریدگان منصوب شده تا جمله فرمان وی برند و دین را از او دریافت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آن امام را بشناسد و دینش را از وی بگیرد، فرمان الهی برده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مسند حافظ طیالسی،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حیدر آباد، حافظ قشیری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به الفاظ مختلف در كتب فریقین آمده است كه ذكر آنها از حوصله مقال خارج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تواتر آن معنوی است با اختلاف در الفاظ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بیان علامه مجلسی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معرفه الامام، و انه لا یعذر الناس بترك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از معنای مرگ جاهلیت پرسیده شد، حضرت فرمودند جاهلیت یعنی كفر و نفاق و 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كلینی الاصول من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كتاب المحاسن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لزوم شناخت و تصدیق تمامی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لزوم شناخت و تصدیق امام حی در هر دوران علاوه بر معرفت امامهای پیشین نیز لزوم تصدیق تمام ائمه و اینكه انكار یك امام به منزله انكار رسول اكرم و تمامی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الكافی باب انه من عرف امامه لم یضره تقدم هذا الامر او تاخره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اندكی اختلاف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ابن 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كفایه الاثر؛ مجلسی بحارالانوار كتاب الامامة بحرانی عوالم العلوم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اثبات الهداة 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بنده صالح، ذو القرنین است، چنانچه در متن حدیث لوح در نسخه كمال الدین بدان تصریح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هارون الرشید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از كتب معاصر در كتاب منتخب الاثر فی الامام الثانی عشر علیه السلام در ذیل این هشت دسته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اول، 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تعداد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جمع آوری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6661</Words>
  <Characters>24410</Characters>
  <CharactersWithSpaces>30917</CharactersWithSpaces>
  <Paragraphs>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2026-08-16T08:04:23Z</dcterms:created>
  <dc:creator>ghaemiyeh.com</dc:creator>
  <dc:description/>
  <dc:language>en-US</dc:language>
  <cp:lastModifiedBy/>
  <dcterms:modified xsi:type="dcterms:W3CDTF">2026-08-16T11:34:25Z</dcterms:modified>
  <cp:revision>1</cp:revision>
  <dc:subject/>
  <dc:title>حدیث لوح ائمه هدی در لوح فاطمه زهرا سلام الله علیها</dc:title>
</cp:coreProperties>
</file>

<file path=docProps/custom.xml><?xml version="1.0" encoding="utf-8"?>
<Properties xmlns="http://schemas.openxmlformats.org/officeDocument/2006/custom-properties" xmlns:vt="http://schemas.openxmlformats.org/officeDocument/2006/docPropsVTypes"/>
</file>