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پیشوای دوم حضرت امام 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366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1367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13672_211673320">
            <w:r>
              <w:rPr>
                <w:webHidden/>
                <w:rStyle w:val="IndexLink"/>
                <w:rtl w:val="true"/>
              </w:rPr>
              <w:t>شناسنامه</w:t>
            </w:r>
            <w:r>
              <w:rPr>
                <w:rStyle w:val="IndexLink"/>
                <w:rtl w:val="true"/>
              </w:rPr>
              <w:tab/>
            </w:r>
            <w:r>
              <w:rPr>
                <w:rStyle w:val="IndexLink"/>
              </w:rPr>
              <w:t>7</w:t>
            </w:r>
          </w:hyperlink>
        </w:p>
        <w:p>
          <w:pPr>
            <w:pStyle w:val="Contents2"/>
            <w:tabs>
              <w:tab w:val="clear" w:pos="8743"/>
              <w:tab w:val="right" w:pos="9026" w:leader="dot"/>
            </w:tabs>
            <w:rPr/>
          </w:pPr>
          <w:hyperlink w:anchor="__RefHeading___Toc2713674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713676_211673320">
            <w:r>
              <w:rPr>
                <w:webHidden/>
                <w:rStyle w:val="IndexLink"/>
                <w:rtl w:val="true"/>
              </w:rPr>
              <w:t>خلاصه زندگی</w:t>
            </w:r>
            <w:r>
              <w:rPr>
                <w:rStyle w:val="IndexLink"/>
                <w:rtl w:val="true"/>
              </w:rPr>
              <w:tab/>
            </w:r>
            <w:r>
              <w:rPr>
                <w:rStyle w:val="IndexLink"/>
              </w:rPr>
              <w:t>9</w:t>
            </w:r>
          </w:hyperlink>
        </w:p>
        <w:p>
          <w:pPr>
            <w:pStyle w:val="Contents3"/>
            <w:tabs>
              <w:tab w:val="clear" w:pos="8459"/>
              <w:tab w:val="right" w:pos="9026" w:leader="dot"/>
            </w:tabs>
            <w:rPr/>
          </w:pPr>
          <w:hyperlink w:anchor="__RefHeading___Toc2713678_211673320">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2713680_211673320">
            <w:r>
              <w:rPr>
                <w:webHidden/>
                <w:rStyle w:val="IndexLink"/>
                <w:rtl w:val="true"/>
              </w:rPr>
              <w:t>ولادت</w:t>
            </w:r>
            <w:r>
              <w:rPr>
                <w:rStyle w:val="IndexLink"/>
                <w:rtl w:val="true"/>
              </w:rPr>
              <w:tab/>
            </w:r>
            <w:r>
              <w:rPr>
                <w:rStyle w:val="IndexLink"/>
              </w:rPr>
              <w:t>10</w:t>
            </w:r>
          </w:hyperlink>
        </w:p>
        <w:p>
          <w:pPr>
            <w:pStyle w:val="Contents3"/>
            <w:tabs>
              <w:tab w:val="clear" w:pos="8459"/>
              <w:tab w:val="right" w:pos="9026" w:leader="dot"/>
            </w:tabs>
            <w:rPr/>
          </w:pPr>
          <w:hyperlink w:anchor="__RefHeading___Toc2713682_211673320">
            <w:r>
              <w:rPr>
                <w:webHidden/>
                <w:rStyle w:val="IndexLink"/>
                <w:rtl w:val="true"/>
              </w:rPr>
              <w:t>امام حسن و پیامبر علیهما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2713684_211673320">
            <w:r>
              <w:rPr>
                <w:webHidden/>
                <w:rStyle w:val="IndexLink"/>
                <w:rtl w:val="true"/>
              </w:rPr>
              <w:t>امام حسن با پدر علیهما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713686_211673320">
            <w:r>
              <w:rPr>
                <w:webHidden/>
                <w:rStyle w:val="IndexLink"/>
                <w:rtl w:val="true"/>
              </w:rPr>
              <w:t>خلافت</w:t>
            </w:r>
            <w:r>
              <w:rPr>
                <w:rStyle w:val="IndexLink"/>
                <w:rtl w:val="true"/>
              </w:rPr>
              <w:tab/>
            </w:r>
            <w:r>
              <w:rPr>
                <w:rStyle w:val="IndexLink"/>
              </w:rPr>
              <w:t>16</w:t>
            </w:r>
          </w:hyperlink>
        </w:p>
        <w:p>
          <w:pPr>
            <w:pStyle w:val="Contents3"/>
            <w:tabs>
              <w:tab w:val="clear" w:pos="8459"/>
              <w:tab w:val="right" w:pos="9026" w:leader="dot"/>
            </w:tabs>
            <w:rPr/>
          </w:pPr>
          <w:hyperlink w:anchor="__RefHeading___Toc2713688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713690_211673320">
            <w:r>
              <w:rPr>
                <w:webHidden/>
                <w:rStyle w:val="IndexLink"/>
                <w:rtl w:val="true"/>
              </w:rPr>
              <w:t>تسامح نبود</w:t>
            </w:r>
            <w:r>
              <w:rPr>
                <w:rStyle w:val="IndexLink"/>
                <w:rtl w:val="true"/>
              </w:rPr>
              <w:tab/>
            </w:r>
            <w:r>
              <w:rPr>
                <w:rStyle w:val="IndexLink"/>
              </w:rPr>
              <w:t>29</w:t>
            </w:r>
          </w:hyperlink>
        </w:p>
        <w:p>
          <w:pPr>
            <w:pStyle w:val="Contents3"/>
            <w:tabs>
              <w:tab w:val="clear" w:pos="8459"/>
              <w:tab w:val="right" w:pos="9026" w:leader="dot"/>
            </w:tabs>
            <w:rPr/>
          </w:pPr>
          <w:hyperlink w:anchor="__RefHeading___Toc2713692_211673320">
            <w:r>
              <w:rPr>
                <w:webHidden/>
                <w:rStyle w:val="IndexLink"/>
                <w:rtl w:val="true"/>
              </w:rPr>
              <w:t>تنازل نبود</w:t>
            </w:r>
            <w:r>
              <w:rPr>
                <w:rStyle w:val="IndexLink"/>
                <w:rtl w:val="true"/>
              </w:rPr>
              <w:tab/>
            </w:r>
            <w:r>
              <w:rPr>
                <w:rStyle w:val="IndexLink"/>
              </w:rPr>
              <w:t>32</w:t>
            </w:r>
          </w:hyperlink>
        </w:p>
        <w:p>
          <w:pPr>
            <w:pStyle w:val="Contents3"/>
            <w:tabs>
              <w:tab w:val="clear" w:pos="8459"/>
              <w:tab w:val="right" w:pos="9026" w:leader="dot"/>
            </w:tabs>
            <w:rPr/>
          </w:pPr>
          <w:hyperlink w:anchor="__RefHeading___Toc2713694_211673320">
            <w:r>
              <w:rPr>
                <w:webHidden/>
                <w:rStyle w:val="IndexLink"/>
                <w:rtl w:val="true"/>
              </w:rPr>
              <w:t>اعتراض نابجا</w:t>
            </w:r>
            <w:r>
              <w:rPr>
                <w:rStyle w:val="IndexLink"/>
                <w:rtl w:val="true"/>
              </w:rPr>
              <w:tab/>
            </w:r>
            <w:r>
              <w:rPr>
                <w:rStyle w:val="IndexLink"/>
              </w:rPr>
              <w:t>34</w:t>
            </w:r>
          </w:hyperlink>
        </w:p>
        <w:p>
          <w:pPr>
            <w:pStyle w:val="Contents2"/>
            <w:tabs>
              <w:tab w:val="clear" w:pos="8743"/>
              <w:tab w:val="right" w:pos="9026" w:leader="dot"/>
            </w:tabs>
            <w:rPr/>
          </w:pPr>
          <w:hyperlink w:anchor="__RefHeading___Toc2713696_211673320">
            <w:r>
              <w:rPr>
                <w:webHidden/>
                <w:rStyle w:val="IndexLink"/>
                <w:rtl w:val="true"/>
              </w:rPr>
              <w:t>پیمان شکنی معاویه</w:t>
            </w:r>
            <w:r>
              <w:rPr>
                <w:rStyle w:val="IndexLink"/>
                <w:rtl w:val="true"/>
              </w:rPr>
              <w:tab/>
            </w:r>
            <w:r>
              <w:rPr>
                <w:rStyle w:val="IndexLink"/>
              </w:rPr>
              <w:t>40</w:t>
            </w:r>
          </w:hyperlink>
        </w:p>
        <w:p>
          <w:pPr>
            <w:pStyle w:val="Contents2"/>
            <w:tabs>
              <w:tab w:val="clear" w:pos="8743"/>
              <w:tab w:val="right" w:pos="9026" w:leader="dot"/>
            </w:tabs>
            <w:rPr/>
          </w:pPr>
          <w:hyperlink w:anchor="__RefHeading___Toc2713698_211673320">
            <w:r>
              <w:rPr>
                <w:webHidden/>
                <w:rStyle w:val="IndexLink"/>
                <w:rtl w:val="true"/>
              </w:rPr>
              <w:t>بازگشت به مدینه</w:t>
            </w:r>
            <w:r>
              <w:rPr>
                <w:rStyle w:val="IndexLink"/>
                <w:rtl w:val="true"/>
              </w:rPr>
              <w:tab/>
            </w:r>
            <w:r>
              <w:rPr>
                <w:rStyle w:val="IndexLink"/>
              </w:rPr>
              <w:t>42</w:t>
            </w:r>
          </w:hyperlink>
        </w:p>
        <w:p>
          <w:pPr>
            <w:pStyle w:val="Contents2"/>
            <w:tabs>
              <w:tab w:val="clear" w:pos="8743"/>
              <w:tab w:val="right" w:pos="9026" w:leader="dot"/>
            </w:tabs>
            <w:rPr/>
          </w:pPr>
          <w:hyperlink w:anchor="__RefHeading___Toc2713700_211673320">
            <w:r>
              <w:rPr>
                <w:webHidden/>
                <w:rStyle w:val="IndexLink"/>
                <w:rtl w:val="true"/>
              </w:rPr>
              <w:t>خوی و منش</w:t>
            </w:r>
            <w:r>
              <w:rPr>
                <w:rStyle w:val="IndexLink"/>
                <w:rtl w:val="true"/>
              </w:rPr>
              <w:tab/>
            </w:r>
            <w:r>
              <w:rPr>
                <w:rStyle w:val="IndexLink"/>
              </w:rPr>
              <w:t>44</w:t>
            </w:r>
          </w:hyperlink>
        </w:p>
        <w:p>
          <w:pPr>
            <w:pStyle w:val="Contents3"/>
            <w:tabs>
              <w:tab w:val="clear" w:pos="8459"/>
              <w:tab w:val="right" w:pos="9026" w:leader="dot"/>
            </w:tabs>
            <w:rPr/>
          </w:pPr>
          <w:hyperlink w:anchor="__RefHeading___Toc2713702_211673320">
            <w:r>
              <w:rPr>
                <w:webHidden/>
                <w:rStyle w:val="IndexLink"/>
                <w:rtl w:val="true"/>
              </w:rPr>
              <w:t>پرهیزگاری</w:t>
            </w:r>
            <w:r>
              <w:rPr>
                <w:rStyle w:val="IndexLink"/>
                <w:rtl w:val="true"/>
              </w:rPr>
              <w:tab/>
            </w:r>
            <w:r>
              <w:rPr>
                <w:rStyle w:val="IndexLink"/>
              </w:rPr>
              <w:t>44</w:t>
            </w:r>
          </w:hyperlink>
        </w:p>
        <w:p>
          <w:pPr>
            <w:pStyle w:val="Contents3"/>
            <w:tabs>
              <w:tab w:val="clear" w:pos="8459"/>
              <w:tab w:val="right" w:pos="9026" w:leader="dot"/>
            </w:tabs>
            <w:rPr/>
          </w:pPr>
          <w:hyperlink w:anchor="__RefHeading___Toc2713704_211673320">
            <w:r>
              <w:rPr>
                <w:webHidden/>
                <w:rStyle w:val="IndexLink"/>
                <w:rtl w:val="true"/>
              </w:rPr>
              <w:t>بخشندگی</w:t>
            </w:r>
            <w:r>
              <w:rPr>
                <w:rStyle w:val="IndexLink"/>
                <w:rtl w:val="true"/>
              </w:rPr>
              <w:tab/>
            </w:r>
            <w:r>
              <w:rPr>
                <w:rStyle w:val="IndexLink"/>
              </w:rPr>
              <w:t>45</w:t>
            </w:r>
          </w:hyperlink>
        </w:p>
        <w:p>
          <w:pPr>
            <w:pStyle w:val="Contents3"/>
            <w:tabs>
              <w:tab w:val="clear" w:pos="8459"/>
              <w:tab w:val="right" w:pos="9026" w:leader="dot"/>
            </w:tabs>
            <w:rPr/>
          </w:pPr>
          <w:hyperlink w:anchor="__RefHeading___Toc2713706_211673320">
            <w:r>
              <w:rPr>
                <w:webHidden/>
                <w:rStyle w:val="IndexLink"/>
                <w:rtl w:val="true"/>
              </w:rPr>
              <w:t>بردباری</w:t>
            </w:r>
            <w:r>
              <w:rPr>
                <w:rStyle w:val="IndexLink"/>
                <w:rtl w:val="true"/>
              </w:rPr>
              <w:tab/>
            </w:r>
            <w:r>
              <w:rPr>
                <w:rStyle w:val="IndexLink"/>
              </w:rPr>
              <w:t>46</w:t>
            </w:r>
          </w:hyperlink>
        </w:p>
        <w:p>
          <w:pPr>
            <w:pStyle w:val="Contents2"/>
            <w:tabs>
              <w:tab w:val="clear" w:pos="8743"/>
              <w:tab w:val="right" w:pos="9026" w:leader="dot"/>
            </w:tabs>
            <w:rPr/>
          </w:pPr>
          <w:hyperlink w:anchor="__RefHeading___Toc2713708_211673320">
            <w:r>
              <w:rPr>
                <w:webHidden/>
                <w:rStyle w:val="IndexLink"/>
                <w:rtl w:val="true"/>
              </w:rPr>
              <w:t>شهادت</w:t>
            </w:r>
            <w:r>
              <w:rPr>
                <w:rStyle w:val="IndexLink"/>
                <w:rtl w:val="true"/>
              </w:rPr>
              <w:tab/>
            </w:r>
            <w:r>
              <w:rPr>
                <w:rStyle w:val="IndexLink"/>
              </w:rPr>
              <w:t>47</w:t>
            </w:r>
          </w:hyperlink>
        </w:p>
        <w:p>
          <w:pPr>
            <w:pStyle w:val="Contents2"/>
            <w:tabs>
              <w:tab w:val="clear" w:pos="8743"/>
              <w:tab w:val="right" w:pos="9026" w:leader="dot"/>
            </w:tabs>
            <w:rPr/>
          </w:pPr>
          <w:hyperlink w:anchor="__RefHeading___Toc2713710_211673320">
            <w:r>
              <w:rPr>
                <w:webHidden/>
                <w:rStyle w:val="IndexLink"/>
                <w:rtl w:val="true"/>
              </w:rPr>
              <w:t>از گفتار پرنور آن گرامی</w:t>
            </w:r>
            <w:r>
              <w:rPr>
                <w:rStyle w:val="IndexLink"/>
                <w:rtl w:val="true"/>
              </w:rPr>
              <w:t>:</w:t>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8_2938"/>
      <w:bookmarkStart w:id="1" w:name="pg318_2938"/>
      <w:bookmarkEnd w:id="1"/>
    </w:p>
    <w:p>
      <w:pPr>
        <w:pStyle w:val="Heading2"/>
        <w:numPr>
          <w:ilvl w:val="1"/>
          <w:numId w:val="1"/>
        </w:numPr>
        <w:rPr/>
      </w:pPr>
      <w:bookmarkStart w:id="2" w:name="pg318_2938"/>
      <w:bookmarkStart w:id="3" w:name="__RefHeading___Toc2713668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تحریریه موسسه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خرازی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تحریریه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367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خرازی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هیئت تحریریه موسسه در راه حق </w:t>
      </w:r>
      <w:bookmarkStart w:id="7" w:name="pg318_2941"/>
    </w:p>
    <w:p>
      <w:pPr>
        <w:pStyle w:val="Heading2"/>
        <w:numPr>
          <w:ilvl w:val="1"/>
          <w:numId w:val="1"/>
        </w:numPr>
        <w:rPr/>
      </w:pPr>
      <w:bookmarkStart w:id="8" w:name="__RefHeading___Toc2713672_211673320"/>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 xml:space="preserve">پیشوای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خرازی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در راه حق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37833972</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www.darrahehaq.com</w:t>
      </w:r>
      <w:r>
        <w:rPr>
          <w:rFonts w:eastAsia="Times New Roman" w:cs="Times New Roman" w:ascii="Times New Roman" w:hAnsi="Times New Roman"/>
          <w:color w:val="111111"/>
          <w:sz w:val="28"/>
          <w:szCs w:val="28"/>
          <w:rtl w:val="true"/>
          <w:lang w:val="en-US" w:bidi="en-US"/>
        </w:rPr>
        <w:t xml:space="preserve"> </w:t>
      </w:r>
      <w:bookmarkStart w:id="10" w:name="pg318_2942"/>
    </w:p>
    <w:p>
      <w:pPr>
        <w:pStyle w:val="Heading2"/>
        <w:numPr>
          <w:ilvl w:val="1"/>
          <w:numId w:val="1"/>
        </w:numPr>
        <w:rPr/>
      </w:pPr>
      <w:bookmarkStart w:id="11" w:name="__RefHeading___Toc2713674_21167332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خلاصه زندگی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حسن و پیامبر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حسن با پدر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تسامح نبود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تنازل نبود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اعتراض نابجا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پیمان شکنی معاویه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بازگشت به مدینه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خوی و منش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پرهیزگاری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بخشندگی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بردباری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گفتار پرنور آن گرامی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3" w:name="pg318_2943"/>
    </w:p>
    <w:p>
      <w:pPr>
        <w:pStyle w:val="Heading2"/>
        <w:numPr>
          <w:ilvl w:val="1"/>
          <w:numId w:val="1"/>
        </w:numPr>
        <w:rPr/>
      </w:pPr>
      <w:bookmarkStart w:id="14" w:name="__RefHeading___Toc2713676_211673320"/>
      <w:bookmarkStart w:id="15" w:name="_Toc5"/>
      <w:bookmarkEnd w:id="13"/>
      <w:bookmarkEnd w:id="14"/>
      <w:r>
        <w:rPr>
          <w:rtl w:val="true"/>
        </w:rPr>
        <w:t>خلاصه زندگی</w:t>
      </w:r>
      <w:bookmarkEnd w:id="15"/>
    </w:p>
    <w:p>
      <w:pPr>
        <w:pStyle w:val="Heading3"/>
        <w:numPr>
          <w:ilvl w:val="2"/>
          <w:numId w:val="1"/>
        </w:numPr>
        <w:rPr/>
      </w:pPr>
      <w:bookmarkStart w:id="16" w:name="__RefHeading___Toc2713678_211673320"/>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سیّد، سبط اکبر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سیّدة النّساء علیها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پانزدهم ماه مبارک رمضان، سال سوّم هجری قمری در مدینۀ منوره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امامتش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شریفش</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شهادتش</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 واقع در مدینۀ طیّبه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پسران از جمله قاسم و عبدالله در رکاب حضرت ابی عبدالله الحسین علیه السلام در کربلا به شرف شهادت نائل گشتند، و از دختران آن گرامی بانوی بزرگوار فاطمه همسر حضرت زین العابدین و مادر حضرت باقر علیه السلام می‌باشد</w:t>
      </w:r>
      <w:r>
        <w:rPr>
          <w:rFonts w:eastAsia="IRNazanin" w:cs="IRNazanin"/>
          <w:color w:val="111111"/>
          <w:sz w:val="28"/>
          <w:szCs w:val="28"/>
          <w:rtl w:val="true"/>
          <w:lang w:bidi="fa-IR"/>
        </w:rPr>
        <w:t xml:space="preserve">). </w:t>
      </w:r>
      <w:bookmarkStart w:id="18" w:name="pg318_2944"/>
    </w:p>
    <w:p>
      <w:pPr>
        <w:pStyle w:val="Heading3"/>
        <w:numPr>
          <w:ilvl w:val="2"/>
          <w:numId w:val="1"/>
        </w:numPr>
        <w:rPr/>
      </w:pPr>
      <w:bookmarkStart w:id="19" w:name="__RefHeading___Toc2713680_211673320"/>
      <w:bookmarkStart w:id="20" w:name="_Toc7"/>
      <w:bookmarkEnd w:id="18"/>
      <w:bookmarkEnd w:id="19"/>
      <w:r>
        <w:rPr>
          <w:rtl w:val="true"/>
        </w:rPr>
        <w:t>ولادت</w:t>
      </w:r>
      <w:bookmarkEnd w:id="20"/>
    </w:p>
    <w:p>
      <w:pPr>
        <w:pStyle w:val="BookText"/>
        <w:rPr/>
      </w:pPr>
      <w:r>
        <w:rPr>
          <w:rFonts w:ascii="IRNazanin" w:hAnsi="IRNazanin" w:eastAsia="IRNazanin"/>
          <w:color w:val="111111"/>
          <w:sz w:val="28"/>
          <w:sz w:val="28"/>
          <w:szCs w:val="28"/>
          <w:rtl w:val="true"/>
          <w:lang w:bidi="fa-IR"/>
        </w:rPr>
        <w:t>نوادۀ پیامبر اکرم صلی الله علیه و آله و سلم، و نخستین فرزند امیر مؤمنان علی و فاطمه علیها السلام در نیمۀ ماه رمضان، در سال سوم هجری، چشم به جهان گشود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پیامبر صلی الله علیه و آله و سلم برای گفتن تهنیت، به خانۀ علی آمد و نام او را،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1" w:name="__RefHeading___Toc2713682_211673320"/>
      <w:bookmarkStart w:id="22" w:name="_Toc8"/>
      <w:bookmarkEnd w:id="21"/>
      <w:r>
        <w:rPr>
          <w:rtl w:val="true"/>
        </w:rPr>
        <w:t>امام حسن و پیامبر علیهما السلام</w:t>
      </w:r>
      <w:bookmarkEnd w:id="22"/>
    </w:p>
    <w:p>
      <w:pPr>
        <w:pStyle w:val="BookText"/>
        <w:rPr/>
      </w:pPr>
      <w:r>
        <w:rPr>
          <w:rFonts w:ascii="IRNazanin" w:hAnsi="IRNazanin" w:eastAsia="IRNazanin"/>
          <w:color w:val="111111"/>
          <w:sz w:val="28"/>
          <w:sz w:val="28"/>
          <w:szCs w:val="28"/>
          <w:rtl w:val="true"/>
          <w:lang w:bidi="fa-IR"/>
        </w:rPr>
        <w:t>حدود هفت سال از زندگی این نواده، با پیامبر اکرم صلی الله علیه و آله و سلم گذشت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 مهربان، او را سخت دوست می‌داشت؛ چه بسیار که او را بر شانه می‌نهاد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من دوستش دارم، تو نیز او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بدار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حسن و حسین را دوست بدارد، مرا دوست داشته است و آنکه با این دو کینه ورزد و ایشان را دشمن بدارد، با من دشمنکامی کرده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سرور جوانان بهشتند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فرزند من، امامند، چه قیام کنند و چه نکنند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منش و سترگی روح آن امام چندان بود که پیامبر اکرم صلی الله علیه و آله و سلم او را با خردی سال و کمی سن، در برخی از عهدنامه ها، گواه می‌رفت، واقدی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و سلم،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ذمّه </w:t>
      </w:r>
      <w:bookmarkStart w:id="23" w:name="pg318_2946"/>
    </w:p>
    <w:p>
      <w:pPr>
        <w:pStyle w:val="BookText"/>
        <w:rPr/>
      </w:pPr>
      <w:bookmarkEnd w:id="23"/>
      <w:r>
        <w:rPr>
          <w:rFonts w:ascii="IRNazanin" w:hAnsi="IRNazanin" w:eastAsia="IRNazanin"/>
          <w:color w:val="111111"/>
          <w:sz w:val="28"/>
          <w:sz w:val="28"/>
          <w:szCs w:val="28"/>
          <w:rtl w:val="true"/>
          <w:lang w:bidi="fa-IR"/>
        </w:rPr>
        <w:t xml:space="preserve">بست، خالد بن سعید آن را نوشت و امام حسن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گواهی فرمودند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که پیامبر به امر خدا، با اهل نجران،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امام حسن و امام حسین و حضرت علی و فاطمه علیها السلام را نیز به فرمان خدای، همراه خویش برد و آیۀ تطهیر در پاکدامنی آن گرامیان فرود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4" w:name="__RefHeading___Toc2713684_211673320"/>
      <w:bookmarkStart w:id="25" w:name="_Toc9"/>
      <w:bookmarkEnd w:id="24"/>
      <w:r>
        <w:rPr>
          <w:rtl w:val="true"/>
        </w:rPr>
        <w:t>امام حسن با پدر علیهما السلام</w:t>
      </w:r>
      <w:bookmarkEnd w:id="25"/>
    </w:p>
    <w:p>
      <w:pPr>
        <w:pStyle w:val="BookText"/>
        <w:rPr/>
      </w:pPr>
      <w:r>
        <w:rPr>
          <w:rFonts w:ascii="IRNazanin" w:hAnsi="IRNazanin" w:eastAsia="IRNazanin"/>
          <w:color w:val="111111"/>
          <w:sz w:val="28"/>
          <w:sz w:val="28"/>
          <w:szCs w:val="28"/>
          <w:rtl w:val="true"/>
          <w:lang w:bidi="fa-IR"/>
        </w:rPr>
        <w:t>امام حسن علیه السلام همراه و هماهنگ پدر بود، از بیدادگران انتقاد و از ستمدیدگان حمایت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ابوذر به ربذه تبعید می‌شد، عثمان دستور داد هیچ کس او را بدرقه نکند، اما امام حسن و برادر گرامیش، همراه با پدر بزرگوارشان، از آن آزاده‌ی آواره، به گرمی بدرقه کردند و به هنگام بدرود، از حکومت عثمان ابراز بیزاری نمودند و ابوذر را به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و پایداری پند دادند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پدر از مدینه به سوی بصره آمد تا آتش جنگ جمل را که عایشه و طلحه و زبیر برافروخته بودند، فرو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ورود به بصره به فرمان حضرت علی علیه السلام، همراه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بزرگ و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رفت تا مردم را بسیج کند، آنگاه با مردم به یاری امام، به سوی بصره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با سخنرانی‌های شیوا و محکم خویش، دروغ عبدالله بن زبیر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قتل عثمان را به حضرت علی علیه السلام، نسبت می‌داد؛ آشکار ساخت و در جنگ همکاری‌ها کرد تا پیرزو بازگشتند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نیز، همراه پدر، پایمردی‌ها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معاویه، عبیدالله بن عمر را نزد او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پیروی پدر دست بردار، ما خلافت را به تو وامی گذاریم، چرا که قریش، از پدر تو به سابقۀ</w:t>
      </w:r>
    </w:p>
    <w:p>
      <w:pPr>
        <w:pStyle w:val="BookText"/>
        <w:rPr/>
      </w:pPr>
      <w:r>
        <w:rPr>
          <w:rFonts w:ascii="IRNazanin" w:hAnsi="IRNazanin" w:eastAsia="IRNazanin"/>
          <w:color w:val="111111"/>
          <w:sz w:val="28"/>
          <w:sz w:val="28"/>
          <w:szCs w:val="28"/>
          <w:rtl w:val="true"/>
          <w:lang w:bidi="fa-IR"/>
        </w:rPr>
        <w:t>پدرکشتگی ها، ناراحتند، اما تو را پذیرا توانند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بر آن بود که پرچم اسلام را بیفکند و در هم پیچد، اما پدرم، به خاطر خدا و اسلام، گردنکشان ایشان را کشت و آنان را پراکند؛ پس با پدرم بدین جهت به دشمنی برخاستند و به او کینه می‌ورزند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جنگ، هیچگاه از پشتیبانی پدر، دست نکشید و تا پایان همراه و همدل او بود؛ و چون، دو تن را از سوی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حضرت علی علیه السلام و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برگزیدند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آنان به ناروا حُکم کردند؛ امام حسن به فرمان پدر، در یک سخنرانی پرشور، توضیح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برگزیده شدند </w:t>
      </w:r>
    </w:p>
    <w:p>
      <w:pPr>
        <w:pStyle w:val="BookText"/>
        <w:rPr/>
      </w:pPr>
      <w:r>
        <w:rPr>
          <w:rFonts w:ascii="IRNazanin" w:hAnsi="IRNazanin" w:eastAsia="IRNazanin"/>
          <w:color w:val="111111"/>
          <w:sz w:val="28"/>
          <w:sz w:val="28"/>
          <w:szCs w:val="28"/>
          <w:rtl w:val="true"/>
          <w:lang w:bidi="fa-IR"/>
        </w:rPr>
        <w:t xml:space="preserve">تا کتاب خداوند را بر خواهش دل، پیش دارند و مقدم شمارند اما، واژگون رفتار کردند و چنین کسی، حَکَم نامیده نمی‌شود،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امیر مؤمنان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همواره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بنا به فرمانی که، از پیش، از پیامبر اسلام صلی الله علیه و آله و سلم داشت؛ امام حسن علیه السلام را جانشین خویش فرمود؛ و امام حسین و سایر فرزندان گرامی خویش و بزرگان شیعه را بر این امر، گواه گرفت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6" w:name="pg318_2950"/>
    </w:p>
    <w:p>
      <w:pPr>
        <w:pStyle w:val="Heading2"/>
        <w:numPr>
          <w:ilvl w:val="1"/>
          <w:numId w:val="1"/>
        </w:numPr>
        <w:rPr/>
      </w:pPr>
      <w:bookmarkStart w:id="27" w:name="__RefHeading___Toc2713686_211673320"/>
      <w:bookmarkStart w:id="28" w:name="_Toc10"/>
      <w:bookmarkEnd w:id="26"/>
      <w:bookmarkEnd w:id="27"/>
      <w:r>
        <w:rPr>
          <w:rtl w:val="true"/>
        </w:rPr>
        <w:t>خلافت</w:t>
      </w:r>
      <w:bookmarkEnd w:id="28"/>
    </w:p>
    <w:p>
      <w:pPr>
        <w:pStyle w:val="Heading3"/>
        <w:numPr>
          <w:ilvl w:val="2"/>
          <w:numId w:val="1"/>
        </w:numPr>
        <w:rPr/>
      </w:pPr>
      <w:bookmarkStart w:id="29" w:name="__RefHeading___Toc2713688_211673320"/>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شامگاه بیست و یکم رمضان سال چهلم از هجرت، حضرت علی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آن روز، مردم در مسجد جامع شهر،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بر منبر فراز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مرد یگانه ای از جهان رخت بست که در میان گذشتگان و هم در بین آیندگان، به دانش و کردار، یکتا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جنگها کرد و در نگاهبانی اسلام و پیامبر، مجاهدانه کوشید؛ و پیامبر در جنگها، او را به سپاهسالاری می‌فرستاد و او همواره پیروز باز می‌گشت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زرد و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زر و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نگذاشت، آنهم سهمیۀ او، و بر آن بود که با آن خدمتکاری برای خانوادۀ خود فراهم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به سختی گریست و مردم نیز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بدان جهت که امامت از مسیر راستین خود، انحراف نیابد، جمله ای چند، از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پیامبرم که مژده آور و بیم رسان بود و مردم را به سوی خدا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شعله ای از آن چراغ فروزان پیامبری و از خاندانی هستم که خداوند، پلیدی و آلودگی را از آنان دور گردانیده است و هم از آنانم که در قرآن مجید، محبت ایشان به وجوب 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 ای پیامبر، من از شمایان بر رسالتم، پاداشی، جز مهرورزی با خویشانم، نمی‌خواهم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امام نشست و عبدالله بن عباس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شما و جانشین علی علیه السلام و امام شماست،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گروه، گروه، بدو روی آوردند و بیعت کردند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چون معاویه، از آنچه گذشت آگاه شد، جاسوسانی به کوفه و بصره فرستاد، تا هر چه می‌گذرد، گزارش دهند و در حکومت امام، از درون، دست به خرابکاری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فرمان داد آنان را گرفتند و کشتند؛ نامه ای نیز به معاویه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جاسوس می‌فرستی؟ گویا جنگ را دوست می‌داری؟ جنگ بسیار نزدیک است، منتظر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Style w:val="FootnoteAnchor"/>
          <w:rtl w:val="true"/>
        </w:rPr>
        <w:footnoteReference w:id="1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نامه‌هایی که امام به معاویه نوشت و </w:t>
      </w:r>
    </w:p>
    <w:p>
      <w:pPr>
        <w:pStyle w:val="BookText"/>
        <w:rPr/>
      </w:pPr>
      <w:r>
        <w:rPr>
          <w:rFonts w:ascii="IRNazanin" w:hAnsi="IRNazanin" w:eastAsia="IRNazanin"/>
          <w:color w:val="111111"/>
          <w:sz w:val="28"/>
          <w:sz w:val="28"/>
          <w:szCs w:val="28"/>
          <w:rtl w:val="true"/>
          <w:lang w:bidi="fa-IR"/>
        </w:rPr>
        <w:t>ابن ابی الحدید آنرا نقل می‌کند،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شگفتی است که قریش پس از مرگ پیامبر، در جانشینی او به ستیزه برخاستند و خود را بر دیگران از عرب، بدین سبب که از قبیلۀ پیامبرند، برتر دانستند؛ عرب نیز تن در دادند، اما قریش خود در میانۀ خویش، زیر بار برتری ما نرفت؛ ما را که از آنان به پیامبر نزدیکتر و خواستار حق خویش بودیم، کنار زدند و بر ما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ستیزه کناره جستیم تا دشمنان و دورویان، از این راه، به تخریب اسلام برنخیزند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نیز از تو در شگفتیم که داوطلب امری هستی که به هیچ رو، سزاوار آن نیستی، نه در دین برتری داری و نه اثر خوبی از خویش باز گذارده ای؛ تو فرزند همان گروهی که با پیامبر </w:t>
      </w:r>
    </w:p>
    <w:p>
      <w:pPr>
        <w:pStyle w:val="BookText"/>
        <w:rPr/>
      </w:pPr>
      <w:r>
        <w:rPr>
          <w:rFonts w:ascii="IRNazanin" w:hAnsi="IRNazanin" w:eastAsia="IRNazanin"/>
          <w:color w:val="111111"/>
          <w:sz w:val="28"/>
          <w:sz w:val="28"/>
          <w:szCs w:val="28"/>
          <w:rtl w:val="true"/>
          <w:lang w:bidi="fa-IR"/>
        </w:rPr>
        <w:t>جنگیدند و هم فرزند دشمن ترین مردم قریش نسبت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که پاداش کردارهای تو با خداوند است و خواهی دید که سرانجام، پیروزی از آن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چیزی نخواهد گذشت که عمرت پایان می‌یابد و به دیدار خدا می‌شتابی و او تو را به کیفر کردارهایی که از پیش فرستادی،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بندگانش ستم نمی‌کند؛ علی علیه السلام رفت، مسلمانان با من بیعت کردند؛ از خدا خواستارم که در دنیا چیزی مرا ندهد که از آن کمبودی در آخرتم، به هم رسد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مرا بر آن داشت تا این نامه را به تو، بنویسم، این است که بین خود و خداوند، عذری داشته باشم؛ اگر تو نیز، چون دیگر مسلمانان، این امر را </w:t>
      </w:r>
    </w:p>
    <w:p>
      <w:pPr>
        <w:pStyle w:val="BookText"/>
        <w:rPr/>
      </w:pPr>
      <w:r>
        <w:rPr>
          <w:rFonts w:ascii="IRNazanin" w:hAnsi="IRNazanin" w:eastAsia="IRNazanin"/>
          <w:color w:val="111111"/>
          <w:sz w:val="28"/>
          <w:sz w:val="28"/>
          <w:szCs w:val="28"/>
          <w:rtl w:val="true"/>
          <w:lang w:bidi="fa-IR"/>
        </w:rPr>
        <w:t>بپذیری به مصلحت اسلام است و تو خود نیز بهره ای بیشتر خواهی داشت؛ باطل را دنبال مکن، تو نیز چون دیگران با من، 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می‌دانی که من سزاوارترم، از خدا بترس و ستمکار مباش و خون مسلمانان را محترم شمار، اگر حاضر نباشی، من همراه مسلمانان، به سوی تو خواهم شتافت و تو را به محاکمه خواهم کشانید تا خداوند که بهترین داور است، بین ما حاکم 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پاسخ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من و تو، همانند حال پیشین شما خاندان با ابوبکر است؛ یعنی همانگونه که ابوبکر، به بهانۀ تجربۀ بیشتر، مقام خلافت را از علی علیه السلام گرفت، من نیز، خود را از تو سزاوارتر می‌بینم؛ اگر می‌دانستم که تو بهتر از من به امور </w:t>
      </w:r>
    </w:p>
    <w:p>
      <w:pPr>
        <w:pStyle w:val="BookText"/>
        <w:rPr/>
      </w:pPr>
      <w:r>
        <w:rPr>
          <w:rFonts w:ascii="IRNazanin" w:hAnsi="IRNazanin" w:eastAsia="IRNazanin"/>
          <w:color w:val="111111"/>
          <w:sz w:val="28"/>
          <w:sz w:val="28"/>
          <w:szCs w:val="28"/>
          <w:rtl w:val="true"/>
          <w:lang w:bidi="fa-IR"/>
        </w:rPr>
        <w:t>مردم می‌رسی و با دشمن رویارویی می‌کنی، بیعت می‌کردم؛ اما می‌دانی که من از تو سابقه ای بیشتر دارم؛ پس بهتر آنکه تو پیرو من باشی، من نیز قول می‌دهم که خلافت مسلمانان پس از من با تو باشد و هر چه بیت المال عراق است از آن تو و نیز خراج و درآمد هر ناحیه از عراق را که بخواهی، در اختیار تو خواهم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همان بهانه ای که قریش به وسیلۀ آن از حضرت علی علیه السلام رو گرداندند، از بیعت با امام حسن علیه السلام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دل می‌دانست که امام از او سزاوارتر است، اما ریاستخواهی، او را از پیروی واقعیت باز می‌داشت؛ چرا که او می‌دانست جوان بودن و کمتر بودن سن، آن حضرت نسبت به معاویه </w:t>
      </w:r>
    </w:p>
    <w:p>
      <w:pPr>
        <w:pStyle w:val="BookText"/>
        <w:rPr/>
      </w:pPr>
      <w:r>
        <w:rPr>
          <w:rFonts w:ascii="IRNazanin" w:hAnsi="IRNazanin" w:eastAsia="IRNazanin"/>
          <w:color w:val="111111"/>
          <w:sz w:val="28"/>
          <w:sz w:val="28"/>
          <w:szCs w:val="28"/>
          <w:rtl w:val="true"/>
          <w:lang w:bidi="fa-IR"/>
        </w:rPr>
        <w:t>موجب عدم شایستگی برای امامت و خلافت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نه تنها از بیعت سر باز زد، بلکه در صدد از میان برداشتن امام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پنهانی فرمان می‌داد تا آن گرامی را بکشند؛ از این رو، امام، در زیر پیراهن، زره می‌پوشید و بی زره به نماز نمی‌رفت؛ به همین جهت یک روز که یکی از این مأموران مخفی معاویه، به سوی امام تیر افکند، به آن گرامی صدمه ای وارد نیامد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معاویه، که کمی سن را در امام بهانه می‌آورد و از بیعت با او سر می‌زد، هنگام ولایتعهدی یزید، این بهانه را فراموش و فرزند جوان خود را، جانشین خویش کرد و از مردم برای او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بهانۀ ایجاد وحدت اسلامی و پیشگیری از اختلاف و اغتشاش، به عمّال خود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لشگر به سوی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همان کردند که او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آنان را بسیج کرد و به جنگ با امام به عراق </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به حجر بن عدی کندی، فرمان داد تا فرمانداران و مردم را برای جنگ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منادی به آیین آن زمان، در کوچه‌های کوفه،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مردم به مسجد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 منبر فراز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به جنگ سوی شما آمده است؛ شما نیز به اردوگاه نُخَیله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ساکت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فرزند حاتم طائی معروف، از جای برخاست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حاتم هستم، سُبحَانَ اللّه، این سکوت مرگبار چیست که جانتان را فرا گرفته است؟ چرا به امام و پسر پیامبرتان پاسخ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بیم کنید؛ مگر شما از ننگ، باک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امام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شما را شنیدیم و با جان و دل به فرمانیم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اکنون به اردوگاه می‌روم، هرکه مایل است به من پیوندد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بن سعد بن عباده و معقل بن قیس ریاحی و </w:t>
      </w:r>
    </w:p>
    <w:p>
      <w:pPr>
        <w:pStyle w:val="BookText"/>
        <w:rPr/>
      </w:pPr>
      <w:r>
        <w:rPr>
          <w:rFonts w:ascii="IRNazanin" w:hAnsi="IRNazanin" w:eastAsia="IRNazanin"/>
          <w:color w:val="111111"/>
          <w:sz w:val="28"/>
          <w:sz w:val="28"/>
          <w:szCs w:val="28"/>
          <w:rtl w:val="true"/>
          <w:lang w:bidi="fa-IR"/>
        </w:rPr>
        <w:t>زیاد بن صعصعۀ تیمی نیز با سخنرانیهای شورانگیز مردمان را به جنگ راغب ساختند و به تجهیز سپاه از مردم پرداختند و آنگاه همه به اردوگاه رفتند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انبوه جمعیت در اردوگاه، به جز شیعیان، از این چند دسته نیز فراهم آمده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خوارج، که تنها برای جنگ با معاویه آمده بودند نه به جانبداری از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آزمندانی که دنبال غنائم جنگی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که به پیروی از رؤسای قبیله ها، شرکت کرده بودند و انگیزۀ دینی نداشتند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علیه السلام، گروهی از این سپاهیان را، به سپهسالاری حَکَم، به شهر انبار فرستاد، اما حَکَم با معاویه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سرپرست بعدی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خود به ساباط مدائن رفت و از آنجا دوازده هزار نفر را به عنوان پیشاهنگ جنگ به سالاری عبیدالله بن عباس، به رزم با معاویه گسیل داشت و قیس بن سعدبن عبادۀ انصاری را هم معاون کرد که </w:t>
      </w:r>
    </w:p>
    <w:p>
      <w:pPr>
        <w:pStyle w:val="BookText"/>
        <w:rPr/>
      </w:pPr>
      <w:r>
        <w:rPr>
          <w:rFonts w:ascii="IRNazanin" w:hAnsi="IRNazanin" w:eastAsia="IRNazanin"/>
          <w:color w:val="111111"/>
          <w:sz w:val="28"/>
          <w:sz w:val="28"/>
          <w:szCs w:val="28"/>
          <w:rtl w:val="true"/>
          <w:lang w:bidi="fa-IR"/>
        </w:rPr>
        <w:t>اگر عبیدالله از میان رفت، او سپهسالار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صدد برآمد که قیس را بفریبد و یک میلیون درهم نزد قیس فرستاد تا با او همدست شود یا دست کم از امام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پاسخ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نیرنگ، دین مرا نمی‌توانی از دستم بگیری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برو این دام بر مرغ دگر نِه، که عنقا را بلند است آشیانه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اصلی لشکر، یعنی عبیدالله بن عباس، تنها به وعدۀ همان پول، فریفته شد و شبانه با گروهی از خاصان خویش، به سوی معاویه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آن روز، سپاه، بی سرپرست ماند، پس قیس با مردم نماز گزارد و سپهسالار شد و جریان را به امام گزارش داد</w:t>
      </w:r>
      <w:r>
        <w:rPr>
          <w:rFonts w:eastAsia="IRNazanin" w:cs="IRNazanin"/>
          <w:color w:val="111111"/>
          <w:sz w:val="28"/>
          <w:szCs w:val="28"/>
          <w:rtl w:val="true"/>
          <w:lang w:bidi="fa-IR"/>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دلیرانه می‌جنگید؛ معاویه چون راه فریب او را مسدود یافت جاسوسانی به میان لشگر امام فرستاد که به دروغ جریان صلح قیس با معاویه را شایع کنند و نیز گروه دیگری در میان لشگر قیس که بگویند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با معاویه صلح کرده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بدین ترتیب، خوارج و آنانکه با صلح موافق نبودند؛ از این خدعه، فریفته شدند و ناگهان به حالت عصیان به خیمۀ امام ریختند و به غارت پرداختند، حتی فرش زیر پای امام را ربودند و ضربه ای به ران آن حضرت وارد آوردند که از خونریزی شدید، امام به حالت وخیمی درافتادند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یاران امام، آن گرامی را به مدائن، به سرای سعد بن مسعود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مدائن، که از طرف حضرت علی علیه السلام منصوب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مدتی در خانۀ ثقفی به معالجه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به او گفتند، برخی از رؤسای 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انگیزۀ دینی نداشتند و یا با امام به دشمنکامی می‌زیستند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در پنهان نوشته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عراق آیی، پیمان می‌بندیم که امام علیه السلام را به تو بسپاریم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نامه‌های اینان را، عیناً نزد امام فرستاد و تقاضای صلح کرد؛ با این پیمان که هر شرطی که </w:t>
      </w:r>
    </w:p>
    <w:p>
      <w:pPr>
        <w:pStyle w:val="BookText"/>
        <w:rPr/>
      </w:pPr>
      <w:r>
        <w:rPr>
          <w:rFonts w:ascii="IRNazanin" w:hAnsi="IRNazanin" w:eastAsia="IRNazanin"/>
          <w:color w:val="111111"/>
          <w:sz w:val="28"/>
          <w:sz w:val="28"/>
          <w:szCs w:val="28"/>
          <w:rtl w:val="true"/>
          <w:lang w:bidi="fa-IR"/>
        </w:rPr>
        <w:t>امام بفرماید، پذیرا خواهد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به شدت بیمار بود و یارانش از هر سو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لشگریان و سربازان، از جهت ایدئولوژی و اهداف، یگانگی نداشتند و هر یک سازی جدا می‌نواختند و در راهی دیگر، می‌تاختند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سو و به هیچ رو، ادامۀ جنگ به سود شیعیان و حتی اسلام نبود، چرا که معاویه اگر به وسیله جنگ، رسماً پیروز می‌شد، اساس اسلام را از هم می‌پاشید، و دودمان همۀ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زمین برمی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ناگزیر، امام با شرایطی بسیار و سخت، به صلح تن در داد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برخی از مفاد این شرایط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شیعیان، محترم و محفوظ بماند و حقوقشان پایمال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علی علیه السلام دشنام ندهند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1" w:name="pg318_2963"/>
    </w:p>
    <w:p>
      <w:pPr>
        <w:pStyle w:val="BookText"/>
        <w:rPr/>
      </w:pPr>
      <w:bookmarkEnd w:id="31"/>
      <w:r>
        <w:rPr>
          <w:rFonts w:ascii="IRNazanin" w:hAnsi="IRNazanin" w:eastAsia="IRNazanin"/>
          <w:color w:val="111111"/>
          <w:sz w:val="28"/>
          <w:sz w:val="28"/>
          <w:szCs w:val="28"/>
          <w:rtl w:val="true"/>
          <w:lang w:bidi="fa-IR"/>
        </w:rPr>
        <w:t xml:space="preserve">معاویه، از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دارابگرد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درهم، بین یتیمان جنگ جمل و صفین، تقسیم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علیه السلام، معاویه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باید بر اساس کتاب خدا و سنت پیامبر صلی الله علیه و آله و سلم عمل کند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پس از مرگ، خلافت را به دیگری وانگذارد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معاویه، این شرایط و شرایط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برای حفظ اسلام، به ویژه شیعیان لازم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و جنگ پایان یافت</w:t>
      </w:r>
      <w:r>
        <w:rPr>
          <w:rFonts w:eastAsia="IRNazanin" w:cs="IRNazanin"/>
          <w:color w:val="111111"/>
          <w:sz w:val="28"/>
          <w:szCs w:val="28"/>
          <w:rtl w:val="true"/>
          <w:lang w:bidi="fa-IR"/>
        </w:rPr>
        <w:t>.</w:t>
      </w:r>
    </w:p>
    <w:p>
      <w:pPr>
        <w:pStyle w:val="Heading3"/>
        <w:numPr>
          <w:ilvl w:val="2"/>
          <w:numId w:val="1"/>
        </w:numPr>
        <w:rPr/>
      </w:pPr>
      <w:bookmarkStart w:id="32" w:name="__RefHeading___Toc2713690_211673320"/>
      <w:bookmarkStart w:id="33" w:name="_Toc12"/>
      <w:bookmarkEnd w:id="32"/>
      <w:r>
        <w:rPr>
          <w:rtl w:val="true"/>
        </w:rPr>
        <w:t>تسامح نبود</w:t>
      </w:r>
      <w:bookmarkEnd w:id="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مستشرقان که در مطالعات خویش، به ژرفای مطالب و همۀ جوانب نمی‌اندیشند؛ از مقدمه‌هایی </w:t>
      </w:r>
    </w:p>
    <w:p>
      <w:pPr>
        <w:pStyle w:val="BookText"/>
        <w:rPr/>
      </w:pPr>
      <w:r>
        <w:rPr>
          <w:rFonts w:ascii="IRNazanin" w:hAnsi="IRNazanin" w:eastAsia="IRNazanin"/>
          <w:color w:val="111111"/>
          <w:sz w:val="28"/>
          <w:sz w:val="28"/>
          <w:szCs w:val="28"/>
          <w:rtl w:val="true"/>
          <w:lang w:bidi="fa-IR"/>
        </w:rPr>
        <w:t>سست، به نتایجی به نظر خود، محکم می‌رسند و دچار ذوق زدگی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همین دسته، بر اساس همین مطالعات سطحی و بر اثر بی اطلاعی گمان برده اند که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معاویه، سستی کرده است وگرنه با پشتکار بیشتر، پیروز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اگر با ژرف نگری، متون اصلی تاریخهای مسلم آن دوره را مطالعه می‌کردند؛ و همۀ جوانب امر را در نظر می‌گرفتند، هرگز به نتیجه ای چنین یاوه نمی‌رسیدند؛ چرا که امام، به شهادت تاریخ، ایام سازندگی زندگی خویش را سرافرازانه در رکاب پدر، در جنگ جمل و صفین و غیر آن گذراند و همواره شجاعانه تا تیررس دشمن، شمشیر زد و پیش رفت و پیروز بازگشت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حسن علیه السلام از جنگ نمی‌هراسید، او خود مردم را به جنگ با معاویه ترغیب کرد؛ اما صلح او در آن شرایط ویژه، علاوه بر آنکه از </w:t>
      </w:r>
    </w:p>
    <w:p>
      <w:pPr>
        <w:pStyle w:val="BookText"/>
        <w:rPr/>
      </w:pPr>
      <w:r>
        <w:rPr>
          <w:rFonts w:ascii="IRNazanin" w:hAnsi="IRNazanin" w:eastAsia="IRNazanin"/>
          <w:color w:val="111111"/>
          <w:sz w:val="28"/>
          <w:sz w:val="28"/>
          <w:szCs w:val="28"/>
          <w:rtl w:val="true"/>
          <w:lang w:bidi="fa-IR"/>
        </w:rPr>
        <w:t xml:space="preserve">جهت سیاست داخلی و حفظ خون شیعیان و مصالح داخلی اسلام، لازم می‌نمود، از نظر سیاست خارجی اسلام نیز، یک دوراندیشی عمیق و حیرت آور بود؛ چرا که در همان ایام، امپراطوری روم شرقی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بارها ضربت‌های سنگینی از اسلام چشید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تلافی و در کمین بود تا در فرصتی مساعد، انتقام بگیرد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سپاه امام و معاویه رویاروی هم، صف بستند، آنان هم مقدمات حمله ای ناگهانی را فراهم آوردند و اگر امام به جنگ ادامه می‌دادند؛ ممکن بود، ضربتی سخت به پیکر اسلام وارد آید؛ اما چون امام صلح کرد، نتوانستند کاری از پیش </w:t>
      </w:r>
      <w:bookmarkStart w:id="34" w:name="pg318_2966"/>
    </w:p>
    <w:p>
      <w:pPr>
        <w:pStyle w:val="BookText"/>
        <w:rPr/>
      </w:pPr>
      <w:bookmarkEnd w:id="34"/>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35" w:name="__RefHeading___Toc2713692_211673320"/>
      <w:bookmarkStart w:id="36" w:name="_Toc13"/>
      <w:bookmarkEnd w:id="35"/>
      <w:r>
        <w:rPr>
          <w:rtl w:val="true"/>
        </w:rPr>
        <w:t>تنازل نبود</w:t>
      </w:r>
      <w:bookmarkEnd w:id="36"/>
    </w:p>
    <w:p>
      <w:pPr>
        <w:pStyle w:val="BookText"/>
        <w:rPr/>
      </w:pPr>
      <w:r>
        <w:rPr>
          <w:rFonts w:ascii="IRNazanin" w:hAnsi="IRNazanin" w:eastAsia="IRNazanin"/>
          <w:color w:val="111111"/>
          <w:sz w:val="28"/>
          <w:sz w:val="28"/>
          <w:szCs w:val="28"/>
          <w:rtl w:val="true"/>
          <w:lang w:bidi="fa-IR"/>
        </w:rPr>
        <w:t>شگفت انگیزتر از پندار دستۀ پیش، یاوه پنداری دستۀ دیگری از نویسندگانست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معاویه را سزاوارتر از خویش یافت، پس به سود او، پا پس کشید و خلافت را به او واگذارد و با او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می‌دانیم،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نامه‌های پیش از واقعۀ صلح، و چه پس از آن، صریحاً خود را سزاوار مقام خلافت می‌داند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معاویه به کوفه آمد و به منبر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مرا سزاوارتر دانست و خود را نه؛ پس آن را به من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علیه السلام در مجلس حضور داشت و به پا 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w:t>
      </w:r>
    </w:p>
    <w:p>
      <w:pPr>
        <w:pStyle w:val="BookText"/>
        <w:rPr/>
      </w:pPr>
      <w:r>
        <w:rPr>
          <w:rFonts w:ascii="IRNazanin" w:hAnsi="IRNazanin" w:eastAsia="IRNazanin"/>
          <w:color w:val="111111"/>
          <w:sz w:val="28"/>
          <w:sz w:val="28"/>
          <w:szCs w:val="28"/>
          <w:rtl w:val="true"/>
          <w:lang w:bidi="fa-IR"/>
        </w:rPr>
        <w:t>سزاواری و فضیلت خویش به تفضیل سخن گفت از جمله به شرکت در مباهله اشاره کرد،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طبق نص قرآن و سنت پیامبر برتریم و بدین امر سزاوارتر؛ اما دیگران ستم کردند و حق ما را بردند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در مفاد صلحنامه خواندیم که امام قید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را امیرالمؤمنین نخواند و نداند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ممکن است با او بیعت کرده باشد؟ و اگر هم با او بیعت کرده بود؛ می‌بایست به فرمان معاویه عمل کند، اما به گواهی تاریخ، هرگز از او فرمان نبرد، چنانکه به هنگام خروج خوارج، معاویه فرمان داد که امام با ایشان بجنگد، ولی امام اصلاً به فرمان او وقعی ننهاد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می‌خواستم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بجنگم، نخست با تو می‌جنگیدم</w:t>
      </w:r>
      <w:r>
        <w:rPr>
          <w:rFonts w:eastAsia="IRNazanin" w:cs="IRNazanin"/>
          <w:color w:val="111111"/>
          <w:sz w:val="28"/>
          <w:szCs w:val="28"/>
          <w:rtl w:val="true"/>
          <w:lang w:bidi="fa-IR"/>
        </w:rPr>
        <w:t>...»</w:t>
      </w:r>
      <w:r>
        <w:rPr>
          <w:rStyle w:val="FootnoteAnchor"/>
          <w:rtl w:val="true"/>
        </w:rPr>
        <w:footnoteReference w:id="32"/>
      </w:r>
      <w:bookmarkStart w:id="37" w:name="pg318_2968"/>
    </w:p>
    <w:p>
      <w:pPr>
        <w:pStyle w:val="BookText"/>
        <w:rPr/>
      </w:pPr>
      <w:bookmarkEnd w:id="37"/>
      <w:r>
        <w:rPr>
          <w:rFonts w:ascii="IRNazanin" w:hAnsi="IRNazanin" w:eastAsia="IRNazanin"/>
          <w:color w:val="111111"/>
          <w:sz w:val="28"/>
          <w:sz w:val="28"/>
          <w:szCs w:val="28"/>
          <w:rtl w:val="true"/>
          <w:lang w:bidi="fa-IR"/>
        </w:rPr>
        <w:t xml:space="preserve">پس می‌بینیم که یاوه پنداری برخی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وجدان علمی و تاریخ نویسی بهره ای نبرده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 دروغ پردازی بزرگ،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امام بنابر مصالح عالیۀ اسلام، صورت گرفت؛ نه از جهت آنکه امام معاویه را سزاوارتر یافت</w:t>
      </w:r>
      <w:r>
        <w:rPr>
          <w:rFonts w:eastAsia="IRNazanin" w:cs="IRNazanin"/>
          <w:color w:val="111111"/>
          <w:sz w:val="28"/>
          <w:szCs w:val="28"/>
          <w:rtl w:val="true"/>
          <w:lang w:bidi="fa-IR"/>
        </w:rPr>
        <w:t>.</w:t>
      </w:r>
    </w:p>
    <w:p>
      <w:pPr>
        <w:pStyle w:val="Heading3"/>
        <w:numPr>
          <w:ilvl w:val="2"/>
          <w:numId w:val="1"/>
        </w:numPr>
        <w:rPr/>
      </w:pPr>
      <w:bookmarkStart w:id="38" w:name="__RefHeading___Toc2713694_211673320"/>
      <w:bookmarkStart w:id="39" w:name="_Toc14"/>
      <w:bookmarkEnd w:id="38"/>
      <w:r>
        <w:rPr>
          <w:rtl w:val="true"/>
        </w:rPr>
        <w:t>اعتراض نابجا</w:t>
      </w:r>
      <w:bookmarkEnd w:id="39"/>
    </w:p>
    <w:p>
      <w:pPr>
        <w:pStyle w:val="BookText"/>
        <w:rPr/>
      </w:pPr>
      <w:r>
        <w:rPr>
          <w:rFonts w:ascii="IRNazanin" w:hAnsi="IRNazanin" w:eastAsia="IRNazanin"/>
          <w:color w:val="111111"/>
          <w:sz w:val="28"/>
          <w:sz w:val="28"/>
          <w:szCs w:val="28"/>
          <w:rtl w:val="true"/>
          <w:lang w:bidi="fa-IR"/>
        </w:rPr>
        <w:t>برخی دیگر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آنست که رهبر باید در کارها، از خواستۀ جامعه پیروی کند؛ پس چرا امام به میل شیعیان که جنگ با معاویه را می‌خواستند، وقعی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ادامۀ جنگ به مصلحت اسلام و مسلمانان تمام نمی‌شد؛ شایسته نبود که امام به خواستۀ آنان ترتیب اثر 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راهبری امام بر اساس اعتقاد شیعه، یک راهبری خدایی و از گونۀ راهبری پیامبران است؛ چرا که امام مرتبط با مبدأ جهان و خداوند بزرگ است و مصالح جامعه را بر این اساس تشخیص می‌دهد و هرگونه او تشخیص بدهد، خلاف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بسیار که پیامبر یا امام، کاری انجام دادند و مردم همان هنگام به مصلحت آن آشنا نبودند؛ اما با گذشت ایّام، لزوم آن را دریافتند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مثلاً، پیامبر صلی الله علیه و آله و سلم همراه مسلمانان به قصد زیارت خانۀ خدا از مدینه بیرون آمدند؛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قریش مانع ورود ایشان به مکه شدند چرا که ورود پیامبر و همراهان را بی اجازه و آگاهی پیشین، یک نوع سرشکستگی برای خویش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آمدها و مذاکراتی بسیار صورت گرفت و سرانجام بنابر آن شد که بدین صورت تا سه سال با هم صلح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 در سال بعد، سه روز خانۀ خدا را در اختیار مسلمانان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آزادانه، در آنجا اعمال مذهبی خود را به جای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سه سال قریش و مسلمانان با هم کاری نداشته باشند و رفت و آمد در مکه برای مسلمانان </w:t>
      </w:r>
    </w:p>
    <w:p>
      <w:pPr>
        <w:pStyle w:val="BookText"/>
        <w:rPr/>
      </w:pPr>
      <w:r>
        <w:rPr>
          <w:rFonts w:ascii="IRNazanin" w:hAnsi="IRNazanin" w:eastAsia="IRNazanin"/>
          <w:color w:val="111111"/>
          <w:sz w:val="28"/>
          <w:sz w:val="28"/>
          <w:szCs w:val="28"/>
          <w:rtl w:val="true"/>
          <w:lang w:bidi="fa-IR"/>
        </w:rPr>
        <w:t>آزاد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مکه بتوانند بر اساس دین خود، آشکارا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مفاد بالا به شرطی عمل شود که اگر کسی از مکه گریخت و به مدینه پناه برد، مسلمانان او را به مکه باز گردانند، اما اگر از مدینه کسی به مکه پناه آورد، قریش لازم نباشد چنان 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پیامبر اکرم صلی الله علیه و آله و سلم با مفاد این صلح نامه موافقت فرمود، اما مسلمانان از بند اخیر این قرارداد بسیار ناراحت بودند و زیر بار صلح نمی‌رفتند،</w:t>
      </w:r>
      <w:r>
        <w:rPr>
          <w:rStyle w:val="FootnoteAnchor"/>
          <w:rtl w:val="true"/>
        </w:rPr>
        <w:footnoteReference w:id="35"/>
      </w:r>
      <w:r>
        <w:rPr>
          <w:rFonts w:ascii="IRNazanin" w:hAnsi="IRNazanin" w:eastAsia="IRNazanin"/>
          <w:color w:val="111111"/>
          <w:sz w:val="28"/>
          <w:sz w:val="28"/>
          <w:szCs w:val="28"/>
          <w:rtl w:val="true"/>
          <w:lang w:bidi="fa-IR"/>
        </w:rPr>
        <w:t>از همه بیشتر، عمر مخالفت می‌ورزید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 رَسُولِهِ، لَن اخالِفُ أمره ولن یُضَیِّعنی؛ یعنی، من بنده و پیامبر خداوندم، هرگز از فرمان او سرنپیچم و می‌دانم که باعث ضرر من نخواهد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همینطور هم شد و اندکی بعد، مصالح این صلح بر همگان آشکار گشت چرا که بر اثر خاموش شدن آتش جنگ و رفت و آمد مسلمانان، مشرکان به حقیقت اسلام آگاهی یافتند و اسلام در دلشان نشست و بسیاری از آنان مسلمان شدند؛ چندانکه هنوز مدت صلح تمام نشده بود که چیزی نمانده بود اسلام آیین و دین عمومی اهل مکه گردد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دو سال صلح، تعداد مسلمانان به اندازۀ تمام سالهای تا پیش از آن، اضافه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زهری راست می‌گوید چرا که مسلمانان، هنگامی که با پیامبر به حدیبیه آمده بودند،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اما دو سال بعد در فتح مکه، همراهان او به ده هزار نفر رسیده بودند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 دارد که زهری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یَکُنْ فَتْحُ أَعْظَمَ مِن صُلحِ الحُدَیبیّة؛ هیچ پیروزی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عظیم تر از صلح حدیبیه نبود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صادق علیه السلام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کانَت قَضیَّةٌ اعظَمُ بَرَکَة مِنها؛ هیچ حادثه ای پربارتر از این، رخ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آن کس که به امامت امامان پاک، ایمان دارد، نباید به صلح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بگیرد، به همانگونه که به صلح پیامبر اکرم صلی الله علیه و آله و سلم با قریش، ایراد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وقتی برخی از شیعیان به خود امام ایراد می‌گرفتند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مسلمانان به خود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امام دخالت نورزند و نسبت به امام خویش، پیروی داشته باشند چرا که او به فرمان خدا و بنابر مصالح واقعی، کارها را انجام می‌دهد، اگر چه دیگران رمز آن را نفهمند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عقیصا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امام حسن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معاویه صلح کردی و حال </w:t>
      </w:r>
    </w:p>
    <w:p>
      <w:pPr>
        <w:pStyle w:val="BookText"/>
        <w:rPr/>
      </w:pPr>
      <w:r>
        <w:rPr>
          <w:rFonts w:ascii="IRNazanin" w:hAnsi="IRNazanin" w:eastAsia="IRNazanin"/>
          <w:color w:val="111111"/>
          <w:sz w:val="28"/>
          <w:sz w:val="28"/>
          <w:szCs w:val="28"/>
          <w:rtl w:val="true"/>
          <w:lang w:bidi="fa-IR"/>
        </w:rPr>
        <w:t>آنکه حق با تو و معاویه گمراه و ستمگر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پس از پدرم، حجت خدا و امام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رسول خدا در حق من و برادرم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امامانِ قاما اوْ قَعَدا؟؛ حسن و حسین امامند چه قیام کنند و چه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امام هستم، چه قیام کنم و چه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برای او، علت آنکه قیام نفرمود، توضیح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سبب با معاویه صلح کردم که پیامبر خدا با بنی ضمره و بنی اشجع و با اهل مکه در حدیبیه صلح کرد؛ با این تفاوت که آنان کافر بودند و معاویه و یاران او در حکم کافرند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من از جانب خداوند </w:t>
      </w:r>
      <w:bookmarkStart w:id="40" w:name="pg318_2974"/>
    </w:p>
    <w:p>
      <w:pPr>
        <w:pStyle w:val="BookText"/>
        <w:rPr/>
      </w:pPr>
      <w:bookmarkEnd w:id="40"/>
      <w:r>
        <w:rPr>
          <w:rFonts w:ascii="IRNazanin" w:hAnsi="IRNazanin" w:eastAsia="IRNazanin"/>
          <w:color w:val="111111"/>
          <w:sz w:val="28"/>
          <w:sz w:val="28"/>
          <w:szCs w:val="28"/>
          <w:rtl w:val="true"/>
          <w:lang w:bidi="fa-IR"/>
        </w:rPr>
        <w:t>امامم، دیگر معنا ندارد که رأی مرا سبک بشماری، گرچه مصلحت آن بر تو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من و تو، چو خضر و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کارهایی می‌کرد که موسی مصلحت آن را نمی‌دانست و در خشم می‌شد؛ اما چون خضر او را آگاه می‌ساخت، آرام می‌گرفت، من هم خشم شما را برانگیخته ام به این جهت که به مصالح کار من آشنا نیستند؛ اما همین قدر بدان که اگر با معاویه صلح نمی‌کردم، شیعه ای روی زمین باز نمی‌ماند</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41" w:name="__RefHeading___Toc2713696_211673320"/>
      <w:bookmarkStart w:id="42" w:name="_Toc15"/>
      <w:bookmarkEnd w:id="41"/>
      <w:r>
        <w:rPr>
          <w:rtl w:val="true"/>
        </w:rPr>
        <w:t>پیمان شکنی معاویه</w:t>
      </w:r>
      <w:bookmarkEnd w:id="4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آن پس که بر امور چیره گشت، چهرۀ واقعی خود را آشکار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طی یک سخنرانی در نخیله، آشکارا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با شما نجنگیدم تا نماز گزارید و روزه بدارید و حج بروید؛ بلکه تا حکومت کنم و اینک بدان 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اعلام می‌کنم که تمام شرطهائی که در صلحنامه با حسن بن علی علیه السلام گذراندیم، زیر پا خواهم گذارد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 در عمل، گاه به جهت سابقه و نفوذ امام حسن علیه السلام ناگزیر بود مراعات بکند؛ چنانکه ابن ابی الحدید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کوفه در صدد تعقیب یکی از یاران امام حسن علیه السلام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پیام داد که ما برای یاران خویش امان گرفته ایم، اما به من خبر داده اند که تو مزاحم یکی از اصحاب ما شده ای، چنین نکن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نرفت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او خواهم بود، گرچه بین پوست و گوشت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عین پاسخنامۀ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معاویه فرستاد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مزاحم </w:t>
      </w:r>
      <w:bookmarkStart w:id="43" w:name="pg318_2976"/>
    </w:p>
    <w:p>
      <w:pPr>
        <w:pStyle w:val="BookText"/>
        <w:rPr/>
      </w:pPr>
      <w:bookmarkEnd w:id="43"/>
      <w:r>
        <w:rPr>
          <w:rFonts w:ascii="IRNazanin" w:hAnsi="IRNazanin" w:eastAsia="IRNazanin"/>
          <w:color w:val="111111"/>
          <w:sz w:val="28"/>
          <w:sz w:val="28"/>
          <w:szCs w:val="28"/>
          <w:rtl w:val="true"/>
          <w:lang w:bidi="fa-IR"/>
        </w:rPr>
        <w:t>یاران او مشو، من در این کار به تو ولایتی نداده ام</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44" w:name="__RefHeading___Toc2713698_211673320"/>
      <w:bookmarkStart w:id="45" w:name="_Toc16"/>
      <w:bookmarkEnd w:id="44"/>
      <w:r>
        <w:rPr>
          <w:rtl w:val="true"/>
        </w:rPr>
        <w:t>بازگشت به مدینه</w:t>
      </w:r>
      <w:bookmarkEnd w:id="4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هر سو و به هر گونه، در صدد آزار امام حسن علیه السلام بر می‌آمد؛ او و یارانش را شدیداً زیر نظر می‌گرفت و در تنگنا می‌گذاشت؛ به حضرت علی علیه السلام و دودمان او توهین می‌کرد و گاه بی شرمی را به پایه‌ای می‌رساند که حتی در مجلسی که امام حسن علیه السلام حضور می‌داشت، حضرت علی علیه السلام را به بدگویی می‌گرفت</w:t>
      </w:r>
      <w:r>
        <w:rPr>
          <w:rStyle w:val="FootnoteAnchor"/>
          <w:rtl w:val="true"/>
        </w:rPr>
        <w:footnoteReference w:id="43"/>
      </w:r>
      <w:r>
        <w:rPr>
          <w:rFonts w:ascii="IRNazanin" w:hAnsi="IRNazanin" w:eastAsia="IRNazanin"/>
          <w:color w:val="111111"/>
          <w:sz w:val="28"/>
          <w:sz w:val="28"/>
          <w:szCs w:val="28"/>
          <w:rtl w:val="true"/>
          <w:lang w:bidi="fa-IR"/>
        </w:rPr>
        <w:t>؛ اگر چه امام بلافاصله پاسخ دندان شکن می‌داد و او را ادب می‌کرد، اما ماندن در کوفه، برایشان شکنجه بار شده بود؛ پس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سفر نیز گشایشی در وضع موجود، ایجاد نکرد؛ چرا که یکی از پلیدترین کارگزاران معاویه به نام مروان، حاکم آنجا بود؛ کسی که پیامبر دربارۀ او </w:t>
      </w:r>
    </w:p>
    <w:p>
      <w:pPr>
        <w:pStyle w:val="BookText"/>
        <w:rPr/>
      </w:pPr>
      <w:r>
        <w:rPr>
          <w:rFonts w:ascii="Amiri" w:hAnsi="Amiri" w:eastAsia="Amiri" w:cs="Amiri"/>
          <w:color w:val="111111"/>
          <w:sz w:val="28"/>
          <w:sz w:val="28"/>
          <w:szCs w:val="28"/>
          <w:rtl w:val="true"/>
          <w:lang w:bidi="ar-SA"/>
        </w:rPr>
        <w:t>فرموده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الْوَزَغُ بْنُ الْوَزَغِ الْمَلْعُونُ ابْنُ الْمَلْعُونِ</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و او، روزگار را بر امام و یارانش بسیار تنگ می‌گرفت تا آنجا که حتی رفت و آمد یاران آن گرامی به خانه‌اش، دشوار بود و لذا با آنکه ده سال در مدینه بودند، یاران کمتر توانستند از منبع علم و دانش آن عزیز بهره برند، به همین جهت روایات منقول از آن امام،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سعی داشت، در حضور امام نسبت به حضرت علی علیه السلام بدگویی کند؛ گاهی هم برخی را واداشت که بخود امام حسن علیه السلام توهین کنند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مروان هم، در طول این ده سال، هر کس والی مدینه شد، از شکنجه و آزار آن امام و یارانش، کوتاهی نکرد</w:t>
      </w:r>
      <w:r>
        <w:rPr>
          <w:rFonts w:eastAsia="IRNazanin" w:cs="IRNazanin"/>
          <w:color w:val="111111"/>
          <w:sz w:val="28"/>
          <w:szCs w:val="28"/>
          <w:rtl w:val="true"/>
          <w:lang w:bidi="fa-IR"/>
        </w:rPr>
        <w:t xml:space="preserve">. </w:t>
      </w:r>
      <w:bookmarkStart w:id="46" w:name="pg318_2978"/>
    </w:p>
    <w:p>
      <w:pPr>
        <w:pStyle w:val="Heading2"/>
        <w:numPr>
          <w:ilvl w:val="1"/>
          <w:numId w:val="1"/>
        </w:numPr>
        <w:rPr/>
      </w:pPr>
      <w:bookmarkStart w:id="47" w:name="__RefHeading___Toc2713700_211673320"/>
      <w:bookmarkStart w:id="48" w:name="_Toc17"/>
      <w:bookmarkEnd w:id="46"/>
      <w:bookmarkEnd w:id="47"/>
      <w:r>
        <w:rPr>
          <w:rtl w:val="true"/>
        </w:rPr>
        <w:t>خوی و منش</w:t>
      </w:r>
      <w:bookmarkEnd w:id="48"/>
    </w:p>
    <w:p>
      <w:pPr>
        <w:pStyle w:val="Heading3"/>
        <w:numPr>
          <w:ilvl w:val="2"/>
          <w:numId w:val="1"/>
        </w:numPr>
        <w:rPr/>
      </w:pPr>
      <w:bookmarkStart w:id="49" w:name="__RefHeading___Toc2713702_211673320"/>
      <w:bookmarkStart w:id="50" w:name="_Toc18"/>
      <w:bookmarkEnd w:id="49"/>
      <w:r>
        <w:rPr>
          <w:rtl w:val="true"/>
        </w:rPr>
        <w:t>پرهیزگاری</w:t>
      </w:r>
      <w:bookmarkEnd w:id="50"/>
    </w:p>
    <w:p>
      <w:pPr>
        <w:pStyle w:val="BookText"/>
        <w:rPr/>
      </w:pPr>
      <w:r>
        <w:rPr>
          <w:rFonts w:ascii="IRNazanin" w:hAnsi="IRNazanin" w:eastAsia="IRNazanin"/>
          <w:color w:val="111111"/>
          <w:sz w:val="28"/>
          <w:sz w:val="28"/>
          <w:szCs w:val="28"/>
          <w:rtl w:val="true"/>
          <w:lang w:bidi="fa-IR"/>
        </w:rPr>
        <w:t>توجهی خاصّ به خداوند داشت؛ آثار این توجه را گاه از چهرۀ او هنگام وضو در می‌یافتند؛ چون وضو می‌گرفت، رنگ می‌باخت و به لرزه می‌افتاد، می‌پرسیدند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در پیشگاه خدا می‌ایستد، جز این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ششم علیه السلام 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عابدترین مردمان زمان خویش بود و با فضیلت ترین؛ چون به یاد مرگ و رستخیز می‌افتاد، می‌گریست و بی‌حال می‌شد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پیاده و گاه برهنه پا،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خانۀ خدا رفت</w:t>
      </w:r>
      <w:r>
        <w:rPr>
          <w:rFonts w:eastAsia="IRNazanin" w:cs="IRNazanin"/>
          <w:color w:val="111111"/>
          <w:sz w:val="28"/>
          <w:szCs w:val="28"/>
          <w:rtl w:val="true"/>
          <w:lang w:bidi="fa-IR"/>
        </w:rPr>
        <w:t>.</w:t>
      </w:r>
      <w:r>
        <w:rPr>
          <w:rStyle w:val="FootnoteAnchor"/>
          <w:rtl w:val="true"/>
        </w:rPr>
        <w:footnoteReference w:id="47"/>
      </w:r>
      <w:bookmarkStart w:id="51" w:name="pg318_2979"/>
    </w:p>
    <w:p>
      <w:pPr>
        <w:pStyle w:val="Heading3"/>
        <w:numPr>
          <w:ilvl w:val="2"/>
          <w:numId w:val="1"/>
        </w:numPr>
        <w:rPr/>
      </w:pPr>
      <w:bookmarkStart w:id="52" w:name="__RefHeading___Toc2713704_211673320"/>
      <w:bookmarkStart w:id="53" w:name="_Toc19"/>
      <w:bookmarkEnd w:id="51"/>
      <w:bookmarkEnd w:id="52"/>
      <w:r>
        <w:rPr>
          <w:rtl w:val="true"/>
        </w:rPr>
        <w:t>بخشندگی</w:t>
      </w:r>
      <w:bookmarkEnd w:id="53"/>
    </w:p>
    <w:p>
      <w:pPr>
        <w:pStyle w:val="BookText"/>
        <w:rPr/>
      </w:pPr>
      <w:r>
        <w:rPr>
          <w:rFonts w:ascii="IRNazanin" w:hAnsi="IRNazanin" w:eastAsia="IRNazanin"/>
          <w:color w:val="111111"/>
          <w:sz w:val="28"/>
          <w:sz w:val="28"/>
          <w:szCs w:val="28"/>
          <w:rtl w:val="true"/>
          <w:lang w:bidi="fa-IR"/>
        </w:rPr>
        <w:t>روزی به خانۀ خدا رفته بود، همان هنگام شنید که مردی با خدا به گفتگو نشسته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ده هزار درهم نصیبم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همان دم به خانه بازگشت و آن پول را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کنیزان او، دسته گلی خوشبوی به تحفه، پیشکش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مقابل او را آزاد فرمود و چون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چنین تربیت کرده است و این آیه را باز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حُیِّیْتُم بِتَحِیَّةٍ فَحَیُّواْ بِأَحْسَنَ مِنْهَا؛ یعنی چون به شما هدیه ای دادند، به نیکوتر، پاسخ گویید</w:t>
      </w:r>
      <w:r>
        <w:rPr>
          <w:rFonts w:eastAsia="IRNazanin" w:cs="IRNazanin"/>
          <w:color w:val="111111"/>
          <w:sz w:val="28"/>
          <w:szCs w:val="28"/>
          <w:rtl w:val="true"/>
          <w:lang w:bidi="fa-IR"/>
        </w:rPr>
        <w:t>.»</w:t>
      </w:r>
      <w:r>
        <w:rPr>
          <w:rStyle w:val="FootnoteAnchor"/>
          <w:rtl w:val="true"/>
        </w:rPr>
        <w:footnoteReference w:id="4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بار در زندگی، هر چه داشت، حتی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 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قسمت تقسیم کرد و در راه خدا داد</w:t>
      </w:r>
      <w:r>
        <w:rPr>
          <w:rFonts w:eastAsia="IRNazanin" w:cs="IRNazanin"/>
          <w:color w:val="111111"/>
          <w:sz w:val="28"/>
          <w:szCs w:val="28"/>
          <w:rtl w:val="true"/>
          <w:lang w:bidi="fa-IR"/>
        </w:rPr>
        <w:t>.</w:t>
      </w:r>
      <w:r>
        <w:rPr>
          <w:rStyle w:val="FootnoteAnchor"/>
          <w:rtl w:val="true"/>
        </w:rPr>
        <w:footnoteReference w:id="49"/>
      </w:r>
      <w:bookmarkStart w:id="54" w:name="pg318_2980"/>
    </w:p>
    <w:p>
      <w:pPr>
        <w:pStyle w:val="Heading3"/>
        <w:numPr>
          <w:ilvl w:val="2"/>
          <w:numId w:val="1"/>
        </w:numPr>
        <w:rPr/>
      </w:pPr>
      <w:bookmarkStart w:id="55" w:name="__RefHeading___Toc2713706_211673320"/>
      <w:bookmarkStart w:id="56" w:name="_Toc20"/>
      <w:bookmarkEnd w:id="54"/>
      <w:bookmarkEnd w:id="55"/>
      <w:r>
        <w:rPr>
          <w:rtl w:val="true"/>
        </w:rPr>
        <w:t>بردباری</w:t>
      </w:r>
      <w:bookmarkEnd w:id="56"/>
    </w:p>
    <w:p>
      <w:pPr>
        <w:pStyle w:val="BookText"/>
        <w:rPr/>
      </w:pPr>
      <w:r>
        <w:rPr>
          <w:rFonts w:ascii="IRNazanin" w:hAnsi="IRNazanin" w:eastAsia="IRNazanin"/>
          <w:color w:val="111111"/>
          <w:sz w:val="28"/>
          <w:sz w:val="28"/>
          <w:szCs w:val="28"/>
          <w:rtl w:val="true"/>
          <w:lang w:bidi="fa-IR"/>
        </w:rPr>
        <w:t>مردی از شام به تحریک معاویه، روزی امام را به دشنام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چیزی نفرمود تا ساکت شد؛ آنگاه با لبخندی شیرین او را سلام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غریب هستی، و گمان می‌برم در اشتباه افتاده ای، اگر از ما رضایت بخواهی، خواهیم داد و اگر چیزی بطلبی؛ اگر راهنمایی می‌جویی، راهنماییت خواهیم کرد؛ اگر باری بر دوش داری، بر می‌داریم و اگر گرسنه ای سیرت می‌سازیم؛ اگر نیازمندی، نیازت را برمی آوریم، هر کاری داری، در انجام آن حاضریم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ما وارد شوی، راحت‌تر خواهی بود که وسایل پذیرایی از هرگونه ما را فراهم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شرمسار شد و 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تو جانشین خداوند بر زمینی، خدا بهتر می‌داند که رسالت خویش، کجا قرار دهد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تو و پدرت، نزد من، مبغوض ترین بودید، اما اکنون </w:t>
      </w:r>
      <w:bookmarkStart w:id="57" w:name="pg318_2981"/>
    </w:p>
    <w:p>
      <w:pPr>
        <w:pStyle w:val="BookText"/>
        <w:rPr/>
      </w:pPr>
      <w:bookmarkEnd w:id="57"/>
      <w:r>
        <w:rPr>
          <w:rFonts w:ascii="IRNazanin" w:hAnsi="IRNazanin" w:eastAsia="IRNazanin"/>
          <w:color w:val="111111"/>
          <w:sz w:val="28"/>
          <w:sz w:val="28"/>
          <w:szCs w:val="28"/>
          <w:rtl w:val="true"/>
          <w:lang w:bidi="fa-IR"/>
        </w:rPr>
        <w:t>محبوب ترین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آنروز مهمان امام شد و چون از آنجا رفت به دوستی آن گرامی، گرویده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مروان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هیچگاه از آزار آن گرامی فروگذار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آن امام، در تشییع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هنگام حیات برادرم، هر چه از دستت برآمد، کردی؛ و اینک در تشییع او، حاضر آمده‌ای و می‌گریی؟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کردم، با کسی کردم که بردباریش از این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کوهی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w:t>
      </w:r>
      <w:r>
        <w:rPr>
          <w:rFonts w:eastAsia="IRNazanin" w:cs="IRNazanin"/>
          <w:color w:val="111111"/>
          <w:sz w:val="28"/>
          <w:szCs w:val="28"/>
          <w:rtl w:val="true"/>
          <w:lang w:bidi="fa-IR"/>
        </w:rPr>
        <w:t>.»</w:t>
      </w:r>
      <w:r>
        <w:rPr>
          <w:rStyle w:val="FootnoteAnchor"/>
          <w:rtl w:val="true"/>
        </w:rPr>
        <w:footnoteReference w:id="52"/>
      </w:r>
    </w:p>
    <w:p>
      <w:pPr>
        <w:pStyle w:val="Heading2"/>
        <w:numPr>
          <w:ilvl w:val="1"/>
          <w:numId w:val="1"/>
        </w:numPr>
        <w:rPr/>
      </w:pPr>
      <w:bookmarkStart w:id="58" w:name="__RefHeading___Toc2713708_211673320"/>
      <w:bookmarkStart w:id="59" w:name="_Toc21"/>
      <w:bookmarkEnd w:id="58"/>
      <w:r>
        <w:rPr>
          <w:rtl w:val="true"/>
        </w:rPr>
        <w:t>شهادت</w:t>
      </w:r>
      <w:bookmarkEnd w:id="5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که به بهانۀ کم سنی امام، حاضر نبود، خلافت را بدو واگذارد؛ اینک، در صدد برآمده بود که برای فرزند کثیف و پلید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ولایتعهدی را مسلم گرداند تا پس از خودش، اشکالی از جهت سلطنت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پیش نیاید؛ اما در این راه امام علیه السلام را، بزرگترین مانع می‌پنداشت، چرا که گمان می‌برد اگر پس از هلاکت خودش، امام زنده باشد، ممکن است، مردم که دیگر از دودمان معاویه دلخوشی ندارند، به امام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 بار در صدد برآمد تا امام را از میان ببرد و سرانجام با دسیسه؛ آن امام را به وسیلۀ زهر، مسموم کرد و آن گرامی در بیست و هشتم ماه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شهید و در قبرستان بقیع در مدینه، به خاک سپرده شد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درود خدا برآن بزرگوار عزیز باد</w:t>
      </w:r>
      <w:r>
        <w:rPr>
          <w:rFonts w:eastAsia="IRNazanin" w:cs="IRNazanin"/>
          <w:color w:val="111111"/>
          <w:sz w:val="28"/>
          <w:szCs w:val="28"/>
          <w:rtl w:val="true"/>
          <w:lang w:bidi="fa-IR"/>
        </w:rPr>
        <w:t xml:space="preserve">. </w:t>
      </w:r>
      <w:bookmarkStart w:id="60" w:name="pg318_2983"/>
    </w:p>
    <w:p>
      <w:pPr>
        <w:pStyle w:val="Heading2"/>
        <w:numPr>
          <w:ilvl w:val="1"/>
          <w:numId w:val="1"/>
        </w:numPr>
        <w:rPr/>
      </w:pPr>
      <w:bookmarkStart w:id="61" w:name="__RefHeading___Toc2713710_211673320"/>
      <w:bookmarkStart w:id="62" w:name="_Toc22"/>
      <w:bookmarkEnd w:id="60"/>
      <w:bookmarkEnd w:id="61"/>
      <w:r>
        <w:rPr>
          <w:rtl w:val="true"/>
        </w:rPr>
        <w:t>از گفتار پرنور آن گرامی</w:t>
      </w:r>
      <w:r>
        <w:rPr>
          <w:rtl w:val="true"/>
        </w:rPr>
        <w:t>:</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اللَّؤُمُ ان لاتَشکُرَ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افراد پست و فرومایه در برابر نعمت و نیکی، تشکّر و سپاسگزاری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ولیست العفّة بدافعةٍ رزقاً، ولا الحرص بجالبٍ فضلاً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عفاف و آبرومندی جلوی رزق و روزی را نمی‌گیرد و حرص و آز درآمد بیشتری را به سوی انسان نمی‌کشاند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اَلخَیرُ الَّذِی لا شَرَّ فِیهِ، الشُّکرُ مَعَ النِّعمَة وَ الصَّبرُ عَلَی النّازِلَة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خیر و نیکی که هیچ شرّ و بدی درآن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به هنگام نعمت و صبر و شکیبایی در برابر سختی و مصیبت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ألْعارُ أهْوَنُ مِنَ النّارِ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ننگ و عار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تلخ و شکننده است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آسان تر از آن است که به آتش دوزخ الهی درافتد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عذاب و خواری و ننگ و عار </w:t>
      </w:r>
    </w:p>
    <w:p>
      <w:pPr>
        <w:pStyle w:val="BookText"/>
        <w:rPr/>
      </w:pPr>
      <w:r>
        <w:rPr>
          <w:rFonts w:ascii="IRNazanin" w:hAnsi="IRNazanin" w:eastAsia="IRNazanin"/>
          <w:color w:val="111111"/>
          <w:sz w:val="28"/>
          <w:sz w:val="28"/>
          <w:szCs w:val="28"/>
          <w:rtl w:val="true"/>
          <w:lang w:bidi="fa-IR"/>
        </w:rPr>
        <w:t>ابدی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اَسْلَمُ الْقُلُوبِ ما طَهُرَ مِنَ الشُّبُهاتِ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سالمترین دلها آنست که از شکّ و شبهه‌ها پاک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تَذَکَّرَ بُعدَ السَّفَرِ اعتَدَّ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دوری سفر آخرت را در نظر داشته باشد، خود را برای آن سفر طولانی آماده می‌سازد و توشۀ آن را فراهم می‌کند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النّاسَ مِثلَ ما تُحِبُ‌ّ أن یُصاحِبوکَ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مردم همانگونه رفتار کن که دوست داری با تو رفتار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اِستَعِدَّ لِسَفَرِکَ وَ حَصِّلْ زَادَکَ قَبْلَ حُلُولِ أَجَلِکَ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آماده سفر آخرت باش و پیش از رسیدن مرگ زاد و توشه برای آخرتت تحصیل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تَشاوَرَ قَومٌ إِلاّ هُدوا إِلی رُشدِهِم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گروهی در امور خود با هم مشورت نمی‌کنند مگر اینکه به صلاح خود راهنمایی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بادِرُوا الْعَمَلَ قَبْلَ مُقَطِّعاتِ النَّقِماتِ وَ هادِمِ الَّذّاتِ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مرگ به انجام عمل صالح مبادرت کنید</w:t>
      </w:r>
      <w:r>
        <w:rPr>
          <w:rFonts w:eastAsia="IRNazanin" w:cs="IRNazanin"/>
          <w:color w:val="111111"/>
          <w:sz w:val="28"/>
          <w:szCs w:val="28"/>
          <w:rtl w:val="true"/>
          <w:lang w:bidi="fa-IR"/>
        </w:rPr>
        <w:t>.</w:t>
      </w:r>
      <w:r>
        <w:rPr>
          <w:rStyle w:val="FootnoteAnchor"/>
          <w:rtl w:val="true"/>
        </w:rPr>
        <w:footnoteReference w:id="5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مرحوم کلینی ولادت آن گرامی را در سال دوم هجرت نوشته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چاپ جدید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الامامه؛ محمد بن جریر الطبری،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والحسین سیّدا شباب اهل الجنّة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ابنای، هذان امامان، قاما او قعدا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بن علی علیه السلام،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بن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بن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بن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در این ماده از صلحنامه جملۀ دیگری هم نقل شده است ولی چون صحیح نبود در اینجا نیامد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به نقل حیاة الامام الحسن بن 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البلاغۀ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بن 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أَعْلَمُ حَیْثُ یَجْعَلُ رِسَالَتَهُ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آن؛ البته در مورد سال وفات آن گرامی و روز آن، اقوال دیگری نیز هست که داوطلبان می‌توانند به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تاریخ الخلفاء،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الامامة،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مراجعه کنند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تحف العقول؛ صفحات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6139</Words>
  <Characters>23091</Characters>
  <CharactersWithSpaces>28904</CharactersWithSpaces>
  <Paragraphs>439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2026-08-16T02:52:33Z</dcterms:created>
  <dc:creator>ghaemiyeh.com</dc:creator>
  <dc:description/>
  <dc:language>en-US</dc:language>
  <cp:lastModifiedBy/>
  <dcterms:modified xsi:type="dcterms:W3CDTF">2026-08-16T06:22:35Z</dcterms:modified>
  <cp:revision>1</cp:revision>
  <dc:subject/>
  <dc:title>پیشوای دوم حضرت امام حسن علیه السلام</dc:title>
</cp:coreProperties>
</file>

<file path=docProps/custom.xml><?xml version="1.0" encoding="utf-8"?>
<Properties xmlns="http://schemas.openxmlformats.org/officeDocument/2006/custom-properties" xmlns:vt="http://schemas.openxmlformats.org/officeDocument/2006/docPropsVTypes"/>
</file>