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گل بی خار </w:t>
      </w:r>
      <w:r>
        <w:rPr>
          <w:rtl w:val="true"/>
        </w:rPr>
        <w:t xml:space="preserve">- </w:t>
      </w:r>
      <w:r>
        <w:rPr>
          <w:rtl w:val="true"/>
        </w:rPr>
        <w:t>آسیب شناسی کتب اهدایی وهابیان در ایام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0467_211673320">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620469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20471_211673320">
            <w:r>
              <w:rPr>
                <w:webHidden/>
                <w:rStyle w:val="IndexLink"/>
                <w:rtl w:val="true"/>
              </w:rPr>
              <w:t>به بهانه‌ي مقدّمه</w:t>
            </w:r>
            <w:r>
              <w:rPr>
                <w:rStyle w:val="IndexLink"/>
                <w:rtl w:val="true"/>
              </w:rPr>
              <w:tab/>
            </w:r>
            <w:r>
              <w:rPr>
                <w:rStyle w:val="IndexLink"/>
              </w:rPr>
              <w:t>6</w:t>
            </w:r>
          </w:hyperlink>
        </w:p>
        <w:p>
          <w:pPr>
            <w:pStyle w:val="Contents2"/>
            <w:tabs>
              <w:tab w:val="clear" w:pos="8743"/>
              <w:tab w:val="right" w:pos="9026" w:leader="dot"/>
            </w:tabs>
            <w:rPr/>
          </w:pPr>
          <w:hyperlink w:anchor="__RefHeading___Toc620473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620475_211673320">
            <w:r>
              <w:rPr>
                <w:webHidden/>
                <w:rStyle w:val="IndexLink"/>
                <w:rtl w:val="true"/>
              </w:rPr>
              <w:t>فصل اوّل</w:t>
            </w:r>
            <w:r>
              <w:rPr>
                <w:rStyle w:val="IndexLink"/>
                <w:rtl w:val="true"/>
              </w:rPr>
              <w:tab/>
            </w:r>
            <w:r>
              <w:rPr>
                <w:rStyle w:val="IndexLink"/>
              </w:rPr>
              <w:t>13</w:t>
            </w:r>
          </w:hyperlink>
        </w:p>
        <w:p>
          <w:pPr>
            <w:pStyle w:val="Contents3"/>
            <w:tabs>
              <w:tab w:val="clear" w:pos="8459"/>
              <w:tab w:val="right" w:pos="9026" w:leader="dot"/>
            </w:tabs>
            <w:rPr/>
          </w:pPr>
          <w:hyperlink w:anchor="__RefHeading___Toc620477_211673320">
            <w:r>
              <w:rPr>
                <w:webHidden/>
                <w:rStyle w:val="IndexLink"/>
                <w:rtl w:val="true"/>
              </w:rPr>
              <w:t>توحيد</w:t>
            </w:r>
            <w:r>
              <w:rPr>
                <w:rStyle w:val="IndexLink"/>
                <w:rtl w:val="true"/>
              </w:rPr>
              <w:tab/>
            </w:r>
            <w:r>
              <w:rPr>
                <w:rStyle w:val="IndexLink"/>
              </w:rPr>
              <w:t>13</w:t>
            </w:r>
          </w:hyperlink>
        </w:p>
        <w:p>
          <w:pPr>
            <w:pStyle w:val="Contents4"/>
            <w:tabs>
              <w:tab w:val="clear" w:pos="8176"/>
              <w:tab w:val="right" w:pos="9026" w:leader="dot"/>
            </w:tabs>
            <w:rPr/>
          </w:pPr>
          <w:hyperlink w:anchor="__RefHeading___Toc620479_211673320">
            <w:r>
              <w:rPr>
                <w:webHidden/>
                <w:rStyle w:val="IndexLink"/>
                <w:rtl w:val="true"/>
              </w:rPr>
              <w:t>خداى جسمانى، شايسته‌ى پرستش نيست‌</w:t>
            </w:r>
            <w:r>
              <w:rPr>
                <w:rStyle w:val="IndexLink"/>
                <w:rtl w:val="true"/>
              </w:rPr>
              <w:tab/>
            </w:r>
            <w:r>
              <w:rPr>
                <w:rStyle w:val="IndexLink"/>
              </w:rPr>
              <w:t>13</w:t>
            </w:r>
          </w:hyperlink>
        </w:p>
        <w:p>
          <w:pPr>
            <w:pStyle w:val="Contents4"/>
            <w:tabs>
              <w:tab w:val="clear" w:pos="8176"/>
              <w:tab w:val="right" w:pos="9026" w:leader="dot"/>
            </w:tabs>
            <w:rPr/>
          </w:pPr>
          <w:hyperlink w:anchor="__RefHeading___Toc620481_211673320">
            <w:r>
              <w:rPr>
                <w:webHidden/>
                <w:rStyle w:val="IndexLink"/>
                <w:rtl w:val="true"/>
              </w:rPr>
              <w:t>معرّفى خدا در كنار خانه‌ى خدا</w:t>
            </w:r>
            <w:r>
              <w:rPr>
                <w:rStyle w:val="IndexLink"/>
                <w:rtl w:val="true"/>
              </w:rPr>
              <w:tab/>
            </w:r>
            <w:r>
              <w:rPr>
                <w:rStyle w:val="IndexLink"/>
              </w:rPr>
              <w:t>13</w:t>
            </w:r>
          </w:hyperlink>
        </w:p>
        <w:p>
          <w:pPr>
            <w:pStyle w:val="Contents4"/>
            <w:tabs>
              <w:tab w:val="clear" w:pos="8176"/>
              <w:tab w:val="right" w:pos="9026" w:leader="dot"/>
            </w:tabs>
            <w:rPr/>
          </w:pPr>
          <w:hyperlink w:anchor="__RefHeading___Toc620483_211673320">
            <w:r>
              <w:rPr>
                <w:webHidden/>
                <w:rStyle w:val="IndexLink"/>
                <w:rtl w:val="true"/>
              </w:rPr>
              <w:t>خدايى انسان نما</w:t>
            </w:r>
            <w:r>
              <w:rPr>
                <w:rStyle w:val="IndexLink"/>
                <w:rtl w:val="true"/>
              </w:rPr>
              <w:tab/>
            </w:r>
            <w:r>
              <w:rPr>
                <w:rStyle w:val="IndexLink"/>
              </w:rPr>
              <w:t>13</w:t>
            </w:r>
          </w:hyperlink>
        </w:p>
        <w:p>
          <w:pPr>
            <w:pStyle w:val="Contents4"/>
            <w:tabs>
              <w:tab w:val="clear" w:pos="8176"/>
              <w:tab w:val="right" w:pos="9026" w:leader="dot"/>
            </w:tabs>
            <w:rPr/>
          </w:pPr>
          <w:hyperlink w:anchor="__RefHeading___Toc620485_211673320">
            <w:r>
              <w:rPr>
                <w:webHidden/>
                <w:rStyle w:val="IndexLink"/>
                <w:rtl w:val="true"/>
              </w:rPr>
              <w:t>جسم انگارى خداوند</w:t>
            </w:r>
            <w:r>
              <w:rPr>
                <w:rStyle w:val="IndexLink"/>
                <w:rtl w:val="true"/>
              </w:rPr>
              <w:tab/>
            </w:r>
            <w:r>
              <w:rPr>
                <w:rStyle w:val="IndexLink"/>
              </w:rPr>
              <w:t>14</w:t>
            </w:r>
          </w:hyperlink>
        </w:p>
        <w:p>
          <w:pPr>
            <w:pStyle w:val="Contents4"/>
            <w:tabs>
              <w:tab w:val="clear" w:pos="8176"/>
              <w:tab w:val="right" w:pos="9026" w:leader="dot"/>
            </w:tabs>
            <w:rPr/>
          </w:pPr>
          <w:hyperlink w:anchor="__RefHeading___Toc620487_211673320">
            <w:r>
              <w:rPr>
                <w:webHidden/>
                <w:rStyle w:val="IndexLink"/>
                <w:rtl w:val="true"/>
              </w:rPr>
              <w:t>اشاعه‌ى شرك در ذات، به زبان‌هاى گوناگون‌</w:t>
            </w:r>
            <w:r>
              <w:rPr>
                <w:rStyle w:val="IndexLink"/>
                <w:rtl w:val="true"/>
              </w:rPr>
              <w:tab/>
            </w:r>
            <w:r>
              <w:rPr>
                <w:rStyle w:val="IndexLink"/>
              </w:rPr>
              <w:t>17</w:t>
            </w:r>
          </w:hyperlink>
        </w:p>
        <w:p>
          <w:pPr>
            <w:pStyle w:val="Contents4"/>
            <w:tabs>
              <w:tab w:val="clear" w:pos="8176"/>
              <w:tab w:val="right" w:pos="9026" w:leader="dot"/>
            </w:tabs>
            <w:rPr/>
          </w:pPr>
          <w:hyperlink w:anchor="__RefHeading___Toc620489_211673320">
            <w:r>
              <w:rPr>
                <w:webHidden/>
                <w:rStyle w:val="IndexLink"/>
                <w:rtl w:val="true"/>
              </w:rPr>
              <w:t>زير پرچم توحيد متّحد شويم‌</w:t>
            </w:r>
            <w:r>
              <w:rPr>
                <w:rStyle w:val="IndexLink"/>
                <w:rtl w:val="true"/>
              </w:rPr>
              <w:tab/>
            </w:r>
            <w:r>
              <w:rPr>
                <w:rStyle w:val="IndexLink"/>
              </w:rPr>
              <w:t>18</w:t>
            </w:r>
          </w:hyperlink>
        </w:p>
        <w:p>
          <w:pPr>
            <w:pStyle w:val="Contents4"/>
            <w:tabs>
              <w:tab w:val="clear" w:pos="8176"/>
              <w:tab w:val="right" w:pos="9026" w:leader="dot"/>
            </w:tabs>
            <w:rPr/>
          </w:pPr>
          <w:hyperlink w:anchor="__RefHeading___Toc620491_211673320">
            <w:r>
              <w:rPr>
                <w:webHidden/>
                <w:rStyle w:val="IndexLink"/>
                <w:rtl w:val="true"/>
              </w:rPr>
              <w:t>خلاصه‌ى سخن‌</w:t>
            </w:r>
            <w:r>
              <w:rPr>
                <w:rStyle w:val="IndexLink"/>
                <w:rtl w:val="true"/>
              </w:rPr>
              <w:tab/>
            </w:r>
            <w:r>
              <w:rPr>
                <w:rStyle w:val="IndexLink"/>
              </w:rPr>
              <w:t>19</w:t>
            </w:r>
          </w:hyperlink>
        </w:p>
        <w:p>
          <w:pPr>
            <w:pStyle w:val="Contents2"/>
            <w:tabs>
              <w:tab w:val="clear" w:pos="8743"/>
              <w:tab w:val="right" w:pos="9026" w:leader="dot"/>
            </w:tabs>
            <w:rPr/>
          </w:pPr>
          <w:hyperlink w:anchor="__RefHeading___Toc620493_211673320">
            <w:r>
              <w:rPr>
                <w:webHidden/>
                <w:rStyle w:val="IndexLink"/>
                <w:rtl w:val="true"/>
              </w:rPr>
              <w:t>فصل دوم</w:t>
            </w:r>
            <w:r>
              <w:rPr>
                <w:rStyle w:val="IndexLink"/>
                <w:rtl w:val="true"/>
              </w:rPr>
              <w:tab/>
            </w:r>
            <w:r>
              <w:rPr>
                <w:rStyle w:val="IndexLink"/>
              </w:rPr>
              <w:t>21</w:t>
            </w:r>
          </w:hyperlink>
        </w:p>
        <w:p>
          <w:pPr>
            <w:pStyle w:val="Contents3"/>
            <w:tabs>
              <w:tab w:val="clear" w:pos="8459"/>
              <w:tab w:val="right" w:pos="9026" w:leader="dot"/>
            </w:tabs>
            <w:rPr/>
          </w:pPr>
          <w:hyperlink w:anchor="__RefHeading___Toc620495_211673320">
            <w:r>
              <w:rPr>
                <w:webHidden/>
                <w:rStyle w:val="IndexLink"/>
                <w:rtl w:val="true"/>
              </w:rPr>
              <w:t>نبوّت</w:t>
            </w:r>
            <w:r>
              <w:rPr>
                <w:rStyle w:val="IndexLink"/>
                <w:rtl w:val="true"/>
              </w:rPr>
              <w:tab/>
            </w:r>
            <w:r>
              <w:rPr>
                <w:rStyle w:val="IndexLink"/>
              </w:rPr>
              <w:t>21</w:t>
            </w:r>
          </w:hyperlink>
        </w:p>
        <w:p>
          <w:pPr>
            <w:pStyle w:val="Contents4"/>
            <w:tabs>
              <w:tab w:val="clear" w:pos="8176"/>
              <w:tab w:val="right" w:pos="9026" w:leader="dot"/>
            </w:tabs>
            <w:rPr/>
          </w:pPr>
          <w:hyperlink w:anchor="__RefHeading___Toc620497_211673320">
            <w:r>
              <w:rPr>
                <w:webHidden/>
                <w:rStyle w:val="IndexLink"/>
                <w:rtl w:val="true"/>
              </w:rPr>
              <w:t xml:space="preserve">زيارت پيامبر </w:t>
            </w:r>
            <w:r>
              <w:rPr>
                <w:rStyle w:val="IndexLink"/>
                <w:rtl w:val="true"/>
              </w:rPr>
              <w:t>(</w:t>
            </w:r>
            <w:r>
              <w:rPr>
                <w:rStyle w:val="IndexLink"/>
                <w:rtl w:val="true"/>
              </w:rPr>
              <w:t>ص</w:t>
            </w:r>
            <w:r>
              <w:rPr>
                <w:rStyle w:val="IndexLink"/>
                <w:rtl w:val="true"/>
              </w:rPr>
              <w:t>)</w:t>
              <w:tab/>
            </w:r>
            <w:r>
              <w:rPr>
                <w:rStyle w:val="IndexLink"/>
              </w:rPr>
              <w:t>21</w:t>
            </w:r>
          </w:hyperlink>
        </w:p>
        <w:p>
          <w:pPr>
            <w:pStyle w:val="Contents4"/>
            <w:tabs>
              <w:tab w:val="clear" w:pos="8176"/>
              <w:tab w:val="right" w:pos="9026" w:leader="dot"/>
            </w:tabs>
            <w:rPr/>
          </w:pPr>
          <w:hyperlink w:anchor="__RefHeading___Toc620499_211673320">
            <w:r>
              <w:rPr>
                <w:webHidden/>
                <w:rStyle w:val="IndexLink"/>
                <w:rtl w:val="true"/>
              </w:rPr>
              <w:t>بدعت يا زيباترين واقعيّت‌</w:t>
            </w:r>
            <w:r>
              <w:rPr>
                <w:rStyle w:val="IndexLink"/>
                <w:rtl w:val="true"/>
              </w:rPr>
              <w:tab/>
            </w:r>
            <w:r>
              <w:rPr>
                <w:rStyle w:val="IndexLink"/>
              </w:rPr>
              <w:t>21</w:t>
            </w:r>
          </w:hyperlink>
        </w:p>
        <w:p>
          <w:pPr>
            <w:pStyle w:val="Contents4"/>
            <w:tabs>
              <w:tab w:val="clear" w:pos="8176"/>
              <w:tab w:val="right" w:pos="9026" w:leader="dot"/>
            </w:tabs>
            <w:rPr/>
          </w:pPr>
          <w:hyperlink w:anchor="__RefHeading___Toc620501_211673320">
            <w:r>
              <w:rPr>
                <w:webHidden/>
                <w:rStyle w:val="IndexLink"/>
                <w:rtl w:val="true"/>
              </w:rPr>
              <w:t>زيارت قبر شريف نبوى توسط ابوايوب انصارى‌</w:t>
            </w:r>
            <w:r>
              <w:rPr>
                <w:rStyle w:val="IndexLink"/>
                <w:rtl w:val="true"/>
              </w:rPr>
              <w:tab/>
            </w:r>
            <w:r>
              <w:rPr>
                <w:rStyle w:val="IndexLink"/>
              </w:rPr>
              <w:t>22</w:t>
            </w:r>
          </w:hyperlink>
        </w:p>
        <w:p>
          <w:pPr>
            <w:pStyle w:val="Contents4"/>
            <w:tabs>
              <w:tab w:val="clear" w:pos="8176"/>
              <w:tab w:val="right" w:pos="9026" w:leader="dot"/>
            </w:tabs>
            <w:rPr/>
          </w:pPr>
          <w:hyperlink w:anchor="__RefHeading___Toc620503_211673320">
            <w:r>
              <w:rPr>
                <w:webHidden/>
                <w:rStyle w:val="IndexLink"/>
                <w:rtl w:val="true"/>
              </w:rPr>
              <w:t>پيامبر رحمتى كه نبايد از او چيزى خواست‌</w:t>
            </w:r>
            <w:r>
              <w:rPr>
                <w:rStyle w:val="IndexLink"/>
                <w:rtl w:val="true"/>
              </w:rPr>
              <w:tab/>
            </w:r>
            <w:r>
              <w:rPr>
                <w:rStyle w:val="IndexLink"/>
              </w:rPr>
              <w:t>24</w:t>
            </w:r>
          </w:hyperlink>
        </w:p>
        <w:p>
          <w:pPr>
            <w:pStyle w:val="Contents4"/>
            <w:tabs>
              <w:tab w:val="clear" w:pos="8176"/>
              <w:tab w:val="right" w:pos="9026" w:leader="dot"/>
            </w:tabs>
            <w:rPr/>
          </w:pPr>
          <w:hyperlink w:anchor="__RefHeading___Toc620505_211673320">
            <w:r>
              <w:rPr>
                <w:webHidden/>
                <w:rStyle w:val="IndexLink"/>
                <w:rtl w:val="true"/>
              </w:rPr>
              <w:t>اختلاف نظر اهل تسنّن با وهّابيان در موضوع زيارت‌</w:t>
            </w:r>
            <w:r>
              <w:rPr>
                <w:rStyle w:val="IndexLink"/>
                <w:rtl w:val="true"/>
              </w:rPr>
              <w:tab/>
            </w:r>
            <w:r>
              <w:rPr>
                <w:rStyle w:val="IndexLink"/>
              </w:rPr>
              <w:t>24</w:t>
            </w:r>
          </w:hyperlink>
        </w:p>
        <w:p>
          <w:pPr>
            <w:pStyle w:val="Contents4"/>
            <w:tabs>
              <w:tab w:val="clear" w:pos="8176"/>
              <w:tab w:val="right" w:pos="9026" w:leader="dot"/>
            </w:tabs>
            <w:rPr/>
          </w:pPr>
          <w:hyperlink w:anchor="__RefHeading___Toc620507_211673320">
            <w:r>
              <w:rPr>
                <w:webHidden/>
                <w:rStyle w:val="IndexLink"/>
                <w:rtl w:val="true"/>
              </w:rPr>
              <w:t>حكايتى زيبا از زيارت بلال حبشى‌</w:t>
            </w:r>
            <w:r>
              <w:rPr>
                <w:rStyle w:val="IndexLink"/>
                <w:rtl w:val="true"/>
              </w:rPr>
              <w:tab/>
            </w:r>
            <w:r>
              <w:rPr>
                <w:rStyle w:val="IndexLink"/>
              </w:rPr>
              <w:t>28</w:t>
            </w:r>
          </w:hyperlink>
        </w:p>
        <w:p>
          <w:pPr>
            <w:pStyle w:val="Contents4"/>
            <w:tabs>
              <w:tab w:val="clear" w:pos="8176"/>
              <w:tab w:val="right" w:pos="9026" w:leader="dot"/>
            </w:tabs>
            <w:rPr/>
          </w:pPr>
          <w:hyperlink w:anchor="__RefHeading___Toc620509_211673320">
            <w:r>
              <w:rPr>
                <w:webHidden/>
                <w:rStyle w:val="IndexLink"/>
                <w:rtl w:val="true"/>
              </w:rPr>
              <w:t>پيشينه‌ى زيارت نزد مؤسّس فكرى فرقه‌ى وهّابى‌</w:t>
            </w:r>
            <w:r>
              <w:rPr>
                <w:rStyle w:val="IndexLink"/>
                <w:rtl w:val="true"/>
              </w:rPr>
              <w:tab/>
            </w:r>
            <w:r>
              <w:rPr>
                <w:rStyle w:val="IndexLink"/>
              </w:rPr>
              <w:t>29</w:t>
            </w:r>
          </w:hyperlink>
        </w:p>
        <w:p>
          <w:pPr>
            <w:pStyle w:val="Contents4"/>
            <w:tabs>
              <w:tab w:val="clear" w:pos="8176"/>
              <w:tab w:val="right" w:pos="9026" w:leader="dot"/>
            </w:tabs>
            <w:rPr/>
          </w:pPr>
          <w:hyperlink w:anchor="__RefHeading___Toc620511_211673320">
            <w:r>
              <w:rPr>
                <w:webHidden/>
                <w:rStyle w:val="IndexLink"/>
                <w:rtl w:val="true"/>
              </w:rPr>
              <w:t>مخالفت سنّيان با ابن‌تيميه در ماجراى زيارت، به زندانى شدن وى مى‌انجامد</w:t>
            </w:r>
            <w:r>
              <w:rPr>
                <w:rStyle w:val="IndexLink"/>
                <w:rtl w:val="true"/>
              </w:rPr>
              <w:tab/>
            </w:r>
            <w:r>
              <w:rPr>
                <w:rStyle w:val="IndexLink"/>
              </w:rPr>
              <w:t>30</w:t>
            </w:r>
          </w:hyperlink>
        </w:p>
        <w:p>
          <w:pPr>
            <w:pStyle w:val="Contents4"/>
            <w:tabs>
              <w:tab w:val="clear" w:pos="8176"/>
              <w:tab w:val="right" w:pos="9026" w:leader="dot"/>
            </w:tabs>
            <w:rPr/>
          </w:pPr>
          <w:hyperlink w:anchor="__RefHeading___Toc620513_211673320">
            <w:r>
              <w:rPr>
                <w:webHidden/>
                <w:rStyle w:val="IndexLink"/>
                <w:rtl w:val="true"/>
              </w:rPr>
              <w:t>مخالفت سنّيان با ابن‌تيميه و اعتقاداتش‌</w:t>
            </w:r>
            <w:r>
              <w:rPr>
                <w:rStyle w:val="IndexLink"/>
                <w:rtl w:val="true"/>
              </w:rPr>
              <w:tab/>
            </w:r>
            <w:r>
              <w:rPr>
                <w:rStyle w:val="IndexLink"/>
              </w:rPr>
              <w:t>31</w:t>
            </w:r>
          </w:hyperlink>
        </w:p>
        <w:p>
          <w:pPr>
            <w:pStyle w:val="Contents4"/>
            <w:tabs>
              <w:tab w:val="clear" w:pos="8176"/>
              <w:tab w:val="right" w:pos="9026" w:leader="dot"/>
            </w:tabs>
            <w:rPr/>
          </w:pPr>
          <w:hyperlink w:anchor="__RefHeading___Toc620515_211673320">
            <w:r>
              <w:rPr>
                <w:webHidden/>
                <w:rStyle w:val="IndexLink"/>
                <w:rtl w:val="true"/>
              </w:rPr>
              <w:t>خلاصه‌ى سخن‌</w:t>
            </w:r>
            <w:r>
              <w:rPr>
                <w:rStyle w:val="IndexLink"/>
                <w:rtl w:val="true"/>
              </w:rPr>
              <w:tab/>
            </w:r>
            <w:r>
              <w:rPr>
                <w:rStyle w:val="IndexLink"/>
              </w:rPr>
              <w:t>32</w:t>
            </w:r>
          </w:hyperlink>
        </w:p>
        <w:p>
          <w:pPr>
            <w:pStyle w:val="Contents4"/>
            <w:tabs>
              <w:tab w:val="clear" w:pos="8176"/>
              <w:tab w:val="right" w:pos="9026" w:leader="dot"/>
            </w:tabs>
            <w:rPr/>
          </w:pPr>
          <w:hyperlink w:anchor="__RefHeading___Toc620517_211673320">
            <w:r>
              <w:rPr>
                <w:webHidden/>
                <w:rStyle w:val="IndexLink"/>
                <w:rtl w:val="true"/>
              </w:rPr>
              <w:t>تحريف متنى تاريخى در موضوع زيارت، حربه‌اى قديمى براى دورى مسلمانان از پيامبر</w:t>
            </w:r>
            <w:r>
              <w:rPr>
                <w:rStyle w:val="IndexLink"/>
                <w:rtl w:val="true"/>
              </w:rPr>
              <w:tab/>
            </w:r>
            <w:r>
              <w:rPr>
                <w:rStyle w:val="IndexLink"/>
              </w:rPr>
              <w:t>33</w:t>
            </w:r>
          </w:hyperlink>
        </w:p>
        <w:p>
          <w:pPr>
            <w:pStyle w:val="Contents4"/>
            <w:tabs>
              <w:tab w:val="clear" w:pos="8176"/>
              <w:tab w:val="right" w:pos="9026" w:leader="dot"/>
            </w:tabs>
            <w:rPr/>
          </w:pPr>
          <w:hyperlink w:anchor="__RefHeading___Toc620519_211673320">
            <w:r>
              <w:rPr>
                <w:webHidden/>
                <w:rStyle w:val="IndexLink"/>
                <w:rtl w:val="true"/>
              </w:rPr>
              <w:t>نتيجه‌اى عبرت‌انگيز در قالب داستانى شگرف‌</w:t>
            </w:r>
            <w:r>
              <w:rPr>
                <w:rStyle w:val="IndexLink"/>
                <w:rtl w:val="true"/>
              </w:rPr>
              <w:tab/>
            </w:r>
            <w:r>
              <w:rPr>
                <w:rStyle w:val="IndexLink"/>
              </w:rPr>
              <w:t>37</w:t>
            </w:r>
          </w:hyperlink>
        </w:p>
        <w:p>
          <w:pPr>
            <w:pStyle w:val="Contents4"/>
            <w:tabs>
              <w:tab w:val="clear" w:pos="8176"/>
              <w:tab w:val="right" w:pos="9026" w:leader="dot"/>
            </w:tabs>
            <w:rPr/>
          </w:pPr>
          <w:hyperlink w:anchor="__RefHeading___Toc620521_211673320">
            <w:r>
              <w:rPr>
                <w:webHidden/>
                <w:rStyle w:val="IndexLink"/>
                <w:rtl w:val="true"/>
              </w:rPr>
              <w:t xml:space="preserve">معجزه‌اى از قبر شريف نبوى </w:t>
            </w:r>
            <w:r>
              <w:rPr>
                <w:rStyle w:val="IndexLink"/>
                <w:rtl w:val="true"/>
              </w:rPr>
              <w:t>(</w:t>
            </w:r>
            <w:r>
              <w:rPr>
                <w:rStyle w:val="IndexLink"/>
                <w:rtl w:val="true"/>
              </w:rPr>
              <w:t>ص</w:t>
            </w:r>
            <w:r>
              <w:rPr>
                <w:rStyle w:val="IndexLink"/>
                <w:rtl w:val="true"/>
              </w:rPr>
              <w:t>)</w:t>
              <w:tab/>
            </w:r>
            <w:r>
              <w:rPr>
                <w:rStyle w:val="IndexLink"/>
              </w:rPr>
              <w:t>37</w:t>
            </w:r>
          </w:hyperlink>
        </w:p>
        <w:p>
          <w:pPr>
            <w:pStyle w:val="Contents2"/>
            <w:tabs>
              <w:tab w:val="clear" w:pos="8743"/>
              <w:tab w:val="right" w:pos="9026" w:leader="dot"/>
            </w:tabs>
            <w:rPr/>
          </w:pPr>
          <w:hyperlink w:anchor="__RefHeading___Toc620523_211673320">
            <w:r>
              <w:rPr>
                <w:webHidden/>
                <w:rStyle w:val="IndexLink"/>
                <w:rtl w:val="true"/>
              </w:rPr>
              <w:t>فصل سوم</w:t>
            </w:r>
            <w:r>
              <w:rPr>
                <w:rStyle w:val="IndexLink"/>
                <w:rtl w:val="true"/>
              </w:rPr>
              <w:tab/>
            </w:r>
            <w:r>
              <w:rPr>
                <w:rStyle w:val="IndexLink"/>
              </w:rPr>
              <w:t>39</w:t>
            </w:r>
          </w:hyperlink>
        </w:p>
        <w:p>
          <w:pPr>
            <w:pStyle w:val="Contents3"/>
            <w:tabs>
              <w:tab w:val="clear" w:pos="8459"/>
              <w:tab w:val="right" w:pos="9026" w:leader="dot"/>
            </w:tabs>
            <w:rPr/>
          </w:pPr>
          <w:hyperlink w:anchor="__RefHeading___Toc620525_211673320">
            <w:r>
              <w:rPr>
                <w:webHidden/>
                <w:rStyle w:val="IndexLink"/>
                <w:rtl w:val="true"/>
              </w:rPr>
              <w:t>ميراث نبوي</w:t>
            </w:r>
            <w:r>
              <w:rPr>
                <w:rStyle w:val="IndexLink"/>
                <w:rtl w:val="true"/>
              </w:rPr>
              <w:tab/>
            </w:r>
            <w:r>
              <w:rPr>
                <w:rStyle w:val="IndexLink"/>
              </w:rPr>
              <w:t>39</w:t>
            </w:r>
          </w:hyperlink>
        </w:p>
        <w:p>
          <w:pPr>
            <w:pStyle w:val="Contents4"/>
            <w:tabs>
              <w:tab w:val="clear" w:pos="8176"/>
              <w:tab w:val="right" w:pos="9026" w:leader="dot"/>
            </w:tabs>
            <w:rPr/>
          </w:pPr>
          <w:hyperlink w:anchor="__RefHeading___Toc620527_211673320">
            <w:r>
              <w:rPr>
                <w:webHidden/>
                <w:rStyle w:val="IndexLink"/>
                <w:rtl w:val="true"/>
              </w:rPr>
              <w:t>ميراث نبوى، آماج تيرهاى بدانديشى‌</w:t>
            </w:r>
            <w:r>
              <w:rPr>
                <w:rStyle w:val="IndexLink"/>
                <w:rtl w:val="true"/>
              </w:rPr>
              <w:tab/>
            </w:r>
            <w:r>
              <w:rPr>
                <w:rStyle w:val="IndexLink"/>
              </w:rPr>
              <w:t>39</w:t>
            </w:r>
          </w:hyperlink>
        </w:p>
        <w:p>
          <w:pPr>
            <w:pStyle w:val="Contents4"/>
            <w:tabs>
              <w:tab w:val="clear" w:pos="8176"/>
              <w:tab w:val="right" w:pos="9026" w:leader="dot"/>
            </w:tabs>
            <w:rPr/>
          </w:pPr>
          <w:hyperlink w:anchor="__RefHeading___Toc620529_211673320">
            <w:r>
              <w:rPr>
                <w:webHidden/>
                <w:rStyle w:val="IndexLink"/>
                <w:rtl w:val="true"/>
              </w:rPr>
              <w:t>بدعت‌انگارى حقايق دين‌</w:t>
            </w:r>
            <w:r>
              <w:rPr>
                <w:rStyle w:val="IndexLink"/>
                <w:rtl w:val="true"/>
              </w:rPr>
              <w:tab/>
            </w:r>
            <w:r>
              <w:rPr>
                <w:rStyle w:val="IndexLink"/>
              </w:rPr>
              <w:t>39</w:t>
            </w:r>
          </w:hyperlink>
        </w:p>
        <w:p>
          <w:pPr>
            <w:pStyle w:val="Contents4"/>
            <w:tabs>
              <w:tab w:val="clear" w:pos="8176"/>
              <w:tab w:val="right" w:pos="9026" w:leader="dot"/>
            </w:tabs>
            <w:rPr/>
          </w:pPr>
          <w:hyperlink w:anchor="__RefHeading___Toc620531_211673320">
            <w:r>
              <w:rPr>
                <w:webHidden/>
                <w:rStyle w:val="IndexLink"/>
                <w:rtl w:val="true"/>
              </w:rPr>
              <w:t>بدعت‌انگارى در حكمى‌فقهى‌و مخالفت با شيعه و سنّى‌</w:t>
            </w:r>
            <w:r>
              <w:rPr>
                <w:rStyle w:val="IndexLink"/>
                <w:rtl w:val="true"/>
              </w:rPr>
              <w:tab/>
            </w:r>
            <w:r>
              <w:rPr>
                <w:rStyle w:val="IndexLink"/>
              </w:rPr>
              <w:t>40</w:t>
            </w:r>
          </w:hyperlink>
        </w:p>
        <w:p>
          <w:pPr>
            <w:pStyle w:val="Contents4"/>
            <w:tabs>
              <w:tab w:val="clear" w:pos="8176"/>
              <w:tab w:val="right" w:pos="9026" w:leader="dot"/>
            </w:tabs>
            <w:rPr/>
          </w:pPr>
          <w:hyperlink w:anchor="__RefHeading___Toc620533_211673320">
            <w:r>
              <w:rPr>
                <w:webHidden/>
                <w:rStyle w:val="IndexLink"/>
                <w:rtl w:val="true"/>
              </w:rPr>
              <w:t>سابقه‌اى طولانى در بدعت‌انگارى</w:t>
            </w:r>
            <w:r>
              <w:rPr>
                <w:rStyle w:val="IndexLink"/>
                <w:rtl w:val="true"/>
              </w:rPr>
              <w:t xml:space="preserve">: </w:t>
            </w:r>
            <w:r>
              <w:rPr>
                <w:rStyle w:val="IndexLink"/>
                <w:rtl w:val="true"/>
              </w:rPr>
              <w:t xml:space="preserve">ساعت، تلفن، دوچرخه، </w:t>
            </w:r>
            <w:r>
              <w:rPr>
                <w:rStyle w:val="IndexLink"/>
                <w:rtl w:val="true"/>
              </w:rPr>
              <w:t xml:space="preserve">... </w:t>
            </w:r>
            <w:r>
              <w:rPr>
                <w:rStyle w:val="IndexLink"/>
                <w:rtl w:val="true"/>
              </w:rPr>
              <w:t>در نظر وهّابيان بدعت بوده است</w:t>
            </w:r>
            <w:r>
              <w:rPr>
                <w:rStyle w:val="IndexLink"/>
                <w:rtl w:val="true"/>
              </w:rPr>
              <w:t>!</w:t>
              <w:tab/>
            </w:r>
            <w:r>
              <w:rPr>
                <w:rStyle w:val="IndexLink"/>
              </w:rPr>
              <w:t>42</w:t>
            </w:r>
          </w:hyperlink>
        </w:p>
        <w:p>
          <w:pPr>
            <w:pStyle w:val="Contents4"/>
            <w:tabs>
              <w:tab w:val="clear" w:pos="8176"/>
              <w:tab w:val="right" w:pos="9026" w:leader="dot"/>
            </w:tabs>
            <w:rPr/>
          </w:pPr>
          <w:hyperlink w:anchor="__RefHeading___Toc620535_211673320">
            <w:r>
              <w:rPr>
                <w:webHidden/>
                <w:rStyle w:val="IndexLink"/>
                <w:rtl w:val="true"/>
              </w:rPr>
              <w:t xml:space="preserve">و باز هم </w:t>
            </w:r>
            <w:r>
              <w:rPr>
                <w:rStyle w:val="IndexLink"/>
                <w:rtl w:val="true"/>
              </w:rPr>
              <w:t xml:space="preserve">... </w:t>
            </w:r>
            <w:r>
              <w:rPr>
                <w:rStyle w:val="IndexLink"/>
                <w:rtl w:val="true"/>
              </w:rPr>
              <w:t>بدعت‌انگارى و مخالفت با اكثر مسلمانان در حكم فقهى ديگر</w:t>
            </w:r>
            <w:r>
              <w:rPr>
                <w:rStyle w:val="IndexLink"/>
                <w:rtl w:val="true"/>
              </w:rPr>
              <w:t xml:space="preserve">: </w:t>
            </w:r>
            <w:r>
              <w:rPr>
                <w:rStyle w:val="IndexLink"/>
                <w:rtl w:val="true"/>
              </w:rPr>
              <w:t>قسم به غير خدا</w:t>
            </w:r>
            <w:r>
              <w:rPr>
                <w:rStyle w:val="IndexLink"/>
                <w:rtl w:val="true"/>
              </w:rPr>
              <w:tab/>
            </w:r>
            <w:r>
              <w:rPr>
                <w:rStyle w:val="IndexLink"/>
              </w:rPr>
              <w:t>43</w:t>
            </w:r>
          </w:hyperlink>
        </w:p>
        <w:p>
          <w:pPr>
            <w:pStyle w:val="Contents4"/>
            <w:tabs>
              <w:tab w:val="clear" w:pos="8176"/>
              <w:tab w:val="right" w:pos="9026" w:leader="dot"/>
            </w:tabs>
            <w:rPr/>
          </w:pPr>
          <w:hyperlink w:anchor="__RefHeading___Toc620537_211673320">
            <w:r>
              <w:rPr>
                <w:webHidden/>
                <w:rStyle w:val="IndexLink"/>
                <w:rtl w:val="true"/>
              </w:rPr>
              <w:t>ميزان صداقت وهّابيان دراجماعى بودن برخى احكام‌</w:t>
            </w:r>
            <w:r>
              <w:rPr>
                <w:rStyle w:val="IndexLink"/>
                <w:rtl w:val="true"/>
              </w:rPr>
              <w:tab/>
            </w:r>
            <w:r>
              <w:rPr>
                <w:rStyle w:val="IndexLink"/>
              </w:rPr>
              <w:t>43</w:t>
            </w:r>
          </w:hyperlink>
        </w:p>
        <w:p>
          <w:pPr>
            <w:pStyle w:val="Contents2"/>
            <w:tabs>
              <w:tab w:val="clear" w:pos="8743"/>
              <w:tab w:val="right" w:pos="9026" w:leader="dot"/>
            </w:tabs>
            <w:rPr/>
          </w:pPr>
          <w:hyperlink w:anchor="__RefHeading___Toc620539_211673320">
            <w:r>
              <w:rPr>
                <w:webHidden/>
                <w:rStyle w:val="IndexLink"/>
                <w:rtl w:val="true"/>
              </w:rPr>
              <w:t>فصل چهارم</w:t>
            </w:r>
            <w:r>
              <w:rPr>
                <w:rStyle w:val="IndexLink"/>
                <w:rtl w:val="true"/>
              </w:rPr>
              <w:tab/>
            </w:r>
            <w:r>
              <w:rPr>
                <w:rStyle w:val="IndexLink"/>
              </w:rPr>
              <w:t>46</w:t>
            </w:r>
          </w:hyperlink>
        </w:p>
        <w:p>
          <w:pPr>
            <w:pStyle w:val="Contents3"/>
            <w:tabs>
              <w:tab w:val="clear" w:pos="8459"/>
              <w:tab w:val="right" w:pos="9026" w:leader="dot"/>
            </w:tabs>
            <w:rPr/>
          </w:pPr>
          <w:hyperlink w:anchor="__RefHeading___Toc620541_211673320">
            <w:r>
              <w:rPr>
                <w:webHidden/>
                <w:rStyle w:val="IndexLink"/>
                <w:rtl w:val="true"/>
              </w:rPr>
              <w:t>مهدويّت و تحريف حقايق‌</w:t>
            </w:r>
            <w:r>
              <w:rPr>
                <w:rStyle w:val="IndexLink"/>
                <w:rtl w:val="true"/>
              </w:rPr>
              <w:tab/>
            </w:r>
            <w:r>
              <w:rPr>
                <w:rStyle w:val="IndexLink"/>
              </w:rPr>
              <w:t>46</w:t>
            </w:r>
          </w:hyperlink>
        </w:p>
        <w:p>
          <w:pPr>
            <w:pStyle w:val="Contents3"/>
            <w:tabs>
              <w:tab w:val="clear" w:pos="8459"/>
              <w:tab w:val="right" w:pos="9026" w:leader="dot"/>
            </w:tabs>
            <w:rPr/>
          </w:pPr>
          <w:hyperlink w:anchor="__RefHeading___Toc620543_211673320">
            <w:r>
              <w:rPr>
                <w:webHidden/>
                <w:rStyle w:val="IndexLink"/>
                <w:rtl w:val="true"/>
              </w:rPr>
              <w:t>مهدى موعود و منابع معتبر اهل تسنّن‌</w:t>
            </w:r>
            <w:r>
              <w:rPr>
                <w:rStyle w:val="IndexLink"/>
                <w:rtl w:val="true"/>
              </w:rPr>
              <w:tab/>
            </w:r>
            <w:r>
              <w:rPr>
                <w:rStyle w:val="IndexLink"/>
              </w:rPr>
              <w:t>46</w:t>
            </w:r>
          </w:hyperlink>
        </w:p>
        <w:p>
          <w:pPr>
            <w:pStyle w:val="Contents3"/>
            <w:tabs>
              <w:tab w:val="clear" w:pos="8459"/>
              <w:tab w:val="right" w:pos="9026" w:leader="dot"/>
            </w:tabs>
            <w:rPr/>
          </w:pPr>
          <w:hyperlink w:anchor="__RefHeading___Toc620545_211673320">
            <w:r>
              <w:rPr>
                <w:webHidden/>
                <w:rStyle w:val="IndexLink"/>
                <w:rtl w:val="true"/>
              </w:rPr>
              <w:t>مهدويّت و صحيح بخارى‌</w:t>
            </w:r>
            <w:r>
              <w:rPr>
                <w:rStyle w:val="IndexLink"/>
                <w:rtl w:val="true"/>
              </w:rPr>
              <w:tab/>
            </w:r>
            <w:r>
              <w:rPr>
                <w:rStyle w:val="IndexLink"/>
              </w:rPr>
              <w:t>47</w:t>
            </w:r>
          </w:hyperlink>
        </w:p>
        <w:p>
          <w:pPr>
            <w:pStyle w:val="Contents3"/>
            <w:tabs>
              <w:tab w:val="clear" w:pos="8459"/>
              <w:tab w:val="right" w:pos="9026" w:leader="dot"/>
            </w:tabs>
            <w:rPr/>
          </w:pPr>
          <w:hyperlink w:anchor="__RefHeading___Toc620547_211673320">
            <w:r>
              <w:rPr>
                <w:webHidden/>
                <w:rStyle w:val="IndexLink"/>
                <w:rtl w:val="true"/>
              </w:rPr>
              <w:t>مهدويّت و صحيح مسلم‌</w:t>
            </w:r>
            <w:r>
              <w:rPr>
                <w:rStyle w:val="IndexLink"/>
                <w:rtl w:val="true"/>
              </w:rPr>
              <w:tab/>
            </w:r>
            <w:r>
              <w:rPr>
                <w:rStyle w:val="IndexLink"/>
              </w:rPr>
              <w:t>47</w:t>
            </w:r>
          </w:hyperlink>
        </w:p>
        <w:p>
          <w:pPr>
            <w:pStyle w:val="Contents3"/>
            <w:tabs>
              <w:tab w:val="clear" w:pos="8459"/>
              <w:tab w:val="right" w:pos="9026" w:leader="dot"/>
            </w:tabs>
            <w:rPr/>
          </w:pPr>
          <w:hyperlink w:anchor="__RefHeading___Toc620549_211673320">
            <w:r>
              <w:rPr>
                <w:webHidden/>
                <w:rStyle w:val="IndexLink"/>
                <w:rtl w:val="true"/>
              </w:rPr>
              <w:t xml:space="preserve">شارحان صحيح بخارى و مسلم، از مهدى </w:t>
            </w:r>
            <w:r>
              <w:rPr>
                <w:rStyle w:val="IndexLink"/>
                <w:rtl w:val="true"/>
              </w:rPr>
              <w:t>(</w:t>
            </w:r>
            <w:r>
              <w:rPr>
                <w:rStyle w:val="IndexLink"/>
                <w:rtl w:val="true"/>
              </w:rPr>
              <w:t>ع</w:t>
            </w:r>
            <w:r>
              <w:rPr>
                <w:rStyle w:val="IndexLink"/>
                <w:rtl w:val="true"/>
              </w:rPr>
              <w:t xml:space="preserve">) </w:t>
            </w:r>
            <w:r>
              <w:rPr>
                <w:rStyle w:val="IndexLink"/>
                <w:rtl w:val="true"/>
              </w:rPr>
              <w:t>مى‌گويند</w:t>
            </w:r>
            <w:r>
              <w:rPr>
                <w:rStyle w:val="IndexLink"/>
                <w:rtl w:val="true"/>
              </w:rPr>
              <w:tab/>
            </w:r>
            <w:r>
              <w:rPr>
                <w:rStyle w:val="IndexLink"/>
              </w:rPr>
              <w:t>48</w:t>
            </w:r>
          </w:hyperlink>
        </w:p>
        <w:p>
          <w:pPr>
            <w:pStyle w:val="Contents3"/>
            <w:tabs>
              <w:tab w:val="clear" w:pos="8459"/>
              <w:tab w:val="right" w:pos="9026" w:leader="dot"/>
            </w:tabs>
            <w:rPr/>
          </w:pPr>
          <w:hyperlink w:anchor="__RefHeading___Toc620551_211673320">
            <w:r>
              <w:rPr>
                <w:webHidden/>
                <w:rStyle w:val="IndexLink"/>
                <w:rtl w:val="true"/>
              </w:rPr>
              <w:t xml:space="preserve">مهدويّت در سنن </w:t>
            </w:r>
            <w:r>
              <w:rPr>
                <w:rStyle w:val="IndexLink"/>
                <w:rtl w:val="true"/>
              </w:rPr>
              <w:t>«</w:t>
            </w:r>
            <w:r>
              <w:rPr>
                <w:rStyle w:val="IndexLink"/>
              </w:rPr>
              <w:t>2</w:t>
            </w:r>
            <w:r>
              <w:rPr>
                <w:rStyle w:val="IndexLink"/>
                <w:rtl w:val="true"/>
              </w:rPr>
              <w:t xml:space="preserve">» </w:t>
            </w:r>
            <w:r>
              <w:rPr>
                <w:rStyle w:val="IndexLink"/>
                <w:rtl w:val="true"/>
              </w:rPr>
              <w:t>ابن‌ماجِه، ابوداود و تِرْمَذى‌</w:t>
            </w:r>
            <w:r>
              <w:rPr>
                <w:rStyle w:val="IndexLink"/>
                <w:rtl w:val="true"/>
              </w:rPr>
              <w:tab/>
            </w:r>
            <w:r>
              <w:rPr>
                <w:rStyle w:val="IndexLink"/>
              </w:rPr>
              <w:t>49</w:t>
            </w:r>
          </w:hyperlink>
        </w:p>
        <w:p>
          <w:pPr>
            <w:pStyle w:val="Contents3"/>
            <w:tabs>
              <w:tab w:val="clear" w:pos="8459"/>
              <w:tab w:val="right" w:pos="9026" w:leader="dot"/>
            </w:tabs>
            <w:rPr/>
          </w:pPr>
          <w:hyperlink w:anchor="__RefHeading___Toc620553_211673320">
            <w:r>
              <w:rPr>
                <w:webHidden/>
                <w:rStyle w:val="IndexLink"/>
                <w:rtl w:val="true"/>
              </w:rPr>
              <w:t xml:space="preserve">مهدى موعود </w:t>
            </w:r>
            <w:r>
              <w:rPr>
                <w:rStyle w:val="IndexLink"/>
                <w:rtl w:val="true"/>
              </w:rPr>
              <w:t>(</w:t>
            </w:r>
            <w:r>
              <w:rPr>
                <w:rStyle w:val="IndexLink"/>
                <w:rtl w:val="true"/>
              </w:rPr>
              <w:t>ع</w:t>
            </w:r>
            <w:r>
              <w:rPr>
                <w:rStyle w:val="IndexLink"/>
                <w:rtl w:val="true"/>
              </w:rPr>
              <w:t xml:space="preserve">) </w:t>
            </w:r>
            <w:r>
              <w:rPr>
                <w:rStyle w:val="IndexLink"/>
                <w:rtl w:val="true"/>
              </w:rPr>
              <w:t>و وهّابيان‌</w:t>
            </w:r>
            <w:r>
              <w:rPr>
                <w:rStyle w:val="IndexLink"/>
                <w:rtl w:val="true"/>
              </w:rPr>
              <w:tab/>
            </w:r>
            <w:r>
              <w:rPr>
                <w:rStyle w:val="IndexLink"/>
              </w:rPr>
              <w:t>50</w:t>
            </w:r>
          </w:hyperlink>
        </w:p>
        <w:p>
          <w:pPr>
            <w:pStyle w:val="Contents3"/>
            <w:tabs>
              <w:tab w:val="clear" w:pos="8459"/>
              <w:tab w:val="right" w:pos="9026" w:leader="dot"/>
            </w:tabs>
            <w:rPr/>
          </w:pPr>
          <w:hyperlink w:anchor="__RefHeading___Toc620555_211673320">
            <w:r>
              <w:rPr>
                <w:webHidden/>
                <w:rStyle w:val="IndexLink"/>
                <w:rtl w:val="true"/>
              </w:rPr>
              <w:t xml:space="preserve">انكار وجود حضرت مهدى </w:t>
            </w:r>
            <w:r>
              <w:rPr>
                <w:rStyle w:val="IndexLink"/>
                <w:rtl w:val="true"/>
              </w:rPr>
              <w:t>(</w:t>
            </w:r>
            <w:r>
              <w:rPr>
                <w:rStyle w:val="IndexLink"/>
                <w:rtl w:val="true"/>
              </w:rPr>
              <w:t>ع</w:t>
            </w:r>
            <w:r>
              <w:rPr>
                <w:rStyle w:val="IndexLink"/>
                <w:rtl w:val="true"/>
              </w:rPr>
              <w:t xml:space="preserve">) </w:t>
            </w:r>
            <w:r>
              <w:rPr>
                <w:rStyle w:val="IndexLink"/>
                <w:rtl w:val="true"/>
              </w:rPr>
              <w:t>و اتّهام به آن وجود مقدّس در كتاب‌هاى وهّابيان‌</w:t>
            </w:r>
            <w:r>
              <w:rPr>
                <w:rStyle w:val="IndexLink"/>
                <w:rtl w:val="true"/>
              </w:rPr>
              <w:tab/>
            </w:r>
            <w:r>
              <w:rPr>
                <w:rStyle w:val="IndexLink"/>
              </w:rPr>
              <w:t>51</w:t>
            </w:r>
          </w:hyperlink>
        </w:p>
        <w:p>
          <w:pPr>
            <w:pStyle w:val="Contents3"/>
            <w:tabs>
              <w:tab w:val="clear" w:pos="8459"/>
              <w:tab w:val="right" w:pos="9026" w:leader="dot"/>
            </w:tabs>
            <w:rPr/>
          </w:pPr>
          <w:hyperlink w:anchor="__RefHeading___Toc620557_211673320">
            <w:r>
              <w:rPr>
                <w:webHidden/>
                <w:rStyle w:val="IndexLink"/>
                <w:rtl w:val="true"/>
              </w:rPr>
              <w:t>حقيقت ماجرا در ادّعاى واهىِ تغيير قبله‌</w:t>
            </w:r>
            <w:r>
              <w:rPr>
                <w:rStyle w:val="IndexLink"/>
                <w:rtl w:val="true"/>
              </w:rPr>
              <w:tab/>
            </w:r>
            <w:r>
              <w:rPr>
                <w:rStyle w:val="IndexLink"/>
              </w:rPr>
              <w:t>53</w:t>
            </w:r>
          </w:hyperlink>
        </w:p>
        <w:p>
          <w:pPr>
            <w:pStyle w:val="Contents3"/>
            <w:tabs>
              <w:tab w:val="clear" w:pos="8459"/>
              <w:tab w:val="right" w:pos="9026" w:leader="dot"/>
            </w:tabs>
            <w:rPr/>
          </w:pPr>
          <w:hyperlink w:anchor="__RefHeading___Toc620559_211673320">
            <w:r>
              <w:rPr>
                <w:webHidden/>
                <w:rStyle w:val="IndexLink"/>
                <w:rtl w:val="true"/>
              </w:rPr>
              <w:t>خلاصه‌ى سخن‌</w:t>
            </w:r>
            <w:r>
              <w:rPr>
                <w:rStyle w:val="IndexLink"/>
                <w:rtl w:val="true"/>
              </w:rPr>
              <w:tab/>
            </w:r>
            <w:r>
              <w:rPr>
                <w:rStyle w:val="IndexLink"/>
              </w:rPr>
              <w:t>55</w:t>
            </w:r>
          </w:hyperlink>
        </w:p>
        <w:p>
          <w:pPr>
            <w:pStyle w:val="Contents2"/>
            <w:tabs>
              <w:tab w:val="clear" w:pos="8743"/>
              <w:tab w:val="right" w:pos="9026" w:leader="dot"/>
            </w:tabs>
            <w:rPr/>
          </w:pPr>
          <w:hyperlink w:anchor="__RefHeading___Toc620561_211673320">
            <w:r>
              <w:rPr>
                <w:webHidden/>
                <w:rStyle w:val="IndexLink"/>
                <w:rtl w:val="true"/>
              </w:rPr>
              <w:t>فصل پنجم</w:t>
            </w:r>
            <w:r>
              <w:rPr>
                <w:rStyle w:val="IndexLink"/>
                <w:rtl w:val="true"/>
              </w:rPr>
              <w:tab/>
            </w:r>
            <w:r>
              <w:rPr>
                <w:rStyle w:val="IndexLink"/>
              </w:rPr>
              <w:t>56</w:t>
            </w:r>
          </w:hyperlink>
        </w:p>
        <w:p>
          <w:pPr>
            <w:pStyle w:val="Contents3"/>
            <w:tabs>
              <w:tab w:val="clear" w:pos="8459"/>
              <w:tab w:val="right" w:pos="9026" w:leader="dot"/>
            </w:tabs>
            <w:rPr/>
          </w:pPr>
          <w:hyperlink w:anchor="__RefHeading___Toc620563_211673320">
            <w:r>
              <w:rPr>
                <w:webHidden/>
                <w:rStyle w:val="IndexLink"/>
                <w:rtl w:val="true"/>
              </w:rPr>
              <w:t>مسلمانان</w:t>
            </w:r>
            <w:r>
              <w:rPr>
                <w:rStyle w:val="IndexLink"/>
                <w:rtl w:val="true"/>
              </w:rPr>
              <w:tab/>
            </w:r>
            <w:r>
              <w:rPr>
                <w:rStyle w:val="IndexLink"/>
              </w:rPr>
              <w:t>56</w:t>
            </w:r>
          </w:hyperlink>
        </w:p>
        <w:p>
          <w:pPr>
            <w:pStyle w:val="Contents3"/>
            <w:tabs>
              <w:tab w:val="clear" w:pos="8459"/>
              <w:tab w:val="right" w:pos="9026" w:leader="dot"/>
            </w:tabs>
            <w:rPr/>
          </w:pPr>
          <w:hyperlink w:anchor="__RefHeading___Toc620565_211673320">
            <w:r>
              <w:rPr>
                <w:webHidden/>
                <w:rStyle w:val="IndexLink"/>
                <w:rtl w:val="true"/>
              </w:rPr>
              <w:t>جان مسلمانان محترم است‌</w:t>
            </w:r>
            <w:r>
              <w:rPr>
                <w:rStyle w:val="IndexLink"/>
                <w:rtl w:val="true"/>
              </w:rPr>
              <w:tab/>
            </w:r>
            <w:r>
              <w:rPr>
                <w:rStyle w:val="IndexLink"/>
              </w:rPr>
              <w:t>56</w:t>
            </w:r>
          </w:hyperlink>
        </w:p>
        <w:p>
          <w:pPr>
            <w:pStyle w:val="Contents3"/>
            <w:tabs>
              <w:tab w:val="clear" w:pos="8459"/>
              <w:tab w:val="right" w:pos="9026" w:leader="dot"/>
            </w:tabs>
            <w:rPr/>
          </w:pPr>
          <w:hyperlink w:anchor="__RefHeading___Toc620567_211673320">
            <w:r>
              <w:rPr>
                <w:webHidden/>
                <w:rStyle w:val="IndexLink"/>
                <w:rtl w:val="true"/>
              </w:rPr>
              <w:t>نمونه‌هايى از عطوفت اسلامى‌</w:t>
            </w:r>
            <w:r>
              <w:rPr>
                <w:rStyle w:val="IndexLink"/>
                <w:rtl w:val="true"/>
              </w:rPr>
              <w:tab/>
            </w:r>
            <w:r>
              <w:rPr>
                <w:rStyle w:val="IndexLink"/>
              </w:rPr>
              <w:t>57</w:t>
            </w:r>
          </w:hyperlink>
        </w:p>
        <w:p>
          <w:pPr>
            <w:pStyle w:val="Contents3"/>
            <w:tabs>
              <w:tab w:val="clear" w:pos="8459"/>
              <w:tab w:val="right" w:pos="9026" w:leader="dot"/>
            </w:tabs>
            <w:rPr/>
          </w:pPr>
          <w:hyperlink w:anchor="__RefHeading___Toc620569_211673320">
            <w:r>
              <w:rPr>
                <w:webHidden/>
                <w:rStyle w:val="IndexLink"/>
                <w:rtl w:val="true"/>
              </w:rPr>
              <w:t xml:space="preserve">رأفت پيامبر اكرم </w:t>
            </w:r>
            <w:r>
              <w:rPr>
                <w:rStyle w:val="IndexLink"/>
                <w:rtl w:val="true"/>
              </w:rPr>
              <w:t>(</w:t>
            </w:r>
            <w:r>
              <w:rPr>
                <w:rStyle w:val="IndexLink"/>
                <w:rtl w:val="true"/>
              </w:rPr>
              <w:t>ص</w:t>
            </w:r>
            <w:r>
              <w:rPr>
                <w:rStyle w:val="IndexLink"/>
                <w:rtl w:val="true"/>
              </w:rPr>
              <w:t xml:space="preserve">) </w:t>
            </w:r>
            <w:r>
              <w:rPr>
                <w:rStyle w:val="IndexLink"/>
                <w:rtl w:val="true"/>
              </w:rPr>
              <w:t>بر قاتلان خويش‌</w:t>
            </w:r>
            <w:r>
              <w:rPr>
                <w:rStyle w:val="IndexLink"/>
                <w:rtl w:val="true"/>
              </w:rPr>
              <w:tab/>
            </w:r>
            <w:r>
              <w:rPr>
                <w:rStyle w:val="IndexLink"/>
              </w:rPr>
              <w:t>57</w:t>
            </w:r>
          </w:hyperlink>
        </w:p>
        <w:p>
          <w:pPr>
            <w:pStyle w:val="Contents3"/>
            <w:tabs>
              <w:tab w:val="clear" w:pos="8459"/>
              <w:tab w:val="right" w:pos="9026" w:leader="dot"/>
            </w:tabs>
            <w:rPr/>
          </w:pPr>
          <w:hyperlink w:anchor="__RefHeading___Toc620571_211673320">
            <w:r>
              <w:rPr>
                <w:webHidden/>
                <w:rStyle w:val="IndexLink"/>
                <w:rtl w:val="true"/>
              </w:rPr>
              <w:t xml:space="preserve">باران رحمت حسينى </w:t>
            </w:r>
            <w:r>
              <w:rPr>
                <w:rStyle w:val="IndexLink"/>
                <w:rtl w:val="true"/>
              </w:rPr>
              <w:t>(</w:t>
            </w:r>
            <w:r>
              <w:rPr>
                <w:rStyle w:val="IndexLink"/>
                <w:rtl w:val="true"/>
              </w:rPr>
              <w:t>ع</w:t>
            </w:r>
            <w:r>
              <w:rPr>
                <w:rStyle w:val="IndexLink"/>
                <w:rtl w:val="true"/>
              </w:rPr>
              <w:t xml:space="preserve">) </w:t>
            </w:r>
            <w:r>
              <w:rPr>
                <w:rStyle w:val="IndexLink"/>
                <w:rtl w:val="true"/>
              </w:rPr>
              <w:t>بر حرّ بن يزيدِ رياحى‌</w:t>
            </w:r>
            <w:r>
              <w:rPr>
                <w:rStyle w:val="IndexLink"/>
                <w:rtl w:val="true"/>
              </w:rPr>
              <w:tab/>
            </w:r>
            <w:r>
              <w:rPr>
                <w:rStyle w:val="IndexLink"/>
              </w:rPr>
              <w:t>59</w:t>
            </w:r>
          </w:hyperlink>
        </w:p>
        <w:p>
          <w:pPr>
            <w:pStyle w:val="Contents3"/>
            <w:tabs>
              <w:tab w:val="clear" w:pos="8459"/>
              <w:tab w:val="right" w:pos="9026" w:leader="dot"/>
            </w:tabs>
            <w:rPr/>
          </w:pPr>
          <w:hyperlink w:anchor="__RefHeading___Toc620573_211673320">
            <w:r>
              <w:rPr>
                <w:webHidden/>
                <w:rStyle w:val="IndexLink"/>
                <w:rtl w:val="true"/>
              </w:rPr>
              <w:t>وهّابيان، مكّه‌و مدينه را بستر تفرقه كرده‌اند</w:t>
            </w:r>
            <w:r>
              <w:rPr>
                <w:rStyle w:val="IndexLink"/>
                <w:rtl w:val="true"/>
              </w:rPr>
              <w:tab/>
            </w:r>
            <w:r>
              <w:rPr>
                <w:rStyle w:val="IndexLink"/>
              </w:rPr>
              <w:t>60</w:t>
            </w:r>
          </w:hyperlink>
        </w:p>
        <w:p>
          <w:pPr>
            <w:pStyle w:val="Contents3"/>
            <w:tabs>
              <w:tab w:val="clear" w:pos="8459"/>
              <w:tab w:val="right" w:pos="9026" w:leader="dot"/>
            </w:tabs>
            <w:rPr/>
          </w:pPr>
          <w:hyperlink w:anchor="__RefHeading___Toc620575_211673320">
            <w:r>
              <w:rPr>
                <w:webHidden/>
                <w:rStyle w:val="IndexLink"/>
                <w:rtl w:val="true"/>
              </w:rPr>
              <w:t>برچسبى به نام شرك‌</w:t>
            </w:r>
            <w:r>
              <w:rPr>
                <w:rStyle w:val="IndexLink"/>
                <w:rtl w:val="true"/>
              </w:rPr>
              <w:tab/>
            </w:r>
            <w:r>
              <w:rPr>
                <w:rStyle w:val="IndexLink"/>
              </w:rPr>
              <w:t>61</w:t>
            </w:r>
          </w:hyperlink>
        </w:p>
        <w:p>
          <w:pPr>
            <w:pStyle w:val="Contents3"/>
            <w:tabs>
              <w:tab w:val="clear" w:pos="8459"/>
              <w:tab w:val="right" w:pos="9026" w:leader="dot"/>
            </w:tabs>
            <w:rPr/>
          </w:pPr>
          <w:hyperlink w:anchor="__RefHeading___Toc620577_211673320">
            <w:r>
              <w:rPr>
                <w:webHidden/>
                <w:rStyle w:val="IndexLink"/>
                <w:rtl w:val="true"/>
              </w:rPr>
              <w:t>نتايج سخنان افسارگسيخته</w:t>
            </w:r>
            <w:r>
              <w:rPr>
                <w:rStyle w:val="IndexLink"/>
                <w:rtl w:val="true"/>
              </w:rPr>
              <w:t>:</w:t>
              <w:tab/>
            </w:r>
            <w:r>
              <w:rPr>
                <w:rStyle w:val="IndexLink"/>
              </w:rPr>
              <w:t>63</w:t>
            </w:r>
          </w:hyperlink>
        </w:p>
        <w:p>
          <w:pPr>
            <w:pStyle w:val="Contents3"/>
            <w:tabs>
              <w:tab w:val="clear" w:pos="8459"/>
              <w:tab w:val="right" w:pos="9026" w:leader="dot"/>
            </w:tabs>
            <w:rPr/>
          </w:pPr>
          <w:hyperlink w:anchor="__RefHeading___Toc620579_211673320">
            <w:r>
              <w:rPr>
                <w:webHidden/>
                <w:rStyle w:val="IndexLink"/>
                <w:rtl w:val="true"/>
              </w:rPr>
              <w:t>خشونت در پى خشونت‌</w:t>
            </w:r>
            <w:r>
              <w:rPr>
                <w:rStyle w:val="IndexLink"/>
                <w:rtl w:val="true"/>
              </w:rPr>
              <w:tab/>
            </w:r>
            <w:r>
              <w:rPr>
                <w:rStyle w:val="IndexLink"/>
              </w:rPr>
              <w:t>63</w:t>
            </w:r>
          </w:hyperlink>
        </w:p>
        <w:p>
          <w:pPr>
            <w:pStyle w:val="Contents3"/>
            <w:tabs>
              <w:tab w:val="clear" w:pos="8459"/>
              <w:tab w:val="right" w:pos="9026" w:leader="dot"/>
            </w:tabs>
            <w:rPr/>
          </w:pPr>
          <w:hyperlink w:anchor="__RefHeading___Toc620581_211673320">
            <w:r>
              <w:rPr>
                <w:webHidden/>
                <w:rStyle w:val="IndexLink"/>
                <w:rtl w:val="true"/>
              </w:rPr>
              <w:t>تحريف معناى اجماع مسلمانان و دروغى بزرگ براى مباح كردن خون مسلمانان‌</w:t>
            </w:r>
            <w:r>
              <w:rPr>
                <w:rStyle w:val="IndexLink"/>
                <w:rtl w:val="true"/>
              </w:rPr>
              <w:tab/>
            </w:r>
            <w:r>
              <w:rPr>
                <w:rStyle w:val="IndexLink"/>
              </w:rPr>
              <w:t>66</w:t>
            </w:r>
          </w:hyperlink>
        </w:p>
        <w:p>
          <w:pPr>
            <w:pStyle w:val="Contents3"/>
            <w:tabs>
              <w:tab w:val="clear" w:pos="8459"/>
              <w:tab w:val="right" w:pos="9026" w:leader="dot"/>
            </w:tabs>
            <w:rPr/>
          </w:pPr>
          <w:hyperlink w:anchor="__RefHeading___Toc620583_211673320">
            <w:r>
              <w:rPr>
                <w:webHidden/>
                <w:rStyle w:val="IndexLink"/>
                <w:rtl w:val="true"/>
              </w:rPr>
              <w:t>زيارت و شفاعت</w:t>
            </w:r>
            <w:r>
              <w:rPr>
                <w:rStyle w:val="IndexLink"/>
                <w:rtl w:val="true"/>
              </w:rPr>
              <w:t>:</w:t>
              <w:tab/>
            </w:r>
            <w:r>
              <w:rPr>
                <w:rStyle w:val="IndexLink"/>
              </w:rPr>
              <w:t>68</w:t>
            </w:r>
          </w:hyperlink>
        </w:p>
        <w:p>
          <w:pPr>
            <w:pStyle w:val="Contents3"/>
            <w:tabs>
              <w:tab w:val="clear" w:pos="8459"/>
              <w:tab w:val="right" w:pos="9026" w:leader="dot"/>
            </w:tabs>
            <w:rPr/>
          </w:pPr>
          <w:hyperlink w:anchor="__RefHeading___Toc620585_211673320">
            <w:r>
              <w:rPr>
                <w:webHidden/>
                <w:rStyle w:val="IndexLink"/>
                <w:rtl w:val="true"/>
              </w:rPr>
              <w:t>اختلاف ديدگاه اهل‌تسنّن با وهّابيان‌</w:t>
            </w:r>
            <w:r>
              <w:rPr>
                <w:rStyle w:val="IndexLink"/>
                <w:rtl w:val="true"/>
              </w:rPr>
              <w:tab/>
            </w:r>
            <w:r>
              <w:rPr>
                <w:rStyle w:val="IndexLink"/>
              </w:rPr>
              <w:t>68</w:t>
            </w:r>
          </w:hyperlink>
        </w:p>
        <w:p>
          <w:pPr>
            <w:pStyle w:val="Contents3"/>
            <w:tabs>
              <w:tab w:val="clear" w:pos="8459"/>
              <w:tab w:val="right" w:pos="9026" w:leader="dot"/>
            </w:tabs>
            <w:rPr/>
          </w:pPr>
          <w:hyperlink w:anchor="__RefHeading___Toc620587_211673320">
            <w:r>
              <w:rPr>
                <w:webHidden/>
                <w:rStyle w:val="IndexLink"/>
                <w:rtl w:val="true"/>
              </w:rPr>
              <w:t>خلاصه‌ى سخن‌</w:t>
            </w:r>
            <w:r>
              <w:rPr>
                <w:rStyle w:val="IndexLink"/>
                <w:rtl w:val="true"/>
              </w:rPr>
              <w:tab/>
            </w:r>
            <w:r>
              <w:rPr>
                <w:rStyle w:val="IndexLink"/>
              </w:rPr>
              <w:t>71</w:t>
            </w:r>
          </w:hyperlink>
        </w:p>
        <w:p>
          <w:pPr>
            <w:pStyle w:val="Contents3"/>
            <w:tabs>
              <w:tab w:val="clear" w:pos="8459"/>
              <w:tab w:val="right" w:pos="9026" w:leader="dot"/>
            </w:tabs>
            <w:rPr/>
          </w:pPr>
          <w:hyperlink w:anchor="__RefHeading___Toc620589_211673320">
            <w:r>
              <w:rPr>
                <w:webHidden/>
                <w:rStyle w:val="IndexLink"/>
                <w:rtl w:val="true"/>
              </w:rPr>
              <w:t xml:space="preserve">تحريف معناى </w:t>
            </w:r>
            <w:r>
              <w:rPr>
                <w:rStyle w:val="IndexLink"/>
                <w:rtl w:val="true"/>
              </w:rPr>
              <w:t>«</w:t>
            </w:r>
            <w:r>
              <w:rPr>
                <w:rStyle w:val="IndexLink"/>
                <w:rtl w:val="true"/>
              </w:rPr>
              <w:t>تمامى مسلمانان</w:t>
            </w:r>
            <w:r>
              <w:rPr>
                <w:rStyle w:val="IndexLink"/>
                <w:rtl w:val="true"/>
              </w:rPr>
              <w:t>»</w:t>
              <w:tab/>
            </w:r>
            <w:r>
              <w:rPr>
                <w:rStyle w:val="IndexLink"/>
              </w:rPr>
              <w:t>71</w:t>
            </w:r>
          </w:hyperlink>
        </w:p>
        <w:p>
          <w:pPr>
            <w:pStyle w:val="Contents3"/>
            <w:tabs>
              <w:tab w:val="clear" w:pos="8459"/>
              <w:tab w:val="right" w:pos="9026" w:leader="dot"/>
            </w:tabs>
            <w:rPr/>
          </w:pPr>
          <w:hyperlink w:anchor="__RefHeading___Toc620591_211673320">
            <w:r>
              <w:rPr>
                <w:webHidden/>
                <w:rStyle w:val="IndexLink"/>
                <w:rtl w:val="true"/>
              </w:rPr>
              <w:t>شيعه ستيزى، چرا؟</w:t>
            </w:r>
            <w:r>
              <w:rPr>
                <w:rStyle w:val="IndexLink"/>
                <w:rtl w:val="true"/>
              </w:rPr>
              <w:tab/>
            </w:r>
            <w:r>
              <w:rPr>
                <w:rStyle w:val="IndexLink"/>
              </w:rPr>
              <w:t>75</w:t>
            </w:r>
          </w:hyperlink>
        </w:p>
        <w:p>
          <w:pPr>
            <w:pStyle w:val="Contents3"/>
            <w:tabs>
              <w:tab w:val="clear" w:pos="8459"/>
              <w:tab w:val="right" w:pos="9026" w:leader="dot"/>
            </w:tabs>
            <w:rPr/>
          </w:pPr>
          <w:hyperlink w:anchor="__RefHeading___Toc620593_211673320">
            <w:r>
              <w:rPr>
                <w:webHidden/>
                <w:rStyle w:val="IndexLink"/>
                <w:rtl w:val="true"/>
              </w:rPr>
              <w:t>شيعه را همانند يهود و نصارا دانستن‌</w:t>
            </w:r>
            <w:r>
              <w:rPr>
                <w:rStyle w:val="IndexLink"/>
                <w:rtl w:val="true"/>
              </w:rPr>
              <w:tab/>
            </w:r>
            <w:r>
              <w:rPr>
                <w:rStyle w:val="IndexLink"/>
              </w:rPr>
              <w:t>76</w:t>
            </w:r>
          </w:hyperlink>
        </w:p>
        <w:p>
          <w:pPr>
            <w:pStyle w:val="Contents3"/>
            <w:tabs>
              <w:tab w:val="clear" w:pos="8459"/>
              <w:tab w:val="right" w:pos="9026" w:leader="dot"/>
            </w:tabs>
            <w:rPr/>
          </w:pPr>
          <w:hyperlink w:anchor="__RefHeading___Toc620595_211673320">
            <w:r>
              <w:rPr>
                <w:webHidden/>
                <w:rStyle w:val="IndexLink"/>
                <w:rtl w:val="true"/>
              </w:rPr>
              <w:t>كافر خواندن شيعيان‌</w:t>
            </w:r>
            <w:r>
              <w:rPr>
                <w:rStyle w:val="IndexLink"/>
                <w:rtl w:val="true"/>
              </w:rPr>
              <w:tab/>
            </w:r>
            <w:r>
              <w:rPr>
                <w:rStyle w:val="IndexLink"/>
              </w:rPr>
              <w:t>76</w:t>
            </w:r>
          </w:hyperlink>
        </w:p>
        <w:p>
          <w:pPr>
            <w:pStyle w:val="Contents3"/>
            <w:tabs>
              <w:tab w:val="clear" w:pos="8459"/>
              <w:tab w:val="right" w:pos="9026" w:leader="dot"/>
            </w:tabs>
            <w:rPr/>
          </w:pPr>
          <w:hyperlink w:anchor="__RefHeading___Toc620597_211673320">
            <w:r>
              <w:rPr>
                <w:webHidden/>
                <w:rStyle w:val="IndexLink"/>
                <w:rtl w:val="true"/>
              </w:rPr>
              <w:t>اتّهام‌هاى خنده‌آور به شيعه‌</w:t>
            </w:r>
            <w:r>
              <w:rPr>
                <w:rStyle w:val="IndexLink"/>
                <w:rtl w:val="true"/>
              </w:rPr>
              <w:tab/>
            </w:r>
            <w:r>
              <w:rPr>
                <w:rStyle w:val="IndexLink"/>
              </w:rPr>
              <w:t>78</w:t>
            </w:r>
          </w:hyperlink>
        </w:p>
        <w:p>
          <w:pPr>
            <w:pStyle w:val="Contents3"/>
            <w:tabs>
              <w:tab w:val="clear" w:pos="8459"/>
              <w:tab w:val="right" w:pos="9026" w:leader="dot"/>
            </w:tabs>
            <w:rPr/>
          </w:pPr>
          <w:hyperlink w:anchor="__RefHeading___Toc620599_211673320">
            <w:r>
              <w:rPr>
                <w:webHidden/>
                <w:rStyle w:val="IndexLink"/>
                <w:rtl w:val="true"/>
              </w:rPr>
              <w:t>اتّهامى خنده‌آور از ابن‌تيميه‌</w:t>
            </w:r>
            <w:r>
              <w:rPr>
                <w:rStyle w:val="IndexLink"/>
                <w:rtl w:val="true"/>
              </w:rPr>
              <w:tab/>
            </w:r>
            <w:r>
              <w:rPr>
                <w:rStyle w:val="IndexLink"/>
              </w:rPr>
              <w:t>79</w:t>
            </w:r>
          </w:hyperlink>
        </w:p>
        <w:p>
          <w:pPr>
            <w:pStyle w:val="Contents3"/>
            <w:tabs>
              <w:tab w:val="clear" w:pos="8459"/>
              <w:tab w:val="right" w:pos="9026" w:leader="dot"/>
            </w:tabs>
            <w:rPr/>
          </w:pPr>
          <w:hyperlink w:anchor="__RefHeading___Toc620601_211673320">
            <w:r>
              <w:rPr>
                <w:webHidden/>
                <w:rStyle w:val="IndexLink"/>
                <w:rtl w:val="true"/>
              </w:rPr>
              <w:t>اتّهام‌هاى فكاهى و ترفندهاى امروزين‌</w:t>
            </w:r>
            <w:r>
              <w:rPr>
                <w:rStyle w:val="IndexLink"/>
                <w:rtl w:val="true"/>
              </w:rPr>
              <w:tab/>
            </w:r>
            <w:r>
              <w:rPr>
                <w:rStyle w:val="IndexLink"/>
              </w:rPr>
              <w:t>80</w:t>
            </w:r>
          </w:hyperlink>
        </w:p>
        <w:p>
          <w:pPr>
            <w:pStyle w:val="Contents3"/>
            <w:tabs>
              <w:tab w:val="clear" w:pos="8459"/>
              <w:tab w:val="right" w:pos="9026" w:leader="dot"/>
            </w:tabs>
            <w:rPr/>
          </w:pPr>
          <w:hyperlink w:anchor="__RefHeading___Toc620603_211673320">
            <w:r>
              <w:rPr>
                <w:webHidden/>
                <w:rStyle w:val="IndexLink"/>
                <w:rtl w:val="true"/>
              </w:rPr>
              <w:t>هر دَم از اين باغ برى مى‌رسد</w:t>
            </w:r>
            <w:r>
              <w:rPr>
                <w:rStyle w:val="IndexLink"/>
                <w:rtl w:val="true"/>
              </w:rPr>
              <w:tab/>
            </w:r>
            <w:r>
              <w:rPr>
                <w:rStyle w:val="IndexLink"/>
              </w:rPr>
              <w:t>82</w:t>
            </w:r>
          </w:hyperlink>
        </w:p>
        <w:p>
          <w:pPr>
            <w:pStyle w:val="Contents3"/>
            <w:tabs>
              <w:tab w:val="clear" w:pos="8459"/>
              <w:tab w:val="right" w:pos="9026" w:leader="dot"/>
            </w:tabs>
            <w:rPr/>
          </w:pPr>
          <w:hyperlink w:anchor="__RefHeading___Toc620605_211673320">
            <w:r>
              <w:rPr>
                <w:webHidden/>
                <w:rStyle w:val="IndexLink"/>
                <w:rtl w:val="true"/>
              </w:rPr>
              <w:t>سخن آخر</w:t>
            </w:r>
            <w:r>
              <w:rPr>
                <w:rStyle w:val="IndexLink"/>
                <w:rtl w:val="true"/>
              </w:rPr>
              <w:t xml:space="preserve">: </w:t>
            </w:r>
            <w:r>
              <w:rPr>
                <w:rStyle w:val="IndexLink"/>
                <w:rtl w:val="true"/>
              </w:rPr>
              <w:t>دردِ دلى با مسلمانان‌</w:t>
            </w:r>
            <w:r>
              <w:rPr>
                <w:rStyle w:val="IndexLink"/>
                <w:rtl w:val="true"/>
              </w:rPr>
              <w:tab/>
            </w:r>
            <w:r>
              <w:rPr>
                <w:rStyle w:val="IndexLink"/>
              </w:rPr>
              <w:t>85</w:t>
            </w:r>
          </w:hyperlink>
        </w:p>
        <w:p>
          <w:pPr>
            <w:pStyle w:val="Contents3"/>
            <w:tabs>
              <w:tab w:val="clear" w:pos="8459"/>
              <w:tab w:val="right" w:pos="9026" w:leader="dot"/>
            </w:tabs>
            <w:rPr/>
          </w:pPr>
          <w:hyperlink w:anchor="__RefHeading___Toc620607_211673320">
            <w:r>
              <w:rPr>
                <w:webHidden/>
                <w:rStyle w:val="IndexLink"/>
                <w:rtl w:val="true"/>
              </w:rPr>
              <w:t>كتب اهل تسنّن در مخالفت با وهّابيان‌</w:t>
            </w:r>
            <w:r>
              <w:rPr>
                <w:rStyle w:val="IndexLink"/>
                <w:rtl w:val="true"/>
              </w:rPr>
              <w:tab/>
            </w:r>
            <w:r>
              <w:rPr>
                <w:rStyle w:val="IndexLink"/>
              </w:rPr>
              <w:t>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_78"/>
      <w:bookmarkStart w:id="1" w:name="pg95_78"/>
      <w:bookmarkEnd w:id="1"/>
    </w:p>
    <w:p>
      <w:pPr>
        <w:pStyle w:val="Heading2"/>
        <w:numPr>
          <w:ilvl w:val="1"/>
          <w:numId w:val="1"/>
        </w:numPr>
        <w:rPr/>
      </w:pPr>
      <w:bookmarkStart w:id="2" w:name="pg95_78"/>
      <w:bookmarkStart w:id="3" w:name="__RefHeading___Toc620467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درخشان، عدنان، </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بي‌خار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كتب اهدايي وهابيان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درخشان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حاضر شامل فهرست چهل عنوان از كتب اهل تسنن در مخالفت با وهابيان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آسيب‌شناسي كتب اهدايي وهابيان در ايام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وهابيه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گ</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۱۲۲۲۴۴۵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0469_211673320"/>
      <w:bookmarkStart w:id="6" w:name="_Toc2"/>
      <w:bookmarkEnd w:id="5"/>
      <w:r>
        <w:rPr>
          <w:rtl w:val="true"/>
        </w:rPr>
        <w:t>اشاره</w:t>
      </w:r>
      <w:bookmarkStart w:id="7" w:name="pg95_85"/>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20471_211673320"/>
      <w:bookmarkStart w:id="9" w:name="_Toc3"/>
      <w:bookmarkEnd w:id="7"/>
      <w:bookmarkEnd w:id="8"/>
      <w:r>
        <w:rPr>
          <w:rtl w:val="true"/>
        </w:rPr>
        <w:t>به بهانه‌ي مقدّمه</w:t>
      </w:r>
      <w:bookmarkEnd w:id="9"/>
    </w:p>
    <w:p>
      <w:pPr>
        <w:pStyle w:val="BookText"/>
        <w:rPr/>
      </w:pPr>
      <w:r>
        <w:rPr>
          <w:rFonts w:ascii="IRNazanin" w:hAnsi="IRNazanin" w:eastAsia="IRNazanin"/>
          <w:color w:val="111111"/>
          <w:sz w:val="28"/>
          <w:sz w:val="28"/>
          <w:szCs w:val="28"/>
          <w:rtl w:val="true"/>
          <w:lang w:bidi="fa-IR"/>
        </w:rPr>
        <w:t>سر در جيب تفكر فرو برده بودم و به آينده‌اي نه چندان دور فكر مي‌كردم؛ آينده‌اي كه در آن صدق و راستي، جاي‌گزين هرگونه دروغ و كژي مي‌شود و حقايق و واقعيّت‌ها در هاله‌اي از نور بر همگان هويدا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آن موعود الهي سر برسد و بر تمامي اين ناراستي‌ها خطّ بطلان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دردمندانه به انتظار نشسته‌ام و آزمندانه او را مي‌جويم تا بيايد و اين دنياي پُرتزوير را دگرگون سازد؛ دنيايي كه تبليغاتِ بَزَك كرده و زيبا، ديده‌ها را كم‌سو مي‌كند تا حقايق راستين، كم رنگ جلوه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طالب حجّم، حجّ بيت اللّه الحرام، آن كعبه‌ي آمالِ تمامي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احرام ببندم، از هر چه حجاب كه بوده و هست تهي گردم، سپيدِ سپيد به نزد پروردگار بروم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مي‌خواهم لبّيك بگويم و كاش پاسخ را نيز به جان</w:t>
      </w:r>
    </w:p>
    <w:p>
      <w:pPr>
        <w:pStyle w:val="BookText"/>
        <w:rPr/>
      </w:pP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نكند در بازگشت از حج، آن‌گاه كه نامه‌ى عملم را به دست ولى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مى‌دهند، در آن ميقات، نماز، احرام و لبيّكى نباشد و خطاب آيد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داخل ميقات شدى، نه نماز خواندى، نه احرام بستى و نه لبّيكى از روى صدق و راستى گفتى</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أَحْرَمْتَ وَ عَقَدْتَ بِالْحَجِّ؟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 مُحَرَّمٍ حَرَّمَهُ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 أَحْرَمْتَ وَ لَا عَقَدْتَ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الْمِيقَاتَ وَ صَلَّيْتَ رَكْعَتَي الْإِحْرَامِ وَ 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 لَا قَالَ فَحِينَ صَلَّيْتَ الرَّكْعَتَيْنِ نَوَيْتَ أَنَّكَ تَقَرَّبْتَ إِلَى اللَّهِ بِخَيْرِ الْأَعْمَالِ مِنَ الصَّلَاةِ وَ أَكْبَرِ حَسَنَاتِ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 صُمْتَ عَنْ كُلِّ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 صَلَّيْتَ وَ لَا 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الوسائل، ميرزا حسين نورى م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مؤسسه آل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و سيّدالسّاجدين ع از شِبلى كه از سفر حج بازگشته بود،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را از آلودگى‌ها پاك كردى، لباس احرام پوشيدى و پيمان حج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زمان كه بر خود لباس احرام پوشاندى متوجّه بودى تا از هر آن چه خدا حرام كرده دور شوى و آن را بر خود حرام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بستن پيمان حج، اين نيّت را در دل گذراندى كه هرگونه عهد و قرار با غير خدا را كه مورد رضايت او نيست بشكنى و گرداگرد معصيت نگردى؟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آلودگى‌ها پاك شدى نه محرم گشتى و نه پيمان حج بستى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وارد ميقات شدى، دو ركعت نماز به جهت احرام خواندى و لبّيك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نماز مى‌خواندى در نيّت داشتى به سبب بهترين اعمال و بزرگترين حسنات كه نماز است به خدا نزديك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هنگام گفتن لبّيك اين نيّت در تو بود كه با خدا سخن مى‌گويى تا در تمام موارد از خدا اطاعت كنى و از هر معصيت دورى گزينى و از تمام گناهان خوددارى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صورت نه داخل ميقات شده‌اى و نه در حقيقت نماز خوانده‌اى و نه لبّيك راستين گفته‌اى</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پاى در صحراى تفتيده ديروز مى‌گذارم، صحرايى كه امروز محلّ فرود حاجيان شده است و قلب بيابان‌هايش را سالن‌هاى زيبا پر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را سپاس كه محل استقرار حاجى را تزيين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 بيابانِ ديروز را هزاران شى‌ء نورانى روشن كرده و جاى شن‌هاى روان و خار مغيلان را سنگ‌هاى مرمرين و صندلى‌هاى پايه سيمين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بوميان با طَبق طَبق خرما به استقبال حاجيان مى‌رفتند و امروز دسته دسته كتاب در اختيار حاجيان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ناشكرى نمى‌كنم و از هر شاخه، ميوه‌اى مى‌چينم و از هرگونه كتاب يكى برمى‌دارم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فسرده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نادرستى و ناپاكى را چرا با رنگ و لعاب بَزَك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مكاره را مى‌ماند كه زهر هَلاهِل را قندآميز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روكشى از</w:t>
      </w:r>
    </w:p>
    <w:p>
      <w:pPr>
        <w:pStyle w:val="BookText"/>
        <w:rPr/>
      </w:pPr>
      <w:r>
        <w:rPr>
          <w:rFonts w:ascii="IRNazanin" w:hAnsi="IRNazanin" w:eastAsia="IRNazanin"/>
          <w:color w:val="111111"/>
          <w:sz w:val="28"/>
          <w:sz w:val="28"/>
          <w:szCs w:val="28"/>
          <w:rtl w:val="true"/>
          <w:lang w:bidi="fa-IR"/>
        </w:rPr>
        <w:t>شيرينى دارد و بالفور پايين مى‌رود؛ امّا درونش تلخى محض است و در باطن آكنده از نادرستى و ناپاكى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يكى زيباتر و پر نقش و نگارتر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خوش خط و خال را مى‌ماند كه با طنّازى، به دورت مى‌پيچد و با عشوه‌گرى، زهر در كامت مى‌ريزد و تا افسون نشوى و ديگر بار به خود نيايى، در نمى‌يابى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پيش، آن زمان كه دل، هواى بيت اللّه و مسجد نبوى كرد، به عمره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كتابى كه براى توشه‌ى سفر اندوخته بودم در بدو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به يغما بردند و من به تاوان آن، انبوهى از كتب تبليغى رايگانشان را براى مطالعه در چمدان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اين كتاب‌ها هرچه زيباتر مى‌نمود، از حقايق دينى تهى‌تر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مراجعه به ايران، از ديگر دوستان نيز كتاب‌هايى در اين زمينه گرفتم و نمونه‌هايى از اشتباه‌هاى فاحش اين كتب را به رشته‌ى تحرير درآورم؛ تا شكرانه‌اى باشد در توفيق زيارت و براتى باشد بر ادامه‌ى هدايت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نوشتار، در پى به نقد كشيدن كتاب‌ها و قلم‌هايى است كه جز ضلالت و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قبله‌گاه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هدفى را دنبال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درخشان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1386</w:t>
      </w:r>
      <w:bookmarkStart w:id="10" w:name="pg95_90"/>
    </w:p>
    <w:p>
      <w:pPr>
        <w:pStyle w:val="Heading2"/>
        <w:numPr>
          <w:ilvl w:val="1"/>
          <w:numId w:val="1"/>
        </w:numPr>
        <w:rPr/>
      </w:pPr>
      <w:bookmarkStart w:id="11" w:name="__RefHeading___Toc620473_21167332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كتاب، چشمه‌اى است كه روح آدمى را سيراب مى‌كند و عطش فراگيرى او را فرو مى‌نشاند، تا آنجا كه بعضى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دوست و همدم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عدّه‌اى در كتاب بذر نفاق بيفكنند و عقايد مسموم را در آن ترويج كنند، آيا سرابى نخواهد بود كه تشنگان را بى‌حاصل به دنبال خود خواهد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در سفر حج و در كنار خانه‌ى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اصلى 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نوشته‌هايى توزيع شود كه خداوند را با صورت و چشم به تصوير 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بايد در كنار خانه‌ى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اطراف مسجد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رايگان، مظاهر اظهار محبّت به وجود مقدّس آن رسول رحمت را شرك معرّفى كند؟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توحيد و نبوّت در نظر تمامى مسلمانان از اصول</w:t>
      </w:r>
    </w:p>
    <w:p>
      <w:pPr>
        <w:pStyle w:val="BookText"/>
        <w:rPr/>
      </w:pPr>
      <w:r>
        <w:rPr>
          <w:rFonts w:ascii="IRNazanin" w:hAnsi="IRNazanin" w:eastAsia="IRNazanin"/>
          <w:color w:val="111111"/>
          <w:sz w:val="28"/>
          <w:sz w:val="28"/>
          <w:szCs w:val="28"/>
          <w:rtl w:val="true"/>
          <w:lang w:bidi="fa-IR"/>
        </w:rPr>
        <w:t>اعتقادى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مى‌توان پذيرفت آنان كه خود در توحيد و خداشناسى به خطا رفته‌اند و خدايى جسمانى را مى‌پرستند، ديگران را متّهم به شرك كنند و يا توجّه به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مرده پرستى قلمداد نمايند؟</w:t>
      </w:r>
    </w:p>
    <w:p>
      <w:pPr>
        <w:pStyle w:val="BookText"/>
        <w:rPr/>
      </w:pPr>
      <w:r>
        <w:rPr>
          <w:rFonts w:ascii="IRNazanin" w:hAnsi="IRNazanin" w:eastAsia="IRNazanin"/>
          <w:color w:val="111111"/>
          <w:sz w:val="28"/>
          <w:sz w:val="28"/>
          <w:szCs w:val="28"/>
          <w:rtl w:val="true"/>
          <w:lang w:bidi="fa-IR"/>
        </w:rPr>
        <w:t>در اين مختصر، سخن آنان درباره‌ى توحيد، نبوّت و ديگر اصول اسلام و نيز سوء استفاده‌ى آنان از منابع اسلامى، به نقد كشيده خواهد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w:t>
      </w:r>
      <w:bookmarkStart w:id="13" w:name="pg95_94"/>
    </w:p>
    <w:p>
      <w:pPr>
        <w:pStyle w:val="Heading2"/>
        <w:numPr>
          <w:ilvl w:val="1"/>
          <w:numId w:val="1"/>
        </w:numPr>
        <w:rPr/>
      </w:pPr>
      <w:bookmarkStart w:id="14" w:name="__RefHeading___Toc620475_211673320"/>
      <w:bookmarkStart w:id="15" w:name="_Toc5"/>
      <w:bookmarkEnd w:id="13"/>
      <w:bookmarkEnd w:id="14"/>
      <w:r>
        <w:rPr>
          <w:rtl w:val="true"/>
        </w:rPr>
        <w:t>فصل اوّل</w:t>
      </w:r>
      <w:bookmarkEnd w:id="15"/>
    </w:p>
    <w:p>
      <w:pPr>
        <w:pStyle w:val="Heading3"/>
        <w:numPr>
          <w:ilvl w:val="2"/>
          <w:numId w:val="1"/>
        </w:numPr>
        <w:rPr/>
      </w:pPr>
      <w:bookmarkStart w:id="16" w:name="__RefHeading___Toc620477_211673320"/>
      <w:bookmarkStart w:id="17" w:name="_Toc6"/>
      <w:bookmarkEnd w:id="16"/>
      <w:r>
        <w:rPr>
          <w:rtl w:val="true"/>
        </w:rPr>
        <w:t>توحيد</w:t>
      </w:r>
      <w:bookmarkEnd w:id="17"/>
    </w:p>
    <w:p>
      <w:pPr>
        <w:pStyle w:val="Heading4"/>
        <w:numPr>
          <w:ilvl w:val="3"/>
          <w:numId w:val="1"/>
        </w:numPr>
        <w:rPr/>
      </w:pPr>
      <w:bookmarkStart w:id="18" w:name="__RefHeading___Toc620479_211673320"/>
      <w:bookmarkStart w:id="19" w:name="_Toc7"/>
      <w:bookmarkEnd w:id="18"/>
      <w:r>
        <w:rPr>
          <w:rtl w:val="true"/>
        </w:rPr>
        <w:t>خداى جسمانى، شايسته‌ى پرستش نيست‌</w:t>
      </w:r>
      <w:bookmarkEnd w:id="19"/>
    </w:p>
    <w:p>
      <w:pPr>
        <w:pStyle w:val="BookText"/>
        <w:rPr/>
      </w:pPr>
      <w:r>
        <w:rPr>
          <w:rFonts w:ascii="IRNazanin" w:hAnsi="IRNazanin" w:eastAsia="IRNazanin"/>
          <w:color w:val="111111"/>
          <w:sz w:val="28"/>
          <w:sz w:val="28"/>
          <w:szCs w:val="28"/>
          <w:rtl w:val="true"/>
          <w:lang w:bidi="fa-IR"/>
        </w:rPr>
        <w:t>توحيد و اعتقاد به خداى يكتا، رمز مشترك تمامى اديان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بديهى است كه تأمّل در اين موضوع و شناختن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كه خود، خود را معرّفى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يكايك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همين نكته‌ى ساده راهنماى اين امر است كه خداوندِ جسمانى كه داراى دست و پا و چشم و گوش است، خدايى محتاج به جسم است و شايستگى عبادت نخواهد داشت</w:t>
      </w:r>
      <w:r>
        <w:rPr>
          <w:rFonts w:eastAsia="IRNazanin" w:cs="IRNazanin"/>
          <w:color w:val="111111"/>
          <w:sz w:val="28"/>
          <w:szCs w:val="28"/>
          <w:rtl w:val="true"/>
          <w:lang w:bidi="fa-IR"/>
        </w:rPr>
        <w:t>.</w:t>
      </w:r>
    </w:p>
    <w:p>
      <w:pPr>
        <w:pStyle w:val="Heading4"/>
        <w:numPr>
          <w:ilvl w:val="3"/>
          <w:numId w:val="1"/>
        </w:numPr>
        <w:rPr/>
      </w:pPr>
      <w:bookmarkStart w:id="20" w:name="__RefHeading___Toc620481_211673320"/>
      <w:bookmarkStart w:id="21" w:name="_Toc8"/>
      <w:bookmarkEnd w:id="20"/>
      <w:r>
        <w:rPr>
          <w:rtl w:val="true"/>
        </w:rPr>
        <w:t>معرّفى خدا در كنار خانه‌ى خدا</w:t>
      </w:r>
      <w:bookmarkEnd w:id="21"/>
    </w:p>
    <w:p>
      <w:pPr>
        <w:pStyle w:val="Heading4"/>
        <w:numPr>
          <w:ilvl w:val="3"/>
          <w:numId w:val="1"/>
        </w:numPr>
        <w:rPr/>
      </w:pPr>
      <w:bookmarkStart w:id="22" w:name="__RefHeading___Toc620483_211673320"/>
      <w:bookmarkStart w:id="23" w:name="_Toc9"/>
      <w:bookmarkEnd w:id="22"/>
      <w:r>
        <w:rPr>
          <w:rtl w:val="true"/>
        </w:rPr>
        <w:t>خدايى انسان نما</w:t>
      </w:r>
      <w:bookmarkEnd w:id="23"/>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خواهيم ديد كه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اساسى‌ترين پايه در هر دين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اعتقاد به نبوّت، شفاعت، توسّل،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كتبى كه در حج توزيع مى‌شود، وارونه جلوه‌گر شده، و وحدانيّت خدا به صورت تحريف شده عرضه مى‌گردد</w:t>
      </w:r>
      <w:r>
        <w:rPr>
          <w:rFonts w:eastAsia="IRNazanin" w:cs="IRNazanin"/>
          <w:color w:val="111111"/>
          <w:sz w:val="28"/>
          <w:szCs w:val="28"/>
          <w:rtl w:val="true"/>
          <w:lang w:bidi="fa-IR"/>
        </w:rPr>
        <w:t>.</w:t>
      </w:r>
      <w:bookmarkStart w:id="24" w:name="pg95_95"/>
    </w:p>
    <w:p>
      <w:pPr>
        <w:pStyle w:val="BookText"/>
        <w:rPr/>
      </w:pPr>
      <w:bookmarkEnd w:id="24"/>
      <w:r>
        <w:rPr>
          <w:rFonts w:ascii="IRNazanin" w:hAnsi="IRNazanin" w:eastAsia="IRNazanin"/>
          <w:color w:val="111111"/>
          <w:sz w:val="28"/>
          <w:sz w:val="28"/>
          <w:szCs w:val="28"/>
          <w:rtl w:val="true"/>
          <w:lang w:bidi="fa-IR"/>
        </w:rPr>
        <w:t>اعتقاد به خداوند كه از هر حدّ و مرزى فراتر است، در اين نوشته‌ها گرفتار ذهن محصور آدمى و در بند تفكّر محدود انسانى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 آنان كه ديگران را به راحتى كافر و مشرك مى‌خوانند، خود به تشبيه خداوند پرداخته‌اند و ذات بى‌كران الهى را در وادى جسم بخشى محدود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بدان جا مى‌انجامد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قابل ديدن مى‌دانند</w:t>
      </w:r>
      <w:r>
        <w:rPr>
          <w:rFonts w:eastAsia="IRNazanin" w:cs="IRNazanin"/>
          <w:color w:val="111111"/>
          <w:sz w:val="28"/>
          <w:szCs w:val="28"/>
          <w:rtl w:val="true"/>
          <w:lang w:bidi="fa-IR"/>
        </w:rPr>
        <w:t>».</w:t>
      </w:r>
    </w:p>
    <w:p>
      <w:pPr>
        <w:pStyle w:val="Heading4"/>
        <w:numPr>
          <w:ilvl w:val="3"/>
          <w:numId w:val="1"/>
        </w:numPr>
        <w:rPr/>
      </w:pPr>
      <w:bookmarkStart w:id="25" w:name="__RefHeading___Toc620485_211673320"/>
      <w:bookmarkStart w:id="26" w:name="_Toc10"/>
      <w:bookmarkEnd w:id="25"/>
      <w:r>
        <w:rPr>
          <w:rtl w:val="true"/>
        </w:rPr>
        <w:t>جسم انگارى خداوند</w:t>
      </w:r>
      <w:bookmarkEnd w:id="26"/>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عقيده اهل سنت و جماعت</w:t>
      </w:r>
      <w:r>
        <w:rPr>
          <w:rFonts w:eastAsia="Amiri" w:cs="Amiri" w:ascii="Amiri" w:hAnsi="Amiri"/>
          <w:color w:val="111111"/>
          <w:sz w:val="28"/>
          <w:szCs w:val="28"/>
          <w:rtl w:val="true"/>
          <w:lang w:bidi="ar-SA"/>
        </w:rPr>
        <w:t>»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زبان فارسى است و از زمستان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ايّام حجّ واجب بين حجّاج فارسى زبان توزيع مى‌گردد، چنين مى‌خوانيم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مى‌آوريم به اين كه خدا داراى چهره‌اى آراسته به عظمت و بزرگى و انعام و احسان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مى‌آوريم به اين كه خداوند داراى دو دست گرامى و عظيم و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مى‌آوريم به اين كه براى خداى تعالى دو چشم حقيقى است، چنان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اصْنَعِ الْفُلْكَ بِأَعْيُنِنا وَ وَحْيِنا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كشتى را با وحى ما و زير نظر ما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همگى بر اين</w:t>
      </w:r>
    </w:p>
    <w:p>
      <w:pPr>
        <w:pStyle w:val="BookText"/>
        <w:rPr/>
      </w:pPr>
      <w:r>
        <w:rPr>
          <w:rFonts w:ascii="IRNazanin" w:hAnsi="IRNazanin" w:eastAsia="IRNazanin"/>
          <w:color w:val="111111"/>
          <w:sz w:val="28"/>
          <w:sz w:val="28"/>
          <w:szCs w:val="28"/>
          <w:rtl w:val="true"/>
          <w:lang w:bidi="fa-IR"/>
        </w:rPr>
        <w:t xml:space="preserve">قول‌اند كه چشمان خداى متعال دوتاست </w:t>
      </w:r>
      <w:r>
        <w:rPr>
          <w:rFonts w:eastAsia="IRNazanin" w:cs="IRNazanin"/>
          <w:color w:val="111111"/>
          <w:sz w:val="28"/>
          <w:szCs w:val="28"/>
          <w:rtl w:val="true"/>
          <w:lang w:bidi="fa-IR"/>
        </w:rPr>
        <w:t>... «</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كتاب در ترجمه‌ى آيه‌ى لا تُدْرِكُهُ الأَبْصارُ وَ هُوَ يُدْرِكُ الأَبْصارَ </w:t>
      </w:r>
      <w:r>
        <w:rPr>
          <w:rFonts w:eastAsia="Amiri" w:cs="Amiri" w:ascii="Amiri" w:hAnsi="Amiri"/>
          <w:color w:val="111111"/>
          <w:sz w:val="28"/>
          <w:szCs w:val="28"/>
          <w:rtl w:val="true"/>
          <w:lang w:bidi="ar-SA"/>
        </w:rPr>
        <w:t>«</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به عنوان ترجمه و توضيح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چشم‌ها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 آخرت مؤمنان او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مى‌آوريم به اين كه مؤمنان در روز قيامت، خدا را خواهند ديد</w:t>
      </w:r>
      <w:r>
        <w:rPr>
          <w:rFonts w:eastAsia="IRNazanin" w:cs="IRNazanin"/>
          <w:color w:val="111111"/>
          <w:sz w:val="28"/>
          <w:szCs w:val="28"/>
          <w:rtl w:val="true"/>
          <w:lang w:bidi="fa-IR"/>
        </w:rPr>
        <w:t>.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عبارت‌هاى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در آخرت مؤمنان او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ترجمه‌ى اين آيه‌ى شريفه‌ى قرآن افزوده شده و تفسير شخصى نويسندگان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مى‌آوريم به اين كه مؤمنان در روز قيامت خدا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برگرفته از همين تفسير است و ارتباطى با آيه ندارد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قرآن‌هايى كه با ترجمه‌ى فارسى در مسجد الحرام و مسجدالنبى در دسترس زائران قرار مى‌گيرد نيز داراى چنين مطالبى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مترجم فارسى زبان قرآن‌هاى عربستان، در ذيل آيه‌ى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يونس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أحْسَنُوا الْحُسنى و زيادَة</w:t>
      </w:r>
    </w:p>
    <w:p>
      <w:pPr>
        <w:pStyle w:val="BookText"/>
        <w:rPr/>
      </w:pPr>
      <w:r>
        <w:rPr>
          <w:rFonts w:ascii="Amiri" w:hAnsi="Amiri" w:eastAsia="Amiri" w:cs="Amiri"/>
          <w:color w:val="111111"/>
          <w:sz w:val="28"/>
          <w:sz w:val="28"/>
          <w:szCs w:val="28"/>
          <w:rtl w:val="true"/>
          <w:lang w:bidi="ar-SA"/>
        </w:rPr>
        <w:t>آنان كه نيكوكارى كردند، برايشان بهشت و زياده بر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رؤيت خداى تعالى</w:t>
      </w:r>
      <w:r>
        <w:rPr>
          <w:rFonts w:eastAsia="Amiri" w:cs="Amiri" w:ascii="Amiri" w:hAnsi="Amiri"/>
          <w:color w:val="111111"/>
          <w:sz w:val="28"/>
          <w:szCs w:val="28"/>
          <w:rtl w:val="true"/>
          <w:lang w:bidi="ar-SA"/>
        </w:rPr>
        <w:t>.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روشن است كه باز هم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رؤيت خداى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آيه‌ى قرآن وجود ندارد و تفسير شخصى مترجم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ديگرى كه به زبان عربى در مكه و مدينه توزيع مى‌شود،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ما هر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آسمان دنيا پايين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آن‌جا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شب به يك سوم انتهايى مى‌رسد؛ 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مرا بخواند او را جواب مى‌گويم</w:t>
      </w:r>
      <w:r>
        <w:rPr>
          <w:rFonts w:eastAsia="IRNazanin" w:cs="IRNazanin"/>
          <w:color w:val="111111"/>
          <w:sz w:val="28"/>
          <w:szCs w:val="28"/>
          <w:rtl w:val="true"/>
          <w:lang w:bidi="fa-IR"/>
        </w:rPr>
        <w:t>. «</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برداشتى از توحيد، مغاير اعتقاد فطرى آدمى است كه خداوند را بينا مى‌يابد اما نه با چشم يا دو چشمى كه با آنها مخلوقات را ببيند؛ هر فطرتى خداوند را خالق مكان مى‌داند و او را در همه جا حاضر و ناظر مى‌بيند نه اين كه خداوند بايد از عرش پايين بيايد تا صداى خلايق را بشنود و آنگاه درصدد استجابت برآيد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سخنان، يكى از بدترين 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در</w:t>
      </w:r>
      <w:bookmarkStart w:id="27" w:name="pg95_98"/>
    </w:p>
    <w:p>
      <w:pPr>
        <w:pStyle w:val="BookText"/>
        <w:rPr/>
      </w:pPr>
      <w:bookmarkEnd w:id="27"/>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نشانگر ناآشنايى وهّابيان با توحيد راستين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اينان، ادبيّات توحيدى را نمى‌دانند و در عين حال از مشرك و كافر خواندن مخالفان خود ابايى ندارند</w:t>
      </w:r>
      <w:r>
        <w:rPr>
          <w:rFonts w:eastAsia="IRNazanin" w:cs="IRNazanin"/>
          <w:color w:val="111111"/>
          <w:sz w:val="28"/>
          <w:szCs w:val="28"/>
          <w:rtl w:val="true"/>
          <w:lang w:bidi="fa-IR"/>
        </w:rPr>
        <w:t>.</w:t>
      </w:r>
    </w:p>
    <w:p>
      <w:pPr>
        <w:pStyle w:val="Heading4"/>
        <w:numPr>
          <w:ilvl w:val="3"/>
          <w:numId w:val="1"/>
        </w:numPr>
        <w:rPr/>
      </w:pPr>
      <w:bookmarkStart w:id="28" w:name="__RefHeading___Toc620487_211673320"/>
      <w:bookmarkStart w:id="29" w:name="_Toc11"/>
      <w:bookmarkEnd w:id="28"/>
      <w:r>
        <w:rPr>
          <w:rtl w:val="true"/>
        </w:rPr>
        <w:t>اشاعه‌ى شرك در ذات، به زبان‌هاى گوناگون‌</w:t>
      </w:r>
      <w:bookmarkEnd w:id="29"/>
    </w:p>
    <w:p>
      <w:pPr>
        <w:pStyle w:val="BookText"/>
        <w:rPr/>
      </w:pPr>
      <w:r>
        <w:rPr>
          <w:rFonts w:ascii="IRNazanin" w:hAnsi="IRNazanin" w:eastAsia="IRNazanin"/>
          <w:color w:val="111111"/>
          <w:sz w:val="28"/>
          <w:sz w:val="28"/>
          <w:szCs w:val="28"/>
          <w:rtl w:val="true"/>
          <w:lang w:bidi="fa-IR"/>
        </w:rPr>
        <w:t>جاى بسى تأسّف است كه در عمل، چنين اعتقاداتى حتّى به زبان‌هاى ديگر هم ترويج مى‌شود كه آثار منفى خود را در پى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نمونه دقّت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gniK eht ma I "yaS lliw eh neht ,thgiR sih ni snevaeh eht lla dna dnah sih yb htrae( fO tenalP )elohW ehT psarG lliW hallA noitcerruseR fO yaD ehT nO :...( ariaruH ubA dnA )ramU nbI detarraN</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رستاخيز خداوند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در دست خويش مى‌گيرد و آسمان‌ها را در دست راست خويش گرفته،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هستم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كتاب‌هاى پرتيراژ وهابيّت عربستان و قرآن‌هاى چاپ شده به زبان‌هاى گوناگون، كه حاوى</w:t>
      </w:r>
      <w:bookmarkStart w:id="30" w:name="pg95_99"/>
    </w:p>
    <w:p>
      <w:pPr>
        <w:pStyle w:val="BookText"/>
        <w:rPr/>
      </w:pPr>
      <w:bookmarkEnd w:id="30"/>
      <w:r>
        <w:rPr>
          <w:rFonts w:ascii="IRNazanin" w:hAnsi="IRNazanin" w:eastAsia="IRNazanin"/>
          <w:color w:val="111111"/>
          <w:sz w:val="28"/>
          <w:sz w:val="28"/>
          <w:szCs w:val="28"/>
          <w:rtl w:val="true"/>
          <w:lang w:bidi="fa-IR"/>
        </w:rPr>
        <w:t>چنين تفاسيرى است، چه برداشتى از توحيد را براى مسلمانان به ارمغان خواهد آورد؟</w:t>
      </w:r>
      <w:r>
        <w:rPr>
          <w:rFonts w:eastAsia="IRNazanin" w:cs="IRNazanin"/>
          <w:color w:val="111111"/>
          <w:sz w:val="28"/>
          <w:szCs w:val="28"/>
          <w:rtl w:val="true"/>
          <w:lang w:bidi="fa-IR"/>
        </w:rPr>
        <w:t>!</w:t>
      </w:r>
    </w:p>
    <w:p>
      <w:pPr>
        <w:pStyle w:val="Heading4"/>
        <w:numPr>
          <w:ilvl w:val="3"/>
          <w:numId w:val="1"/>
        </w:numPr>
        <w:rPr/>
      </w:pPr>
      <w:bookmarkStart w:id="31" w:name="__RefHeading___Toc620489_211673320"/>
      <w:bookmarkStart w:id="32" w:name="_Toc12"/>
      <w:bookmarkEnd w:id="31"/>
      <w:r>
        <w:rPr>
          <w:rtl w:val="true"/>
        </w:rPr>
        <w:t>زير پرچم توحيد متّحد شويم‌</w:t>
      </w:r>
      <w:bookmarkEnd w:id="32"/>
    </w:p>
    <w:p>
      <w:pPr>
        <w:pStyle w:val="BookText"/>
        <w:rPr/>
      </w:pPr>
      <w:r>
        <w:rPr>
          <w:rFonts w:ascii="IRNazanin" w:hAnsi="IRNazanin" w:eastAsia="IRNazanin"/>
          <w:color w:val="111111"/>
          <w:sz w:val="28"/>
          <w:sz w:val="28"/>
          <w:szCs w:val="28"/>
          <w:rtl w:val="true"/>
          <w:lang w:bidi="fa-IR"/>
        </w:rPr>
        <w:t xml:space="preserve">اوّلين توصيه براى ايجاد وحدتى پايدار، تلاش براى تصحيح مفاهيم در اصل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جاى برداشت غلط 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دست دارد و با يكى سيّاره زمين و با ديگرى تمام آسمان‌ها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قيامت، خداوند همه چيز را در يد قدرتمند خويش گرفته و همه چيز تحت سيطره و تسلّط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پادشاهى امروز براى كيست؟ براى خداوند يكتاى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خدايى چشم، دست، صورت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تا اوّلًا نيازمند به آن باشد و ثانياً به آن محدود گردد و ثالثاً بندگانش به وادى تشبيه گرفتار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يكتا را هيچ مثل و مانندى نيست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چه در دنيا و چه در آخرت قابل ديدن</w:t>
      </w:r>
      <w:bookmarkStart w:id="33" w:name="pg95_100"/>
    </w:p>
    <w:p>
      <w:pPr>
        <w:pStyle w:val="BookText"/>
        <w:rPr/>
      </w:pPr>
      <w:bookmarkEnd w:id="33"/>
      <w:r>
        <w:rPr>
          <w:rFonts w:ascii="IRNazanin" w:hAnsi="IRNazanin" w:eastAsia="IRNazanin"/>
          <w:color w:val="111111"/>
          <w:sz w:val="28"/>
          <w:sz w:val="28"/>
          <w:szCs w:val="28"/>
          <w:rtl w:val="true"/>
          <w:lang w:bidi="fa-IR"/>
        </w:rPr>
        <w:t xml:space="preserve">نيست؛ چرا كه هر چه به چشم آيد، حتّى اگر بزرگترين مخلوق باشد، باز هم محدود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خداوند برتر از آن است كه به وصف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مسلمانى هر روز بارها آن را تكرار مى‌كند،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نبايد آيه‌ى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تُدْرِكُهُ الأَبْصارُ وَ هُوَ يُدْرِكُ الأَبْصارَ </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او را درك نمى‌كند ولى او ديدگان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ديدگان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به ميل خويش تفسير كنيم و به آيه چيزى اضافه نماييم، لذا نگوييم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دنيا خدا را نمى‌بينند؛ امّا در آخرت خداوند را 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هيچ انسانى در دنيا و آخرت خداوند را نخواهد ديد؛ همان‌گونه كه آيه‌ى قرآن بر اين مطلب تصريح دارد</w:t>
      </w:r>
      <w:r>
        <w:rPr>
          <w:rFonts w:eastAsia="IRNazanin" w:cs="IRNazanin"/>
          <w:color w:val="111111"/>
          <w:sz w:val="28"/>
          <w:szCs w:val="28"/>
          <w:rtl w:val="true"/>
          <w:lang w:bidi="fa-IR"/>
        </w:rPr>
        <w:t>.</w:t>
      </w:r>
    </w:p>
    <w:p>
      <w:pPr>
        <w:pStyle w:val="Heading4"/>
        <w:numPr>
          <w:ilvl w:val="3"/>
          <w:numId w:val="1"/>
        </w:numPr>
        <w:rPr/>
      </w:pPr>
      <w:bookmarkStart w:id="34" w:name="__RefHeading___Toc620491_211673320"/>
      <w:bookmarkStart w:id="35" w:name="_Toc13"/>
      <w:bookmarkEnd w:id="34"/>
      <w:r>
        <w:rPr>
          <w:rtl w:val="true"/>
        </w:rPr>
        <w:t>خلاصه‌ى سخن‌</w:t>
      </w:r>
      <w:bookmarkEnd w:id="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يعنى خدا را از هر گونه تشبيه، پاك و منزّه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بزرگ‌تر و برتر از آن است كه به وصف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همين نكته اشاره دارد و مسلمانان هر روز و با هر نماز به آن توجّه مى‌كنند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 توحيد الهى را با خدايى كه داراى دو</w:t>
      </w:r>
    </w:p>
    <w:p>
      <w:pPr>
        <w:pStyle w:val="BookText"/>
        <w:rPr/>
      </w:pPr>
      <w:r>
        <w:rPr>
          <w:rFonts w:ascii="IRNazanin" w:hAnsi="IRNazanin" w:eastAsia="IRNazanin"/>
          <w:color w:val="111111"/>
          <w:sz w:val="28"/>
          <w:sz w:val="28"/>
          <w:szCs w:val="28"/>
          <w:rtl w:val="true"/>
          <w:lang w:bidi="fa-IR"/>
        </w:rPr>
        <w:t>دست، دو چشم و صورت است، جابه‌جا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همان تشبيهى است كه قرآن و روايات معصومين عليهم السلام آن را نفى مى‌كند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كه خود در فهم توحيد به غلط رفته‌اند، ديگران را به شرك و كفر متّهم مى‌كنند</w:t>
      </w:r>
      <w:r>
        <w:rPr>
          <w:rFonts w:eastAsia="IRNazanin" w:cs="IRNazanin"/>
          <w:color w:val="111111"/>
          <w:sz w:val="28"/>
          <w:szCs w:val="28"/>
          <w:rtl w:val="true"/>
          <w:lang w:bidi="fa-IR"/>
        </w:rPr>
        <w:t>.</w:t>
      </w:r>
      <w:bookmarkStart w:id="36" w:name="pg95_104"/>
    </w:p>
    <w:p>
      <w:pPr>
        <w:pStyle w:val="Heading2"/>
        <w:numPr>
          <w:ilvl w:val="1"/>
          <w:numId w:val="1"/>
        </w:numPr>
        <w:rPr/>
      </w:pPr>
      <w:bookmarkStart w:id="37" w:name="__RefHeading___Toc620493_211673320"/>
      <w:bookmarkStart w:id="38" w:name="_Toc14"/>
      <w:bookmarkEnd w:id="36"/>
      <w:bookmarkEnd w:id="37"/>
      <w:r>
        <w:rPr>
          <w:rtl w:val="true"/>
        </w:rPr>
        <w:t>فصل دوم</w:t>
      </w:r>
      <w:bookmarkEnd w:id="38"/>
    </w:p>
    <w:p>
      <w:pPr>
        <w:pStyle w:val="Heading3"/>
        <w:numPr>
          <w:ilvl w:val="2"/>
          <w:numId w:val="1"/>
        </w:numPr>
        <w:rPr/>
      </w:pPr>
      <w:bookmarkStart w:id="39" w:name="__RefHeading___Toc620495_211673320"/>
      <w:bookmarkStart w:id="40" w:name="_Toc15"/>
      <w:bookmarkEnd w:id="39"/>
      <w:r>
        <w:rPr>
          <w:rtl w:val="true"/>
        </w:rPr>
        <w:t>نبوّت</w:t>
      </w:r>
      <w:bookmarkEnd w:id="40"/>
    </w:p>
    <w:p>
      <w:pPr>
        <w:pStyle w:val="Heading4"/>
        <w:numPr>
          <w:ilvl w:val="3"/>
          <w:numId w:val="1"/>
        </w:numPr>
        <w:rPr/>
      </w:pPr>
      <w:bookmarkStart w:id="41" w:name="__RefHeading___Toc620497_211673320"/>
      <w:bookmarkStart w:id="42" w:name="_Toc16"/>
      <w:bookmarkEnd w:id="41"/>
      <w:r>
        <w:rPr>
          <w:rtl w:val="true"/>
        </w:rPr>
        <w:t xml:space="preserve">زيارت پيامبر </w:t>
      </w:r>
      <w:r>
        <w:rPr>
          <w:rtl w:val="true"/>
        </w:rPr>
        <w:t>(</w:t>
      </w:r>
      <w:r>
        <w:rPr>
          <w:rtl w:val="true"/>
        </w:rPr>
        <w:t>ص</w:t>
      </w:r>
      <w:r>
        <w:rPr>
          <w:rtl w:val="true"/>
        </w:rPr>
        <w:t>)</w:t>
      </w:r>
      <w:bookmarkEnd w:id="42"/>
    </w:p>
    <w:p>
      <w:pPr>
        <w:pStyle w:val="Heading4"/>
        <w:numPr>
          <w:ilvl w:val="3"/>
          <w:numId w:val="1"/>
        </w:numPr>
        <w:rPr/>
      </w:pPr>
      <w:bookmarkStart w:id="43" w:name="__RefHeading___Toc620499_211673320"/>
      <w:bookmarkStart w:id="44" w:name="_Toc17"/>
      <w:bookmarkEnd w:id="43"/>
      <w:r>
        <w:rPr>
          <w:rtl w:val="true"/>
        </w:rPr>
        <w:t>بدعت يا زيباترين واقعيّت‌</w:t>
      </w:r>
      <w:bookmarkEnd w:id="44"/>
    </w:p>
    <w:p>
      <w:pPr>
        <w:pStyle w:val="BookText"/>
        <w:rPr/>
      </w:pPr>
      <w:r>
        <w:rPr>
          <w:rFonts w:ascii="IRNazanin" w:hAnsi="IRNazanin" w:eastAsia="IRNazanin"/>
          <w:color w:val="111111"/>
          <w:sz w:val="28"/>
          <w:sz w:val="28"/>
          <w:szCs w:val="28"/>
          <w:rtl w:val="true"/>
          <w:lang w:bidi="fa-IR"/>
        </w:rPr>
        <w:t xml:space="preserve">منتشركنندگان اين كتبِ به ظاهر رايگان </w:t>
      </w:r>
      <w:r>
        <w:rPr>
          <w:rFonts w:eastAsia="IRNazanin" w:cs="IRNazanin"/>
          <w:color w:val="111111"/>
          <w:sz w:val="28"/>
          <w:szCs w:val="28"/>
          <w:rtl w:val="true"/>
          <w:lang w:bidi="fa-IR"/>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زيارت قبر شريف نبوى را كم اهميّت جلوه مى‌دهند، بلكه هرگونه ارتباط قلبى و عاطفى مسلمانان را با رهبر راستين خويش تكفير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وهّابيان در كتبى كه به صورت رايگان و به تعداد بى‌شمار توزيع مى‌شود، حتّى بوسيدن ضريح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مى‌شمارند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ولايجوز لِأحد أن يتمسح بالحجرة أو يُقَبِّلَها او يطوف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لم يُنقل عن السلف الصالح بل هو بدعة منكرة</w:t>
      </w:r>
      <w:r>
        <w:rPr>
          <w:rFonts w:eastAsia="Amiri" w:cs="Amiri" w:ascii="Amiri" w:hAnsi="Amiri"/>
          <w:color w:val="111111"/>
          <w:sz w:val="28"/>
          <w:szCs w:val="28"/>
          <w:rtl w:val="true"/>
          <w:lang w:bidi="ar-SA"/>
        </w:rPr>
        <w:t>.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كسى به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ضريح شريف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بكشد يا آن را ببوسد و يا بر گرد آن</w:t>
      </w:r>
      <w:bookmarkStart w:id="45" w:name="pg95_105"/>
    </w:p>
    <w:p>
      <w:pPr>
        <w:pStyle w:val="BookText"/>
        <w:rPr/>
      </w:pPr>
      <w:bookmarkEnd w:id="45"/>
      <w:r>
        <w:rPr>
          <w:rFonts w:ascii="IRNazanin" w:hAnsi="IRNazanin" w:eastAsia="IRNazanin"/>
          <w:color w:val="111111"/>
          <w:sz w:val="28"/>
          <w:sz w:val="28"/>
          <w:szCs w:val="28"/>
          <w:rtl w:val="true"/>
          <w:lang w:bidi="fa-IR"/>
        </w:rPr>
        <w:t>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مطلب از هيچ كدام از سلف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بزرگانى كه مورد قبول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نشده است؛ بلكه چنين عملى از بدعت‌هاى زشت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آن‌چه در بالا آمده است، اين عمل نه تنها بدعت نيست، بلكه از سلف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نيكوكردار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حكايت‌هاى فراوانى در اين زمينه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ناممكن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ناشران وهّابى، اين 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منابع اهل تسنّن فراوان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مى‌آيد وهّابيان با آگاهى كامل اين سخن را وارونه جلوه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مى‌توان به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راستى سلف صالح و از اصحاب مشهور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استناد كرد</w:t>
      </w:r>
      <w:r>
        <w:rPr>
          <w:rFonts w:eastAsia="IRNazanin" w:cs="IRNazanin"/>
          <w:color w:val="111111"/>
          <w:sz w:val="28"/>
          <w:szCs w:val="28"/>
          <w:rtl w:val="true"/>
          <w:lang w:bidi="fa-IR"/>
        </w:rPr>
        <w:t>.</w:t>
      </w:r>
    </w:p>
    <w:p>
      <w:pPr>
        <w:pStyle w:val="Heading4"/>
        <w:numPr>
          <w:ilvl w:val="3"/>
          <w:numId w:val="1"/>
        </w:numPr>
        <w:rPr/>
      </w:pPr>
      <w:bookmarkStart w:id="46" w:name="__RefHeading___Toc620501_211673320"/>
      <w:bookmarkStart w:id="47" w:name="_Toc18"/>
      <w:bookmarkEnd w:id="46"/>
      <w:r>
        <w:rPr>
          <w:rtl w:val="true"/>
        </w:rPr>
        <w:t>زيارت قبر شريف نبوى توسط ابوايوب انصارى‌</w:t>
      </w:r>
      <w:bookmarkEnd w:id="4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أقبل مروان يوماً فوجد رجلًا واضِعاً وجهَهُ على القبرِ فَأخَذَ بِرَقبتِهِ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أتدرى ما تصنع؟ قال نعم؛ فأقبل عليه فاذا هو أبوأيّوب الأنصارى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الحجر؛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لاتَبُكوا على الدّين إذا وَلِيَهُ أهلُه، ولكن ابكُوا عليه إذا وَلِيَهُ غيرُ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w:t>
      </w:r>
    </w:p>
    <w:p>
      <w:pPr>
        <w:pStyle w:val="BookText"/>
        <w:rPr/>
      </w:pPr>
      <w:r>
        <w:rPr>
          <w:rFonts w:ascii="Amiri" w:hAnsi="Amiri" w:eastAsia="Amiri" w:cs="Amiri"/>
          <w:color w:val="111111"/>
          <w:sz w:val="28"/>
          <w:sz w:val="28"/>
          <w:szCs w:val="28"/>
          <w:rtl w:val="true"/>
          <w:lang w:bidi="ar-SA"/>
        </w:rPr>
        <w:t>صحيح الإسناد ولم يخرجاه</w:t>
      </w:r>
      <w:r>
        <w:rPr>
          <w:rFonts w:eastAsia="Amiri" w:cs="Amiri" w:ascii="Amiri" w:hAnsi="Amiri"/>
          <w:color w:val="111111"/>
          <w:sz w:val="28"/>
          <w:szCs w:val="28"/>
          <w:rtl w:val="true"/>
          <w:lang w:bidi="ar-SA"/>
        </w:rPr>
        <w:t>.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حَكَم كه از طرفداران معاويه و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ديد كه صورت بر قبر شريف پيامبر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مى‌دانى چه مى‌كنى؟ وقتى آن مرد سر از قبر برداشت ديد كه ابوايّوب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صحابى مشهور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دانم كه چه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سراغ سنگ نيامده‌ام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نزد رسول خدا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دين گريه نكنيد آن زمان كه شايستگان عهده دار آن مى‌شوند؛ بلكه آن هنگام بگرييد كه نااهلان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مروان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و والى آن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حاكم نيشابورى اضافه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سندهاى اين حديث بر اساس شرط بخارى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نويسندگان دو كتاب مشهور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اما آن دو در كتب خويش آن را نياورده‌اند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آرى، اعتقاد سَلف صالح، توجّه و توسّل به قبر شريف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 و اين آل مروان و بنى اميه هستند كه به اين عمل اعتراض مى‌كنند</w:t>
      </w:r>
      <w:r>
        <w:rPr>
          <w:rFonts w:eastAsia="Amiri" w:cs="Amiri" w:ascii="Amiri" w:hAnsi="Amiri"/>
          <w:color w:val="111111"/>
          <w:sz w:val="28"/>
          <w:szCs w:val="28"/>
          <w:rtl w:val="true"/>
          <w:lang w:bidi="ar-SA"/>
        </w:rPr>
        <w:t>.</w:t>
      </w:r>
      <w:bookmarkStart w:id="48" w:name="pg95_107"/>
    </w:p>
    <w:p>
      <w:pPr>
        <w:pStyle w:val="Heading4"/>
        <w:numPr>
          <w:ilvl w:val="3"/>
          <w:numId w:val="1"/>
        </w:numPr>
        <w:rPr/>
      </w:pPr>
      <w:bookmarkStart w:id="49" w:name="__RefHeading___Toc620503_211673320"/>
      <w:bookmarkStart w:id="50" w:name="_Toc19"/>
      <w:bookmarkEnd w:id="48"/>
      <w:bookmarkEnd w:id="49"/>
      <w:r>
        <w:rPr>
          <w:rtl w:val="true"/>
        </w:rPr>
        <w:t>پيامبر رحمتى كه نبايد از او چيزى خواست‌</w:t>
      </w:r>
      <w:bookmarkEnd w:id="50"/>
    </w:p>
    <w:p>
      <w:pPr>
        <w:pStyle w:val="BookText"/>
        <w:rPr/>
      </w:pPr>
      <w:r>
        <w:rPr>
          <w:rFonts w:ascii="IRNazanin" w:hAnsi="IRNazanin" w:eastAsia="IRNazanin"/>
          <w:color w:val="111111"/>
          <w:sz w:val="28"/>
          <w:sz w:val="28"/>
          <w:szCs w:val="28"/>
          <w:rtl w:val="true"/>
          <w:lang w:bidi="fa-IR"/>
        </w:rPr>
        <w:t>مشاهده كرديم كه اينان، بوسيدن ضريح را بدعت مى‌انگارند و مسلمانان را از اين نحوه اظهار محبّت برحذر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زائران مسجد نبوى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عاطفى و حاجت خواهى نيز شرك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ولايجوز لأحد أن يسأل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قضاء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وطلبه من الأموات شرك بالله</w:t>
      </w:r>
      <w:r>
        <w:rPr>
          <w:rFonts w:eastAsia="Amiri" w:cs="Amiri" w:ascii="Amiri" w:hAnsi="Amiri"/>
          <w:color w:val="111111"/>
          <w:sz w:val="28"/>
          <w:szCs w:val="28"/>
          <w:rtl w:val="true"/>
          <w:lang w:bidi="ar-SA"/>
        </w:rPr>
        <w:t>. «</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هيچ كس جايز نيست كه از رسول خدا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حاجتش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 خواهيش از مردگان، شرك به خداست</w:t>
      </w:r>
      <w:r>
        <w:rPr>
          <w:rFonts w:eastAsia="IRNazanin" w:cs="IRNazanin"/>
          <w:color w:val="111111"/>
          <w:sz w:val="28"/>
          <w:szCs w:val="28"/>
          <w:rtl w:val="true"/>
          <w:lang w:bidi="fa-IR"/>
        </w:rPr>
        <w:t>.</w:t>
      </w:r>
    </w:p>
    <w:p>
      <w:pPr>
        <w:pStyle w:val="Heading4"/>
        <w:numPr>
          <w:ilvl w:val="3"/>
          <w:numId w:val="1"/>
        </w:numPr>
        <w:rPr/>
      </w:pPr>
      <w:bookmarkStart w:id="51" w:name="__RefHeading___Toc620505_211673320"/>
      <w:bookmarkStart w:id="52" w:name="_Toc20"/>
      <w:bookmarkEnd w:id="51"/>
      <w:r>
        <w:rPr>
          <w:rtl w:val="true"/>
        </w:rPr>
        <w:t>اختلاف نظر اهل تسنّن با وهّابيان در موضوع زيارت‌</w:t>
      </w:r>
      <w:bookmarkEnd w:id="52"/>
    </w:p>
    <w:p>
      <w:pPr>
        <w:pStyle w:val="BookText"/>
        <w:rPr/>
      </w:pPr>
      <w:r>
        <w:rPr>
          <w:rFonts w:ascii="Amiri" w:hAnsi="Amiri" w:eastAsia="Amiri" w:cs="Amiri"/>
          <w:color w:val="111111"/>
          <w:sz w:val="28"/>
          <w:sz w:val="28"/>
          <w:szCs w:val="28"/>
          <w:rtl w:val="true"/>
          <w:lang w:bidi="ar-SA"/>
        </w:rPr>
        <w:t>تعجّبى نخواهد داشت كه باز هم در مدارك اهل تسنّن موارد فراوانى را در مغايرت با ادّعاى فوق شاهد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نمونه توجّه كنيد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روز پس از دفن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باديه نشينى به مدينه</w:t>
      </w:r>
    </w:p>
    <w:p>
      <w:pPr>
        <w:pStyle w:val="BookText"/>
        <w:rPr/>
      </w:pPr>
      <w:r>
        <w:rPr>
          <w:rFonts w:ascii="IRNazanin" w:hAnsi="IRNazanin" w:eastAsia="IRNazanin"/>
          <w:color w:val="111111"/>
          <w:sz w:val="28"/>
          <w:sz w:val="28"/>
          <w:szCs w:val="28"/>
          <w:rtl w:val="true"/>
          <w:lang w:bidi="fa-IR"/>
        </w:rPr>
        <w:t>آمد و خود را بر قبر آن حضرت افكند و از خاك آن بر سر خود ريخت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و اطاعت كرديم، تو از خدا خبر دادى و ما از تو خبر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آنچه در قرآن بر تو نازل شده اين آيه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آنان هنگامى كه به خود ستم كردند به نزد تو مى‌آمدند و از خدا طلب آمرزش مى‌كردند و پيامبر هم براى ايشان استغفار مى‌كرد خدا را توبه‌پذير و مهربان مى‌يافتند</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 من بر خودم ستم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تو آمدم و مى‌خواهم برايم استغفار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داخل قبر شريف ندا آمد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تورا آمرزيد</w:t>
      </w:r>
      <w:r>
        <w:rPr>
          <w:rFonts w:eastAsia="Amiri" w:cs="Amiri" w:ascii="Amiri" w:hAnsi="Amiri"/>
          <w:color w:val="111111"/>
          <w:sz w:val="28"/>
          <w:szCs w:val="28"/>
          <w:rtl w:val="true"/>
          <w:lang w:bidi="ar-SA"/>
        </w:rPr>
        <w:t>.»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 است كه تمامى سنّيان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مرتبط با ايشان احترام مى‌گذارند؛ تا آنجا كه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الأربعه</w:t>
      </w:r>
      <w:r>
        <w:rPr>
          <w:rFonts w:eastAsia="IRNazanin" w:cs="IRNazanin"/>
          <w:color w:val="111111"/>
          <w:sz w:val="28"/>
          <w:szCs w:val="28"/>
          <w:rtl w:val="true"/>
          <w:lang w:bidi="fa-IR"/>
        </w:rPr>
        <w:t>»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از دور، شهر مدينه را ديدى بر پيامبر صلوات و درود فرست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 حرم نبىّ توست، پس آن را امان من از آتش قرار بده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آن‌گاه كه داخل مسجد شدى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بر محمد و آل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برخيز و به سوى قبر رسول خدا برو و بالاى سر شريف آن حضرت و روبه قبله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زيبا و باوقار</w:t>
      </w:r>
    </w:p>
    <w:p>
      <w:pPr>
        <w:pStyle w:val="BookText"/>
        <w:rPr/>
      </w:pPr>
      <w:r>
        <w:rPr>
          <w:rFonts w:ascii="IRNazanin" w:hAnsi="IRNazanin" w:eastAsia="IRNazanin"/>
          <w:color w:val="111111"/>
          <w:sz w:val="28"/>
          <w:sz w:val="28"/>
          <w:szCs w:val="28"/>
          <w:rtl w:val="true"/>
          <w:lang w:bidi="fa-IR"/>
        </w:rPr>
        <w:t>آن حضرت را تصور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كه در قبرش خوابيده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 است و صدايت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اى پيامبر خدا و رحمت و بركت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تو رسول خدايى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برسان سلام آن كس را كه به تو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رسول خدا از طرف فلان فرزند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طلب شفاعت مى‌كند به سوى خداوند، پس شفيع او و تمام مسلمانان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سوى منبر برو و دستت را بر روى آن بگذار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خويش را به هنگام سخنرانى بر روى آن مى‌نهاد تا از بركت رسول خدا بهره‌مند شوى</w:t>
      </w:r>
      <w:r>
        <w:rPr>
          <w:rFonts w:eastAsia="IRNazanin" w:cs="IRNazanin"/>
          <w:color w:val="111111"/>
          <w:sz w:val="28"/>
          <w:szCs w:val="28"/>
          <w:rtl w:val="true"/>
          <w:lang w:bidi="fa-IR"/>
        </w:rPr>
        <w:t>.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ديديم برخلاف نظر تمامى مسلمانان، وهّابيان نه تنها موارد فوق را انكار مى‌كنند، بلكه در اصل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شبهه مى‌افكنند و تلاش مى‌كنند زيارت روضه‌ى شريف نبوى را امرى فرعى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كمال تأسّف اين اعتقاد باطل به صورت نوشتار و جزوه و كتاب و نوار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مى‌آيد و بين زائران خانه‌ى خدا و مسجد نبوى به صورت رايگان و انبوه توزيع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جهانى كه تمامى اديان تلاش مى‌كنند ارتباط پيروان خود را با رهبر دينشان مستحكم كنند، به راستى چرا عده‌اى تمام تلاششان بر قطع ارتباط با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راهنماى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سال در مكّه و مدينه توزيع مى‌شود چنين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پيامبر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برخلاف گمان بعضى از عامّه‌ى مردم، نه واجب است و نه شرطى از شروط اداى حج</w:t>
      </w:r>
      <w:r>
        <w:rPr>
          <w:rFonts w:eastAsia="IRNazanin" w:cs="IRNazanin"/>
          <w:color w:val="111111"/>
          <w:sz w:val="28"/>
          <w:szCs w:val="28"/>
          <w:rtl w:val="true"/>
          <w:lang w:bidi="fa-IR"/>
        </w:rPr>
        <w:t>.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رهبران وهّابى توضيح بيشترى مى‌دهد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 قبر نبوى نه واجب است و نه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دور به سوى مدينه مى‌آيند نبايد به قصد زيارت سفر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سفر به قصد زيارت رسول خدا و ديگران شرعى بود بايد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دلالت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انجام مى‌داد</w:t>
      </w:r>
      <w:r>
        <w:rPr>
          <w:rFonts w:eastAsia="IRNazanin" w:cs="IRNazanin"/>
          <w:color w:val="111111"/>
          <w:sz w:val="28"/>
          <w:szCs w:val="28"/>
          <w:rtl w:val="true"/>
          <w:lang w:bidi="fa-IR"/>
        </w:rPr>
        <w:t>).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نويسندگان مطالب بالا، سفر زيارتى را نامشروع اعلام مى‌كنند و اين سؤال‌ها را در ذهن مخاطبان خويش، بى‌پاسخ رها مى‌سازند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آيا به قصد زيارت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كردن، شرعى نيست؟</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سفرهاى تفريحى و يا تجارى، بى‌ارزش‌تر است كه چنين سفرهايى جايز</w:t>
      </w:r>
      <w:bookmarkStart w:id="53" w:name="pg95_111"/>
    </w:p>
    <w:p>
      <w:pPr>
        <w:pStyle w:val="BookText"/>
        <w:rPr/>
      </w:pPr>
      <w:bookmarkEnd w:id="53"/>
      <w:r>
        <w:rPr>
          <w:rFonts w:ascii="Amiri" w:hAnsi="Amiri" w:eastAsia="Amiri" w:cs="Amiri"/>
          <w:color w:val="111111"/>
          <w:sz w:val="28"/>
          <w:sz w:val="28"/>
          <w:szCs w:val="28"/>
          <w:rtl w:val="true"/>
          <w:lang w:bidi="ar-SA"/>
        </w:rPr>
        <w:t>است امّا سفر زيارتى مشروع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هيچ يك از امّت اسلام بر چنين مطلبى دلالت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كه گذشتگانى كه مورد احترام مسلمانان و به ويژه اهل تسنّن‌اند، به چنين اعمالى مبادرت ورزيده‌اند؟</w:t>
      </w:r>
    </w:p>
    <w:p>
      <w:pPr>
        <w:pStyle w:val="Heading4"/>
        <w:numPr>
          <w:ilvl w:val="3"/>
          <w:numId w:val="1"/>
        </w:numPr>
        <w:rPr/>
      </w:pPr>
      <w:bookmarkStart w:id="54" w:name="__RefHeading___Toc620507_211673320"/>
      <w:bookmarkStart w:id="55" w:name="_Toc21"/>
      <w:bookmarkEnd w:id="54"/>
      <w:r>
        <w:rPr>
          <w:rtl w:val="true"/>
        </w:rPr>
        <w:t>حكايتى زيبا از زيارت بلال حبشى‌</w:t>
      </w:r>
      <w:bookmarkEnd w:id="55"/>
    </w:p>
    <w:p>
      <w:pPr>
        <w:pStyle w:val="BookText"/>
        <w:rPr/>
      </w:pPr>
      <w:r>
        <w:rPr>
          <w:rFonts w:ascii="IRNazanin" w:hAnsi="IRNazanin" w:eastAsia="IRNazanin"/>
          <w:color w:val="111111"/>
          <w:sz w:val="28"/>
          <w:sz w:val="28"/>
          <w:szCs w:val="28"/>
          <w:rtl w:val="true"/>
          <w:lang w:bidi="fa-IR"/>
        </w:rPr>
        <w:t>جا دارد قبل از بررسى پيشينه‌ى وهّابيان در ماجراى زيارت، حكايت ذيل را كه از كتب معتبر اهل تسنّن نقل شده است، بخوانيم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كسانى كه به قصد زيارت رسول خدا و قبر آن حضرت از شام به مدينه آمد، بلال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ابن عساكر با سندى عالى اين داستان را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خواب ديد كه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جفايى است، 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 آن نشده است كه به زيارت من آيى؟ بلال بيدار شد و اندوهگين و محزون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مركب خود سوار شد و به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شروع به گريستن كرد و صورت بر قبر پيامبر مى‌نهاد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حسن و حسين آمدند، آن دو را در آغوش كشيد و بوسيد</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56" w:name="pg95_112"/>
    </w:p>
    <w:p>
      <w:pPr>
        <w:pStyle w:val="BookText"/>
        <w:rPr/>
      </w:pPr>
      <w:bookmarkEnd w:id="56"/>
      <w:r>
        <w:rPr>
          <w:rFonts w:ascii="Amiri" w:hAnsi="Amiri" w:eastAsia="Amiri" w:cs="Amiri"/>
          <w:color w:val="111111"/>
          <w:sz w:val="28"/>
          <w:sz w:val="28"/>
          <w:szCs w:val="28"/>
          <w:rtl w:val="true"/>
          <w:lang w:bidi="ar-SA"/>
        </w:rPr>
        <w:t>سُبكي از علماى سنّى، در شرح اين حديث و در تأييد زيارت قبور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اعتماد ما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براى زيارت تنها به رؤيا و خواب بلال حبشى نيست؛ بلكه به عمل بلال حبشى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رؤياى بلال تنها تأييدى بر عمل اوست</w:t>
      </w:r>
      <w:r>
        <w:rPr>
          <w:rFonts w:eastAsia="Amiri" w:cs="Amiri" w:ascii="Amiri" w:hAnsi="Amiri"/>
          <w:color w:val="111111"/>
          <w:sz w:val="28"/>
          <w:szCs w:val="28"/>
          <w:rtl w:val="true"/>
          <w:lang w:bidi="ar-SA"/>
        </w:rPr>
        <w:t>.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تفاصيل، چرا بايد در كتبى كه در كنار مسجد النّبى به زبان‌هاى متعدّد توزيع مى‌شود،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نيست كسى به قبر پيامبر دست بكشد و يا آن را ببوسد؛ چرا كه اين رفتار از هيچ يك از سلف صالح نقل نشده است؛ بلكه بدعتى زشت به شمار مى‌آيد</w:t>
      </w:r>
      <w:r>
        <w:rPr>
          <w:rFonts w:eastAsia="IRNazanin" w:cs="IRNazanin"/>
          <w:color w:val="111111"/>
          <w:sz w:val="28"/>
          <w:szCs w:val="28"/>
          <w:rtl w:val="true"/>
          <w:lang w:bidi="fa-IR"/>
        </w:rPr>
        <w:t>.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امثال ابوايّوب انصارى و بلال حبشى از صحابه‌ى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سلف صالح نيستند؟</w:t>
      </w:r>
    </w:p>
    <w:p>
      <w:pPr>
        <w:pStyle w:val="Heading4"/>
        <w:numPr>
          <w:ilvl w:val="3"/>
          <w:numId w:val="1"/>
        </w:numPr>
        <w:rPr/>
      </w:pPr>
      <w:bookmarkStart w:id="57" w:name="__RefHeading___Toc620509_211673320"/>
      <w:bookmarkStart w:id="58" w:name="_Toc22"/>
      <w:bookmarkEnd w:id="57"/>
      <w:r>
        <w:rPr>
          <w:rtl w:val="true"/>
        </w:rPr>
        <w:t>پيشينه‌ى زيارت نزد مؤسّس فكرى فرقه‌ى وهّابى‌</w:t>
      </w:r>
      <w:bookmarkEnd w:id="5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طرز فكر، بدعتى است كه توسّط پايه‌گذار اعتقادى 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حنبلى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يافته است و نه تنها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آن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چهار فرقه‌ى سنّى‌مذهب و حتّى حنبلى‌ها كه ابن‌تيميه در فقه</w:t>
      </w:r>
      <w:bookmarkStart w:id="59" w:name="pg95_113"/>
    </w:p>
    <w:p>
      <w:pPr>
        <w:pStyle w:val="BookText"/>
        <w:rPr/>
      </w:pPr>
      <w:bookmarkEnd w:id="59"/>
      <w:r>
        <w:rPr>
          <w:rFonts w:ascii="IRNazanin" w:hAnsi="IRNazanin" w:eastAsia="IRNazanin"/>
          <w:color w:val="111111"/>
          <w:sz w:val="28"/>
          <w:sz w:val="28"/>
          <w:szCs w:val="28"/>
          <w:rtl w:val="true"/>
          <w:lang w:bidi="fa-IR"/>
        </w:rPr>
        <w:t>پيرو امام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نيز با آن مخالفت كرده‌اند</w:t>
      </w:r>
      <w:r>
        <w:rPr>
          <w:rFonts w:eastAsia="IRNazanin" w:cs="IRNazanin"/>
          <w:color w:val="111111"/>
          <w:sz w:val="28"/>
          <w:szCs w:val="28"/>
          <w:rtl w:val="true"/>
          <w:lang w:bidi="fa-IR"/>
        </w:rPr>
        <w:t>.</w:t>
      </w:r>
    </w:p>
    <w:p>
      <w:pPr>
        <w:pStyle w:val="Heading4"/>
        <w:numPr>
          <w:ilvl w:val="3"/>
          <w:numId w:val="1"/>
        </w:numPr>
        <w:rPr/>
      </w:pPr>
      <w:bookmarkStart w:id="60" w:name="__RefHeading___Toc620511_211673320"/>
      <w:bookmarkStart w:id="61" w:name="_Toc23"/>
      <w:bookmarkEnd w:id="60"/>
      <w:r>
        <w:rPr>
          <w:rtl w:val="true"/>
        </w:rPr>
        <w:t>مخالفت سنّيان با ابن‌تيميه در ماجراى زيارت، به زندانى شدن وى مى‌انجامد</w:t>
      </w:r>
      <w:bookmarkEnd w:id="61"/>
    </w:p>
    <w:p>
      <w:pPr>
        <w:pStyle w:val="BookText"/>
        <w:rPr/>
      </w:pPr>
      <w:r>
        <w:rPr>
          <w:rFonts w:ascii="IRNazanin" w:hAnsi="IRNazanin" w:eastAsia="IRNazanin"/>
          <w:color w:val="111111"/>
          <w:sz w:val="28"/>
          <w:sz w:val="28"/>
          <w:szCs w:val="28"/>
          <w:rtl w:val="true"/>
          <w:lang w:bidi="fa-IR"/>
        </w:rPr>
        <w:t>ابن‌تيميه به انتشار عقايد عجيب و فتواهاى نوظهور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چنين عقايدى، عالمان سنّى زمان او را آن چنان تحريك نمود كه سرانجام وى را راهى زندان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ماجراى به زندان افتادن او را چنين بازگو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علماى اهل تسنّن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قبر نبوى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فضيلت و سنّت است كه تمامى اهل تسنّن بر آن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فتوا دهنده‌ى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كه توسّط علما از چنين فتاواى باطلى باز داشته شود و از نشر چنين فتواهايى او را منع كنند و در صورتى كه قبول نكرد، او را در زندان حبس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كسانى كه اين دستور را امضا كردند،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شافعى مذهب در مصر، محمّد بن ابراهيم بن سعداللّه بن جماعة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القضاة حنفى مصر، محمّد بن جريرى انصارى حنفى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اضافه مى‌كند كه در هر صورت بايد او را به زندان افكند؛ حتّى اگر توبه كند؛ چرا كه قبلًا</w:t>
      </w:r>
      <w:bookmarkStart w:id="62" w:name="pg95_114"/>
    </w:p>
    <w:p>
      <w:pPr>
        <w:pStyle w:val="BookText"/>
        <w:rPr/>
      </w:pPr>
      <w:bookmarkEnd w:id="62"/>
      <w:r>
        <w:rPr>
          <w:rFonts w:ascii="IRNazanin" w:hAnsi="IRNazanin" w:eastAsia="IRNazanin"/>
          <w:color w:val="111111"/>
          <w:sz w:val="28"/>
          <w:sz w:val="28"/>
          <w:szCs w:val="28"/>
          <w:rtl w:val="true"/>
          <w:lang w:bidi="fa-IR"/>
        </w:rPr>
        <w:t>نيز توبه كرده و سپس همان عقايد را اشاعه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بزرگ مالكى هاى مصر، محمّد بن ابوبكر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اضافه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زندان بر او سخت گرفت تا از اين عقيده فاسد و ديگر مفسده‌هاى او جلوگيرى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حنبلى مصر احمد بن عمر المقدسى</w:t>
      </w:r>
      <w:r>
        <w:rPr>
          <w:rFonts w:eastAsia="IRNazanin" w:cs="IRNazanin"/>
          <w:color w:val="111111"/>
          <w:sz w:val="28"/>
          <w:szCs w:val="28"/>
          <w:rtl w:val="true"/>
          <w:lang w:bidi="fa-IR"/>
        </w:rPr>
        <w:t>.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و ديگر عقايد او باعث شد كه وى به دستور فقهاى سنّى مذهب زمان خود، بارها به زندان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فتواى او در مسأله‌ى زيارت قبر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گرديد در شعبان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 كشيده شود و تا آخر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باشد</w:t>
      </w:r>
      <w:r>
        <w:rPr>
          <w:rFonts w:eastAsia="IRNazanin" w:cs="IRNazanin"/>
          <w:color w:val="111111"/>
          <w:sz w:val="28"/>
          <w:szCs w:val="28"/>
          <w:rtl w:val="true"/>
          <w:lang w:bidi="fa-IR"/>
        </w:rPr>
        <w:t>.</w:t>
      </w:r>
    </w:p>
    <w:p>
      <w:pPr>
        <w:pStyle w:val="Heading4"/>
        <w:numPr>
          <w:ilvl w:val="3"/>
          <w:numId w:val="1"/>
        </w:numPr>
        <w:rPr/>
      </w:pPr>
      <w:bookmarkStart w:id="63" w:name="__RefHeading___Toc620513_211673320"/>
      <w:bookmarkStart w:id="64" w:name="_Toc24"/>
      <w:bookmarkEnd w:id="63"/>
      <w:r>
        <w:rPr>
          <w:rtl w:val="true"/>
        </w:rPr>
        <w:t>مخالفت سنّيان با ابن‌تيميه و اعتقاداتش‌</w:t>
      </w:r>
      <w:bookmarkEnd w:id="64"/>
    </w:p>
    <w:p>
      <w:pPr>
        <w:pStyle w:val="BookText"/>
        <w:rPr/>
      </w:pPr>
      <w:r>
        <w:rPr>
          <w:rFonts w:ascii="IRNazanin" w:hAnsi="IRNazanin" w:eastAsia="IRNazanin"/>
          <w:color w:val="111111"/>
          <w:sz w:val="28"/>
          <w:sz w:val="28"/>
          <w:szCs w:val="28"/>
          <w:rtl w:val="true"/>
          <w:lang w:bidi="fa-IR"/>
        </w:rPr>
        <w:t>رواج اين تفكّر، به حدّى سبب فتنه‌انگيزى شد كه حتّى ابن‌حَجَر عَسْقَلانى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ضدّ مذهب شيعه كتاب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شديدترين صورت آن را رد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اعتقد عقيدة ابن‌تيميَّة حلَّ دمه و ماله</w:t>
      </w:r>
      <w:r>
        <w:rPr>
          <w:rFonts w:eastAsia="Amiri" w:cs="Amiri" w:ascii="Amiri" w:hAnsi="Amiri"/>
          <w:color w:val="111111"/>
          <w:sz w:val="28"/>
          <w:szCs w:val="28"/>
          <w:rtl w:val="true"/>
          <w:lang w:bidi="ar-SA"/>
        </w:rPr>
        <w:t>.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معتقد به اعتقاد ابن‌تيميه باشد، مال و جان او حلال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علماى اهل تسنّن نيز به اجماعى بودن زيارت قبر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ميان اهل تسنّن بر اين‌كه زيارت قبر شريف</w:t>
      </w:r>
      <w:bookmarkStart w:id="65" w:name="pg95_115"/>
    </w:p>
    <w:p>
      <w:pPr>
        <w:pStyle w:val="BookText"/>
        <w:rPr/>
      </w:pPr>
      <w:bookmarkEnd w:id="65"/>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عياض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پيامبر بين مسلمانان سنّت است كه بر آن اجتماع دارند و فضايل زيادى بر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زيادى از علما اجماع دارند كه زيارت قبر پيامبر براى مردان امرى مستحب است؛ همان‌گونه كه نَوَوى اين مطلب را حكايت كرده است</w:t>
      </w:r>
      <w:r>
        <w:rPr>
          <w:rFonts w:eastAsia="IRNazanin" w:cs="IRNazanin"/>
          <w:color w:val="111111"/>
          <w:sz w:val="28"/>
          <w:szCs w:val="28"/>
          <w:rtl w:val="true"/>
          <w:lang w:bidi="fa-IR"/>
        </w:rPr>
        <w:t>.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620515_211673320"/>
      <w:bookmarkStart w:id="67" w:name="_Toc25"/>
      <w:bookmarkEnd w:id="66"/>
      <w:r>
        <w:rPr>
          <w:rtl w:val="true"/>
        </w:rPr>
        <w:t>خلاصه‌ى سخن‌</w:t>
      </w:r>
      <w:bookmarkEnd w:id="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حرم نبوى و مسافرت به قصد زيارت بارگاه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اعتقاد مسلمانان از بهترين اعمال است و تنها وهّابيان آن را بدعت مى‌دانند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اعتقاد به كفرآميز بودن سفر زيارتى را به تمام مسلمانان نسبت مى‌دهند، در حالى كه اين اعتقاد ساخته و پرداخته‌ى خود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بوسيدن قبر شريف نبوى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توسّل و توجّه به آن وجود مقدس، در منابع اهل تسنّن نيز فراوان يافت مى‌شود؛ اما وهّابيان درصدد انكار اين واقعيّت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اعتقاد نادرست خويش را در تيراژ وسيع منتشر و به رايگان توزيع مى‌كنند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به راستى بدعت گزار كيست؟ زائران مسجد نبوى و زيارت‌كنندگان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bookmarkStart w:id="68" w:name="pg95_116"/>
    </w:p>
    <w:p>
      <w:pPr>
        <w:pStyle w:val="Heading4"/>
        <w:numPr>
          <w:ilvl w:val="3"/>
          <w:numId w:val="1"/>
        </w:numPr>
        <w:rPr/>
      </w:pPr>
      <w:bookmarkStart w:id="69" w:name="__RefHeading___Toc620517_211673320"/>
      <w:bookmarkStart w:id="70" w:name="_Toc26"/>
      <w:bookmarkEnd w:id="68"/>
      <w:bookmarkEnd w:id="69"/>
      <w:r>
        <w:rPr>
          <w:rtl w:val="true"/>
        </w:rPr>
        <w:t>تحريف متنى تاريخى در موضوع زيارت، حربه‌اى قديمى براى دورى مسلمانان از پيامبر</w:t>
      </w:r>
      <w:bookmarkEnd w:id="70"/>
    </w:p>
    <w:p>
      <w:pPr>
        <w:pStyle w:val="BookText"/>
        <w:rPr/>
      </w:pPr>
      <w:r>
        <w:rPr>
          <w:rFonts w:ascii="IRNazanin" w:hAnsi="IRNazanin" w:eastAsia="IRNazanin"/>
          <w:color w:val="111111"/>
          <w:sz w:val="28"/>
          <w:sz w:val="28"/>
          <w:szCs w:val="28"/>
          <w:rtl w:val="true"/>
          <w:lang w:bidi="fa-IR"/>
        </w:rPr>
        <w:t>وهّابيان به جاى متّحد كردن امّت اسلام كه جايگاهش در زمان حج است، با نشر اكاذيب، مسلمانان را متّهم مى‌كنند كه با زيارت رسول خدا و توسّل و شفاعت‌خواهى از او، عمل شرك‌آميز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نيل به اين هدف، حتّى از دست‌كارى و تحريف متون كهن تاريخى نيز ابايى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نَوَوى از علماى مشهور اهل تسنّن و متوفّاى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خويش الأذكار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زيارة قبر </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 أذكارها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ينبغي لكلّ من حجّ أن يتوجّه إلى زيارة رسول اللّه 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سَواء كان ذلك طريقِهِ أو لم يكن، فان زيارته 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من أهَمّ القُرُبات و اربَح المساعي و أفضلِ الطّلبات، فإذا توجّه للزيارة اكثرَ من الصّلاةِ عليه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طريقه، فاذا وَقَعَ بصرُه على اشجارِ المَدينَة وحَرَمِها و ما يُعَّرف بها، زاد</w:t>
      </w:r>
    </w:p>
    <w:p>
      <w:pPr>
        <w:pStyle w:val="BookText"/>
        <w:rPr/>
      </w:pPr>
      <w:r>
        <w:rPr>
          <w:rFonts w:ascii="Amiri" w:hAnsi="Amiri" w:eastAsia="Amiri" w:cs="Amiri"/>
          <w:color w:val="111111"/>
          <w:sz w:val="28"/>
          <w:sz w:val="28"/>
          <w:szCs w:val="28"/>
          <w:rtl w:val="true"/>
          <w:lang w:bidi="ar-SA"/>
        </w:rPr>
        <w:t xml:space="preserve">من الصلاة والتسليم عليه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سألَ اللّه أن ينفعَه بزيارتِهِ صلَّى‌اللّه‌عليه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 ان يُسعدَه بها في الدارين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علىَّ ابواب رحمتك وارزقنى في زيارةِ قبرِ نبيِّك صلَّى‌اللّه‌عليه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رزقْته اولياءَك و أهلَ طاعتِك و اغفِرلي و ارحَمني يا خيرَ مسؤول</w:t>
      </w:r>
      <w:r>
        <w:rPr>
          <w:rFonts w:eastAsia="Amiri" w:cs="Amiri" w:ascii="Amiri" w:hAnsi="Amiri"/>
          <w:color w:val="111111"/>
          <w:sz w:val="28"/>
          <w:szCs w:val="28"/>
          <w:rtl w:val="true"/>
          <w:lang w:bidi="ar-SA"/>
        </w:rPr>
        <w:t>.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است درباره‌ى زيارت قبر رسول خدا صلى‌الله‌عليه‌و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دعاهاى آن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هر كس كه عازم حج مى‌گردد، شايسته است آهنگ زيارت رسول خدا صلى‌الله‌عليه‌و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كند، خواه قبر شريف آن حضرت در مسير او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زيارت ايشان از مهم‌ترين وسايل تقرّب به خدا، سودمندترين كار و برترين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زمانى كه شخص آهنگ زيارت آن حضرت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بر او درود فراوان فرستد و چون چشمش به درختان مدينه و حرم و علائم آن مى‌افتد، بر درود و سلام بر آن حضرت بيفزايد و از خداوند درخواست كند كه اين زيارت را براى او سودمند گرداند و به پاس آن، سعادت دنيا و آخرت را به وى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اين ذكر را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بار خدايا،</w:t>
      </w:r>
    </w:p>
    <w:p>
      <w:pPr>
        <w:pStyle w:val="BookText"/>
        <w:rPr/>
      </w:pPr>
      <w:r>
        <w:rPr>
          <w:rFonts w:ascii="IRNazanin" w:hAnsi="IRNazanin" w:eastAsia="IRNazanin"/>
          <w:color w:val="111111"/>
          <w:sz w:val="28"/>
          <w:sz w:val="28"/>
          <w:szCs w:val="28"/>
          <w:rtl w:val="true"/>
          <w:lang w:bidi="fa-IR"/>
        </w:rPr>
        <w:t>درهاى رحمتت را بر من بگشاى و به من در زيارت قبر پيامبرت، آن بهره‌اى را كه به اوليا و اهل طاعتت مى‌دهى، ارزانى بدار و بر من ببخشاى و مرا مورد رحمت قرار ده، اى كسى كه بهترين مطلوب درخواست كنندگانى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عصر ما همين كتاب توسّط مؤسّسه‌ى دارالهدى در رياض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مى‌شود و فردى به نام عبدالقادر ارناووط به اسم تحقيق، اين قسمت را چنين تغيير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فصل في زيارة مسجد رسول‌اللّه صلَّى‌اللّه‌عليه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يستحب من أراد زيارة مسجد رسول اللّه ان يكثر من الصّلاة عليه في طريقه فاذا وقعَ بصره على اشجار المدينة وحرمها وما يعرّف بها زاد من الصّلاة و التسليم عليه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سأل اللّه أن ينفعه بزيارته لمسجده و ان يُسعده بها في الدارين و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افتح على أبواب رحمتك و ارزقنى في زيارَة مسجد نَبيّك صلَّى‌اللّه‌عليه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ما رزقته اولياءك و اهل طاعتك و اغفرلي و ارحمني يا خير مسؤول</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مقايسه‌ى دو متن، مشاهده مى‌كنيم كه عبارت‌هاى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قبر شريف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خوش‌آيند وهّابيان نيست،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جمله‌هايى كه حكايت‌گر ثواب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حذف گرديده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ارزش مسجد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وجود مقدّس خاتم‌الأنبياء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مطهّر آن حضرت است كه برخى اين‌چنين نگران‌اند تا آن‌جا كه به تغيير عبارت دست مى‌يازند؟</w:t>
      </w:r>
    </w:p>
    <w:p>
      <w:pPr>
        <w:pStyle w:val="BookText"/>
        <w:rPr/>
      </w:pPr>
      <w:r>
        <w:rPr>
          <w:rFonts w:ascii="IRNazanin" w:hAnsi="IRNazanin" w:eastAsia="IRNazanin"/>
          <w:color w:val="111111"/>
          <w:sz w:val="28"/>
          <w:sz w:val="28"/>
          <w:szCs w:val="28"/>
          <w:rtl w:val="true"/>
          <w:lang w:bidi="fa-IR"/>
        </w:rPr>
        <w:t>مگر مى‌توان به راحتى متن زيارت، ادعيه و يا كتب مذهبى را كه برگرفته از تعاليم نبوى است، به ميل شخصى تغيير داد؟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چرا وهّابيان، مسلمانان را از توجّه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مى‌دارند و به هر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تحريف متون و تخريب حرم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و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تلاش‌اند تا نمازخواندن‌هاى منظّم، پى‌درپى، طولانى و اجبارى در مساجد شريفه را جاى‌گزين آن نمايند</w:t>
      </w:r>
      <w:r>
        <w:rPr>
          <w:rFonts w:eastAsia="IRNazanin" w:cs="IRNazanin"/>
          <w:color w:val="111111"/>
          <w:sz w:val="28"/>
          <w:szCs w:val="28"/>
          <w:rtl w:val="true"/>
          <w:lang w:bidi="fa-IR"/>
        </w:rPr>
        <w:t>!!</w:t>
      </w:r>
      <w:bookmarkStart w:id="71" w:name="pg95_120"/>
    </w:p>
    <w:p>
      <w:pPr>
        <w:pStyle w:val="Heading4"/>
        <w:numPr>
          <w:ilvl w:val="3"/>
          <w:numId w:val="1"/>
        </w:numPr>
        <w:rPr/>
      </w:pPr>
      <w:bookmarkStart w:id="72" w:name="__RefHeading___Toc620519_211673320"/>
      <w:bookmarkStart w:id="73" w:name="_Toc27"/>
      <w:bookmarkEnd w:id="71"/>
      <w:bookmarkEnd w:id="72"/>
      <w:r>
        <w:rPr>
          <w:rtl w:val="true"/>
        </w:rPr>
        <w:t>نتيجه‌اى عبرت‌انگيز در قالب داستانى شگرف‌</w:t>
      </w:r>
      <w:bookmarkEnd w:id="73"/>
    </w:p>
    <w:p>
      <w:pPr>
        <w:pStyle w:val="Heading4"/>
        <w:numPr>
          <w:ilvl w:val="3"/>
          <w:numId w:val="1"/>
        </w:numPr>
        <w:rPr/>
      </w:pPr>
      <w:bookmarkStart w:id="74" w:name="__RefHeading___Toc620521_211673320"/>
      <w:bookmarkStart w:id="75" w:name="_Toc28"/>
      <w:bookmarkEnd w:id="74"/>
      <w:r>
        <w:rPr>
          <w:rtl w:val="true"/>
        </w:rPr>
        <w:t xml:space="preserve">معجزه‌اى از قبر شريف نبوى </w:t>
      </w:r>
      <w:r>
        <w:rPr>
          <w:rtl w:val="true"/>
        </w:rPr>
        <w:t>(</w:t>
      </w:r>
      <w:r>
        <w:rPr>
          <w:rtl w:val="true"/>
        </w:rPr>
        <w:t>ص</w:t>
      </w:r>
      <w:r>
        <w:rPr>
          <w:rtl w:val="true"/>
        </w:rPr>
        <w:t>)</w:t>
      </w:r>
      <w:bookmarkEnd w:id="75"/>
    </w:p>
    <w:p>
      <w:pPr>
        <w:pStyle w:val="BookText"/>
        <w:rPr/>
      </w:pPr>
      <w:r>
        <w:rPr>
          <w:rFonts w:ascii="IRNazanin" w:hAnsi="IRNazanin" w:eastAsia="IRNazanin"/>
          <w:color w:val="111111"/>
          <w:sz w:val="28"/>
          <w:sz w:val="28"/>
          <w:szCs w:val="28"/>
          <w:rtl w:val="true"/>
          <w:lang w:bidi="fa-IR"/>
        </w:rPr>
        <w:t xml:space="preserve">نشر چنين مطالبى آن هم در مدينه و در كنار روضه و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ترويج كتاب‌هايى اين چنين، انسان را به ياد حكايتى مى‌اندازد كه ذكر آن در منابع اهل تسنّن نيز رفته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خالد بن الوليد بن الحارث بن الحكم بن العاص و هو ابن مطيرة قام على منبر صلَّى‌اللّه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استعمل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علىّ بن أبي‌طالب رضي‌اللّه عنه و هو يعلم أنّه خائن ولكن شفعت له ابنته فاطمة رضي اللّه تعالى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داودبن‌قيس في الروضة،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 أي يسكته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 الناس قميصا كان عليه شقائق حتّى وتروه، و أجلسوه حذراً عليه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كفا خرجت من القبر، قبر رسول الله صلَّى‌اللّه‌عليه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كذبت يا كافر، مراراً</w:t>
      </w:r>
      <w:r>
        <w:rPr>
          <w:rFonts w:eastAsia="Amiri" w:cs="Amiri" w:ascii="Amiri" w:hAnsi="Amiri"/>
          <w:color w:val="111111"/>
          <w:sz w:val="28"/>
          <w:szCs w:val="28"/>
          <w:rtl w:val="true"/>
          <w:lang w:bidi="ar-SA"/>
        </w:rPr>
        <w:t>.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معروف به ابن مطيره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از نزديكان بني‌اميّه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جمعه‌اى بر منبر رسول خدا</w:t>
      </w:r>
    </w:p>
    <w:p>
      <w:pPr>
        <w:pStyle w:val="BookText"/>
        <w:rPr/>
      </w:pPr>
      <w:r>
        <w:rPr>
          <w:rFonts w:ascii="IRNazanin" w:hAnsi="IRNazanin" w:eastAsia="IRNazanin"/>
          <w:color w:val="111111"/>
          <w:sz w:val="28"/>
          <w:sz w:val="28"/>
          <w:szCs w:val="28"/>
          <w:rtl w:val="true"/>
          <w:lang w:bidi="fa-IR"/>
        </w:rPr>
        <w:t xml:space="preserve">صلى‌الله‌عليه‌و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علىّ‌بن‌ابى‌طالب رضى‌اللّه‌عنه را به كارى فرمان داد و آگاه شد كه او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دخترش فاطمه رضى‌اللّه‌عنها شفاعت او را نزد رسول خدا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داود بن قيس كه در مسجد پيامبر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دروغ‌پردازى ابن مطيره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جامه‌ى او را گرفتند و او را از ترس ابن‌مطيره نشاندند كه ناگاه صدايى از قبر پيامبر صلى‌الله‌عليه‌و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دروغ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جملات چند بار تكرار گرديد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آنان كه در كنار كعبه و مسجدالحرام و حرم شريف پيامبر به غير حقيقت متوسّل مى‌شوند، از چنين وقايعى پند گيرند و قبل از آن‌كه نامه‌ى عملشان با مرگ بسته شود، توبه كنند؛ تا در هنگام مرگ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كذبت يا عدوّ اللّه كذبت يا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نشنوند</w:t>
      </w:r>
      <w:r>
        <w:rPr>
          <w:rFonts w:eastAsia="IRNazanin" w:cs="IRNazanin"/>
          <w:color w:val="111111"/>
          <w:sz w:val="28"/>
          <w:szCs w:val="28"/>
          <w:rtl w:val="true"/>
          <w:lang w:bidi="fa-IR"/>
        </w:rPr>
        <w:t>.</w:t>
      </w:r>
      <w:bookmarkStart w:id="76" w:name="pg95_124"/>
    </w:p>
    <w:p>
      <w:pPr>
        <w:pStyle w:val="Heading2"/>
        <w:numPr>
          <w:ilvl w:val="1"/>
          <w:numId w:val="1"/>
        </w:numPr>
        <w:rPr/>
      </w:pPr>
      <w:bookmarkStart w:id="77" w:name="__RefHeading___Toc620523_211673320"/>
      <w:bookmarkStart w:id="78" w:name="_Toc29"/>
      <w:bookmarkEnd w:id="76"/>
      <w:bookmarkEnd w:id="77"/>
      <w:r>
        <w:rPr>
          <w:rtl w:val="true"/>
        </w:rPr>
        <w:t>فصل سوم</w:t>
      </w:r>
      <w:bookmarkEnd w:id="78"/>
    </w:p>
    <w:p>
      <w:pPr>
        <w:pStyle w:val="Heading3"/>
        <w:numPr>
          <w:ilvl w:val="2"/>
          <w:numId w:val="1"/>
        </w:numPr>
        <w:rPr/>
      </w:pPr>
      <w:bookmarkStart w:id="79" w:name="__RefHeading___Toc620525_211673320"/>
      <w:bookmarkStart w:id="80" w:name="_Toc30"/>
      <w:bookmarkEnd w:id="79"/>
      <w:r>
        <w:rPr>
          <w:rtl w:val="true"/>
        </w:rPr>
        <w:t>ميراث نبوي</w:t>
      </w:r>
      <w:bookmarkEnd w:id="80"/>
    </w:p>
    <w:p>
      <w:pPr>
        <w:pStyle w:val="Heading4"/>
        <w:numPr>
          <w:ilvl w:val="3"/>
          <w:numId w:val="1"/>
        </w:numPr>
        <w:rPr/>
      </w:pPr>
      <w:bookmarkStart w:id="81" w:name="__RefHeading___Toc620527_211673320"/>
      <w:bookmarkStart w:id="82" w:name="_Toc31"/>
      <w:bookmarkEnd w:id="81"/>
      <w:r>
        <w:rPr>
          <w:rtl w:val="true"/>
        </w:rPr>
        <w:t>ميراث نبوى، آماج تيرهاى بدانديشى‌</w:t>
      </w:r>
      <w:bookmarkEnd w:id="82"/>
    </w:p>
    <w:p>
      <w:pPr>
        <w:pStyle w:val="Heading4"/>
        <w:numPr>
          <w:ilvl w:val="3"/>
          <w:numId w:val="1"/>
        </w:numPr>
        <w:rPr/>
      </w:pPr>
      <w:bookmarkStart w:id="83" w:name="__RefHeading___Toc620529_211673320"/>
      <w:bookmarkStart w:id="84" w:name="_Toc32"/>
      <w:bookmarkEnd w:id="83"/>
      <w:r>
        <w:rPr>
          <w:rtl w:val="true"/>
        </w:rPr>
        <w:t>بدعت‌انگارى حقايق دين‌</w:t>
      </w:r>
      <w:bookmarkEnd w:id="84"/>
    </w:p>
    <w:p>
      <w:pPr>
        <w:pStyle w:val="BookText"/>
        <w:rPr/>
      </w:pPr>
      <w:r>
        <w:rPr>
          <w:rFonts w:ascii="IRNazanin" w:hAnsi="IRNazanin" w:eastAsia="IRNazanin"/>
          <w:color w:val="111111"/>
          <w:sz w:val="28"/>
          <w:sz w:val="28"/>
          <w:szCs w:val="28"/>
          <w:rtl w:val="true"/>
          <w:lang w:bidi="fa-IR"/>
        </w:rPr>
        <w:t>بدعت به معناى وارد كردن معنا و عملى جديد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عملى به تصريح فقه شيعه و سنّى حرام شمرده مى‌شود و فرد بدعت‌گزار كافر معرّفى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به همان ميزان كه ورود يك بدعت به دين خطرناك است، بدعت‌انگارى حقايق دين نيز مى‌تواند آشفتگى فراوانى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اگر حقيقتى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سلايق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معرّفى شود، گروه زيادى از مسلمانان كه پاى‌بند آن حقيقت‌اند و به آن عمل مى‌كنند، كافر شمرده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بدعت‌شمردن حقايق دينى و افترا خواندن واقعيّت‌هاى مذهبى حرام است و دروغ و افترا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بدعت‌شمردن حقايق دين، خود به شرك منتهى مى‌شود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مشاهده كرديم، وهّابيان زيارت قبر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سابقه‌ى طولانى</w:t>
      </w:r>
      <w:bookmarkStart w:id="85" w:name="pg95_125"/>
    </w:p>
    <w:p>
      <w:pPr>
        <w:pStyle w:val="BookText"/>
        <w:rPr/>
      </w:pPr>
      <w:bookmarkEnd w:id="85"/>
      <w:r>
        <w:rPr>
          <w:rFonts w:ascii="IRNazanin" w:hAnsi="IRNazanin" w:eastAsia="IRNazanin"/>
          <w:color w:val="111111"/>
          <w:sz w:val="28"/>
          <w:sz w:val="28"/>
          <w:szCs w:val="28"/>
          <w:rtl w:val="true"/>
          <w:lang w:bidi="fa-IR"/>
        </w:rPr>
        <w:t>در بدعت دانستن امورى دارند كه هر كدام، از اصيل‌ترين پايه‌هاى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راحتى حكمى را كه تمام مسلمانان به آن عمل مى‌كنند بدعت مى‌دانند و در نتيجه معتقدان و عاملان به اين حقيقت، بدعت‌گزار محسوب مى‌شوند و با برچسب كفر و شرك، جانشان به خطر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نبوى و حتّى احكام فقهى نيز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نمونه‌هايى ديگر كه در كتاب‌هاى توزيع‌شده در حج با آن مواجه مى‌شويم، توجّه كنيد</w:t>
      </w:r>
      <w:r>
        <w:rPr>
          <w:rFonts w:eastAsia="IRNazanin" w:cs="IRNazanin"/>
          <w:color w:val="111111"/>
          <w:sz w:val="28"/>
          <w:szCs w:val="28"/>
          <w:rtl w:val="true"/>
          <w:lang w:bidi="fa-IR"/>
        </w:rPr>
        <w:t>:</w:t>
      </w:r>
    </w:p>
    <w:p>
      <w:pPr>
        <w:pStyle w:val="Heading4"/>
        <w:numPr>
          <w:ilvl w:val="3"/>
          <w:numId w:val="1"/>
        </w:numPr>
        <w:rPr/>
      </w:pPr>
      <w:bookmarkStart w:id="86" w:name="__RefHeading___Toc620531_211673320"/>
      <w:bookmarkStart w:id="87" w:name="_Toc33"/>
      <w:bookmarkEnd w:id="86"/>
      <w:r>
        <w:rPr>
          <w:rtl w:val="true"/>
        </w:rPr>
        <w:t>بدعت‌انگارى در حكمى‌فقهى‌و مخالفت با شيعه و سنّى‌</w:t>
      </w:r>
      <w:bookmarkEnd w:id="87"/>
    </w:p>
    <w:p>
      <w:p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زائران فارسى زبان،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 چنين توضيح مى‌دهد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نيّت در قلب است؛ زيرا از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نشده كه آن حضرت نيّت را بر زبان آورده باشند، مگر نيّت حج و هم‌چنين از صحابه و ياران و تابعين هم ثابت نشده، پس نيّت كردن با زبان يك نوع بدعت به‌شمار مى‌رود</w:t>
      </w:r>
      <w:r>
        <w:rPr>
          <w:rFonts w:eastAsia="IRNazanin" w:cs="IRNazanin"/>
          <w:color w:val="111111"/>
          <w:sz w:val="28"/>
          <w:szCs w:val="28"/>
          <w:rtl w:val="true"/>
          <w:lang w:bidi="fa-IR"/>
        </w:rPr>
        <w:t>.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 را مى‌توان در كتاب‌هاى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به دست حجّاج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هنگام نماز و طواف و در غير آن بهتر است كه نيّت را به زبان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نيّت را به زبان آورد بدعت است و اگر كسى اين نيّت را به آواز بلند بر زبان جارى سازد، زشت‌تر و گناهش شديدتر است</w:t>
      </w:r>
      <w:r>
        <w:rPr>
          <w:rFonts w:eastAsia="IRNazanin" w:cs="IRNazanin"/>
          <w:color w:val="111111"/>
          <w:sz w:val="28"/>
          <w:szCs w:val="28"/>
          <w:rtl w:val="true"/>
          <w:lang w:bidi="fa-IR"/>
        </w:rPr>
        <w:t>.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حتّى مورد قبول سنّيان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فقهى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فتوا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امام از چهار امام فقاهت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آوردن نيّت را نه تنها بدعت نمى‌دانند، بلكه آن را سنّت مى‌شمارند و سيره‌ى پيامبر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ديگر مالك بن انس به زبان آوردن نيّت را از سنّت نمى‌شمرد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بدعت بودن آن نيز سخنى نمى‌گويد و در نتيجه قول مشهور اهل تسنّن، جواز به زبان آوردن نيّت در نماز و غير آن است</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وهّابيان از نظر فقهى معتقدند به زبان آوردن نيّت بدعت است، محلّ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در اين جاست كه آنان اين فتواى خاص را بين تمامى مسلمانان به عنوان حكم خدا نشر مى‌دهند و عمل نكردن به آن را بدعت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بدعت‌گزار نيز</w:t>
      </w:r>
      <w:bookmarkStart w:id="88" w:name="pg95_127"/>
    </w:p>
    <w:p>
      <w:pPr>
        <w:pStyle w:val="BookText"/>
        <w:rPr/>
      </w:pPr>
      <w:bookmarkEnd w:id="88"/>
      <w:r>
        <w:rPr>
          <w:rFonts w:ascii="IRNazanin" w:hAnsi="IRNazanin" w:eastAsia="IRNazanin"/>
          <w:color w:val="111111"/>
          <w:sz w:val="28"/>
          <w:sz w:val="28"/>
          <w:szCs w:val="28"/>
          <w:rtl w:val="true"/>
          <w:lang w:bidi="fa-IR"/>
        </w:rPr>
        <w:t>از نگاه عالمان اين فرقه مشخّص است</w:t>
      </w:r>
      <w:r>
        <w:rPr>
          <w:rFonts w:eastAsia="IRNazanin" w:cs="IRNazanin"/>
          <w:color w:val="111111"/>
          <w:sz w:val="28"/>
          <w:szCs w:val="28"/>
          <w:rtl w:val="true"/>
          <w:lang w:bidi="fa-IR"/>
        </w:rPr>
        <w:t>.</w:t>
      </w:r>
    </w:p>
    <w:p>
      <w:pPr>
        <w:pStyle w:val="Heading4"/>
        <w:numPr>
          <w:ilvl w:val="3"/>
          <w:numId w:val="1"/>
        </w:numPr>
        <w:rPr/>
      </w:pPr>
      <w:bookmarkStart w:id="89" w:name="__RefHeading___Toc620533_211673320"/>
      <w:bookmarkStart w:id="90" w:name="_Toc34"/>
      <w:bookmarkEnd w:id="89"/>
      <w:r>
        <w:rPr>
          <w:rtl w:val="true"/>
        </w:rPr>
        <w:t>سابقه‌اى طولانى در بدعت‌انگارى</w:t>
      </w:r>
      <w:r>
        <w:rPr>
          <w:rtl w:val="true"/>
        </w:rPr>
        <w:t xml:space="preserve">: </w:t>
      </w:r>
      <w:r>
        <w:rPr>
          <w:rtl w:val="true"/>
        </w:rPr>
        <w:t xml:space="preserve">ساعت، تلفن، دوچرخه، </w:t>
      </w:r>
      <w:r>
        <w:rPr>
          <w:rtl w:val="true"/>
        </w:rPr>
        <w:t xml:space="preserve">... </w:t>
      </w:r>
      <w:r>
        <w:rPr>
          <w:rtl w:val="true"/>
        </w:rPr>
        <w:t>در نظر وهّابيان بدعت بوده است</w:t>
      </w:r>
      <w:r>
        <w:rPr>
          <w:rtl w:val="true"/>
        </w:rPr>
        <w:t>!</w:t>
      </w:r>
      <w:bookmarkEnd w:id="90"/>
    </w:p>
    <w:p>
      <w:pPr>
        <w:pStyle w:val="BookText"/>
        <w:rPr/>
      </w:pPr>
      <w:r>
        <w:rPr>
          <w:rFonts w:ascii="IRNazanin" w:hAnsi="IRNazanin" w:eastAsia="IRNazanin"/>
          <w:color w:val="111111"/>
          <w:sz w:val="28"/>
          <w:sz w:val="28"/>
          <w:szCs w:val="28"/>
          <w:rtl w:val="true"/>
          <w:lang w:bidi="fa-IR"/>
        </w:rPr>
        <w:t>با كمال تأسّف به نظر مى‌رسد ملاك بدعت دانستن امور نزد اين گروه، ميل شخصى و درك سطحى از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بدعت‌انگارى برخى واقعيّت‌هاى زندگى، نشانگر بينش سطحى وهّابيان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كه از زمان 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 وهّابيّت در عربستان به عنوان بدعت به آن نگريسته مى‌شد، موارد زير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پيشينه‌ى وهّابيّت نشان مى‌دهد كه آنان سيم‌هاى تلفن و تلگراف را به سبب اين كه در زمان پيامبر نبوده پاره مى‌كردند و استفاده از تلفن را بدعت مى‌دانستند و صدايى كه از تلفن شنيده مى‌شد را صداى شيطان مى‌دانستند</w:t>
      </w:r>
      <w:r>
        <w:rPr>
          <w:rFonts w:eastAsia="IRNazanin" w:cs="IRNazanin"/>
          <w:color w:val="111111"/>
          <w:sz w:val="28"/>
          <w:szCs w:val="28"/>
          <w:rtl w:val="true"/>
          <w:lang w:bidi="fa-IR"/>
        </w:rPr>
        <w:t>!! «</w:t>
      </w:r>
      <w:r>
        <w:rPr>
          <w:rStyle w:val="FootnoteAnchor"/>
          <w:rtl w:val="true"/>
        </w:rPr>
        <w:footnoteReference w:id="3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اگر كسى را سوار بر موتورسيكلت مى‌ديدند، كتك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دوچرخه را ارابه‌ى شيطان يا اسب شيطان مى‌ناميدند و استفاده از آن را بدعت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كه اين وسيله به نيروى</w:t>
      </w:r>
      <w:bookmarkStart w:id="91" w:name="pg95_128"/>
    </w:p>
    <w:p>
      <w:pPr>
        <w:pStyle w:val="BookText"/>
        <w:rPr/>
      </w:pPr>
      <w:bookmarkEnd w:id="91"/>
      <w:r>
        <w:rPr>
          <w:rFonts w:ascii="IRNazanin" w:hAnsi="IRNazanin" w:eastAsia="IRNazanin"/>
          <w:color w:val="111111"/>
          <w:sz w:val="28"/>
          <w:sz w:val="28"/>
          <w:szCs w:val="28"/>
          <w:rtl w:val="true"/>
          <w:lang w:bidi="fa-IR"/>
        </w:rPr>
        <w:t>جادو و پاى شيطان حركت مى‌كند</w:t>
      </w:r>
      <w:r>
        <w:rPr>
          <w:rFonts w:eastAsia="IRNazanin" w:cs="IRNazanin"/>
          <w:color w:val="111111"/>
          <w:sz w:val="28"/>
          <w:szCs w:val="28"/>
          <w:rtl w:val="true"/>
          <w:lang w:bidi="fa-IR"/>
        </w:rPr>
        <w:t>!!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شماطه‌دار، وسايل نقليّه و اتومبيل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آسفالت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اين‌كه بدعت است و در زمان حيات پيامبر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كشيده مى‌شد و تخريب مى‌گرديد</w:t>
      </w:r>
      <w:r>
        <w:rPr>
          <w:rFonts w:eastAsia="IRNazanin" w:cs="IRNazanin"/>
          <w:color w:val="111111"/>
          <w:sz w:val="28"/>
          <w:szCs w:val="28"/>
          <w:rtl w:val="true"/>
          <w:lang w:bidi="fa-IR"/>
        </w:rPr>
        <w:t>!!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620535_211673320"/>
      <w:bookmarkStart w:id="93" w:name="_Toc35"/>
      <w:bookmarkEnd w:id="92"/>
      <w:r>
        <w:rPr>
          <w:rtl w:val="true"/>
        </w:rPr>
        <w:t xml:space="preserve">و باز هم </w:t>
      </w:r>
      <w:r>
        <w:rPr>
          <w:rtl w:val="true"/>
        </w:rPr>
        <w:t xml:space="preserve">... </w:t>
      </w:r>
      <w:r>
        <w:rPr>
          <w:rtl w:val="true"/>
        </w:rPr>
        <w:t>بدعت‌انگارى و مخالفت با اكثر مسلمانان در حكم فقهى ديگر</w:t>
      </w:r>
      <w:r>
        <w:rPr>
          <w:rtl w:val="true"/>
        </w:rPr>
        <w:t xml:space="preserve">: </w:t>
      </w:r>
      <w:r>
        <w:rPr>
          <w:rtl w:val="true"/>
        </w:rPr>
        <w:t>قسم به غير خدا</w:t>
      </w:r>
      <w:bookmarkEnd w:id="93"/>
    </w:p>
    <w:p>
      <w:pPr>
        <w:pStyle w:val="BookText"/>
        <w:rPr/>
      </w:pPr>
      <w:r>
        <w:rPr>
          <w:rFonts w:ascii="Amiri" w:hAnsi="Amiri" w:eastAsia="Amiri" w:cs="Amiri"/>
          <w:color w:val="111111"/>
          <w:sz w:val="28"/>
          <w:sz w:val="28"/>
          <w:szCs w:val="28"/>
          <w:rtl w:val="true"/>
          <w:lang w:bidi="ar-SA"/>
        </w:rPr>
        <w:t>از سخنان نادرست و وحدت‌شكن وهّابيّت، اعتقادى است كه نتيجه‌ى آن، جز تفرقه، تهمت و بدبينى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أنواع 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بغير اللّه، كالحلف بالنّبىّ و الكعبة و الامانة و نحو ذلك</w:t>
      </w:r>
      <w:r>
        <w:rPr>
          <w:rFonts w:eastAsia="Amiri" w:cs="Amiri" w:ascii="Amiri" w:hAnsi="Amiri"/>
          <w:color w:val="111111"/>
          <w:sz w:val="28"/>
          <w:szCs w:val="28"/>
          <w:rtl w:val="true"/>
          <w:lang w:bidi="ar-SA"/>
        </w:rPr>
        <w:t>.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شرك اصغر مى‌توان قسم‌خوردن به غير خدا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كسى به پيامبر، كعبه، امانت و مثل آن قسم بخورد</w:t>
      </w:r>
      <w:r>
        <w:rPr>
          <w:rFonts w:eastAsia="IRNazanin" w:cs="IRNazanin"/>
          <w:color w:val="111111"/>
          <w:sz w:val="28"/>
          <w:szCs w:val="28"/>
          <w:rtl w:val="true"/>
          <w:lang w:bidi="fa-IR"/>
        </w:rPr>
        <w:t>.</w:t>
      </w:r>
    </w:p>
    <w:p>
      <w:pPr>
        <w:pStyle w:val="Heading4"/>
        <w:numPr>
          <w:ilvl w:val="3"/>
          <w:numId w:val="1"/>
        </w:numPr>
        <w:rPr/>
      </w:pPr>
      <w:bookmarkStart w:id="94" w:name="__RefHeading___Toc620537_211673320"/>
      <w:bookmarkStart w:id="95" w:name="_Toc36"/>
      <w:bookmarkEnd w:id="94"/>
      <w:r>
        <w:rPr>
          <w:rtl w:val="true"/>
        </w:rPr>
        <w:t>ميزان صداقت وهّابيان دراجماعى بودن برخى احكام‌</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يك‌بار ديگر صحبت از اجماع مى‌شود و وهّابيان از اين كه همه‌ى اهل علم، با نظرشان موافق‌اند، سخن به ميان مى‌آورند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جاهليّت، مشركان به مخلوقاتى غير از خدا قسم مى‌خوردند؛ مانند كعبه، شرافت، پيامبر، ملائكه،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قسم‌ها به طور كلّى جايز نيست و اين مطلب اجماع اهل علم است</w:t>
      </w:r>
      <w:r>
        <w:rPr>
          <w:rFonts w:eastAsia="IRNazanin" w:cs="IRNazanin"/>
          <w:color w:val="111111"/>
          <w:sz w:val="28"/>
          <w:szCs w:val="28"/>
          <w:rtl w:val="true"/>
          <w:lang w:bidi="fa-IR"/>
        </w:rPr>
        <w:t>.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انسان به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اكثر 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اجماعى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همه‌ى علما بر آن اتّفاق نظر دارند</w:t>
      </w:r>
      <w:r>
        <w:rPr>
          <w:rFonts w:eastAsia="IRNazanin" w:cs="IRNazanin"/>
          <w:color w:val="111111"/>
          <w:sz w:val="28"/>
          <w:szCs w:val="28"/>
          <w:rtl w:val="true"/>
          <w:lang w:bidi="fa-IR"/>
        </w:rPr>
        <w:t>.)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ديديم وهّابيان ادّعا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غير خدا، طبق نظر همه‌ى مسلمانان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حكم را اجماع اهل اسلام و اهل علم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آيا از ديدگاه خود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توجّه به قول ائمّه‌ى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مورد اجماع است؟</w:t>
      </w:r>
    </w:p>
    <w:p>
      <w:pPr>
        <w:pStyle w:val="BookText"/>
        <w:rPr/>
      </w:pPr>
      <w:r>
        <w:rPr>
          <w:rFonts w:ascii="Amiri" w:hAnsi="Amiri" w:eastAsia="Amiri" w:cs="Amiri"/>
          <w:color w:val="111111"/>
          <w:sz w:val="28"/>
          <w:sz w:val="28"/>
          <w:szCs w:val="28"/>
          <w:rtl w:val="true"/>
          <w:lang w:bidi="ar-SA"/>
        </w:rPr>
        <w:t>الحنفيه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الغرض منه الوثيقه أى اتفاق الخصم بصدق الحالف جاز بدون 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الحلف بغير اللّه تعالى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يحرم الحلف بغير اللّه تعالى</w:t>
      </w:r>
      <w:r>
        <w:rPr>
          <w:rFonts w:eastAsia="Amiri" w:cs="Amiri" w:ascii="Amiri" w:hAnsi="Amiri"/>
          <w:color w:val="111111"/>
          <w:sz w:val="28"/>
          <w:szCs w:val="28"/>
          <w:rtl w:val="true"/>
          <w:lang w:bidi="ar-SA"/>
        </w:rPr>
        <w:t>. «</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حنفى‌ها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غير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از اين كار مطمئن كردن مخالف نسبت به راست‌گويى فرد قسم‌خورده است، اين</w:t>
      </w:r>
    </w:p>
    <w:p>
      <w:pPr>
        <w:pStyle w:val="BookText"/>
        <w:rPr/>
      </w:pPr>
      <w:r>
        <w:rPr>
          <w:rFonts w:ascii="IRNazanin" w:hAnsi="IRNazanin" w:eastAsia="IRNazanin"/>
          <w:color w:val="111111"/>
          <w:sz w:val="28"/>
          <w:sz w:val="28"/>
          <w:szCs w:val="28"/>
          <w:rtl w:val="true"/>
          <w:lang w:bidi="fa-IR"/>
        </w:rPr>
        <w:t xml:space="preserve">قسم‌خوردن جايز است و كراهتى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غير اين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بى‌جهت و بى‌جا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اعتقاد شافعى‌ها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غير خدا كراهت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اعتقاد حنبلى‌ها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 قسم به غير خدا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مشاهده كرديد، قسم به غير خدا، از ديدگاه دو فرقه‌ى اهل تسنّن يعنى شافعى‌ها و حنفى‌ها در مواردى مباح است و در موارد ديگر اگر جايز نباشد، مكروه است و نه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فرقه‌ى حنابله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وهّابيان در فقه هم‌سوى با آنان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به غير خدا را مطلقاً حرام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تفاوت معناى مباح، مكروه و حرام بر هر كسى روشن است</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ديگر اين تذكّر لازم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وهّابى‌ها براى خود آنان قابل احترام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نكته‌ى مهم اين جاست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اعتقاد خود را به تمام مسلمانان نسبت مى‌دهند و بى‌اعتقادان به آن را از حوزه‌ى اسلام خارج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اگر سخن تا به اين حدّ مى‌رسيد، قابل قبول مى‌نمود؛ چه بايد كرد كه فتواى مسلمان‌كشى در پس اين سخنان، جلوه‌هاى شوم چنين كلماتى را به تصوير مى‌كشد؟ </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bookmarkStart w:id="96" w:name="pg95_134"/>
    </w:p>
    <w:p>
      <w:pPr>
        <w:pStyle w:val="Heading2"/>
        <w:numPr>
          <w:ilvl w:val="1"/>
          <w:numId w:val="1"/>
        </w:numPr>
        <w:rPr/>
      </w:pPr>
      <w:bookmarkStart w:id="97" w:name="__RefHeading___Toc620539_211673320"/>
      <w:bookmarkStart w:id="98" w:name="_Toc37"/>
      <w:bookmarkEnd w:id="96"/>
      <w:bookmarkEnd w:id="97"/>
      <w:r>
        <w:rPr>
          <w:rtl w:val="true"/>
        </w:rPr>
        <w:t>فصل چهارم</w:t>
      </w:r>
      <w:bookmarkEnd w:id="98"/>
    </w:p>
    <w:p>
      <w:pPr>
        <w:pStyle w:val="Heading3"/>
        <w:numPr>
          <w:ilvl w:val="2"/>
          <w:numId w:val="1"/>
        </w:numPr>
        <w:rPr/>
      </w:pPr>
      <w:bookmarkStart w:id="99" w:name="__RefHeading___Toc620541_211673320"/>
      <w:bookmarkStart w:id="100" w:name="_Toc38"/>
      <w:bookmarkEnd w:id="99"/>
      <w:r>
        <w:rPr>
          <w:rtl w:val="true"/>
        </w:rPr>
        <w:t>مهدويّت و تحريف حقايق‌</w:t>
      </w:r>
      <w:bookmarkEnd w:id="100"/>
    </w:p>
    <w:p>
      <w:pPr>
        <w:pStyle w:val="BookText"/>
        <w:rPr/>
      </w:pPr>
      <w:r>
        <w:rPr>
          <w:rFonts w:ascii="IRNazanin" w:hAnsi="IRNazanin" w:eastAsia="IRNazanin"/>
          <w:color w:val="111111"/>
          <w:sz w:val="28"/>
          <w:sz w:val="28"/>
          <w:szCs w:val="28"/>
          <w:rtl w:val="true"/>
          <w:lang w:bidi="fa-IR"/>
        </w:rPr>
        <w:t>وجدان‌هاى آگاه نمى‌پسندند كه به صرف دشمنى با يك اصل، حقايق پايمال شود و اساساً چرا بايد عدّه‌اى در راستاى مخالفت با شيعه، اعتقادات خويش را نيز زير پا نهند؟</w:t>
      </w:r>
    </w:p>
    <w:p>
      <w:pPr>
        <w:pStyle w:val="BookText"/>
        <w:rPr/>
      </w:pPr>
      <w:r>
        <w:rPr>
          <w:rFonts w:ascii="IRNazanin" w:hAnsi="IRNazanin" w:eastAsia="IRNazanin"/>
          <w:color w:val="111111"/>
          <w:sz w:val="28"/>
          <w:sz w:val="28"/>
          <w:szCs w:val="28"/>
          <w:rtl w:val="true"/>
          <w:lang w:bidi="fa-IR"/>
        </w:rPr>
        <w:t xml:space="preserve">آيا مى‌توان به وجود مهدى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داشت و در عين حال به صرف مخالفت با شيعيان آن را انكار كرد؟ آيا اصولًا در فرهنگ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مهدويّت قابل انكار است؟ آيا مى‌شود معتقد به وجود مهدى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كتابى توزيع كرد كه مهدويّت را ردّ مى‌كند؟</w:t>
      </w:r>
    </w:p>
    <w:p>
      <w:pPr>
        <w:pStyle w:val="Heading3"/>
        <w:numPr>
          <w:ilvl w:val="2"/>
          <w:numId w:val="1"/>
        </w:numPr>
        <w:rPr/>
      </w:pPr>
      <w:bookmarkStart w:id="101" w:name="__RefHeading___Toc620543_211673320"/>
      <w:bookmarkStart w:id="102" w:name="_Toc39"/>
      <w:bookmarkEnd w:id="101"/>
      <w:r>
        <w:rPr>
          <w:rtl w:val="true"/>
        </w:rPr>
        <w:t>مهدى موعود و منابع معتبر اهل تسنّن‌</w:t>
      </w:r>
      <w:bookmarkEnd w:id="10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مباحث اصيل و قابل پى‌گيرى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مدارك معتبر و قديمى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مهدويّت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 كتب صحيح شش‌گانه</w:t>
      </w:r>
      <w:r>
        <w:rPr>
          <w:rFonts w:eastAsia="IRNazanin" w:cs="IRNazanin"/>
          <w:color w:val="111111"/>
          <w:sz w:val="28"/>
          <w:szCs w:val="28"/>
          <w:rtl w:val="true"/>
          <w:lang w:bidi="fa-IR"/>
        </w:rPr>
        <w:t>»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معتبرترين كتب اهل تسنّن است، به روشنى از مهدويّت</w:t>
      </w:r>
      <w:bookmarkStart w:id="103" w:name="pg95_135"/>
    </w:p>
    <w:p>
      <w:pPr>
        <w:pStyle w:val="BookText"/>
        <w:rPr/>
      </w:pPr>
      <w:bookmarkEnd w:id="103"/>
      <w:r>
        <w:rPr>
          <w:rFonts w:ascii="IRNazanin" w:hAnsi="IRNazanin" w:eastAsia="IRNazanin"/>
          <w:color w:val="111111"/>
          <w:sz w:val="28"/>
          <w:sz w:val="28"/>
          <w:szCs w:val="28"/>
          <w:rtl w:val="true"/>
          <w:lang w:bidi="fa-IR"/>
        </w:rPr>
        <w:t>سخن رفته است</w:t>
      </w:r>
      <w:r>
        <w:rPr>
          <w:rFonts w:eastAsia="IRNazanin" w:cs="IRNazanin"/>
          <w:color w:val="111111"/>
          <w:sz w:val="28"/>
          <w:szCs w:val="28"/>
          <w:rtl w:val="true"/>
          <w:lang w:bidi="fa-IR"/>
        </w:rPr>
        <w:t>.</w:t>
      </w:r>
    </w:p>
    <w:p>
      <w:pPr>
        <w:pStyle w:val="Heading3"/>
        <w:numPr>
          <w:ilvl w:val="2"/>
          <w:numId w:val="1"/>
        </w:numPr>
        <w:rPr/>
      </w:pPr>
      <w:bookmarkStart w:id="104" w:name="__RefHeading___Toc620545_211673320"/>
      <w:bookmarkStart w:id="105" w:name="_Toc40"/>
      <w:bookmarkEnd w:id="104"/>
      <w:r>
        <w:rPr>
          <w:rtl w:val="true"/>
        </w:rPr>
        <w:t>مهدويّت و صحيح بخارى‌</w:t>
      </w:r>
      <w:bookmarkEnd w:id="105"/>
    </w:p>
    <w:p>
      <w:pPr>
        <w:pStyle w:val="BookText"/>
        <w:rPr/>
      </w:pPr>
      <w:r>
        <w:rPr>
          <w:rFonts w:ascii="IRNazanin" w:hAnsi="IRNazanin" w:eastAsia="IRNazanin"/>
          <w:color w:val="111111"/>
          <w:sz w:val="28"/>
          <w:sz w:val="28"/>
          <w:szCs w:val="28"/>
          <w:rtl w:val="true"/>
          <w:lang w:bidi="fa-IR"/>
        </w:rPr>
        <w:t xml:space="preserve">محمّد بن اسماعيل بخارى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صحيح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اهل تسنّن اين كتاب را برترين كتاب پس از قرآن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 أنتُم إذا نَزَلَ ابنُ مريمَ فيكم و امامُكم مِنْكم</w:t>
      </w:r>
      <w:r>
        <w:rPr>
          <w:rFonts w:eastAsia="Amiri" w:cs="Amiri" w:ascii="Amiri" w:hAnsi="Amiri"/>
          <w:color w:val="111111"/>
          <w:sz w:val="28"/>
          <w:szCs w:val="28"/>
          <w:rtl w:val="true"/>
          <w:lang w:bidi="ar-SA"/>
        </w:rPr>
        <w:t>.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شما چگونه است آن‌گاه كه پسر مريم بر شما فرود آيد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حضرت عيسى بدو اقتدا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106" w:name="__RefHeading___Toc620547_211673320"/>
      <w:bookmarkStart w:id="107" w:name="_Toc41"/>
      <w:bookmarkEnd w:id="106"/>
      <w:r>
        <w:rPr>
          <w:rtl w:val="true"/>
        </w:rPr>
        <w:t>مهدويّت و صحيح مسلم‌</w:t>
      </w:r>
      <w:bookmarkEnd w:id="107"/>
    </w:p>
    <w:p>
      <w:pPr>
        <w:pStyle w:val="BookText"/>
        <w:rPr/>
      </w:pPr>
      <w:r>
        <w:rPr>
          <w:rFonts w:ascii="IRNazanin" w:hAnsi="IRNazanin" w:eastAsia="IRNazanin"/>
          <w:color w:val="111111"/>
          <w:sz w:val="28"/>
          <w:sz w:val="28"/>
          <w:szCs w:val="28"/>
          <w:rtl w:val="true"/>
          <w:lang w:bidi="fa-IR"/>
        </w:rPr>
        <w:t xml:space="preserve">مُسلِم بن حَجّاج نيشابورى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صحيح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صحيح بخارى معتبرترين كتاب نزد سنّى‌ها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اشاره به حديث فوق </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حديث ديگرى به نقل از صحابى مشهور جابر بن عبداللّه انصارى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شنيدم كه پيامبر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امّتم آشكارا تا روز قيامت بر اساس حق پيكار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bookmarkStart w:id="108" w:name="pg95_136"/>
    </w:p>
    <w:p>
      <w:pPr>
        <w:pStyle w:val="BookText"/>
        <w:rPr/>
      </w:pPr>
      <w:bookmarkEnd w:id="10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عيسى‌بن مريم فرود مى‌آيد، فرمانرواى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برايمان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بعضى از شما به پاس گراميداشت اين امّت، بر ديگران امير هستيد</w:t>
      </w:r>
      <w:r>
        <w:rPr>
          <w:rFonts w:eastAsia="IRNazanin" w:cs="IRNazanin"/>
          <w:color w:val="111111"/>
          <w:sz w:val="28"/>
          <w:szCs w:val="28"/>
          <w:rtl w:val="true"/>
          <w:lang w:bidi="fa-IR"/>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620549_211673320"/>
      <w:bookmarkStart w:id="110" w:name="_Toc42"/>
      <w:bookmarkEnd w:id="109"/>
      <w:r>
        <w:rPr>
          <w:rtl w:val="true"/>
        </w:rPr>
        <w:t xml:space="preserve">شارحان صحيح بخارى و مسلم، از مهدى </w:t>
      </w:r>
      <w:r>
        <w:rPr>
          <w:rtl w:val="true"/>
        </w:rPr>
        <w:t>(</w:t>
      </w:r>
      <w:r>
        <w:rPr>
          <w:rtl w:val="true"/>
        </w:rPr>
        <w:t>ع</w:t>
      </w:r>
      <w:r>
        <w:rPr>
          <w:rtl w:val="true"/>
        </w:rPr>
        <w:t xml:space="preserve">) </w:t>
      </w:r>
      <w:r>
        <w:rPr>
          <w:rtl w:val="true"/>
        </w:rPr>
        <w:t>مى‌گويند</w:t>
      </w:r>
      <w:bookmarkEnd w:id="110"/>
    </w:p>
    <w:p>
      <w:pPr>
        <w:pStyle w:val="BookText"/>
        <w:rPr/>
      </w:pPr>
      <w:r>
        <w:rPr>
          <w:rFonts w:ascii="IRNazanin" w:hAnsi="IRNazanin" w:eastAsia="IRNazanin"/>
          <w:color w:val="111111"/>
          <w:sz w:val="28"/>
          <w:sz w:val="28"/>
          <w:szCs w:val="28"/>
          <w:rtl w:val="true"/>
          <w:lang w:bidi="fa-IR"/>
        </w:rPr>
        <w:t xml:space="preserve">شرح‌كنندگان دو كتاب صحيح بخارى و مسلم، به روشنى حديث‌هاى فوق را درباره‌ى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ابن حَجَر عَسْقَلانى، از شرح‌كنندگان صحيح بخارى، در توضيح حديث‌هاى اين كتاب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قطعى و متواتر است كه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است و همان كسى است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به نماز مى‌ايستد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ادامه مى‌نويسد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خواندن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مردى از اين امّت، با توجّه به اين‌كه در آخرالزّمان و نزديك قيامت است، نشانه‌ى صحّت و درستى گفته‌هايى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زمين از قائمى براى خدا</w:t>
      </w:r>
      <w:bookmarkStart w:id="111" w:name="pg95_137"/>
    </w:p>
    <w:p>
      <w:pPr>
        <w:pStyle w:val="BookText"/>
        <w:rPr/>
      </w:pPr>
      <w:bookmarkEnd w:id="111"/>
      <w:r>
        <w:rPr>
          <w:rFonts w:ascii="IRNazanin" w:hAnsi="IRNazanin" w:eastAsia="IRNazanin"/>
          <w:color w:val="111111"/>
          <w:sz w:val="28"/>
          <w:sz w:val="28"/>
          <w:szCs w:val="28"/>
          <w:rtl w:val="true"/>
          <w:lang w:bidi="fa-IR"/>
        </w:rPr>
        <w:t>با حجّت خالى نخواهد بود</w:t>
      </w:r>
      <w:r>
        <w:rPr>
          <w:rFonts w:eastAsia="IRNazanin" w:cs="IRNazanin"/>
          <w:color w:val="111111"/>
          <w:sz w:val="28"/>
          <w:szCs w:val="28"/>
          <w:rtl w:val="true"/>
          <w:lang w:bidi="fa-IR"/>
        </w:rPr>
        <w:t>.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مطلب كه از قول عالم بزرگ سنّى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مى‌شود، تأييد روشنى بر اعتقاد شيعه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2" w:name="__RefHeading___Toc620551_211673320"/>
      <w:bookmarkStart w:id="113" w:name="_Toc43"/>
      <w:bookmarkEnd w:id="112"/>
      <w:r>
        <w:rPr>
          <w:rtl w:val="true"/>
        </w:rPr>
        <w:t xml:space="preserve">مهدويّت در سنن </w:t>
      </w:r>
      <w:r>
        <w:rPr>
          <w:rtl w:val="true"/>
        </w:rPr>
        <w:t>«</w:t>
      </w:r>
      <w:r>
        <w:rPr/>
        <w:t>2</w:t>
      </w:r>
      <w:r>
        <w:rPr>
          <w:rtl w:val="true"/>
        </w:rPr>
        <w:t xml:space="preserve">» </w:t>
      </w:r>
      <w:r>
        <w:rPr>
          <w:rtl w:val="true"/>
        </w:rPr>
        <w:t>ابن‌ماجِه، ابوداود و تِرْمَذى‌</w:t>
      </w:r>
      <w:bookmarkEnd w:id="113"/>
    </w:p>
    <w:p>
      <w:pPr>
        <w:pStyle w:val="BookText"/>
        <w:rPr/>
      </w:pP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ابن‌ماجِه قزوينى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مِن وُلْد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مهدى از فرزندان حضرت 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سلام‌اللّه‌عليها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مى‌كند</w:t>
      </w:r>
      <w:r>
        <w:rPr>
          <w:rFonts w:eastAsia="Amiri" w:cs="Amiri" w:ascii="Amiri" w:hAnsi="Amiri"/>
          <w:color w:val="111111"/>
          <w:sz w:val="28"/>
          <w:szCs w:val="28"/>
          <w:rtl w:val="true"/>
          <w:lang w:bidi="ar-SA"/>
        </w:rPr>
        <w:t>.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ابوداوود سيستانى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سنن خويش مى‌نويسد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عمر دنيا تنها يك روز باقى بماند، خداوند آن روز را آن‌چنان طولانى مى‌كند تا فردى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بيت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كند، او هم اسم من است</w:t>
      </w:r>
      <w:r>
        <w:rPr>
          <w:rFonts w:eastAsia="IRNazanin" w:cs="IRNazanin"/>
          <w:color w:val="111111"/>
          <w:sz w:val="28"/>
          <w:szCs w:val="28"/>
          <w:rtl w:val="true"/>
          <w:lang w:bidi="fa-IR"/>
        </w:rPr>
        <w:t>.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114" w:name="pg95_138"/>
    </w:p>
    <w:p>
      <w:pPr>
        <w:pStyle w:val="BookText"/>
        <w:rPr/>
      </w:pPr>
      <w:bookmarkEnd w:id="114"/>
      <w:r>
        <w:rPr>
          <w:rFonts w:ascii="Amiri" w:hAnsi="Amiri" w:eastAsia="Amiri" w:cs="Amiri"/>
          <w:color w:val="111111"/>
          <w:sz w:val="28"/>
          <w:sz w:val="28"/>
          <w:szCs w:val="28"/>
          <w:rtl w:val="true"/>
          <w:lang w:bidi="ar-SA"/>
        </w:rPr>
        <w:t xml:space="preserve">محمّد بن عيسى 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با اشاره به دوران طلايى حكمرانى آن حضرت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فردى به نزد ايشان مى‌آيد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اعطا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وجود مقدّس دستور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دامانش تا آن‌جا كه در توان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 و 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بريزند</w:t>
      </w:r>
      <w:r>
        <w:rPr>
          <w:rFonts w:eastAsia="IRNazanin" w:cs="IRNazanin"/>
          <w:color w:val="111111"/>
          <w:sz w:val="28"/>
          <w:szCs w:val="28"/>
          <w:rtl w:val="true"/>
          <w:lang w:bidi="fa-IR"/>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620553_211673320"/>
      <w:bookmarkStart w:id="116" w:name="_Toc44"/>
      <w:bookmarkEnd w:id="115"/>
      <w:r>
        <w:rPr>
          <w:rtl w:val="true"/>
        </w:rPr>
        <w:t xml:space="preserve">مهدى موعود </w:t>
      </w:r>
      <w:r>
        <w:rPr>
          <w:rtl w:val="true"/>
        </w:rPr>
        <w:t>(</w:t>
      </w:r>
      <w:r>
        <w:rPr>
          <w:rtl w:val="true"/>
        </w:rPr>
        <w:t>ع</w:t>
      </w:r>
      <w:r>
        <w:rPr>
          <w:rtl w:val="true"/>
        </w:rPr>
        <w:t xml:space="preserve">) </w:t>
      </w:r>
      <w:r>
        <w:rPr>
          <w:rtl w:val="true"/>
        </w:rPr>
        <w:t>و وهّابيان‌</w:t>
      </w:r>
      <w:bookmarkEnd w:id="116"/>
    </w:p>
    <w:p>
      <w:pPr>
        <w:pStyle w:val="BookText"/>
        <w:rPr/>
      </w:pPr>
      <w:r>
        <w:rPr>
          <w:rFonts w:ascii="IRNazanin" w:hAnsi="IRNazanin" w:eastAsia="IRNazanin"/>
          <w:color w:val="111111"/>
          <w:sz w:val="28"/>
          <w:sz w:val="28"/>
          <w:szCs w:val="28"/>
          <w:rtl w:val="true"/>
          <w:lang w:bidi="fa-IR"/>
        </w:rPr>
        <w:t xml:space="preserve">جالب آن كه اعتقاد به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مستند و مستدل است كه وهّابيان نيز مجبور به قبول وجود آن منجى شده‌اند و حتّى به اثبات وجود مهدى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ابن‌تيميه </w:t>
      </w:r>
      <w:r>
        <w:rPr>
          <w:rFonts w:eastAsia="IRNazanin" w:cs="IRNazanin"/>
          <w:color w:val="111111"/>
          <w:sz w:val="28"/>
          <w:szCs w:val="28"/>
          <w:rtl w:val="true"/>
          <w:lang w:bidi="fa-IR"/>
        </w:rPr>
        <w:t>(</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فكرى وهّابيّت و پايه‌گذار اعتقادى اين گروه افراطى مى‌نويسد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به خروج مهدى اشاره مى‌كند، احاديث صحيحى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كه از رسول خدا نقل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از عمر دنيا يك روز باقى مانده باشد، خداوند آن روز را آن‌قدر طولانى خواهد كرد تا اين‌كه مردى از من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تعبير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بيت من قيام كند</w:t>
      </w:r>
      <w:r>
        <w:rPr>
          <w:rFonts w:eastAsia="IRNazanin" w:cs="IRNazanin"/>
          <w:color w:val="111111"/>
          <w:sz w:val="28"/>
          <w:szCs w:val="28"/>
          <w:rtl w:val="true"/>
          <w:lang w:bidi="fa-IR"/>
        </w:rPr>
        <w:t>.»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117" w:name="pg95_139"/>
    </w:p>
    <w:p>
      <w:pPr>
        <w:pStyle w:val="BookText"/>
        <w:rPr/>
      </w:pPr>
      <w:bookmarkEnd w:id="117"/>
      <w:r>
        <w:rPr>
          <w:rFonts w:ascii="IRNazanin" w:hAnsi="IRNazanin" w:eastAsia="IRNazanin"/>
          <w:color w:val="111111"/>
          <w:sz w:val="28"/>
          <w:sz w:val="28"/>
          <w:szCs w:val="28"/>
          <w:rtl w:val="true"/>
          <w:lang w:bidi="fa-IR"/>
        </w:rPr>
        <w:t xml:space="preserve">حتّى در اين روزگار نيز رهبران فكرى وهّابيّت، به ظهور آن ولى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بزرگ عربستان عبدالعزيز بن باز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برخى از علماى عصر حاضر، وجود مهدى منتظر را به‌طور كلّى انكار مى‌كنند، قول باطلى است؛ چرا كه احاديث درباره‌ى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آخرالزّمان و اين‌كه او زمين را از عدل و داد پُر مى‌كند پس از آن‌كه از ظلم و ستم پر شده است، احاديثى است كه تواتر معنوى دارد و اين روايات بسيار نقل شده است</w:t>
      </w:r>
      <w:r>
        <w:rPr>
          <w:rFonts w:eastAsia="IRNazanin" w:cs="IRNazanin"/>
          <w:color w:val="111111"/>
          <w:sz w:val="28"/>
          <w:szCs w:val="28"/>
          <w:rtl w:val="true"/>
          <w:lang w:bidi="fa-IR"/>
        </w:rPr>
        <w:t>.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620555_211673320"/>
      <w:bookmarkStart w:id="119" w:name="_Toc45"/>
      <w:bookmarkEnd w:id="118"/>
      <w:r>
        <w:rPr>
          <w:rtl w:val="true"/>
        </w:rPr>
        <w:t xml:space="preserve">انكار وجود حضرت مهدى </w:t>
      </w:r>
      <w:r>
        <w:rPr>
          <w:rtl w:val="true"/>
        </w:rPr>
        <w:t>(</w:t>
      </w:r>
      <w:r>
        <w:rPr>
          <w:rtl w:val="true"/>
        </w:rPr>
        <w:t>ع</w:t>
      </w:r>
      <w:r>
        <w:rPr>
          <w:rtl w:val="true"/>
        </w:rPr>
        <w:t xml:space="preserve">) </w:t>
      </w:r>
      <w:r>
        <w:rPr>
          <w:rtl w:val="true"/>
        </w:rPr>
        <w:t>و اتّهام به آن وجود مقدّس در كتاب‌هاى وهّابيان‌</w:t>
      </w:r>
      <w:bookmarkEnd w:id="11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سرزمين وحى، در اطراف مسجدالحرام و در كنار مسجد زيباى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وهّابيانى كه خود در اثبات وجود مهدى منتظر قلم‌فرسايى مى‌كنند، به زبان فارسى و براى تضعيف اعتقاد شيعيان به وجود آن حجّت الهى، كتابى چاپ و توزيع مى‌كنند كه نه تنها انكار مهدويّت مى‌نمايد </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آن حضرت را متّهم</w:t>
      </w:r>
    </w:p>
    <w:p>
      <w:pPr>
        <w:pStyle w:val="BookText"/>
        <w:rPr/>
      </w:pPr>
      <w:r>
        <w:rPr>
          <w:rFonts w:ascii="IRNazanin" w:hAnsi="IRNazanin" w:eastAsia="IRNazanin"/>
          <w:color w:val="111111"/>
          <w:sz w:val="28"/>
          <w:sz w:val="28"/>
          <w:szCs w:val="28"/>
          <w:rtl w:val="true"/>
          <w:lang w:bidi="fa-IR"/>
        </w:rPr>
        <w:t>مى‌كند كه مى‌خواهد پس از ظهور، قبله را از مكّه به كوفه تغيير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نويسنده‌ى اين دروغ بزرگ و اين اتّهام زشت چنين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مى‌كرديم كه امام قائم، مسجدالحرام را به حالت اصلى‌اش كه در زمان رسول خدا بوده است بازخواهد گرداند ولى بعدها فهميديم كه خير منظور اين است كه آن را خراب مى‌كند و با زمين هموار مى‌نمايد چون كه قبله را به سوى كوفه تغيير جهت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روايت زير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كاشانى 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كوفه خداوند كسى را به اندازه‌ى شما دوست ندارد لذا امتيازاتى را به شما اختصاص داده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مصلّاكم بيت آدم و بيت نوح وبيت ادريس و مصلّى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مصلاى شما خانه آدم و خانه نوح و خانه ادريس و مصلّاى ابراهيم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ولاتذهب الأيّام حتّى ينصب الحجرالأسود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طولى نمى‌كشد كه سرانجام حجرالأسود در آن نصب خواهد شد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اضافه مى‌كند</w:t>
      </w:r>
      <w:r>
        <w:rPr>
          <w:rFonts w:eastAsia="IRNazanin" w:cs="IRNazanin"/>
          <w:color w:val="111111"/>
          <w:sz w:val="28"/>
          <w:szCs w:val="28"/>
          <w:rtl w:val="true"/>
          <w:lang w:bidi="fa-IR"/>
        </w:rPr>
        <w:t>:</w:t>
      </w:r>
      <w:bookmarkStart w:id="120" w:name="pg95_141"/>
    </w:p>
    <w:p>
      <w:pPr>
        <w:pStyle w:val="BookText"/>
        <w:rPr/>
      </w:pPr>
      <w:bookmarkEnd w:id="120"/>
      <w:r>
        <w:rPr>
          <w:rFonts w:ascii="IRNazanin" w:hAnsi="IRNazanin" w:eastAsia="IRNazanin"/>
          <w:color w:val="111111"/>
          <w:sz w:val="28"/>
          <w:sz w:val="28"/>
          <w:szCs w:val="28"/>
          <w:rtl w:val="true"/>
          <w:lang w:bidi="fa-IR"/>
        </w:rPr>
        <w:t>بنابراين منتقل كردن حجرالأسود از مكّه به كوفه و كوفه را مصلّاى آدم و نوح و ادريس و ابراهيم دانستن، دليل بر اين است كه پس از خراب كردن مسجدالحرام، كوفه قبله‌ى نماز تعيين خواهد شد</w:t>
      </w:r>
      <w:r>
        <w:rPr>
          <w:rFonts w:eastAsia="IRNazanin" w:cs="IRNazanin"/>
          <w:color w:val="111111"/>
          <w:sz w:val="28"/>
          <w:szCs w:val="28"/>
          <w:rtl w:val="true"/>
          <w:lang w:bidi="fa-IR"/>
        </w:rPr>
        <w:t>.</w:t>
      </w:r>
    </w:p>
    <w:p>
      <w:pPr>
        <w:pStyle w:val="Heading3"/>
        <w:numPr>
          <w:ilvl w:val="2"/>
          <w:numId w:val="1"/>
        </w:numPr>
        <w:rPr/>
      </w:pPr>
      <w:bookmarkStart w:id="121" w:name="__RefHeading___Toc620557_211673320"/>
      <w:bookmarkStart w:id="122" w:name="_Toc46"/>
      <w:bookmarkEnd w:id="121"/>
      <w:r>
        <w:rPr>
          <w:rtl w:val="true"/>
        </w:rPr>
        <w:t>حقيقت ماجرا در ادّعاى واهىِ تغيير قبله‌</w:t>
      </w:r>
      <w:bookmarkEnd w:id="122"/>
    </w:p>
    <w:p>
      <w:pPr>
        <w:pStyle w:val="BookText"/>
        <w:rPr/>
      </w:pPr>
      <w:r>
        <w:rPr>
          <w:rFonts w:ascii="IRNazanin" w:hAnsi="IRNazanin" w:eastAsia="IRNazanin"/>
          <w:color w:val="111111"/>
          <w:sz w:val="28"/>
          <w:sz w:val="28"/>
          <w:szCs w:val="28"/>
          <w:rtl w:val="true"/>
          <w:lang w:bidi="fa-IR"/>
        </w:rPr>
        <w:t xml:space="preserve">اين‌كه چگونه نويسنده‌ى كتاب از روايت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شيعيان اين است كه در زمان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از مكّه به سوى كوفه تغيير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نه تنها از تغيير قبله سخن نمى‌گويد، بلكه با اشاره به فضيلت مسجد كوفه و با استناد به دانشى كه به تعليم الهى و نبوى آموخته‌اند، بيان مى‌فرمايند كه اين مسجد، منزل‌گاه و محلّ نماز پيامبران بزرگ الهى از جمله حضرت آدم، نوح، ادريس و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بهره‌گيرى از گنجينه‌ى علم غيبى كه خداوند در اختيار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در مقام پيشگويى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حجرالأسود به كوفه خواهد آمد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واقعه نزديك به سيصد سال بعد از آن حضرت، در زمان حكومت قرامطه در سال‌هاى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اتفاق افتاد و اصولًا ربطى به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زمان ظهور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تاريخ، اين واقعه را چنين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سليمان بن حسن بن بهرام جنابى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پدرش حسن 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بحرين، رهبرى دولت قرامطه‌ى اسماعيليه را به دست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سپاه خود را به مكّه برد و كعبه را غارت كردند و حجرالأسود را نيز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كوفه بازگشت و در آن جا پنجاه روز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ساحل بحرين را به تصرف درآورد و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حجرالأسود را به كوفه آورد</w:t>
      </w:r>
      <w:r>
        <w:rPr>
          <w:rFonts w:eastAsia="IRNazanin" w:cs="IRNazanin"/>
          <w:color w:val="111111"/>
          <w:sz w:val="28"/>
          <w:szCs w:val="28"/>
          <w:rtl w:val="true"/>
          <w:lang w:bidi="fa-IR"/>
        </w:rPr>
        <w:t>.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كه علّامه مجلسى پس از ذكر همان حديث، چنين توضيح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حجرالأسود در مسجد كوفه، در زمان قرامطه اتفاق افتاد كه كعبه را خراب كردند و سنگ را به كوفه انتقال دادند</w:t>
      </w:r>
      <w:r>
        <w:rPr>
          <w:rFonts w:eastAsia="IRNazanin" w:cs="IRNazanin"/>
          <w:color w:val="111111"/>
          <w:sz w:val="28"/>
          <w:szCs w:val="28"/>
          <w:rtl w:val="true"/>
          <w:lang w:bidi="fa-IR"/>
        </w:rPr>
        <w:t>. «</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بازگردانده مى‌شود و در مراسمى خاص، در جاى خويش در زاويه‌ى كعبه قرار مى‌گيرد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متأسّفانه نويسنده به جاى توجّه‌دادن مسلمانان به اين خبر غيبى و استفاده از آن در جهت معرّفى اولياى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همانا اميرمؤمنان و فرزندان ايشان عليه السلام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w:t>
      </w:r>
      <w:bookmarkStart w:id="123" w:name="pg95_143"/>
    </w:p>
    <w:p>
      <w:pPr>
        <w:pStyle w:val="BookText"/>
        <w:rPr/>
      </w:pPr>
      <w:bookmarkEnd w:id="123"/>
      <w:r>
        <w:rPr>
          <w:rFonts w:ascii="Amiri" w:hAnsi="Amiri" w:eastAsia="Amiri" w:cs="Amiri"/>
          <w:color w:val="111111"/>
          <w:sz w:val="28"/>
          <w:sz w:val="28"/>
          <w:szCs w:val="28"/>
          <w:rtl w:val="true"/>
          <w:lang w:bidi="ar-SA"/>
        </w:rPr>
        <w:t xml:space="preserve">برداشتى كاملًا شخصى، از حديث سوء استفاده مى‌كند و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متّهم مى‌نمايد كه درصدد تغيير قبله خواهد بود</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620559_211673320"/>
      <w:bookmarkStart w:id="125" w:name="_Toc47"/>
      <w:bookmarkEnd w:id="124"/>
      <w:r>
        <w:rPr>
          <w:rtl w:val="true"/>
        </w:rPr>
        <w:t>خلاصه‌ى سخن‌</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كلام و تحريف معناى حديث اميرمؤمنان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 نويسنده‌ى 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كردن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موعود عدالت گستر جهان به امورى كه واقعيّت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قبله و نصب حجرالأسود در كوفه و تحريف حقايق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 عقيده‌اى باطل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دروغين بودن مهدى موعود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بين زائران بيت اللّه الحرام و مسجد نبوى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عقيده‌اى باطل با آگاهى كامل از بطلان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وهّابيان خود معتقد به وجود مهدى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اما كتابى را به رايگان توزيع مى‌كنند كه درباره‌ى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قلم فرسايى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بجاست كه از توزيع رايگان چنين كتبى آن هم در مكان‌هاى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به عمل آيد كه به يقين، رضايت الهى در اين كار است</w:t>
      </w:r>
      <w:r>
        <w:rPr>
          <w:rFonts w:eastAsia="IRNazanin" w:cs="IRNazanin"/>
          <w:color w:val="111111"/>
          <w:sz w:val="28"/>
          <w:szCs w:val="28"/>
          <w:rtl w:val="true"/>
          <w:lang w:bidi="fa-IR"/>
        </w:rPr>
        <w:t>.</w:t>
      </w:r>
      <w:bookmarkStart w:id="126" w:name="pg95_146"/>
    </w:p>
    <w:p>
      <w:pPr>
        <w:pStyle w:val="Heading2"/>
        <w:numPr>
          <w:ilvl w:val="1"/>
          <w:numId w:val="1"/>
        </w:numPr>
        <w:rPr/>
      </w:pPr>
      <w:bookmarkStart w:id="127" w:name="__RefHeading___Toc620561_211673320"/>
      <w:bookmarkStart w:id="128" w:name="_Toc48"/>
      <w:bookmarkEnd w:id="126"/>
      <w:bookmarkEnd w:id="127"/>
      <w:r>
        <w:rPr>
          <w:rtl w:val="true"/>
        </w:rPr>
        <w:t>فصل پنجم</w:t>
      </w:r>
      <w:bookmarkEnd w:id="128"/>
    </w:p>
    <w:p>
      <w:pPr>
        <w:pStyle w:val="Heading3"/>
        <w:numPr>
          <w:ilvl w:val="2"/>
          <w:numId w:val="1"/>
        </w:numPr>
        <w:rPr/>
      </w:pPr>
      <w:bookmarkStart w:id="129" w:name="__RefHeading___Toc620563_211673320"/>
      <w:bookmarkStart w:id="130" w:name="_Toc49"/>
      <w:bookmarkEnd w:id="129"/>
      <w:r>
        <w:rPr>
          <w:rtl w:val="true"/>
        </w:rPr>
        <w:t>مسلمانان</w:t>
      </w:r>
      <w:bookmarkEnd w:id="130"/>
    </w:p>
    <w:p>
      <w:pPr>
        <w:pStyle w:val="Heading3"/>
        <w:numPr>
          <w:ilvl w:val="2"/>
          <w:numId w:val="1"/>
        </w:numPr>
        <w:rPr/>
      </w:pPr>
      <w:bookmarkStart w:id="131" w:name="__RefHeading___Toc620565_211673320"/>
      <w:bookmarkStart w:id="132" w:name="_Toc50"/>
      <w:bookmarkEnd w:id="131"/>
      <w:r>
        <w:rPr>
          <w:rtl w:val="true"/>
        </w:rPr>
        <w:t>جان مسلمانان محترم است‌</w:t>
      </w:r>
      <w:bookmarkEnd w:id="132"/>
    </w:p>
    <w:p>
      <w:pPr>
        <w:pStyle w:val="BookText"/>
        <w:rPr/>
      </w:pPr>
      <w:r>
        <w:rPr>
          <w:rFonts w:ascii="IRNazanin" w:hAnsi="IRNazanin" w:eastAsia="IRNazanin"/>
          <w:color w:val="111111"/>
          <w:sz w:val="28"/>
          <w:sz w:val="28"/>
          <w:szCs w:val="28"/>
          <w:rtl w:val="true"/>
          <w:lang w:bidi="fa-IR"/>
        </w:rPr>
        <w:t>فطرت پاك خدادادى، جان و مال انسان‌ها را محترم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قطعاً حريم مسلمانان، جايگاهى به مراتب بالاتر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كه دينى فطرى و بر نهاد پاكِ آدمى بنيان نهاده شده، بر اين مهم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خوبى‌ها امر و از بدها نهى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مال و ناموس اهل اسلام، توجّهى خاص و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رفتار بزرگان دين با دشمنان خويش، بهترين گواه بر اين مدّعاست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جاى بسى تأسّف است كه وهّابيان همان‌گونه كه در توحيد، نبوّت،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معانى اسلامى دور افتاده‌اند، ارزش مسلمانى را نيز درك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اين زمينه راهى برخلاف راه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ائمّه‌ى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نمونه‌هاى زير كه براى مقايسه‌ى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وهّابيّت انتخاب شده است، دقّت نماييد</w:t>
      </w:r>
      <w:r>
        <w:rPr>
          <w:rFonts w:eastAsia="IRNazanin" w:cs="IRNazanin"/>
          <w:color w:val="111111"/>
          <w:sz w:val="28"/>
          <w:szCs w:val="28"/>
          <w:rtl w:val="true"/>
          <w:lang w:bidi="fa-IR"/>
        </w:rPr>
        <w:t>:</w:t>
      </w:r>
      <w:bookmarkStart w:id="133" w:name="pg95_147"/>
    </w:p>
    <w:p>
      <w:pPr>
        <w:pStyle w:val="Heading3"/>
        <w:numPr>
          <w:ilvl w:val="2"/>
          <w:numId w:val="1"/>
        </w:numPr>
        <w:rPr/>
      </w:pPr>
      <w:bookmarkStart w:id="134" w:name="__RefHeading___Toc620567_211673320"/>
      <w:bookmarkStart w:id="135" w:name="_Toc51"/>
      <w:bookmarkEnd w:id="133"/>
      <w:bookmarkEnd w:id="134"/>
      <w:r>
        <w:rPr>
          <w:rtl w:val="true"/>
        </w:rPr>
        <w:t>نمونه‌هايى از عطوفت اسلامى‌</w:t>
      </w:r>
      <w:bookmarkEnd w:id="135"/>
    </w:p>
    <w:p>
      <w:pPr>
        <w:pStyle w:val="Heading3"/>
        <w:numPr>
          <w:ilvl w:val="2"/>
          <w:numId w:val="1"/>
        </w:numPr>
        <w:rPr/>
      </w:pPr>
      <w:bookmarkStart w:id="136" w:name="__RefHeading___Toc620569_211673320"/>
      <w:bookmarkStart w:id="137" w:name="_Toc52"/>
      <w:bookmarkEnd w:id="136"/>
      <w:r>
        <w:rPr>
          <w:rtl w:val="true"/>
        </w:rPr>
        <w:t xml:space="preserve">رأفت پيامبر اكرم </w:t>
      </w:r>
      <w:r>
        <w:rPr>
          <w:rtl w:val="true"/>
        </w:rPr>
        <w:t>(</w:t>
      </w:r>
      <w:r>
        <w:rPr>
          <w:rtl w:val="true"/>
        </w:rPr>
        <w:t>ص</w:t>
      </w:r>
      <w:r>
        <w:rPr>
          <w:rtl w:val="true"/>
        </w:rPr>
        <w:t xml:space="preserve">) </w:t>
      </w:r>
      <w:r>
        <w:rPr>
          <w:rtl w:val="true"/>
        </w:rPr>
        <w:t>بر قاتلان خويش‌</w:t>
      </w:r>
      <w:bookmarkEnd w:id="137"/>
    </w:p>
    <w:p>
      <w:pPr>
        <w:pStyle w:val="BookText"/>
        <w:rPr/>
      </w:pPr>
      <w:r>
        <w:rPr>
          <w:rFonts w:ascii="IRNazanin" w:hAnsi="IRNazanin" w:eastAsia="IRNazanin"/>
          <w:color w:val="111111"/>
          <w:sz w:val="28"/>
          <w:sz w:val="28"/>
          <w:szCs w:val="28"/>
          <w:rtl w:val="true"/>
          <w:lang w:bidi="fa-IR"/>
        </w:rPr>
        <w:t xml:space="preserve">در ماجراى جنگ تبوك در سال نهم هجرى در آن زمان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قدرت بود و با فتح مكّه، كلّ شبه جزيره‌ى عربستان را در اختيار داشت، گروهى از اصحاب ايشان به طمع رسيدن به مقام و حكومت، در راه بازگشت از منطقه‌ى تبوك، درصدد بودند در گردنه‌ى كوهى در بين مسير،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ترور كرده و از بالاى كوه به دره افكنند</w:t>
      </w:r>
      <w:r>
        <w:rPr>
          <w:rFonts w:eastAsia="IRNazanin" w:cs="IRNazanin"/>
          <w:color w:val="111111"/>
          <w:sz w:val="28"/>
          <w:szCs w:val="28"/>
          <w:rtl w:val="true"/>
          <w:lang w:bidi="fa-IR"/>
        </w:rPr>
        <w:t>.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به لطف الهى اين ترور، نافرجام ماند و منافقان شناسايى شدند؛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مظهر رحمت بر عالميان است، از كشتن آن‌ها صرف نظر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در اين‌باره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آنان را نخواهم كشت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مردمان بگويند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از جنگ با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بدر، احد و خندق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شد، دست به قتل اصحابش زد، كراهت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رفتار، سيره‌ى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به يگانگى خدا و رسالت من شهادت نمى‌دهند؟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اين افراد مرا نهى كرده است</w:t>
      </w:r>
      <w:r>
        <w:rPr>
          <w:rFonts w:eastAsia="IRNazanin" w:cs="IRNazanin"/>
          <w:color w:val="111111"/>
          <w:sz w:val="28"/>
          <w:szCs w:val="28"/>
          <w:rtl w:val="true"/>
          <w:lang w:bidi="fa-IR"/>
        </w:rPr>
        <w:t>.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رفتارى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ماجراى فتح مكّه نيز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آن‌كه اين شهر را بدون خونريزى فتح كردند، امان عمومى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مكّه قبل از هجرت با آزار فراوان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 آن حضرت را مكدّر و ناراحت مى‌كردند و برخى حتّى با ريختن زباله و فضولات حيوانات بر سر آن حضرت، ايشان را آزرده مى‌ساختند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اينان سه سال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مسلمانان را در شِعب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درّه‌اى در اطراف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سخت زندانى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هجرت نيز مشركان، قصد كشتن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 و در سال‌هاى بعد از هجرت، بارها به جنگ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جنگ احُد آن حضرت را مجروح كردند و دندان ايشان را شكستند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تمامى اين جسارت‌ها سبب نگرديد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قدرت، از ايشان انتقام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w:t>
      </w:r>
      <w:bookmarkStart w:id="138" w:name="pg95_149"/>
    </w:p>
    <w:p>
      <w:pPr>
        <w:pStyle w:val="BookText"/>
        <w:rPr/>
      </w:pPr>
      <w:bookmarkEnd w:id="138"/>
      <w:r>
        <w:rPr>
          <w:rFonts w:ascii="IRNazanin" w:hAnsi="IRNazanin" w:eastAsia="IRNazanin"/>
          <w:color w:val="111111"/>
          <w:sz w:val="28"/>
          <w:sz w:val="28"/>
          <w:szCs w:val="28"/>
          <w:rtl w:val="true"/>
          <w:lang w:bidi="fa-IR"/>
        </w:rPr>
        <w:t>به راستى كه بد همسايگانى براى رسول خدا بوديد؛ برويد كه شما آزاد شدگان‌ايد</w:t>
      </w:r>
      <w:r>
        <w:rPr>
          <w:rFonts w:eastAsia="IRNazanin" w:cs="IRNazanin"/>
          <w:color w:val="111111"/>
          <w:sz w:val="28"/>
          <w:szCs w:val="28"/>
          <w:rtl w:val="true"/>
          <w:lang w:bidi="fa-IR"/>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620571_211673320"/>
      <w:bookmarkStart w:id="140" w:name="_Toc53"/>
      <w:bookmarkEnd w:id="139"/>
      <w:r>
        <w:rPr>
          <w:rtl w:val="true"/>
        </w:rPr>
        <w:t xml:space="preserve">باران رحمت حسينى </w:t>
      </w:r>
      <w:r>
        <w:rPr>
          <w:rtl w:val="true"/>
        </w:rPr>
        <w:t>(</w:t>
      </w:r>
      <w:r>
        <w:rPr>
          <w:rtl w:val="true"/>
        </w:rPr>
        <w:t>ع</w:t>
      </w:r>
      <w:r>
        <w:rPr>
          <w:rtl w:val="true"/>
        </w:rPr>
        <w:t xml:space="preserve">) </w:t>
      </w:r>
      <w:r>
        <w:rPr>
          <w:rtl w:val="true"/>
        </w:rPr>
        <w:t>بر حرّ بن يزيدِ رياحى‌</w:t>
      </w:r>
      <w:bookmarkEnd w:id="140"/>
    </w:p>
    <w:p>
      <w:pPr>
        <w:pStyle w:val="BookText"/>
        <w:rPr/>
      </w:pP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فرمانده‌ى سپاه ابن‌زياد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بار راه را بر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به يك معنا مسبّب تمام حوادث بعدى در كربلا بود، آن هنگام كه پشيمان گرديد بلافاصله توبه‌اش از سوى امام پذيرفته شد و الگويى جاويدان براى گناه‌كاران گرديد تا به هنگام ندامت به درگاه الهى اولياى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وانحاز الحرّبن‌يزيد الَّذى كان جعجع بالحسين إلى الحسين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منى الَّذى كان و قد أتيتك مواسياً لك بنفسى، افترى ذلك لى توبةً ممّا كان منّى؟</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إنّها لك توبة، فابشر، فأنت الحرّ فى الدّنيا و أنت الحرّ فى الآخرة إن شاءاللّه</w:t>
      </w:r>
      <w:r>
        <w:rPr>
          <w:rFonts w:eastAsia="Amiri" w:cs="Amiri" w:ascii="Amiri" w:hAnsi="Amiri"/>
          <w:color w:val="111111"/>
          <w:sz w:val="28"/>
          <w:szCs w:val="28"/>
          <w:rtl w:val="true"/>
          <w:lang w:bidi="ar-SA"/>
        </w:rPr>
        <w:t>.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بن يزيد كه راه را بر امام حسين بسته بود، پيش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من كارى</w:t>
      </w:r>
      <w:bookmarkStart w:id="141" w:name="pg95_150"/>
    </w:p>
    <w:p>
      <w:pPr>
        <w:pStyle w:val="BookText"/>
        <w:rPr/>
      </w:pPr>
      <w:bookmarkEnd w:id="141"/>
      <w:r>
        <w:rPr>
          <w:rFonts w:ascii="IRNazanin" w:hAnsi="IRNazanin" w:eastAsia="IRNazanin"/>
          <w:color w:val="111111"/>
          <w:sz w:val="28"/>
          <w:sz w:val="28"/>
          <w:szCs w:val="28"/>
          <w:rtl w:val="true"/>
          <w:lang w:bidi="fa-IR"/>
        </w:rPr>
        <w:t>سر زد و اكنون آمده‌ام تا جان خود را فداى تو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معتقدى كه اين جانبازى موجب پذيرفته‌شدن توبه‌ى من خواهد بود؟</w:t>
      </w:r>
    </w:p>
    <w:p>
      <w:pPr>
        <w:pStyle w:val="BookText"/>
        <w:rPr/>
      </w:pPr>
      <w:r>
        <w:rPr>
          <w:rFonts w:ascii="IRNazanin" w:hAnsi="IRNazanin" w:eastAsia="IRNazanin"/>
          <w:color w:val="111111"/>
          <w:sz w:val="28"/>
          <w:sz w:val="28"/>
          <w:szCs w:val="28"/>
          <w:rtl w:val="true"/>
          <w:lang w:bidi="fa-IR"/>
        </w:rPr>
        <w:t>امام حسين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 توبه‌ى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مژده باد كه تو به خواست خداوند در دنيا و آخرت آزادى</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آرى، سيّدالشّهداء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جمله‌اى در نكوهش او نفرمودند، بلكه او را ستوده و بشارت دادند</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620573_211673320"/>
      <w:bookmarkStart w:id="143" w:name="_Toc54"/>
      <w:bookmarkEnd w:id="142"/>
      <w:r>
        <w:rPr>
          <w:rtl w:val="true"/>
        </w:rPr>
        <w:t>وهّابيان، مكّه‌و مدينه را بستر تفرقه كرده‌اند</w:t>
      </w:r>
      <w:bookmarkEnd w:id="14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كمال تأسّف، وهّابيان به جاى قدم گذاردن در وادى اسلام و پيروى از اولياى الهى، هم‌چون خوارج شده‌اند و هر كس را كه به اعتقاد آن‌ها معتقد نباشد با عنوان و برچسب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مى‌رانند و مال و جان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هدررفته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 كه اين پايان ماجرا نيست و معتقدند چنين مشركانى بايد از صفحه‌ى روزگار حذف گردند تا اسلامِ ظاهرى وهّابيان كه روح عطوفت در كالبد آن نيست، ترويج گردد</w:t>
      </w:r>
      <w:r>
        <w:rPr>
          <w:rFonts w:eastAsia="IRNazanin" w:cs="IRNazanin"/>
          <w:color w:val="111111"/>
          <w:sz w:val="28"/>
          <w:szCs w:val="28"/>
          <w:rtl w:val="true"/>
          <w:lang w:bidi="fa-IR"/>
        </w:rPr>
        <w:t>.</w:t>
      </w:r>
      <w:bookmarkStart w:id="144" w:name="pg95_151"/>
    </w:p>
    <w:p>
      <w:pPr>
        <w:pStyle w:val="BookText"/>
        <w:rPr/>
      </w:pPr>
      <w:bookmarkEnd w:id="144"/>
      <w:r>
        <w:rPr>
          <w:rFonts w:ascii="IRNazanin" w:hAnsi="IRNazanin" w:eastAsia="IRNazanin"/>
          <w:color w:val="111111"/>
          <w:sz w:val="28"/>
          <w:sz w:val="28"/>
          <w:szCs w:val="28"/>
          <w:rtl w:val="true"/>
          <w:lang w:bidi="fa-IR"/>
        </w:rPr>
        <w:t>مشرك خواندن مسلمانان، دست‌مايه‌ى فتواهاى فراوانى نزد وهّابيّت عربستان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انتشار كتاب‌ها و جزوات، اين عقيده‌ى مسموم را ترويج مى‌كنند و خون چنين مشركانى را مباح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افسوس كه در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مأجور نيز مى‌بينند و مستحقّ پاداش و اجر اخروى مى‌دانند</w:t>
      </w:r>
      <w:r>
        <w:rPr>
          <w:rFonts w:eastAsia="IRNazanin" w:cs="IRNazanin"/>
          <w:color w:val="111111"/>
          <w:sz w:val="28"/>
          <w:szCs w:val="28"/>
          <w:rtl w:val="true"/>
          <w:lang w:bidi="fa-IR"/>
        </w:rPr>
        <w:t>.</w:t>
      </w:r>
    </w:p>
    <w:p>
      <w:pPr>
        <w:pStyle w:val="Heading3"/>
        <w:numPr>
          <w:ilvl w:val="2"/>
          <w:numId w:val="1"/>
        </w:numPr>
        <w:rPr/>
      </w:pPr>
      <w:bookmarkStart w:id="145" w:name="__RefHeading___Toc620575_211673320"/>
      <w:bookmarkStart w:id="146" w:name="_Toc55"/>
      <w:bookmarkEnd w:id="145"/>
      <w:r>
        <w:rPr>
          <w:rtl w:val="true"/>
        </w:rPr>
        <w:t>برچسبى به نام شرك‌</w:t>
      </w:r>
      <w:bookmarkEnd w:id="1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هيچ كس جايز نيست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نيازمندى‌هاى خويش را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خواستن چنين امورى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است</w:t>
      </w:r>
      <w:r>
        <w:rPr>
          <w:rFonts w:eastAsia="IRNazanin" w:cs="IRNazanin"/>
          <w:color w:val="111111"/>
          <w:sz w:val="28"/>
          <w:szCs w:val="28"/>
          <w:rtl w:val="true"/>
          <w:lang w:bidi="fa-IR"/>
        </w:rPr>
        <w:t>.» «</w:t>
      </w:r>
      <w:r>
        <w:rPr>
          <w:rStyle w:val="FootnoteAnchor"/>
          <w:rtl w:val="true"/>
        </w:rPr>
        <w:footnoteReference w:id="6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عبدالعزيز بن عبداللّه 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مفتى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بيشترى در اين زمينه مى‌دهد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أشد من هذه المنكرات و أعظم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الأموات والاستغاثة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ان يشفعوا لداعيهم عنداللّه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الشِّرك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الأكبر الَّذي حرّمه اللّه</w:t>
      </w:r>
      <w:r>
        <w:rPr>
          <w:rFonts w:eastAsia="Amiri" w:cs="Amiri" w:ascii="Amiri" w:hAnsi="Amiri"/>
          <w:color w:val="111111"/>
          <w:sz w:val="28"/>
          <w:szCs w:val="28"/>
          <w:rtl w:val="true"/>
          <w:lang w:bidi="ar-SA"/>
        </w:rPr>
        <w:t>.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شديدترين زشتى‌ها و بزرگترين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مردگان و پناه بردن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اميد به اين كه آن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اصلى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ائمّه‌ى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احد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ايشان را شفاعت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شرك اكبر و بزرگ‌تر است كه خداوند آن را حرام كرده است</w:t>
      </w:r>
      <w:r>
        <w:rPr>
          <w:rFonts w:eastAsia="IRNazanin" w:cs="IRNazanin"/>
          <w:color w:val="111111"/>
          <w:sz w:val="28"/>
          <w:szCs w:val="28"/>
          <w:rtl w:val="true"/>
          <w:lang w:bidi="fa-IR"/>
        </w:rPr>
        <w:t>.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آخر همين عالم بزرگ و تأثيرگذار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 بن‌باز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بفهمد چه مى‌گويد و آن‌چه مى‌گويد چه تأثيرى خواهد داشت </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قتل اين معتقدان به شرك اكبر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 صادر مى‌كند</w:t>
      </w:r>
      <w:r>
        <w:rPr>
          <w:rFonts w:eastAsia="Amiri" w:cs="Amiri" w:ascii="Amiri" w:hAnsi="Amiri"/>
          <w:color w:val="111111"/>
          <w:sz w:val="28"/>
          <w:szCs w:val="28"/>
          <w:rtl w:val="true"/>
          <w:lang w:bidi="ar-SA"/>
        </w:rPr>
        <w:t>:</w:t>
      </w:r>
      <w:bookmarkStart w:id="147" w:name="pg95_153"/>
    </w:p>
    <w:p>
      <w:pPr>
        <w:pStyle w:val="BookText"/>
        <w:rPr/>
      </w:pPr>
      <w:bookmarkEnd w:id="147"/>
      <w:r>
        <w:rPr>
          <w:rFonts w:ascii="IRNazanin" w:hAnsi="IRNazanin" w:eastAsia="IRNazanin"/>
          <w:color w:val="111111"/>
          <w:sz w:val="28"/>
          <w:sz w:val="28"/>
          <w:szCs w:val="28"/>
          <w:rtl w:val="true"/>
          <w:lang w:bidi="fa-IR"/>
        </w:rPr>
        <w:t xml:space="preserve">بر سلطان و حاكم واجب است آن كس را كه به شرك اكبر شناخته مى‌شود توبه دهد و اگر توبه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شرك پاك شده است و مشكلى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بايد كشته شود</w:t>
      </w:r>
      <w:r>
        <w:rPr>
          <w:rFonts w:eastAsia="IRNazanin" w:cs="IRNazanin"/>
          <w:color w:val="111111"/>
          <w:sz w:val="28"/>
          <w:szCs w:val="28"/>
          <w:rtl w:val="true"/>
          <w:lang w:bidi="fa-IR"/>
        </w:rPr>
        <w:t>.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ديدگاه، چه جايى براى وحدت مسلمانان باقى خواهد ماند</w:t>
      </w:r>
      <w:r>
        <w:rPr>
          <w:rFonts w:eastAsia="IRNazanin" w:cs="IRNazanin"/>
          <w:color w:val="111111"/>
          <w:sz w:val="28"/>
          <w:szCs w:val="28"/>
          <w:rtl w:val="true"/>
          <w:lang w:bidi="fa-IR"/>
        </w:rPr>
        <w:t>!</w:t>
      </w:r>
    </w:p>
    <w:p>
      <w:pPr>
        <w:pStyle w:val="Heading3"/>
        <w:numPr>
          <w:ilvl w:val="2"/>
          <w:numId w:val="1"/>
        </w:numPr>
        <w:rPr/>
      </w:pPr>
      <w:bookmarkStart w:id="148" w:name="__RefHeading___Toc620577_211673320"/>
      <w:bookmarkStart w:id="149" w:name="_Toc56"/>
      <w:bookmarkEnd w:id="148"/>
      <w:r>
        <w:rPr>
          <w:rtl w:val="true"/>
        </w:rPr>
        <w:t>نتايج سخنان افسارگسيخته</w:t>
      </w:r>
      <w:r>
        <w:rPr>
          <w:rtl w:val="true"/>
        </w:rPr>
        <w:t>:</w:t>
      </w:r>
      <w:bookmarkEnd w:id="149"/>
    </w:p>
    <w:p>
      <w:pPr>
        <w:pStyle w:val="Heading3"/>
        <w:numPr>
          <w:ilvl w:val="2"/>
          <w:numId w:val="1"/>
        </w:numPr>
        <w:rPr/>
      </w:pPr>
      <w:bookmarkStart w:id="150" w:name="__RefHeading___Toc620579_211673320"/>
      <w:bookmarkStart w:id="151" w:name="_Toc57"/>
      <w:bookmarkEnd w:id="150"/>
      <w:r>
        <w:rPr>
          <w:rtl w:val="true"/>
        </w:rPr>
        <w:t>خشونت در پى خشونت‌</w:t>
      </w:r>
      <w:bookmarkEnd w:id="151"/>
    </w:p>
    <w:p>
      <w:pPr>
        <w:pStyle w:val="BookText"/>
        <w:rPr/>
      </w:pPr>
      <w:r>
        <w:rPr>
          <w:rFonts w:ascii="IRNazanin" w:hAnsi="IRNazanin" w:eastAsia="IRNazanin"/>
          <w:color w:val="111111"/>
          <w:sz w:val="28"/>
          <w:sz w:val="28"/>
          <w:szCs w:val="28"/>
          <w:rtl w:val="true"/>
          <w:lang w:bidi="fa-IR"/>
        </w:rPr>
        <w:t>با كمال تأسّف اين فتواهاى به ظاهر شرعى و افسارگسيخته كه در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اصلى وحدت تمامى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 در گوشه و كنار جهان اسلام به صورت عملى نيز اجرا گرديده و مى‌گردد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گروهك سپاه صحابه در پاكستان، القاعده و طالبان در افغانستان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حمايت مادّى و معنوى وهّابيان تغذيه مى‌شوند بر اساس چنين اعتقادها و بر مبناى</w:t>
      </w:r>
    </w:p>
    <w:p>
      <w:pPr>
        <w:pStyle w:val="BookText"/>
        <w:rPr/>
      </w:pPr>
      <w:r>
        <w:rPr>
          <w:rFonts w:ascii="IRNazanin" w:hAnsi="IRNazanin" w:eastAsia="IRNazanin"/>
          <w:color w:val="111111"/>
          <w:sz w:val="28"/>
          <w:sz w:val="28"/>
          <w:szCs w:val="28"/>
          <w:rtl w:val="true"/>
          <w:lang w:bidi="fa-IR"/>
        </w:rPr>
        <w:t>اين‌گونه فتاوا به اعمالى دست زدند كه با مشاهده‌ى آن، براى بينندگان، از اسلام جز ترور، قتل و جنايت مفهوم ديگرى برداشت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جاويد پاراچه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رهبران 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هوادار انجمن سپاه صحابه، بايد هزينه‌ى ازدواج خود را صرف خريد سلاح كرده و با قتل شيعيان، به همسران آن‌ها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هفته‌نامه‌ى كيهان هوايى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حمله‌ى افراد مسلح به دو مسجد در كراچى و به شهادت رسيدن بيست نمازگزار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مهاجم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بر يك وانت، اجتماع حدود چهل شيعه را به رگبار 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ايران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دوازده تن از شيعيان كابل به بدترين وجه مُثله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كيهان هوايى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طالبان هم‌چنين غنيمت گرفتن زنان شيعه را نيز آزاد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روزنامه‌ى زن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گروه طالبان پس از تصرّف مزار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شهرهاى شيعه‌نشين 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زيادى زن و دختر جوان را از بين زنان و دختران انتخاب كرده و به عنوان كنيز به همراه خود برده و بقيّه‌ى آنان را به شهرهاى مختلف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روزنامه‌ى قدس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محمّد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فتوايى صادر كرده است كه كشتن شيعيان جنايت نيست؛ چون آن‌ها كافر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روزنامه‌ى زن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طالبان وارد حسينيّه‌هاى شيعيان شده، عَلَم‌ها را شكستند و به مقدّسات توهين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شيعيان را با پارچه‌هاى سياهى كه حسينيّه‌ها با آن پوشش داده شده بود بستند و سپس آنان را تيرباران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هفته‌نامه‌ى عاشورا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با برچيده شدن پايگاه وهّابيّت در پاكستان و افغانستان، اينك اين خشونت‌ها در عراق و اردن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پى‌گيرى مى‌شود و هر روز شاهد حمله‌ى گروه‌هاى افراطى وهّابى تحت رهبرى امثال اسامه بن لادن، ايمن الظّواهرى، ابومُصْعب زرقاوى و ديگر رؤساى بلندپايه‌ى القاعده هستيم كه حتّى به برادران اهل تسنّن نيز رحم نمى‌كنند و با حملات انتحارى، انسان‌هاى بى‌گناه و مسلمان و به خصوص زائران حرم مطهّر ائمّه‌ى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نمازگزاران مساجد و اجتماع شيعيان را در عزادارى‌ها و مراسم مذهبى به خاك و خون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با چنين طرز تفكّر و رفتارى، آيا از مسلمانى نشانى باقى خواهد ماند؟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فطرت‌هاى پاك، با اين نحوه‌ى برخورد به سوى اسلام گرايش پيدا مى‌كنند؟ آيا حج كه جايگاه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ترويج چنين عقايد و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تفرقه نخواهد شد؟</w:t>
      </w:r>
      <w:bookmarkStart w:id="152" w:name="pg95_156"/>
    </w:p>
    <w:p>
      <w:pPr>
        <w:pStyle w:val="Heading3"/>
        <w:numPr>
          <w:ilvl w:val="2"/>
          <w:numId w:val="1"/>
        </w:numPr>
        <w:rPr/>
      </w:pPr>
      <w:bookmarkStart w:id="153" w:name="__RefHeading___Toc620581_211673320"/>
      <w:bookmarkStart w:id="154" w:name="_Toc58"/>
      <w:bookmarkEnd w:id="152"/>
      <w:bookmarkEnd w:id="153"/>
      <w:r>
        <w:rPr>
          <w:rtl w:val="true"/>
        </w:rPr>
        <w:t>تحريف معناى اجماع مسلمانان و دروغى بزرگ براى مباح كردن خون مسلمانان‌</w:t>
      </w:r>
      <w:bookmarkEnd w:id="154"/>
    </w:p>
    <w:p>
      <w:pPr>
        <w:pStyle w:val="BookText"/>
        <w:rPr/>
      </w:pPr>
      <w:r>
        <w:rPr>
          <w:rFonts w:ascii="IRNazanin" w:hAnsi="IRNazanin" w:eastAsia="IRNazanin"/>
          <w:color w:val="111111"/>
          <w:sz w:val="28"/>
          <w:sz w:val="28"/>
          <w:szCs w:val="28"/>
          <w:rtl w:val="true"/>
          <w:lang w:bidi="fa-IR"/>
        </w:rPr>
        <w:t>طرز فكر اشتباه، يك خطا است؛ امّا دروغ‌پراكنى براى اثبات اين طرز فكرِ اشتباه، خطاى بزرگترى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بار ديگر مدّعيان اين ادّعاى كذب، نظر خود را نظر همه‌ى مسلمانان بدانند كه در اين صورت، تمام اهل اسلام را آلوده به آن اعتقاد باطل جلوه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رفتار از سوى سياستمداران و كسانى كه هدف را توجيه‌گر وسيله مى‌دانند، به خوبى اعمال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تبليغات هيتلر براى گسترش عقايد جنگ‌طلبانه‌ى خويش و ديگر رهبران آلمان نازى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هرچه بزرگ‌تر باشد و در سطح وسيع‌ترى پخش گردد، راحت‌تر پذيرفته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وهّابيان به جاى پيروى از رهبران اسلام و اولياى الهى، امثال گوبلز را الگو قرار داده‌اند و از اين ترفند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نه تنها دروغ‌سازى مى‌كنند بلكه آن دروغ را به تمامى مسلمانان و عالمان دين اسلام نسبت مى‌دهند و آن را اجماع مسلمانان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كتاب‌هايى كه در ايّام حج توزيع مى‌شود، چنين آمده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بين خود و خداوند متعال واسطه‌ها قرار</w:t>
      </w:r>
    </w:p>
    <w:p>
      <w:pPr>
        <w:pStyle w:val="BookText"/>
        <w:rPr/>
      </w:pPr>
      <w:r>
        <w:rPr>
          <w:rFonts w:ascii="Amiri" w:hAnsi="Amiri" w:eastAsia="Amiri" w:cs="Amiri"/>
          <w:color w:val="111111"/>
          <w:sz w:val="28"/>
          <w:sz w:val="28"/>
          <w:szCs w:val="28"/>
          <w:rtl w:val="true"/>
          <w:lang w:bidi="ar-SA"/>
        </w:rPr>
        <w:t xml:space="preserve">دهد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آن‌ها شفاعت خواسته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اجماع امّت كافر مى‌شود</w:t>
      </w:r>
      <w:r>
        <w:rPr>
          <w:rFonts w:eastAsia="Amiri" w:cs="Amiri" w:ascii="Amiri" w:hAnsi="Amiri"/>
          <w:color w:val="111111"/>
          <w:sz w:val="28"/>
          <w:szCs w:val="28"/>
          <w:rtl w:val="true"/>
          <w:lang w:bidi="ar-SA"/>
        </w:rPr>
        <w:t>.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كتاب ديگرى چنين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 كه بين خود و بين خدا واسطه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شفاعت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اشخاصى، اجماع علما و دانشمندان اسلام بر كفر آنان است</w:t>
      </w:r>
      <w:r>
        <w:rPr>
          <w:rFonts w:eastAsia="IRNazanin" w:cs="IRNazanin"/>
          <w:color w:val="111111"/>
          <w:sz w:val="28"/>
          <w:szCs w:val="28"/>
          <w:rtl w:val="true"/>
          <w:lang w:bidi="fa-IR"/>
        </w:rPr>
        <w:t>.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مى‌بينيم وهّابيان ادّعا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شفاعت‌خواهى نزد بارگاه اولياى الهى و حتّى شخص رسول خدا و ائمّه‌ى بقيع، شرك اكبر است و چنين عملى از هر فردى سر بزند، به اجماع دانشمندان مسلمان و امّت اسلام كافر خواهد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اجماع ياد شده در كجا تحقّق يافته روشن نيست؛ چرا كه اوّلًا ميليون‌ها شيعه جزو امّت اسلام هستند و معتقدند نه تنها توسّل به نبى مكرّم اسلام و شفاعت‌خواهى از او شرك اكبر نيست، بلكه از بهترين اعمالى است كه يك زائر مى‌تواند در سفر حج انجام دهد كه در كمال تأسّف اين مطلب، در كتبى كه به رايگان در سفرهاى حج و عمره توزيع مى‌شود، مورد تخطئه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چنين كتاب‌هايى نه</w:t>
      </w:r>
      <w:bookmarkStart w:id="155" w:name="pg95_158"/>
    </w:p>
    <w:p>
      <w:pPr>
        <w:pStyle w:val="BookText"/>
        <w:rPr/>
      </w:pPr>
      <w:bookmarkEnd w:id="155"/>
      <w:r>
        <w:rPr>
          <w:rFonts w:ascii="IRNazanin" w:hAnsi="IRNazanin" w:eastAsia="IRNazanin"/>
          <w:color w:val="111111"/>
          <w:sz w:val="28"/>
          <w:sz w:val="28"/>
          <w:szCs w:val="28"/>
          <w:rtl w:val="true"/>
          <w:lang w:bidi="fa-IR"/>
        </w:rPr>
        <w:t>تنها با اعتقاد شيعيان ناسازگار است بلكه با چهار فرقه‌ى اهل تسنّن نيز سنخيّت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به بررسى ديدگاه مذاهب چهارگانه‌ى سنّيان مى‌پردازيم</w:t>
      </w:r>
      <w:r>
        <w:rPr>
          <w:rFonts w:eastAsia="IRNazanin" w:cs="IRNazanin"/>
          <w:color w:val="111111"/>
          <w:sz w:val="28"/>
          <w:szCs w:val="28"/>
          <w:rtl w:val="true"/>
          <w:lang w:bidi="fa-IR"/>
        </w:rPr>
        <w:t>:</w:t>
      </w:r>
    </w:p>
    <w:p>
      <w:pPr>
        <w:pStyle w:val="Heading3"/>
        <w:numPr>
          <w:ilvl w:val="2"/>
          <w:numId w:val="1"/>
        </w:numPr>
        <w:rPr/>
      </w:pPr>
      <w:bookmarkStart w:id="156" w:name="__RefHeading___Toc620583_211673320"/>
      <w:bookmarkStart w:id="157" w:name="_Toc59"/>
      <w:bookmarkEnd w:id="156"/>
      <w:r>
        <w:rPr>
          <w:rtl w:val="true"/>
        </w:rPr>
        <w:t>زيارت و شفاعت</w:t>
      </w:r>
      <w:r>
        <w:rPr>
          <w:rtl w:val="true"/>
        </w:rPr>
        <w:t>:</w:t>
      </w:r>
      <w:bookmarkEnd w:id="157"/>
    </w:p>
    <w:p>
      <w:pPr>
        <w:pStyle w:val="Heading3"/>
        <w:numPr>
          <w:ilvl w:val="2"/>
          <w:numId w:val="1"/>
        </w:numPr>
        <w:rPr/>
      </w:pPr>
      <w:bookmarkStart w:id="158" w:name="__RefHeading___Toc620585_211673320"/>
      <w:bookmarkStart w:id="159" w:name="_Toc60"/>
      <w:bookmarkEnd w:id="158"/>
      <w:r>
        <w:rPr>
          <w:rtl w:val="true"/>
        </w:rPr>
        <w:t>اختلاف ديدگاه اهل‌تسنّن با وهّابيان‌</w:t>
      </w:r>
      <w:bookmarkEnd w:id="159"/>
    </w:p>
    <w:p>
      <w:pPr>
        <w:pStyle w:val="BookText"/>
        <w:rPr/>
      </w:pPr>
      <w:r>
        <w:rPr>
          <w:rFonts w:ascii="IRNazanin" w:hAnsi="IRNazanin" w:eastAsia="IRNazanin"/>
          <w:color w:val="111111"/>
          <w:sz w:val="28"/>
          <w:sz w:val="28"/>
          <w:szCs w:val="28"/>
          <w:rtl w:val="true"/>
          <w:lang w:bidi="fa-IR"/>
        </w:rPr>
        <w:t xml:space="preserve">برخلاف آن‌چه وهّابيان ادّعا كرده‌اند،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شفاعت‌خواهى از آن وجود مقدّس، مورد قبول و احترام تمامى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اين‌باره، در كتابى كه فقه مذاهب چهارگانه‌ى سنّيان را مقايسه كرده است، چنين مى‌خوانيم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ان زيارة قبر المصطفى من أعظم القرب و أجلها شأناً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فيقف عند رأسه الشريف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و رحمة اللّه و بركاته أشهد أنّك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يبلغه سلام مَنْ اوصاه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من فلان بن فلان يستشفع بك إلى ربّك فاشفع له و لجميع المسلمين</w:t>
      </w:r>
      <w:r>
        <w:rPr>
          <w:rFonts w:eastAsia="Amiri" w:cs="Amiri" w:ascii="Amiri" w:hAnsi="Amiri"/>
          <w:color w:val="111111"/>
          <w:sz w:val="28"/>
          <w:szCs w:val="28"/>
          <w:rtl w:val="true"/>
          <w:lang w:bidi="ar-SA"/>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 نيست كه زيارت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مصطفى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بزرگ‌ترين راه‌هاى نزديكى به رحمت خداوند است و شأن اين زيارت نيز بسيار والاست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بالاى سر مبارك رو به قبله بايست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مى‌دهم كه تو رسول خدايى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هر كس را كه به تو سفارش كرده است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رسول خدا از فلان پسر فلان كه از تو طلب شفاعت مى‌كند به سوى پروردگارت؛ پس او را شفاعت كن و تمام مسلمانان را نيز شفاعت 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اعتقاد، اعتقاد عموم اهل تسنّن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قاضى عياض از علماى سنّى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مالك بن انس، بزرگ مالكيان در پاسخ خليفه‌ى عبّاسى كه سؤال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حاجت‌خواهى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كنم يا رو به‌سوى رسول خدا آورم؟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سوى رسول خدا كن و از او شفاعت بخواه تا خدا تو را شفاعت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نشنيده‌اى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اگر آنان كه به گناه بر خود ستم كردند، به نزد تو مى‌آمدند كه براى آنان از خدا طلب بخشش كنى و تو بر ايشان استغفار مى‌كردى، به تحقيق كه خداوند را پذيرنده‌ى توبه و مهربان مى‌يافتند</w:t>
      </w:r>
      <w:r>
        <w:rPr>
          <w:rFonts w:eastAsia="IRNazanin" w:cs="IRNazanin"/>
          <w:color w:val="111111"/>
          <w:sz w:val="28"/>
          <w:szCs w:val="28"/>
          <w:rtl w:val="true"/>
          <w:lang w:bidi="fa-IR"/>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شرنبلالى حنفى در كتاب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p>
    <w:p>
      <w:pPr>
        <w:pStyle w:val="BookText"/>
        <w:rPr/>
      </w:pPr>
      <w:r>
        <w:rPr>
          <w:rFonts w:ascii="IRNazanin" w:hAnsi="IRNazanin" w:eastAsia="IRNazanin"/>
          <w:color w:val="111111"/>
          <w:sz w:val="28"/>
          <w:sz w:val="28"/>
          <w:szCs w:val="28"/>
          <w:rtl w:val="true"/>
          <w:lang w:bidi="fa-IR"/>
        </w:rPr>
        <w:t xml:space="preserve">زيارت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سفارش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بر تو اى آقاى من، اى رسول خدا، سلام بر تو اى نبىّ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از راه دور آمده‌ام به قصد زيارت تو براى اين‌كه به شفاعت شما نائل شوم </w:t>
      </w:r>
      <w:r>
        <w:rPr>
          <w:rFonts w:eastAsia="Amiri" w:cs="Amiri" w:ascii="Amiri" w:hAnsi="Amiri"/>
          <w:color w:val="111111"/>
          <w:sz w:val="28"/>
          <w:szCs w:val="28"/>
          <w:rtl w:val="true"/>
          <w:lang w:bidi="ar-SA"/>
        </w:rPr>
        <w:t>... «</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عَدْوِى حَمزاوى مالكى در همين زمينه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بهترين آن‌چه در اين مكان شريف مى‌توان گفت،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ما ميهمان و زائرين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آمديم براى اين كه حقّ تو را به‌جاى آوريم و با زيارتت متبرّك شويم و از تو طلب شفاعت كنيم؛ از آن‌چه كه پشت ما را خميده است و قلبمان را تاريك كرده است</w:t>
      </w:r>
      <w:r>
        <w:rPr>
          <w:rFonts w:eastAsia="IRNazanin" w:cs="IRNazanin"/>
          <w:color w:val="111111"/>
          <w:sz w:val="28"/>
          <w:szCs w:val="28"/>
          <w:rtl w:val="true"/>
          <w:lang w:bidi="fa-IR"/>
        </w:rPr>
        <w:t>. «</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اين چنين در مدارك سنّيان به فراوانى يافت مى‌شود و نشان مى‌دهد كه اهل تسنّن توسّل و شفاعت را از اعتقادهاى راستين مى‌شمرند و بر اين نكته اجماع 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كسانى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الحَرمينِ الشّريفين؛ خدمت‌گزار دو حرم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انتظار مى‌رود كه اگر مسلمانى را دشمن خويش مى‌دانند، حدّاقلِ انصاف و حق‌مدارى را درباره‌ى او رعايت كنند و با استدلال منطقى و قرآنى به نقد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w:t>
      </w:r>
      <w:bookmarkStart w:id="160" w:name="pg95_161"/>
    </w:p>
    <w:p>
      <w:pPr>
        <w:pStyle w:val="BookText"/>
        <w:rPr/>
      </w:pPr>
      <w:bookmarkEnd w:id="160"/>
      <w:r>
        <w:rPr>
          <w:rFonts w:ascii="IRNazanin" w:hAnsi="IRNazanin" w:eastAsia="IRNazanin"/>
          <w:color w:val="111111"/>
          <w:sz w:val="28"/>
          <w:sz w:val="28"/>
          <w:szCs w:val="28"/>
          <w:rtl w:val="true"/>
          <w:lang w:bidi="fa-IR"/>
        </w:rPr>
        <w:t>صاحب كعبه ايجاب مى‌كند كه از نشر سخنان غير واقعى، آن هم عليه گروهى از مسلمانان خوددارى شود و با عناوينى مانند شرك و كفر، مسلمانان و به خصوص شيعيان متّهم نشوند</w:t>
      </w:r>
      <w:r>
        <w:rPr>
          <w:rFonts w:eastAsia="IRNazanin" w:cs="IRNazanin"/>
          <w:color w:val="111111"/>
          <w:sz w:val="28"/>
          <w:szCs w:val="28"/>
          <w:rtl w:val="true"/>
          <w:lang w:bidi="fa-IR"/>
        </w:rPr>
        <w:t>.</w:t>
      </w:r>
    </w:p>
    <w:p>
      <w:pPr>
        <w:pStyle w:val="Heading3"/>
        <w:numPr>
          <w:ilvl w:val="2"/>
          <w:numId w:val="1"/>
        </w:numPr>
        <w:rPr/>
      </w:pPr>
      <w:bookmarkStart w:id="161" w:name="__RefHeading___Toc620587_211673320"/>
      <w:bookmarkStart w:id="162" w:name="_Toc61"/>
      <w:bookmarkEnd w:id="161"/>
      <w:r>
        <w:rPr>
          <w:rtl w:val="true"/>
        </w:rPr>
        <w:t>خلاصه‌ى سخن‌</w:t>
      </w:r>
      <w:bookmarkEnd w:id="1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و واسطه قرار دادن نبى مكرم اسلام و شفاعت‌خواهى از اولياى الهى، اعتقادِ عموم شيعه و اهل تسنّن است و تنها وهّابيان با اين اعتقاد مخالف‌اند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وهّابيان توسّل و شفاعت را شرك اكبر مى‌دانند و ادّعا مى‌كنند كه اين اعتقادِ غلط، اعتقاد تمامى مسلمانان است؛ در حالى كه اين ادّعا مخصوص آن‌هاست و نه كس ديگر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وهّابيان دو اصل مهم توسّل و شفاعت را كه از اركان اسلام است قبول ندارند و معناى اجماع و اجتماع مسلمانان را تحريف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اعتقادات را در تيراژ ميليونى به رايگان در بين زائران منتشر مى‌كنند</w:t>
      </w:r>
      <w:r>
        <w:rPr>
          <w:rFonts w:eastAsia="IRNazanin" w:cs="IRNazanin"/>
          <w:color w:val="111111"/>
          <w:sz w:val="28"/>
          <w:szCs w:val="28"/>
          <w:rtl w:val="true"/>
          <w:lang w:bidi="fa-IR"/>
        </w:rPr>
        <w:t>.</w:t>
      </w:r>
    </w:p>
    <w:p>
      <w:pPr>
        <w:pStyle w:val="Heading3"/>
        <w:numPr>
          <w:ilvl w:val="2"/>
          <w:numId w:val="1"/>
        </w:numPr>
        <w:rPr/>
      </w:pPr>
      <w:bookmarkStart w:id="163" w:name="__RefHeading___Toc620589_211673320"/>
      <w:bookmarkStart w:id="164" w:name="_Toc62"/>
      <w:bookmarkEnd w:id="163"/>
      <w:r>
        <w:rPr>
          <w:rtl w:val="true"/>
        </w:rPr>
        <w:t xml:space="preserve">تحريف معناى </w:t>
      </w:r>
      <w:r>
        <w:rPr>
          <w:rtl w:val="true"/>
        </w:rPr>
        <w:t>«</w:t>
      </w:r>
      <w:r>
        <w:rPr>
          <w:rtl w:val="true"/>
        </w:rPr>
        <w:t>تمامى مسلمانان</w:t>
      </w:r>
      <w:r>
        <w:rPr>
          <w:rtl w:val="true"/>
        </w:rPr>
        <w:t>»</w:t>
      </w:r>
      <w:bookmarkEnd w:id="1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ديديم وهّابيان عقايدى را در كتب خويش به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مى‌دهند كه تنها خود به آن معتقدند؛ گويى آنان هيچ ارزشى براى ساير مسلمانان قائل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ترفند در زمينه‌ى احكام نيز</w:t>
      </w:r>
    </w:p>
    <w:p>
      <w:pPr>
        <w:pStyle w:val="BookText"/>
        <w:rPr/>
      </w:pPr>
      <w:r>
        <w:rPr>
          <w:rFonts w:ascii="IRNazanin" w:hAnsi="IRNazanin" w:eastAsia="IRNazanin"/>
          <w:color w:val="111111"/>
          <w:sz w:val="28"/>
          <w:sz w:val="28"/>
          <w:szCs w:val="28"/>
          <w:rtl w:val="true"/>
          <w:lang w:bidi="fa-IR"/>
        </w:rPr>
        <w:t>به كار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نمونه‌اى كوتاه توجّه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آموزش نماز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فارسى بين حجّاج توزيع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مقدّمه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دانستم مسائل مهمّى كه بر هر مسلمان واجب است آن را انجام دهد، با ارائه‌ى دلايل شرعى از قرآن كريم و سنّت رسول اللّه جمع‌آورى كنم و مسائلى كه در آن اختلاف وجود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كنم</w:t>
      </w:r>
      <w:r>
        <w:rPr>
          <w:rFonts w:eastAsia="Amiri" w:cs="Amiri" w:ascii="Amiri" w:hAnsi="Amiri"/>
          <w:color w:val="111111"/>
          <w:sz w:val="28"/>
          <w:szCs w:val="28"/>
          <w:rtl w:val="true"/>
          <w:lang w:bidi="ar-SA"/>
        </w:rPr>
        <w:t>.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نويسنده در توضيح چگونگى وضوگرفتن، مطالبى را به عنوان واجبات وضو مى‌آورد كه حتّى اهل تسنّن نيز آن را واجب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امورى كه مراعات آن در وقت وضو واجب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شستن صورت كه مضمضه و استنشاق نيز جزو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شمرده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شست و شوى دهان و بينى به وسيله‌ى داخل‌كردن آب در آن‌ها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مسح‌كردن تمامى سر، كه گوش‌ها نيز جزو آن است</w:t>
      </w:r>
      <w:r>
        <w:rPr>
          <w:rFonts w:eastAsia="IRNazanin" w:cs="IRNazanin"/>
          <w:color w:val="111111"/>
          <w:sz w:val="28"/>
          <w:szCs w:val="28"/>
          <w:rtl w:val="true"/>
          <w:lang w:bidi="fa-IR"/>
        </w:rPr>
        <w:t>.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مى‌دانند كه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وضويى را سفارش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نظر اكثر بزرگان اهل تسنّن نيز برخلاف مدّعاى فوق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p>
    <w:p>
      <w:pPr>
        <w:pStyle w:val="BookText"/>
        <w:rPr/>
      </w:pPr>
      <w:r>
        <w:rPr>
          <w:rFonts w:ascii="IRNazanin" w:hAnsi="IRNazanin" w:eastAsia="IRNazanin"/>
          <w:color w:val="111111"/>
          <w:sz w:val="28"/>
          <w:sz w:val="28"/>
          <w:szCs w:val="28"/>
          <w:rtl w:val="true"/>
          <w:lang w:bidi="fa-IR"/>
        </w:rPr>
        <w:t>على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 علماى چهار فرقه‌ى سنّيان را بررسى كرده است، چنين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الحنابلة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الوضوء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غسل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خالفوا جميع الأئمّة في داخل الفم و الأنف</w:t>
      </w:r>
      <w:r>
        <w:rPr>
          <w:rFonts w:eastAsia="Amiri" w:cs="Amiri" w:ascii="Amiri" w:hAnsi="Amiri"/>
          <w:color w:val="111111"/>
          <w:sz w:val="28"/>
          <w:szCs w:val="28"/>
          <w:rtl w:val="true"/>
          <w:lang w:bidi="ar-SA"/>
        </w:rPr>
        <w:t>. «</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حنبليان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وضو شش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شستن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مضمضه و استنشاق نيز جزو اين شست‌وشو، واجب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در اين مسأله كه شستن داخل دهان و بينى واجب است با ديگر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مى‌بينيم تنها وهّابيان كه در فقه از احمد بن‌حنبل تبعيّت مى‌كنند چنين نظرى دارند و ديگر سنّيان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پيرو مالك، شافعى و ابوحنيفه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مسأله با حنابله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نظرى نه تنها بر هر مسلمانى واجب نيست، بلكه براى اهل تسنّن هم ضرورتى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فتواى شيعيان نيز در اين مورد محترم است و جايگاه خود را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مدركى كه پيش از اين گذشت، نويسنده مسح تمامى سر و گوش‌ها را از واجبات وضو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سخن تمامى مسلمانان نيست تا نويسنده آن را بر هر مسلمان واجب بداند و آن را نظر عموم مسلمانان و اجماع آنان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w:t>
      </w:r>
    </w:p>
    <w:p>
      <w:pPr>
        <w:pStyle w:val="BookText"/>
        <w:rPr/>
      </w:pPr>
      <w:r>
        <w:rPr>
          <w:rFonts w:ascii="IRNazanin" w:hAnsi="IRNazanin" w:eastAsia="IRNazanin"/>
          <w:color w:val="111111"/>
          <w:sz w:val="28"/>
          <w:sz w:val="28"/>
          <w:szCs w:val="28"/>
          <w:rtl w:val="true"/>
          <w:lang w:bidi="fa-IR"/>
        </w:rPr>
        <w:t>مدارك سنّيان چنين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همگى مسح سر را از واجبات وضو مى‌دانند؛ امّا در مقدار مسح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مسح تمامى سر را واجب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شافعى و بعضى از پيروان مالك و ابوحنيفه، مسح قسمتى از سر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اصحاب مالك، مسح يك‌سوم سر را و برخى دو سوم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ابوحنيفه مسح يك چهارم را نيز كافى مى‌داند</w:t>
      </w:r>
      <w:r>
        <w:rPr>
          <w:rFonts w:eastAsia="IRNazanin" w:cs="IRNazanin"/>
          <w:color w:val="111111"/>
          <w:sz w:val="28"/>
          <w:szCs w:val="28"/>
          <w:rtl w:val="true"/>
          <w:lang w:bidi="fa-IR"/>
        </w:rPr>
        <w:t>. «</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ديگرى، نويسنده پس از بررسى سخنان پيشوايان چهارگانه‌ى اهل تسنّن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گوش‌ها، پس مسح آنان واجب نيست؛ زيرا گوش از قسمت‌هاى سر محسوب نمى‌شود و اين مطلب مورد اتّفاق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امامان سه‌گانه‌ى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حنابله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از جمله‌ى سر است </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بايد همراه سر مسح شود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نويسنده‌ى كتاب آموزش نماز، از يك سو نظر احمد حنبل را ترويج مى‌كند و از سوى ديگر در مقدّمه‌ى كتاب ادّعا كرده مسائل اختلافى را ترك كرده است، وى در قسمت‌هاى مختلف كتاب خويش و در مسائل مورد اختلاف، نظرى را بيان</w:t>
      </w:r>
      <w:bookmarkStart w:id="165" w:name="pg95_165"/>
    </w:p>
    <w:p>
      <w:pPr>
        <w:pStyle w:val="BookText"/>
        <w:rPr/>
      </w:pPr>
      <w:bookmarkEnd w:id="165"/>
      <w:r>
        <w:rPr>
          <w:rFonts w:ascii="IRNazanin" w:hAnsi="IRNazanin" w:eastAsia="IRNazanin"/>
          <w:color w:val="111111"/>
          <w:sz w:val="28"/>
          <w:sz w:val="28"/>
          <w:szCs w:val="28"/>
          <w:rtl w:val="true"/>
          <w:lang w:bidi="fa-IR"/>
        </w:rPr>
        <w:t>مى‌كند كه ديگران طبق مذهب خودشان، اجازه‌ى انجام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فتوا براى كسانى كه پيرو احمد حنبل نيستند، مى‌تواند باعث ابطال وضو و در نتيجه باطل شدن نماز در مكّه و مدينه باشد</w:t>
      </w:r>
      <w:r>
        <w:rPr>
          <w:rFonts w:eastAsia="IRNazanin" w:cs="IRNazanin"/>
          <w:color w:val="111111"/>
          <w:sz w:val="28"/>
          <w:szCs w:val="28"/>
          <w:rtl w:val="true"/>
          <w:lang w:bidi="fa-IR"/>
        </w:rPr>
        <w:t>.</w:t>
      </w:r>
    </w:p>
    <w:p>
      <w:pPr>
        <w:pStyle w:val="Heading3"/>
        <w:numPr>
          <w:ilvl w:val="2"/>
          <w:numId w:val="1"/>
        </w:numPr>
        <w:rPr/>
      </w:pPr>
      <w:bookmarkStart w:id="166" w:name="__RefHeading___Toc620591_211673320"/>
      <w:bookmarkStart w:id="167" w:name="_Toc63"/>
      <w:bookmarkEnd w:id="166"/>
      <w:r>
        <w:rPr>
          <w:rtl w:val="true"/>
        </w:rPr>
        <w:t>شيعه ستيزى، چرا؟</w:t>
      </w:r>
      <w:bookmarkEnd w:id="167"/>
    </w:p>
    <w:p>
      <w:pPr>
        <w:pStyle w:val="BookText"/>
        <w:rPr/>
      </w:pPr>
      <w:r>
        <w:rPr>
          <w:rFonts w:ascii="IRNazanin" w:hAnsi="IRNazanin" w:eastAsia="IRNazanin"/>
          <w:color w:val="111111"/>
          <w:sz w:val="28"/>
          <w:sz w:val="28"/>
          <w:szCs w:val="28"/>
          <w:rtl w:val="true"/>
          <w:lang w:bidi="fa-IR"/>
        </w:rPr>
        <w:t>دشمن اصلى وحدت، اتّهام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متّهم كردن ديگران به امورى كه روح و جانشان از آن آگاه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كه روابط نزديك آن‌ها با انگليس و امثال لورنس عربستان، فيلبى و همفر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انگليسى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مجسّمه‌ى نيم‌تنه‌ى او در كليساى سنت پل </w:t>
      </w:r>
      <w:r>
        <w:rPr>
          <w:rFonts w:eastAsia="Times New Roman" w:cs="Times New Roman" w:ascii="Times New Roman" w:hAnsi="Times New Roman"/>
          <w:color w:val="111111"/>
          <w:sz w:val="28"/>
          <w:szCs w:val="28"/>
          <w:lang w:val="en-US" w:bidi="en-US"/>
        </w:rPr>
        <w:t>luaP. 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قرار دارد و خانه‌اش در كلودز هيل</w:t>
      </w:r>
    </w:p>
    <w:p>
      <w:pPr>
        <w:pStyle w:val="BookText"/>
        <w:rPr/>
      </w:pPr>
      <w:r>
        <w:rPr>
          <w:rFonts w:ascii="Amiri" w:hAnsi="Amiri" w:eastAsia="Amiri" w:cs="Amiri"/>
          <w:color w:val="111111"/>
          <w:sz w:val="28"/>
          <w:sz w:val="28"/>
          <w:szCs w:val="28"/>
          <w:rtl w:val="true"/>
          <w:lang w:bidi="ar-SA"/>
        </w:rPr>
        <w:t xml:space="preserve">تامس ادوارد لورنس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به لورنس عربستان و شاهزاده‌ى مكّه، شخصيّتى است كه به همّت امثال او كشور عربستان به نام يك 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سعود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غيرقابل كتمان است، با هدف ايجاد تفرقه</w:t>
      </w:r>
      <w:bookmarkStart w:id="168" w:name="pg95_166"/>
    </w:p>
    <w:p>
      <w:pPr>
        <w:pStyle w:val="BookText"/>
        <w:rPr/>
      </w:pPr>
      <w:bookmarkEnd w:id="168"/>
      <w:r>
        <w:rPr>
          <w:rFonts w:ascii="IRNazanin" w:hAnsi="IRNazanin" w:eastAsia="IRNazanin"/>
          <w:color w:val="111111"/>
          <w:sz w:val="28"/>
          <w:sz w:val="28"/>
          <w:szCs w:val="28"/>
          <w:rtl w:val="true"/>
          <w:lang w:bidi="fa-IR"/>
        </w:rPr>
        <w:t>به تمامى گروه‌هاى مسلمان، بر چسب انحراف مى‌زنند و طبيعى است كه در اين ماجرا، سهم شيعيان به جهت پاى‌بندى آنان به اسلام راستين، بيش از ديگران باشد</w:t>
      </w:r>
      <w:r>
        <w:rPr>
          <w:rFonts w:eastAsia="IRNazanin" w:cs="IRNazanin"/>
          <w:color w:val="111111"/>
          <w:sz w:val="28"/>
          <w:szCs w:val="28"/>
          <w:rtl w:val="true"/>
          <w:lang w:bidi="fa-IR"/>
        </w:rPr>
        <w:t>.</w:t>
      </w:r>
    </w:p>
    <w:p>
      <w:pPr>
        <w:pStyle w:val="Heading3"/>
        <w:numPr>
          <w:ilvl w:val="2"/>
          <w:numId w:val="1"/>
        </w:numPr>
        <w:rPr/>
      </w:pPr>
      <w:bookmarkStart w:id="169" w:name="__RefHeading___Toc620593_211673320"/>
      <w:bookmarkStart w:id="170" w:name="_Toc64"/>
      <w:bookmarkEnd w:id="169"/>
      <w:r>
        <w:rPr>
          <w:rtl w:val="true"/>
        </w:rPr>
        <w:t>شيعه را همانند يهود و نصارا دانستن‌</w:t>
      </w:r>
      <w:bookmarkEnd w:id="170"/>
    </w:p>
    <w:p>
      <w:pPr>
        <w:pStyle w:val="BookText"/>
        <w:rPr/>
      </w:pPr>
      <w:r>
        <w:rPr>
          <w:rFonts w:ascii="IRNazanin" w:hAnsi="IRNazanin" w:eastAsia="IRNazanin"/>
          <w:color w:val="111111"/>
          <w:sz w:val="28"/>
          <w:sz w:val="28"/>
          <w:szCs w:val="28"/>
          <w:rtl w:val="true"/>
          <w:lang w:bidi="fa-IR"/>
        </w:rPr>
        <w:t>وهّابيّت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را نماينده‌ى تمام اهل تسنّن قلمداد كرده و به جاى تحكيم وحدت در پى تشديد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التقريب بين الرافضة و بين أهل السُّنّة غير 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انّه لايمكن الجمع بين اليهود و النَّصارى </w:t>
      </w:r>
      <w:r>
        <w:rPr>
          <w:rFonts w:eastAsia="Amiri" w:cs="Amiri" w:ascii="Amiri" w:hAnsi="Amiri"/>
          <w:color w:val="111111"/>
          <w:sz w:val="28"/>
          <w:szCs w:val="28"/>
          <w:rtl w:val="true"/>
          <w:lang w:bidi="ar-SA"/>
        </w:rPr>
        <w:t>... «</w:t>
      </w:r>
      <w:r>
        <w:rPr>
          <w:rStyle w:val="FootnoteAnchor"/>
          <w:rtl w:val="true"/>
        </w:rPr>
        <w:footnoteReference w:id="84"/>
      </w:r>
      <w:r>
        <w:rPr>
          <w:rFonts w:ascii="IRNazanin" w:hAnsi="IRNazanin" w:eastAsia="IRNazanin"/>
          <w:color w:val="111111"/>
          <w:sz w:val="28"/>
          <w:sz w:val="28"/>
          <w:szCs w:val="28"/>
          <w:rtl w:val="true"/>
          <w:lang w:bidi="fa-IR"/>
        </w:rPr>
        <w:t xml:space="preserve">مجسّمه‌ى نيم‌تنه‌ى او در كليساى سنت پل </w:t>
      </w:r>
      <w:r>
        <w:rPr>
          <w:rFonts w:eastAsia="Times New Roman" w:cs="Times New Roman" w:ascii="Times New Roman" w:hAnsi="Times New Roman"/>
          <w:color w:val="111111"/>
          <w:sz w:val="28"/>
          <w:szCs w:val="28"/>
          <w:lang w:val="en-US" w:bidi="en-US"/>
        </w:rPr>
        <w:t>luaP. 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قرار دارد و خانه‌اش در كلودز هيل</w:t>
      </w:r>
      <w:r>
        <w:rPr>
          <w:rStyle w:val="FootnoteAnchor"/>
          <w:rtl w:val="true"/>
        </w:rPr>
        <w:footnoteReference w:id="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بين رافضه </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تسنّن غير ممكن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همان صورت كه تقريب بين يهودى و نصارا معنا ندارد</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20595_211673320"/>
      <w:bookmarkStart w:id="172" w:name="_Toc65"/>
      <w:bookmarkEnd w:id="171"/>
      <w:r>
        <w:rPr>
          <w:rtl w:val="true"/>
        </w:rPr>
        <w:t>كافر خواندن شيعيان‌</w:t>
      </w:r>
      <w:bookmarkEnd w:id="17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كار به اين‌جا ختم مى‌شد كه شيعيان را با يهود و نصارا مقايسه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رؤساى وهّابيّت در پاسخ</w:t>
      </w:r>
    </w:p>
    <w:p>
      <w:pPr>
        <w:pStyle w:val="BookText"/>
        <w:rPr/>
      </w:pPr>
      <w:r>
        <w:rPr>
          <w:rFonts w:ascii="IRNazanin" w:hAnsi="IRNazanin" w:eastAsia="IRNazanin"/>
          <w:color w:val="111111"/>
          <w:sz w:val="28"/>
          <w:sz w:val="28"/>
          <w:szCs w:val="28"/>
          <w:rtl w:val="true"/>
          <w:lang w:bidi="fa-IR"/>
        </w:rPr>
        <w:t>سؤالى، چنين فتوا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الأمر كما ذكر السائل من أن الجماعة الَّذين لديه من الجعفريّةيدّعون عليّاً و الحسن و الحسين و سادتهم، فهم مشركون، مرتدون عن الاسلام، لايحل الأكل من ذبائحهم، لانّها ميتة ولو ذكروا عليها اسم اللّه</w:t>
      </w:r>
      <w:r>
        <w:rPr>
          <w:rFonts w:eastAsia="Amiri" w:cs="Amiri" w:ascii="Amiri" w:hAnsi="Amiri"/>
          <w:color w:val="111111"/>
          <w:sz w:val="28"/>
          <w:szCs w:val="28"/>
          <w:rtl w:val="true"/>
          <w:lang w:bidi="ar-SA"/>
        </w:rPr>
        <w:t>. «</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مطلب همان است كه سؤال‌كننده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در اطراف او از فرقه‌ى جعفرى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مى‌كنند كه على، حسن، حسين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اولياى الهى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مى‌خوانند، پس اين افراد مشرك بوده و از اسلام خارج شده‌اند و خوردن گوشت ذبح شده توسّط آن‌ها حلال نيست؛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آن،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است، حتّى اگر اسم خدا بر آن جارى شده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دعائهم عليّاً و الحسن و الحسين و نحوهم فهم مشركون شركاً أكبر يخرج من ملّة الاسلام، فلايحل أن نزوجهم المسلمات و لايحلّ لنا أن نتزوج من نسائهم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لاتَنْكِحوا المُشْرِكاتِ حَتَّى يُؤْمِنَّ</w:t>
      </w:r>
      <w:r>
        <w:rPr>
          <w:rFonts w:eastAsia="Amiri" w:cs="Amiri" w:ascii="Amiri" w:hAnsi="Amiri"/>
          <w:color w:val="111111"/>
          <w:sz w:val="28"/>
          <w:szCs w:val="28"/>
          <w:rtl w:val="true"/>
          <w:lang w:bidi="ar-SA"/>
        </w:rPr>
        <w:t>»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73" w:name="pg95_168"/>
    </w:p>
    <w:p>
      <w:pPr>
        <w:pStyle w:val="BookText"/>
        <w:rPr/>
      </w:pPr>
      <w:bookmarkEnd w:id="17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على و حسن و حسين را مى‌خوانند پس آن‌ها آلوده به شرك اكبر و بزرگ‌تر محسوب مى‌شوند و از جمع مسلمانان خارج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ازدواج زنان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و حلال نيست كه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گزيند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آيه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زنان مشرك ازدواج نكنيد تا مؤمن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چنين عقايدى كه در كتاب‌هاى گوناگون چاپ و منتشر مى‌گردد، آيا آرزوى وحدت، خيالى واهى نخواهد بود و اميد يك‌دلى و هم‌دلى به سرابى بى‌ارزش، بدل نخواهد گرديد؟</w:t>
      </w:r>
    </w:p>
    <w:p>
      <w:pPr>
        <w:pStyle w:val="BookText"/>
        <w:rPr/>
      </w:pPr>
      <w:r>
        <w:rPr>
          <w:rFonts w:ascii="IRNazanin" w:hAnsi="IRNazanin" w:eastAsia="IRNazanin"/>
          <w:color w:val="111111"/>
          <w:sz w:val="28"/>
          <w:sz w:val="28"/>
          <w:szCs w:val="28"/>
          <w:rtl w:val="true"/>
          <w:lang w:bidi="fa-IR"/>
        </w:rPr>
        <w:t>در جهانى كه پيوسته سخن از اتّحاد مى‌رود و كشورها با عقايد گوناگون و زبان‌هاى مختلف، براى رسيدن به قدرت بيشتر دست به اتّحاد مى‌زنند، آيا الگويى اسلامى براى اين امر وجود ندارد؟ به زعم وهّابيان آيا به راستى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جامعه‌ى اروپا يا كشورهاى آسياى جنوب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با يكديگر متّحد شوند؟ به راستى نمى‌توان به جاى لغات مشرك و كافر از واژگان ديگرى براى كسانى كه كتاب، قبله و پيامبر مشتركى دارند، استفاده كرد؟</w:t>
      </w:r>
    </w:p>
    <w:p>
      <w:pPr>
        <w:pStyle w:val="Heading3"/>
        <w:numPr>
          <w:ilvl w:val="2"/>
          <w:numId w:val="1"/>
        </w:numPr>
        <w:rPr/>
      </w:pPr>
      <w:bookmarkStart w:id="174" w:name="__RefHeading___Toc620597_211673320"/>
      <w:bookmarkStart w:id="175" w:name="_Toc66"/>
      <w:bookmarkEnd w:id="174"/>
      <w:r>
        <w:rPr>
          <w:rtl w:val="true"/>
        </w:rPr>
        <w:t>اتّهام‌هاى خنده‌آور به شيعه‌</w:t>
      </w:r>
      <w:bookmarkEnd w:id="17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فردى كه كارش اتّهام به اين و آن است، به جهت دورى از حقّ و حقيقت، گاهى به دامان سخنان</w:t>
      </w:r>
      <w:bookmarkStart w:id="176" w:name="pg95_169"/>
    </w:p>
    <w:p>
      <w:pPr>
        <w:pStyle w:val="BookText"/>
        <w:rPr/>
      </w:pPr>
      <w:bookmarkEnd w:id="176"/>
      <w:r>
        <w:rPr>
          <w:rFonts w:ascii="Amiri" w:hAnsi="Amiri" w:eastAsia="Amiri" w:cs="Amiri"/>
          <w:color w:val="111111"/>
          <w:sz w:val="28"/>
          <w:sz w:val="28"/>
          <w:szCs w:val="28"/>
          <w:rtl w:val="true"/>
          <w:lang w:bidi="ar-SA"/>
        </w:rPr>
        <w:t>مضحك و حكايات فكاهى مى‌افتد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وهّابيّان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ابن‌تيميه حرّانى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عجيب و غريبى روى مى‌آورند و از شدّت دشمنى، گويى نمى‌فهمند چه مى‌گويند و كار به سخنان سخيف و خنده‌آور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رهبر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اتّهامات واهى متوسّل شود، تكليف پيروان او معلوم است</w:t>
      </w:r>
      <w:r>
        <w:rPr>
          <w:rFonts w:eastAsia="IRNazanin" w:cs="IRNazanin"/>
          <w:color w:val="111111"/>
          <w:sz w:val="28"/>
          <w:szCs w:val="28"/>
          <w:rtl w:val="true"/>
          <w:lang w:bidi="fa-IR"/>
        </w:rPr>
        <w:t>.</w:t>
      </w:r>
    </w:p>
    <w:p>
      <w:pPr>
        <w:pStyle w:val="Heading3"/>
        <w:numPr>
          <w:ilvl w:val="2"/>
          <w:numId w:val="1"/>
        </w:numPr>
        <w:rPr/>
      </w:pPr>
      <w:bookmarkStart w:id="177" w:name="__RefHeading___Toc620599_211673320"/>
      <w:bookmarkStart w:id="178" w:name="_Toc67"/>
      <w:bookmarkEnd w:id="177"/>
      <w:r>
        <w:rPr>
          <w:rtl w:val="true"/>
        </w:rPr>
        <w:t>اتّهامى خنده‌آور از ابن‌تيميه‌</w:t>
      </w:r>
      <w:bookmarkEnd w:id="178"/>
    </w:p>
    <w:p>
      <w:pPr>
        <w:pStyle w:val="BookText"/>
        <w:rPr/>
      </w:pPr>
      <w:r>
        <w:rPr>
          <w:rFonts w:ascii="Amiri" w:hAnsi="Amiri" w:eastAsia="Amiri" w:cs="Amiri"/>
          <w:color w:val="111111"/>
          <w:sz w:val="28"/>
          <w:sz w:val="28"/>
          <w:szCs w:val="28"/>
          <w:rtl w:val="true"/>
          <w:lang w:bidi="ar-SA"/>
        </w:rPr>
        <w:t>او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حماقت‌هاى شيعه آن است كه آنان از گفتن عدد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دارند و براى خانه‌ى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جهت بد بودن با لفظ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ستون درست نمى‌كنند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باغ و مزارعشان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درخت نمى‌كارند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عجايب است كه شيعيان لفظ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دارند</w:t>
      </w:r>
      <w:r>
        <w:rPr>
          <w:rFonts w:eastAsia="IRNazanin" w:cs="IRNazanin"/>
          <w:color w:val="111111"/>
          <w:sz w:val="28"/>
          <w:szCs w:val="28"/>
          <w:rtl w:val="true"/>
          <w:lang w:bidi="fa-IR"/>
        </w:rPr>
        <w:t>.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حتى در جلد بعد كتابش ادعا مى‌كند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تعصب شيعيان اين است كه آن‌ها نمى‌گويند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مى‌گويند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w:t>
      </w:r>
      <w:r>
        <w:rPr>
          <w:rFonts w:eastAsia="IRNazanin" w:cs="IRNazanin"/>
          <w:color w:val="111111"/>
          <w:sz w:val="28"/>
          <w:szCs w:val="28"/>
          <w:rtl w:val="true"/>
          <w:lang w:bidi="fa-IR"/>
        </w:rPr>
        <w:t>».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سخنان عجيب و اتهام‌هاى نابه‌جا، امروزه نيز</w:t>
      </w:r>
      <w:bookmarkStart w:id="179" w:name="pg95_170"/>
    </w:p>
    <w:p>
      <w:pPr>
        <w:pStyle w:val="BookText"/>
        <w:rPr/>
      </w:pPr>
      <w:bookmarkEnd w:id="179"/>
      <w:r>
        <w:rPr>
          <w:rFonts w:ascii="IRNazanin" w:hAnsi="IRNazanin" w:eastAsia="IRNazanin"/>
          <w:color w:val="111111"/>
          <w:sz w:val="28"/>
          <w:sz w:val="28"/>
          <w:szCs w:val="28"/>
          <w:rtl w:val="true"/>
          <w:lang w:bidi="fa-IR"/>
        </w:rPr>
        <w:t>پى‌گيرى مى‌شود</w:t>
      </w:r>
      <w:r>
        <w:rPr>
          <w:rFonts w:eastAsia="IRNazanin" w:cs="IRNazanin"/>
          <w:color w:val="111111"/>
          <w:sz w:val="28"/>
          <w:szCs w:val="28"/>
          <w:rtl w:val="true"/>
          <w:lang w:bidi="fa-IR"/>
        </w:rPr>
        <w:t>.</w:t>
      </w:r>
    </w:p>
    <w:p>
      <w:pPr>
        <w:pStyle w:val="Heading3"/>
        <w:numPr>
          <w:ilvl w:val="2"/>
          <w:numId w:val="1"/>
        </w:numPr>
        <w:rPr/>
      </w:pPr>
      <w:bookmarkStart w:id="180" w:name="__RefHeading___Toc620601_211673320"/>
      <w:bookmarkStart w:id="181" w:name="_Toc68"/>
      <w:bookmarkEnd w:id="180"/>
      <w:r>
        <w:rPr>
          <w:rtl w:val="true"/>
        </w:rPr>
        <w:t>اتّهام‌هاى فكاهى و ترفندهاى امروزين‌</w:t>
      </w:r>
      <w:bookmarkEnd w:id="181"/>
    </w:p>
    <w:p>
      <w:pPr>
        <w:pStyle w:val="BookText"/>
        <w:rPr/>
      </w:pPr>
      <w:r>
        <w:rPr>
          <w:rFonts w:ascii="IRNazanin" w:hAnsi="IRNazanin" w:eastAsia="IRNazanin"/>
          <w:color w:val="111111"/>
          <w:sz w:val="28"/>
          <w:sz w:val="28"/>
          <w:szCs w:val="28"/>
          <w:rtl w:val="true"/>
          <w:lang w:bidi="fa-IR"/>
        </w:rPr>
        <w:t>چند سالى است كه كتابى به زبان فارسى بين حاجيان توزيع مى‌شود كه در آن ادّعا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بعضى شيعيان معتقدند كه اهل سنّت دُم دارند</w:t>
      </w:r>
      <w:r>
        <w:rPr>
          <w:rFonts w:eastAsia="Amiri" w:cs="Amiri" w:ascii="Amiri" w:hAnsi="Amiri"/>
          <w:color w:val="111111"/>
          <w:sz w:val="28"/>
          <w:szCs w:val="28"/>
          <w:rtl w:val="true"/>
          <w:lang w:bidi="ar-SA"/>
        </w:rPr>
        <w:t>.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بسى تعجّب است كه چنين جملاتى در كتبى كه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بررسى‌هاى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يدك مى‌كشد، 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تفرقه‌افكنان وهّابى به جاى بررسى متون كتب والاى شيعى و مراجعه به منابع اصيل تشيّع براى شناسايى اين فرقه‌ى ناجيه، به تماشاى فيلم‌هاى هاليوودى و خواندن رمان‌هاى تخيّلى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هرى پاتر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حلقه‌ها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مشغول‌اند كه چنين جملات خنده‌آورى را به شيعه نسبت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 نويسنده در راستاى ايجاد تفرقه ادّعا كرده است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باشد يكى را دشنام دهد و خشم خودش را بر او فرونشاند،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 سنّى در گور پدرت باد و از اين قبيل حرف‌ها</w:t>
      </w:r>
      <w:r>
        <w:rPr>
          <w:rFonts w:eastAsia="IRNazanin" w:cs="IRNazanin"/>
          <w:color w:val="111111"/>
          <w:sz w:val="28"/>
          <w:szCs w:val="28"/>
          <w:rtl w:val="true"/>
          <w:lang w:bidi="fa-IR"/>
        </w:rPr>
        <w:t>.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براى تفرقه‌ى بيشتر، شيعيان را متّهم مى‌كند كه اهل سنّت را نجس مى‌دانند؛ آن‌گاه خود را شيعه و مرجع تقليد و عالمى بزرگ در نجف جا مى‌زند و داستان زير را از قول پدر شيعه‌ى خود حكايت مى‌كند كه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دستور داد رختخواب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بسوزانند و ظرف‌هايى كه در آن‌ها غذا خورد خوب بشويند چون شيعيان معتقدند كه سنّى به حدّى نجس است كه اگر هزار بار هم شست‌وشو داده شود، پاك نمى‌شود</w:t>
      </w:r>
      <w:r>
        <w:rPr>
          <w:rFonts w:eastAsia="IRNazanin" w:cs="IRNazanin"/>
          <w:color w:val="111111"/>
          <w:sz w:val="28"/>
          <w:szCs w:val="28"/>
          <w:rtl w:val="true"/>
          <w:lang w:bidi="fa-IR"/>
        </w:rPr>
        <w:t>.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شكر باقى است كه پدر مؤلّف به شكستن و چال‌كردن ظروف غذايى كه آن سنّى از آن‌ها استفاده كرده بود، دستور نداده است و امر نكرده كه خاكستر رختخواب را به باد دهند و زمينى كه رختخواب بر آن قرار داشته را خاك‌بردارى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داستان‌پردازى</w:t>
      </w:r>
      <w:bookmarkStart w:id="182" w:name="pg95_172"/>
    </w:p>
    <w:p>
      <w:pPr>
        <w:pStyle w:val="BookText"/>
        <w:rPr/>
      </w:pPr>
      <w:bookmarkEnd w:id="182"/>
      <w:r>
        <w:rPr>
          <w:rFonts w:ascii="IRNazanin" w:hAnsi="IRNazanin" w:eastAsia="IRNazanin"/>
          <w:color w:val="111111"/>
          <w:sz w:val="28"/>
          <w:sz w:val="28"/>
          <w:szCs w:val="28"/>
          <w:rtl w:val="true"/>
          <w:lang w:bidi="fa-IR"/>
        </w:rPr>
        <w:t>نويسنده، در حدّ شكستن ظروف و آتش‌زدن رختخواب به پايان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رساله‌ى فارسى يا عربى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اينك در دست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سنّى مذهب، نجس محسوب نمى‌شوند، چه برسد به اين‌كه رختخواب مورد استفاده‌ى او به آتش كشيده شود يا ظروف غذاى او به اين شكل افراطى شست‌وشو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ترويج كنندگان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نمى‌خواهند وحدت بين شيعه و سنّى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مى‌كنيم، قبل از نوشتن يك كتاب، اگر وقت بررسى كتاب‌هاى شيعيان را ندارند، حدّاقل در كوچه و بازار مناطق شيعه‌نشين قدم بزنند تا تحقيقات آنان از استحكام بيشترى برخوردار باشد</w:t>
      </w:r>
      <w:r>
        <w:rPr>
          <w:rFonts w:eastAsia="IRNazanin" w:cs="IRNazanin"/>
          <w:color w:val="111111"/>
          <w:sz w:val="28"/>
          <w:szCs w:val="28"/>
          <w:rtl w:val="true"/>
          <w:lang w:bidi="fa-IR"/>
        </w:rPr>
        <w:t>!</w:t>
      </w:r>
    </w:p>
    <w:p>
      <w:pPr>
        <w:pStyle w:val="Heading3"/>
        <w:numPr>
          <w:ilvl w:val="2"/>
          <w:numId w:val="1"/>
        </w:numPr>
        <w:rPr/>
      </w:pPr>
      <w:bookmarkStart w:id="183" w:name="__RefHeading___Toc620603_211673320"/>
      <w:bookmarkStart w:id="184" w:name="_Toc69"/>
      <w:bookmarkEnd w:id="183"/>
      <w:r>
        <w:rPr>
          <w:rtl w:val="true"/>
        </w:rPr>
        <w:t>هر دَم از اين باغ برى مى‌رسد</w:t>
      </w:r>
      <w:bookmarkEnd w:id="184"/>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كتاب‌هاى فراوانى به زبان فارسى به رايگان در اختيار زائران مكّه و مدينه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يكى از اين كتاب‌ها نويسنده ادّعا مى‌كند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دانش‌جوى رشته‌ى پزشكىِ دانشگاه شهيد بهشتى در تهران بوده و در عين حال در درس‌هاى حوزوى و در كلاس‌هاى خارجِ فقه در قم نيز شركت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هر دو زمينه با موفّقيّت و پشتكار فعّاليّت مى‌كند تا آن‌جا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آقاى</w:t>
      </w:r>
    </w:p>
    <w:p>
      <w:pPr>
        <w:pStyle w:val="BookText"/>
        <w:rPr/>
      </w:pPr>
      <w:r>
        <w:rPr>
          <w:rFonts w:ascii="IRNazanin" w:hAnsi="IRNazanin" w:eastAsia="IRNazanin"/>
          <w:color w:val="111111"/>
          <w:sz w:val="28"/>
          <w:sz w:val="28"/>
          <w:szCs w:val="28"/>
          <w:rtl w:val="true"/>
          <w:lang w:bidi="fa-IR"/>
        </w:rPr>
        <w:t>وحيد خراسانى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براى تبليغ به مناطق سنّى‌نشين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مدّعى است با اين‌كه در خانواده‌اى شيعى رشد و نمو يافته است، پس از آشنايى با منابع سنّى، به مذهب آنان گرايش پيدا كرده و در نهايت وهّابيّت را انتخاب مى‌كند</w:t>
      </w:r>
      <w:r>
        <w:rPr>
          <w:rFonts w:eastAsia="IRNazanin" w:cs="IRNazanin"/>
          <w:color w:val="111111"/>
          <w:sz w:val="28"/>
          <w:szCs w:val="28"/>
          <w:rtl w:val="true"/>
          <w:lang w:bidi="fa-IR"/>
        </w:rPr>
        <w:t>.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نويسنده‌ى دانش‌پژوه كه كتابش بيشتر شبيه به قصّه و رمان است تا يك كتاب علمى، در كلّ كتاب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صفحه‌اى خود، تنها در يك‌جا نام يك كتاب و نويسنده‌اش را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كمال تعجّب نام نويسنده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رضى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 و ادّعا مى‌كند كه چندين هزار حديث دروغى را در نهج‌البلاغه جعل كرده است</w:t>
      </w:r>
      <w:r>
        <w:rPr>
          <w:rFonts w:eastAsia="IRNazanin" w:cs="IRNazanin"/>
          <w:color w:val="111111"/>
          <w:sz w:val="28"/>
          <w:szCs w:val="28"/>
          <w:rtl w:val="true"/>
          <w:lang w:bidi="fa-IR"/>
        </w:rPr>
        <w:t>!!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عجيب است شخصى كه خود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جلد كتاب معرّفى كرده و تحصيلات دانشگاهى دارد و در كلاس‌هاى خارجِ فقه مراجع بزرگوار قم شركت‌مى‌كند، نمى‌داند كه نهج‌البلاغه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نمى‌داند كه اين كتاب مورد قبول سنّى و شيعه است تا آن‌جا كه برخى از اهل تسنّن بر نهج‌البلاغه شرح نوشته‌اند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كتاب ديگرى باز هم فردى كه ادّعا مى‌كند شيعه بوده و در نهايت وهّابى شده است،</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شيعيان در معالجه‌ى فرزندان خود، زمانى كه از مداواى پزشك و دعاى علماى شيعه نتيجه نمى‌گيرند، به سراغ سنّى‌ها مى‌روند تا دعاى آنان براى معالجه اثر كند؛ چون نزد شيعه شايع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را فقط شيطان بيرون مى‌راند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دعا خواندن سنّى كه مصداق شيطان است، براى معالجه‌ى بيمارى كه از شيطان سرچشمه گرفته، مفيد است</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بر قضا، دعاى آن عالِم سنّى اثر مى‌كند و بيمار مى‌فهمد كه حق با وهّابيّت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بالأخره عجيب‌ترين ترفند در برخى از كتاب‌هاى توزيع‌شده در مكّه و مدينه، استفاده از نام بزرگان شيعه براى فريب خوانندگان فارسى‌زبان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بر روى جلد، در مقابل عنوان نويسنده يا مترجم،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مرتضى 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بزرگوار، از علماى مشهور شيعه در زمان حاضر هستند و به‌كار بردن چنين نام‌هايى، براى جلب توجّه مخاطبان، جز فريب خواننده، هدفى را دنبال نمى‌كند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كسانى كه ادّعاى هدايت مردم را دارند، مى‌توانند به هر وسيله‌اى براى رسيدن به هدف دست دراز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دروغ، فريب، 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185" w:name="pg95_175"/>
    </w:p>
    <w:p>
      <w:pPr>
        <w:pStyle w:val="Heading3"/>
        <w:numPr>
          <w:ilvl w:val="2"/>
          <w:numId w:val="1"/>
        </w:numPr>
        <w:rPr/>
      </w:pPr>
      <w:bookmarkStart w:id="186" w:name="__RefHeading___Toc620605_211673320"/>
      <w:bookmarkStart w:id="187" w:name="_Toc70"/>
      <w:bookmarkEnd w:id="185"/>
      <w:bookmarkEnd w:id="186"/>
      <w:r>
        <w:rPr>
          <w:rtl w:val="true"/>
        </w:rPr>
        <w:t>سخن آخر</w:t>
      </w:r>
      <w:r>
        <w:rPr>
          <w:rtl w:val="true"/>
        </w:rPr>
        <w:t xml:space="preserve">: </w:t>
      </w:r>
      <w:r>
        <w:rPr>
          <w:rtl w:val="true"/>
        </w:rPr>
        <w:t>دردِ دلى با مسلمانان‌</w:t>
      </w:r>
      <w:bookmarkEnd w:id="187"/>
    </w:p>
    <w:p>
      <w:pPr>
        <w:pStyle w:val="BookText"/>
        <w:rPr/>
      </w:pPr>
      <w:r>
        <w:rPr>
          <w:rFonts w:ascii="IRNazanin" w:hAnsi="IRNazanin" w:eastAsia="IRNazanin"/>
          <w:color w:val="111111"/>
          <w:sz w:val="28"/>
          <w:sz w:val="28"/>
          <w:szCs w:val="28"/>
          <w:rtl w:val="true"/>
          <w:lang w:bidi="fa-IR"/>
        </w:rPr>
        <w:t xml:space="preserve">مسلمانان براى آن‌كه بتوانند در جهان امروز تأثيرگذار باشند، بايد با يكديگر متّحد گردند و با هم‌يارى، هم‌دلى، پشتكار و به عنايت و توجّهات الهى و در ذيل تعاليم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ائمّه‌ى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آدميان اين كره‌ى خاكى را افلاكيانى آسمانى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راه، شناسايى تفرقه افكنان و دشمنان واقعى دين لازم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بايد منافقى را كه در لباس اسلام مخفى است و عقايد مسموم خويش را در قالب كتاب، نوار و جزوه ترويج مى‌كند، شناسايى كنند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سوراخ دوبار گزيده نشوند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أجَعَلْتُمْ سِقايَةَ الحاجِّ وَ عِمارَةَ المسْجِدِ الحَرامِ كَمَنْ آمَنَ بِاللّهِ وَ اليَوْمَ الآخِرِ وَ جاهَدَ فِي سَبِيلِ اللّهِ لا يَسْتَوُونَ عِنْدَ اللّهِ وَ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سيراب ساختن حاجيان و آبادكردن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پنداشته‌ايد كه به خدا و روز بازپسين ايمان آورده و در راه خدا جهاد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يكسان نيستند، و خدا بيدادگران را هدايت نخواهد كرد</w:t>
      </w:r>
      <w:r>
        <w:rPr>
          <w:rFonts w:eastAsia="IRNazanin" w:cs="IRNazanin"/>
          <w:color w:val="111111"/>
          <w:sz w:val="28"/>
          <w:szCs w:val="28"/>
          <w:rtl w:val="true"/>
          <w:lang w:bidi="fa-IR"/>
        </w:rPr>
        <w:t>.»</w:t>
      </w:r>
      <w:bookmarkStart w:id="188" w:name="pg95_176"/>
    </w:p>
    <w:p>
      <w:pPr>
        <w:pStyle w:val="Heading3"/>
        <w:numPr>
          <w:ilvl w:val="2"/>
          <w:numId w:val="1"/>
        </w:numPr>
        <w:rPr/>
      </w:pPr>
      <w:bookmarkStart w:id="189" w:name="__RefHeading___Toc620607_211673320"/>
      <w:bookmarkStart w:id="190" w:name="_Toc71"/>
      <w:bookmarkEnd w:id="188"/>
      <w:bookmarkEnd w:id="189"/>
      <w:r>
        <w:rPr>
          <w:rtl w:val="true"/>
        </w:rPr>
        <w:t>كتب اهل تسنّن در مخالفت با وهّابيان‌</w:t>
      </w:r>
      <w:bookmarkEnd w:id="190"/>
    </w:p>
    <w:p>
      <w:pPr>
        <w:pStyle w:val="BookText"/>
        <w:rPr/>
      </w:pPr>
      <w:r>
        <w:rPr>
          <w:rFonts w:ascii="Amiri" w:hAnsi="Amiri" w:eastAsia="Amiri" w:cs="Amiri"/>
          <w:color w:val="111111"/>
          <w:sz w:val="28"/>
          <w:sz w:val="28"/>
          <w:szCs w:val="28"/>
          <w:rtl w:val="true"/>
          <w:lang w:bidi="ar-SA"/>
        </w:rPr>
        <w:t>از جمله كتاب‌هايى كه توسط علماى سنّى در رد وهّابيّت و اعتقادات آنان نوشته شده، مى‌توان به اين كتاب‌ها اشاره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الأربعة في ترديد الوهابية و العقائد الصحيحة في ترديد الوهابية النجدية، خواجه محمّد حسن جان صاحب سرهندى مجددى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العقوق ممّن منع التّوسّل بالنّبي والولىّ الصَّدوق، شيخ مشرفى مالكي 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الاقوال المرضية في الرّدّ على الوهابيّه، محمّد كسم حنفى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للأولياء الأبرار، شيخ طاهر سنبل حنفى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الأوراق البغدادية في الحوادث النّجديّه، شيخ ابراهيم 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السّاطعه، شيخ سلامه‌ى عزّامى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 لمنكرى التّوسّل، شيخ حمداللّه داجوى</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تجريد سيف الجهاد لمدّعي الاجتهاد، شيخ عبداللّه بن عبداللّطيف 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تحريض الاغبياء علي الاستغاثة بالأنبياء و الأولياء، شيخ عبداللّه بن ابراهيم مير غيني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تهكّم المقلّدين بمن ادّعي تجديد الدّين، شيخ محمّد پسر عبدالرحمان عفالق حنبلى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 وبالصالحين، ابوحامد بن مرزوق 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الحق فى كشف احوال شرار الخلق، شيخ ابراهيم حلمي قادري اسكندرى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الحقايق الاسلامية فى الرّدّ على المزاعم الوهابية بأدلة الكتاب والسّنة النّبويه، مالك داوود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المبين فى الرّد على الوهابيين، شيخ احمد سعيد سرهندى نقشبندى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الكلام فى امراء البلد الحرام، سيّد احمد فرزند زينى دحلان مفتى مكّه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السنّية في الرّد على الوهابيه، سيد احمد پسر زينى دحلان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محمّد بن عبدالوهاب، شيخ الاسلام تونس شيخ اسماعيل تميمى مالكى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الوهابيه، فقيه حنبلى عبدالمحسن الأشيقرى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الوهابيه، شيخ ابراهيم بن عبدالقادر رياحى تونسى مالكى</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سعادة الدّارين فى الردّ على الفرقتين الوهابيه ومقلدة الظّاهريه، شيخ ابراهيم فرزند عثمان سمنودى</w:t>
      </w:r>
    </w:p>
    <w:p>
      <w:pPr>
        <w:pStyle w:val="BookText"/>
        <w:rPr/>
      </w:pPr>
      <w:r>
        <w:rPr>
          <w:rFonts w:ascii="IRNazanin" w:hAnsi="IRNazanin" w:eastAsia="IRNazanin"/>
          <w:color w:val="111111"/>
          <w:sz w:val="28"/>
          <w:sz w:val="28"/>
          <w:szCs w:val="28"/>
          <w:rtl w:val="true"/>
          <w:lang w:bidi="fa-IR"/>
        </w:rPr>
        <w:t>مصرى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الباتر لعنق المنكر على الأكابر، ابوحامد مرزوق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الجبار المسلول على أعداء الأبرار، شاه فضل رسول قادرى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الهندى فى ابانة طريقة الشيخ النجدى، شيخ عبداللّه بن عيسى صنعانى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الحق فى التّوسّل بسيّد الخلق، شيخ يوسف بنهانى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الصارم الهندى فى عنق النجدى، شيخ عطاء مكّى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صلح الاخوان فى الرّدّ على من قال بالشّرك والكفران، داود بن سليمان بغدادى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الالهيّه فى الرّدّ على الوهابيه، شيخ سليمان فرزند عبدالوهّاب برادر محمّد عبدالوهّاب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والرعود تأليف، شيخ عفيف الدين عبداللّه بن داود حنبلى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الصدور لمنكر التوسل بأهل القبور، ظاهر شاه ميان هندى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غوث العباد ببيان الرشاد، شيخ مصطفى حمامى مصرى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الوهابيه، احمد بن زينى دحلان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الصادق، شيخ جميل صدقى زهاوى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فى الرّد على محمّد بن</w:t>
      </w:r>
    </w:p>
    <w:p>
      <w:pPr>
        <w:pStyle w:val="BookText"/>
        <w:rPr/>
      </w:pPr>
      <w:r>
        <w:rPr>
          <w:rFonts w:ascii="Amiri" w:hAnsi="Amiri" w:eastAsia="Amiri" w:cs="Amiri"/>
          <w:color w:val="111111"/>
          <w:sz w:val="28"/>
          <w:sz w:val="28"/>
          <w:szCs w:val="28"/>
          <w:rtl w:val="true"/>
          <w:lang w:bidi="ar-SA"/>
        </w:rPr>
        <w:t>عبدالوهاب، شيخ سليمان بن عبدالوهاب برادر محمّد بن عبدالوهاب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فى ردّ ضلالات ابن عبدالوهاب، احمد بن على بصرى قبانى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الوهابيه للقرآن والسّنه، عمر عبدالسلام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المدارج السنية فى ردّ الوهابيه، عامر قادرى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الامام وجلاء الظلام فى ردّ شبه البدعى النجدى التى اضلّ العوام، سيد علوى بن احمد حداد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المنحة الوهبيّة فى ردّ الوهابيه، شيخ داوود بن سليمان بغدادى نقشبنديه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النقول الشرعيه فى الرد على الوهابية، شيخ مصطفى احمد شطى حنبلى</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حديثى از امام سجاد 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يه يادآورى است كه اين اعتقاد، اعتقاد تمامى اهل تسنّن در اين زمينه نيست و وهّابيان از عنوان اهل سنّت و جماعت، استفاده‌ى نابجا كرده‌اند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عقيده‌ى اهل سنت و جماعت،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محمد بن صالح العثيمين، ترجمه‌ى اسحاق بن عبداللّه دبيرى العوضى، چاپ اوّل،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چاپ‌هاى متعدّد اين كتاب نيز در سال‌هاى بعد به رايگان، در اختيار حاجيان قرار گرفته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عقيده‌ى اهل سنت و جماعت، ص </w:t>
      </w:r>
      <w:r>
        <w:rPr>
          <w:rFonts w:eastAsia="IRNazanin" w:cs="IRNazanin"/>
          <w:b w:val="false"/>
          <w:bCs w:val="false"/>
          <w:i w:val="false"/>
          <w:iCs w:val="false"/>
          <w:color w:val="333333"/>
          <w:sz w:val="20"/>
          <w:szCs w:val="20"/>
        </w:rPr>
        <w:t>42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الكرِيم و ترجمة معانيه إلى اللغة الفارسيّة، ص </w:t>
      </w:r>
      <w:r>
        <w:rPr>
          <w:rFonts w:eastAsia="IRNazanin" w:cs="IRNazanin"/>
          <w:b w:val="false"/>
          <w:bCs w:val="false"/>
          <w:i w:val="false"/>
          <w:iCs w:val="false"/>
          <w:color w:val="333333"/>
          <w:sz w:val="20"/>
          <w:szCs w:val="20"/>
        </w:rPr>
        <w:t>212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الايمان،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محمّد بن عبد الوهّاب رئيس فكرى مذهب وهّابيّت،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عقيده اهل سنت و جماعت،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معانى القرآن الكريم باللغة الانجليزية،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دكتر محمّد محسن خان و دكتر محمّد تقى الدين هلالى اساتيد دانشگاه مدينه، چاپ چهارم،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مگر جز اين است كه بسيارى از اين كتب با پولِ زكات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بايد به اهلش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توزيع مى‌شود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والايضاح،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عبدالعزيز بن عبداللّه بن باز، چاپ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مدارك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الفتن والملاحم، حديث </w:t>
      </w:r>
      <w:r>
        <w:rPr>
          <w:rFonts w:eastAsia="IRNazanin" w:cs="IRNazanin"/>
          <w:b w:val="false"/>
          <w:bCs w:val="false"/>
          <w:i w:val="false"/>
          <w:iCs w:val="false"/>
          <w:color w:val="333333"/>
          <w:sz w:val="20"/>
          <w:szCs w:val="20"/>
        </w:rPr>
        <w:t>8749</w:t>
      </w:r>
      <w:r>
        <w:rPr>
          <w:rFonts w:ascii="IRNazanin" w:hAnsi="IRNazanin" w:eastAsia="IRNazanin"/>
          <w:b w:val="false"/>
          <w:b w:val="false"/>
          <w:bCs w:val="false"/>
          <w:i w:val="false"/>
          <w:i w:val="false"/>
          <w:iCs w:val="false"/>
          <w:color w:val="333333"/>
          <w:sz w:val="20"/>
          <w:sz w:val="20"/>
          <w:szCs w:val="20"/>
          <w:rtl w:val="true"/>
        </w:rPr>
        <w:t>، چاپ دارالفكر،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است كه اين كتاب از كتب مشهور سنّى‌ها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والايضاح،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مدارك سنى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باب هشتم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زيارة النبى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بقيّة ادلّة الزيارة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ترجمه‌ى كتاب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مذاهب چهارگانه‌ى اهل تسنّن‌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عبدالرحمن الجزيرى</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حجّ و عمره،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ترجمه‌ى فضل ربى ممتاز زاده، چاپ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 الايضاح،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مدارك سنّي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الوفاء الوفاء، سمهودي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اسدالغابة، ابن‌اثير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شفاء السقام، سبكي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سمهودى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والايضاح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السيف الصيقل، شيخ محمّد زاهد كوثرى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ابن حجر العسقلانى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واژه‌هايى كه زير آن‌ها خط كشيده شده است در چاپ كشور عربستان تحريف شده‌اند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النووية، يحيى نووي دمشقي،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محيى الدين طبعة دار ابن كثير،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اين كتاب قبلًا نيز در سال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قاهره چاپ شده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محيى‌الدّين ابوزكريّا يحيى‌بن‌شرف نووى دمشقى، تحقيق نصوص و تخريج احاديث و تعليق عبدالقادر ارناووط 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مزيد و منقح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دارالهدى، رياض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مدارك اهل تسنّن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سمهودى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نماز به زبان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اسحاق‌بن‌عبداللّه دبيرى العوضى، چاپ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وزارت شؤون اسلامى و اوقاف و دعوت و ارشاد عربستان سعودى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والايضاح 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عبدالرّحمان الجزيري، بيروت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وقايع مربوط به اوايل قرن بيستم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قرن اتم و كامپيوتر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وهّابيان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تأليف آقاى على‌اصغر فقيهى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وهابيان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التحقيق و الايضاح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تأليف عبدالعزيز بن عبداللّه بن‌باز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نمونه‌هايى از اين خشونت‌ها در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نتايج سخنان افسارگسيخته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بررسى قرار گرفته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كتب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صحيح مسلم، سنن ابن‌ماجه، سنن ابى‌داود، سنن ترمذى، سنن نسائى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تأليف همگى اين كتب قبل از قرن سوم هجرى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أحاديث الانبياء،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عيسى بن مريم، حديث شماره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نزول عيسى بن مريم، حديث شماره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حديث شماره‌ى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في شرح صحيح البخاري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في شرح صحيح البخاري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تصريح دارد كه حضرت عيسى ع در نماز به حضرت مهدى ع اقتدا مى‌كند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نسائى فقط به احاديث فقهى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نتيجه، كتاب سنن نسائى درباره‌ى حضرت ولى عصر ع روايتى ندارد؛ به همين دليل، سه كتاب ديگر مورد بررسى قرار مى‌گيرد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الفتن، باب خروج المهدى، حديث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باب به هفت حديث اشاره مى‌كند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كتاب المهدى، ج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اين فصل نيز هفت روايت را بررسى مى‌كند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الفتن،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جاء فى المهدى، حديث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باب سه حديث بررسى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ابن‌تيميه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را ابن‌تيميه در ردّ شيعيان نوشته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مقالات متبوعه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عبدالعزيز بن‌باز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از خود دفاع مى‌كنند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زبان فارسى، مؤلّف حسين موسوى، مترجم جواد منتظرى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از سال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شمسى در بين زائران بيت اللّه الحرام حرم نبوى صلى الله عليه و آله توزيع مى‌شود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اسماعيليه و قرامطه در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نويسنده عارف تامر، تعليق حميرا زمرّدى، انتشارات حسابى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ماجرا در تاريخ به 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ماجراى عقبه‌ى تبوك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عاملان اين خيانت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عقبه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ابديّت، جعفر سبحانى،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غزوه‌ى تبوك؛ تاريخ پيامبر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محمّد ابراهيم آيتى</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واقدي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بيهقى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ابن كثير، التفسير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التاريخ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السيرة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يعقوبي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بيروت،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دينورى 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نعيّة الطلب، ابن العديم 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الحسين بن على، ابن‌العديم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بررسى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الامام الحسين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دفتر انتشارات كمك آموزشى</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افراد اعمال شرك‌آميزى انجام مى‌دهند كه شرك آشكار نيست و آنان را از دين اسلام خارج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هر گناه نمونه‌ى روشنى از اين گونه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 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وهّابيان ديگران را مشرك به شرك جلى و آشكار مى‌دانند كه مال، جان و ناموس چنين فردى از سوى آنان مباح و هدر رفته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حج و عمره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ترجمه‌ى فضل ربى ممتاززاده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زبان عربى و انگليسى هم در ايّام حج به‌صورت رايگان توزيع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بيست و پنجم به زبان عربى و چاپ بيست و سوم اين كتاب به زبان انگليسى در سال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شمسى و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ميلادى در مكّه و مدينه توزيع شده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و الايضاح عربى نوشته‌ى عبدالعزيز بن‌باز چاپ سى و دوم،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رياست اداره‌ى بحث‌هاى علمى و فتاوا؛ همين كتاب از طرف ناشر ديگر يعنى وزارت فرهنگ اسلامى و اوقاف عربستان چاپ بيست و دوم در سال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حجّاج توزيع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زبان‌هاى اردو، بنگالى، انگليسى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چاپ شده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اعتقاد را حتّى اهل تسنّن نيز قبول ندارند و تنها وهّابيان با پشتوانه‌ى پول نفت آن را ترويج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فراوانى از اهل تسنّن در ردّ وهّابيّت كتاب نوشته‌اند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زمينه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انتهاى كتاب مراجعه كنيد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تأثير سخن اين عالم همين بس كه در حجّ واجب هر سال جزوات و كتب او به صورت ميليونى و رايگان به زبان‌هاى مختلف بين حجّاج توزيع مى‌شود و در مساجد كشورهاى حوزه‌ى خليج فارس اين كتاب‌ها به فراوانى وجود دارد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مى‌دانيم عبدالعزيز بن باز اين اعتقاد را از محمّدبن عبدالوهّاب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كسانى كه به محمّدبن عبدالوهّاب اعتراض كردند پدر و برادرش بودند تا آن‌جا كه سليمان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برادر 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كتاب در رد وهّابيّت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فى الرد على محمّد بن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الالهيه فى الرد على الوهابية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جالب آن است كه در فصل اوّل كتاب اخير، سليمان برادر خويش را متّهم كرده است كه مسلمانان را كافر و مشرك مى‌خواند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الافتاء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فتواى </w:t>
      </w:r>
      <w:r>
        <w:rPr>
          <w:rFonts w:eastAsia="IRNazanin" w:cs="IRNazanin"/>
          <w:b w:val="false"/>
          <w:bCs w:val="false"/>
          <w:i w:val="false"/>
          <w:iCs w:val="false"/>
          <w:color w:val="333333"/>
          <w:sz w:val="20"/>
          <w:szCs w:val="20"/>
        </w:rPr>
        <w:t>6208</w:t>
      </w:r>
      <w:r>
        <w:rPr>
          <w:rFonts w:ascii="IRNazanin" w:hAnsi="IRNazanin" w:eastAsia="IRNazanin"/>
          <w:b w:val="false"/>
          <w:b w:val="false"/>
          <w:bCs w:val="false"/>
          <w:i w:val="false"/>
          <w:i w:val="false"/>
          <w:iCs w:val="false"/>
          <w:color w:val="333333"/>
          <w:sz w:val="20"/>
          <w:sz w:val="20"/>
          <w:szCs w:val="20"/>
          <w:rtl w:val="true"/>
        </w:rPr>
        <w:t xml:space="preserve">، زير نظر عبد العزيز بن عبداللّه بن‌باز، چاپ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به صفات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مراجعه كنيد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حج و عمره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نواقض اسلام فارسى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نوشته‌ى عبدالعزيز بن‌باز، ترجمه‌ى اسحاق بن عبداللّه دبيرى العوضى، سال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 زبان‌هاى گوناگون از جمله فارسى و عربى در ايّام حج در عربستان توزيع مى‌شود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تأليف عبدالرحمان الجزيري، چاپ دارالكتب العلميّه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فقه چهار مذهب فقهى سنّى حنفى، حنبلى، شافعي و مالكي مورد بررسى قرار گرفته و مقايسه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بالا مورد اتّفاق چهار مذهب سنّى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به نقل از كنز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آموزش نماز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تأليف دكتر عبداللّه بن احمد بن على الزيد، ترجمه‌ى اسحاق‌بن‌عبداللّه دبيرى العوضى، چاپ اوّل،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بداية المجتهد و نهاية المقتصد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قاضى ابوالوليد محمّد بن احمد بن رشد القرطبي الاندلسي، ناشر دارالسلام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تامس ادوارد لورنس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به لورنس عربستان و شاهزاده‌ى مكّه، شخصيّتى است كه به همّت امثال او كشور عربستان به نام يك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خورد و عربستان سعودى نام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فعّاليّت لورنس به حدى براى استعمار پير انگليس با اهمّيّت بود كه وينسون چرچيل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وزير مشهور انگليس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مراسم تشييع جنازه‌اش گريست، او را يكى از بزرگ‌ترين انسان‌هاى عصر حاضر خواند و پيش‌بينى كرد كه به‌رغم نيازى كه به چنين افرادى داريم هرگز مانند او را نخواهيم يافت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مجسّمه‌ى نيم‌تنه‌ى او در كليساى سنت پل </w:t>
      </w:r>
      <w:r>
        <w:rPr>
          <w:rFonts w:eastAsia="IRNazanin" w:cs="IRNazanin"/>
          <w:b w:val="false"/>
          <w:bCs w:val="false"/>
          <w:i w:val="false"/>
          <w:iCs w:val="false"/>
          <w:color w:val="333333"/>
          <w:sz w:val="20"/>
          <w:szCs w:val="20"/>
        </w:rPr>
        <w:t>luaP. 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دارد و خانه‌اش در كلودز هيل</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عبدالعزيز بن عبداللّه بن باز</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رافضه به معناى جدا شده و خارج‌شده‌ى از دين است و اين اتّهامى است كه دشمنان به شيعيان اهل بيت عليهم‌السلام نسبت مى‌دهند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 الافتاء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فتواى شماره‌ى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زير نظر عبدالعزيز بن عبداللّه‌بن‌باز</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للبحوث العلمية والافتاء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فتواى شماره‌ى </w:t>
      </w:r>
      <w:r>
        <w:rPr>
          <w:rFonts w:eastAsia="IRNazanin" w:cs="IRNazanin"/>
          <w:b w:val="false"/>
          <w:bCs w:val="false"/>
          <w:i w:val="false"/>
          <w:iCs w:val="false"/>
          <w:color w:val="333333"/>
          <w:sz w:val="20"/>
          <w:szCs w:val="20"/>
        </w:rPr>
        <w:t>3008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از خود دفاع مى‌كنند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مؤلّف دكتر حسين موسوى، مترجم جواد منتظرى، 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به‌صورت رايگان بين حجّاج توزيع مى‌شود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مدرك قبل، هم‌چنين رجوع كنيد به صفحات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تا به ميزان حق‌جويى و حق‌طلبى نويسنده و مترجم پى ببريد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نويسنده‌اى كه سن او بين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نوسان است و على‌رغم اين كه خود را مرجع تقليد و عالم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معرّفى مى‌كند اسم امامان شيعه را نيز بلد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دفاع از اهل بيت رسول خدا، روش‌شناسى شبهه‌پراكنى در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بيت از خود دفاع مى‌كنند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هدايت يافتم؟، رادمهر، چاب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كه صحابه را شناختم، القصيبى، چاپ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image" Target="media/image2.jpeg"/><Relationship Id="rId92" Type="http://schemas.openxmlformats.org/officeDocument/2006/relationships/image" Target="media/image2.jpeg"/><Relationship Id="rId93" Type="http://schemas.openxmlformats.org/officeDocument/2006/relationships/footer" Target="footer86.xml"/><Relationship Id="rId94" Type="http://schemas.openxmlformats.org/officeDocument/2006/relationships/footnotes" Target="footnotes.xml"/><Relationship Id="rId95" Type="http://schemas.openxmlformats.org/officeDocument/2006/relationships/numbering" Target="numbering.xml"/><Relationship Id="rId96" Type="http://schemas.openxmlformats.org/officeDocument/2006/relationships/fontTable" Target="fontTable.xml"/><Relationship Id="rId97" Type="http://schemas.openxmlformats.org/officeDocument/2006/relationships/settings" Target="settings.xml"/><Relationship Id="rId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90</Pages>
  <Words>15345</Words>
  <Characters>61482</Characters>
  <CharactersWithSpaces>76283</CharactersWithSpaces>
  <Paragraphs>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2026-08-16T00:39:51Z</dcterms:created>
  <dc:creator>ghaemiyeh.com</dc:creator>
  <dc:description/>
  <dc:language>en-US</dc:language>
  <cp:lastModifiedBy/>
  <dcterms:modified xsi:type="dcterms:W3CDTF">2026-08-16T04:09:54Z</dcterms:modified>
  <cp:revision>1</cp:revision>
  <dc:subject/>
  <dc:title>گل بی خار - آسیب شناسی کتب اهدایی وهابیان در ایام حج</dc:title>
</cp:coreProperties>
</file>

<file path=docProps/custom.xml><?xml version="1.0" encoding="utf-8"?>
<Properties xmlns="http://schemas.openxmlformats.org/officeDocument/2006/custom-properties" xmlns:vt="http://schemas.openxmlformats.org/officeDocument/2006/docPropsVTypes"/>
</file>